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740" w:right="1860" w:hanging="3705"/>
        <w:spacing w:after="0" w:line="461"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248920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220" w:type="dxa"/>
            <w:vAlign w:val="bottom"/>
          </w:tcPr>
          <w:p>
            <w:pPr>
              <w:jc w:val="center"/>
              <w:ind w:right="3431"/>
              <w:spacing w:after="0"/>
              <w:rPr>
                <w:sz w:val="20"/>
                <w:szCs w:val="20"/>
                <w:color w:val="auto"/>
              </w:rPr>
            </w:pPr>
            <w:r>
              <w:rPr>
                <w:rFonts w:ascii="Arial" w:cs="Arial" w:eastAsia="Arial" w:hAnsi="Arial"/>
                <w:sz w:val="16"/>
                <w:szCs w:val="16"/>
                <w:b w:val="1"/>
                <w:bCs w:val="1"/>
                <w:color w:val="auto"/>
                <w:w w:val="91"/>
              </w:rPr>
              <w:t>(State or other jurisdiction of</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194" w:lineRule="exact"/>
        <w:rPr>
          <w:sz w:val="24"/>
          <w:szCs w:val="24"/>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right="100"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29" w:right="25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4">
            <w:col w:w="2000" w:space="720"/>
            <w:col w:w="4780" w:space="720"/>
            <w:col w:w="1960" w:space="720"/>
            <w:col w:w="500"/>
          </w:cols>
          <w:pgMar w:left="240" w:top="229" w:right="259" w:bottom="1440" w:gutter="0" w:footer="0" w:header="0"/>
          <w:type w:val="continuous"/>
        </w:sect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4"/>
          <w:szCs w:val="24"/>
          <w:color w:val="auto"/>
        </w:rPr>
      </w:pPr>
    </w:p>
    <w:p>
      <w:pPr>
        <w:sectPr>
          <w:pgSz w:w="11900" w:h="16838" w:orient="portrait"/>
          <w:cols w:equalWidth="0" w:num="4">
            <w:col w:w="2000" w:space="720"/>
            <w:col w:w="4780" w:space="720"/>
            <w:col w:w="1960" w:space="720"/>
            <w:col w:w="500"/>
          </w:cols>
          <w:pgMar w:left="240" w:top="229" w:right="2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3">
            <w:col w:w="7700" w:space="180"/>
            <w:col w:w="440" w:space="220"/>
            <w:col w:w="2860"/>
          </w:cols>
          <w:pgMar w:left="240" w:top="229" w:right="25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As of October 31, 2016, there were 173,039,498 shares of the registrant’s common stock outstanding.</w:t>
      </w:r>
    </w:p>
    <w:p>
      <w:pPr>
        <w:sectPr>
          <w:pgSz w:w="11900" w:h="16838" w:orient="portrait"/>
          <w:cols w:equalWidth="0" w:num="1">
            <w:col w:w="11400"/>
          </w:cols>
          <w:pgMar w:left="240" w:top="229"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September 30, 2016</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5140" w:type="dxa"/>
            <w:vAlign w:val="bottom"/>
            <w:gridSpan w:val="8"/>
            <w:vMerge w:val="restart"/>
          </w:tcPr>
          <w:p>
            <w:pPr>
              <w:jc w:val="center"/>
              <w:ind w:right="46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vMerge w:val="continue"/>
          </w:tcPr>
          <w:p>
            <w:pPr>
              <w:spacing w:after="0"/>
              <w:rPr>
                <w:sz w:val="24"/>
                <w:szCs w:val="24"/>
                <w:color w:val="auto"/>
              </w:rPr>
            </w:pPr>
          </w:p>
        </w:tc>
        <w:tc>
          <w:tcPr>
            <w:tcW w:w="5140" w:type="dxa"/>
            <w:vAlign w:val="bottom"/>
            <w:gridSpan w:val="8"/>
            <w:vMerge w:val="continue"/>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64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60" w:type="dxa"/>
            <w:vAlign w:val="bottom"/>
            <w:tcBorders>
              <w:top w:val="single" w:sz="8" w:color="0000EE"/>
            </w:tcBorders>
          </w:tcPr>
          <w:p>
            <w:pPr>
              <w:spacing w:after="0"/>
              <w:rPr>
                <w:sz w:val="24"/>
                <w:szCs w:val="24"/>
                <w:color w:val="auto"/>
              </w:rPr>
            </w:pPr>
          </w:p>
        </w:tc>
        <w:tc>
          <w:tcPr>
            <w:tcW w:w="4680" w:type="dxa"/>
            <w:vAlign w:val="bottom"/>
            <w:gridSpan w:val="7"/>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2016 and December 31, 2015</w:t>
              </w:r>
            </w:hyperlink>
          </w:p>
        </w:tc>
        <w:tc>
          <w:tcPr>
            <w:tcW w:w="296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September 30, 2016 and 2015</w:t>
              </w:r>
            </w:hyperlink>
          </w:p>
        </w:tc>
        <w:tc>
          <w:tcPr>
            <w:tcW w:w="90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1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and Nine Months Ended September 30, 2016 and</w:t>
              </w:r>
            </w:hyperlink>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ind w:left="24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2015</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54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2016 and 2015</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920" w:type="dxa"/>
            <w:vAlign w:val="bottom"/>
            <w:tcBorders>
              <w:top w:val="single" w:sz="8" w:color="0000EE"/>
            </w:tcBorders>
            <w:gridSpan w:val="9"/>
          </w:tcPr>
          <w:p>
            <w:pPr>
              <w:spacing w:after="0"/>
              <w:rPr>
                <w:sz w:val="21"/>
                <w:szCs w:val="21"/>
                <w:color w:val="auto"/>
              </w:rPr>
            </w:pPr>
          </w:p>
        </w:tc>
        <w:tc>
          <w:tcPr>
            <w:tcW w:w="162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978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978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978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10"/>
            <w:vMerge w:val="restart"/>
          </w:tcPr>
          <w:p>
            <w:pPr>
              <w:jc w:val="center"/>
              <w:ind w:right="4360"/>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w:t>
              </w:r>
            </w:hyperlink>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10"/>
            <w:vMerge w:val="continue"/>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4620" w:type="dxa"/>
            <w:vAlign w:val="bottom"/>
            <w:gridSpan w:val="1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520" w:type="dxa"/>
            <w:vAlign w:val="bottom"/>
            <w:gridSpan w:val="3"/>
          </w:tcPr>
          <w:p>
            <w:pPr>
              <w:spacing w:after="0"/>
              <w:rPr>
                <w:sz w:val="21"/>
                <w:szCs w:val="21"/>
                <w:color w:val="auto"/>
              </w:rPr>
            </w:pPr>
          </w:p>
        </w:tc>
        <w:tc>
          <w:tcPr>
            <w:tcW w:w="46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Item 1A.</w:t>
              </w:r>
            </w:hyperlink>
          </w:p>
        </w:tc>
        <w:tc>
          <w:tcPr>
            <w:tcW w:w="280" w:type="dxa"/>
            <w:vAlign w:val="bottom"/>
          </w:tcPr>
          <w:p>
            <w:pPr>
              <w:spacing w:after="0"/>
              <w:rPr>
                <w:sz w:val="21"/>
                <w:szCs w:val="21"/>
                <w:color w:val="auto"/>
              </w:rPr>
            </w:pPr>
          </w:p>
        </w:tc>
        <w:tc>
          <w:tcPr>
            <w:tcW w:w="900" w:type="dxa"/>
            <w:vAlign w:val="bottom"/>
            <w:gridSpan w:val="4"/>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Risk Factors</w:t>
              </w:r>
            </w:hyperlink>
          </w:p>
        </w:tc>
        <w:tc>
          <w:tcPr>
            <w:tcW w:w="8880" w:type="dxa"/>
            <w:vAlign w:val="bottom"/>
            <w:gridSpan w:val="1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2.</w:t>
              </w:r>
            </w:hyperlink>
          </w:p>
        </w:tc>
        <w:tc>
          <w:tcPr>
            <w:tcW w:w="280" w:type="dxa"/>
            <w:vAlign w:val="bottom"/>
          </w:tcPr>
          <w:p>
            <w:pPr>
              <w:spacing w:after="0"/>
              <w:rPr>
                <w:sz w:val="21"/>
                <w:szCs w:val="21"/>
                <w:color w:val="auto"/>
              </w:rPr>
            </w:pPr>
          </w:p>
        </w:tc>
        <w:tc>
          <w:tcPr>
            <w:tcW w:w="978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580" w:type="dxa"/>
            <w:vAlign w:val="bottom"/>
            <w:gridSpan w:val="7"/>
            <w:shd w:val="clear" w:color="auto" w:fill="0000EE"/>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6.</w:t>
              </w:r>
            </w:hyperlink>
          </w:p>
        </w:tc>
        <w:tc>
          <w:tcPr>
            <w:tcW w:w="978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5"/>
              </w:rPr>
            </w:pPr>
            <w:hyperlink w:anchor="page67">
              <w:r>
                <w:rPr>
                  <w:rFonts w:ascii="Arial" w:cs="Arial" w:eastAsia="Arial" w:hAnsi="Arial"/>
                  <w:sz w:val="18"/>
                  <w:szCs w:val="18"/>
                  <w:color w:val="0000EE"/>
                  <w:w w:val="85"/>
                </w:rPr>
                <w:t>Signatures</w:t>
              </w:r>
            </w:hyperlink>
          </w:p>
        </w:tc>
        <w:tc>
          <w:tcPr>
            <w:tcW w:w="902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Part I</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4"/>
        </w:trPr>
        <w:tc>
          <w:tcPr>
            <w:tcW w:w="820" w:type="dxa"/>
            <w:vAlign w:val="bottom"/>
          </w:tcPr>
          <w:p>
            <w:pPr>
              <w:spacing w:after="0"/>
              <w:rPr>
                <w:sz w:val="24"/>
                <w:szCs w:val="24"/>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FORTINET, INC.</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543,277</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382,909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348,074</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5"/>
              </w:rPr>
              <w:t>Accounts receivable—net of reserves for sales returns and doubtful accounts of $14,582 and $6,228 at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September 30, 2016 and December 31, 2015,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238,988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259,563</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93,731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83,868</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35,761</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1,394,873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1,270,543</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272,959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189,434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119,216</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91,067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27,849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17,640</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14,393</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2,010,160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1,790,510</w:t>
            </w:r>
          </w:p>
        </w:tc>
      </w:tr>
      <w:tr>
        <w:trPr>
          <w:trHeight w:val="20"/>
        </w:trPr>
        <w:tc>
          <w:tcPr>
            <w:tcW w:w="83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6"/>
        </w:trPr>
        <w:tc>
          <w:tcPr>
            <w:tcW w:w="8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61,500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37,280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33,028</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61,111</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8,379</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582,145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514,652</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750,360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678,670</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276,651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67,996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60,624</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19,188</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1,187,072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1,035,133</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Common stock, $0.001 par value—300,000 shares authorized; 173,513 and 171,399 shares issued and</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outstanding at September 30, 2016 and December 31, 2015,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779,669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687,658</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43,093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68,481</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823,088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755,377</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2,010,160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1,790,510</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127,972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119,737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389,185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332,023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188,674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523,428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380,716</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316,646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260,068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912,613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712,739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50,267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152,368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134,932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69,869</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84,799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71,701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246,946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204,801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77,705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73,570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236,817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197,091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154,142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428,850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310,847</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231,847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188,367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665,667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507,938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47,239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137,495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115,315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333,531</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22,006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63,629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51,199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226,359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190,207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667,916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505,928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EXPENSE—net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6,291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7,021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10,521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(Note 8):</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173,335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171,648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169,898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5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177,938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177,897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176,046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175,963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(losses) on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Tax provision (benefit)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141</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(loss)—net of taxes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8,388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10,780</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768"/>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300" w:type="dxa"/>
            <w:vAlign w:val="bottom"/>
          </w:tcPr>
          <w:p>
            <w:pPr>
              <w:jc w:val="right"/>
              <w:ind w:right="188"/>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07"/>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88"/>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7"/>
              <w:spacing w:after="0"/>
              <w:rPr>
                <w:sz w:val="20"/>
                <w:szCs w:val="20"/>
                <w:color w:val="auto"/>
              </w:rPr>
            </w:pPr>
            <w:r>
              <w:rPr>
                <w:rFonts w:ascii="Arial" w:cs="Arial" w:eastAsia="Arial" w:hAnsi="Arial"/>
                <w:sz w:val="14"/>
                <w:szCs w:val="14"/>
                <w:color w:val="auto"/>
              </w:rPr>
              <w:t>7,021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10,521</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2"/>
                <w:szCs w:val="22"/>
                <w:color w:val="auto"/>
              </w:rPr>
            </w:pPr>
          </w:p>
        </w:tc>
        <w:tc>
          <w:tcPr>
            <w:tcW w:w="1340" w:type="dxa"/>
            <w:vAlign w:val="bottom"/>
          </w:tcPr>
          <w:p>
            <w:pPr>
              <w:jc w:val="right"/>
              <w:ind w:right="47"/>
              <w:spacing w:after="0"/>
              <w:rPr>
                <w:sz w:val="20"/>
                <w:szCs w:val="20"/>
                <w:color w:val="auto"/>
              </w:rPr>
            </w:pPr>
            <w:r>
              <w:rPr>
                <w:rFonts w:ascii="Arial" w:cs="Arial" w:eastAsia="Arial" w:hAnsi="Arial"/>
                <w:sz w:val="14"/>
                <w:szCs w:val="14"/>
                <w:color w:val="auto"/>
              </w:rPr>
              <w:t>34,896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22,206</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3,828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5,770</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22"/>
                <w:szCs w:val="22"/>
                <w:color w:val="auto"/>
              </w:rPr>
            </w:pPr>
          </w:p>
        </w:tc>
        <w:tc>
          <w:tcPr>
            <w:tcW w:w="1340" w:type="dxa"/>
            <w:vAlign w:val="bottom"/>
          </w:tcPr>
          <w:p>
            <w:pPr>
              <w:jc w:val="right"/>
              <w:ind w:right="47"/>
              <w:spacing w:after="0"/>
              <w:rPr>
                <w:sz w:val="20"/>
                <w:szCs w:val="20"/>
                <w:color w:val="auto"/>
              </w:rPr>
            </w:pPr>
            <w:r>
              <w:rPr>
                <w:rFonts w:ascii="Arial" w:cs="Arial" w:eastAsia="Arial" w:hAnsi="Arial"/>
                <w:sz w:val="14"/>
                <w:szCs w:val="14"/>
                <w:color w:val="auto"/>
              </w:rPr>
              <w:t>90,342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67,001</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Other non-cash items—net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4,846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2,681</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receivable—net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12,788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20,923</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22"/>
                <w:szCs w:val="22"/>
                <w:color w:val="auto"/>
              </w:rPr>
            </w:pPr>
          </w:p>
        </w:tc>
        <w:tc>
          <w:tcPr>
            <w:tcW w:w="1340" w:type="dxa"/>
            <w:vAlign w:val="bottom"/>
          </w:tcPr>
          <w:p>
            <w:pPr>
              <w:jc w:val="right"/>
              <w:ind w:right="7"/>
              <w:spacing w:after="0"/>
              <w:rPr>
                <w:sz w:val="20"/>
                <w:szCs w:val="20"/>
                <w:color w:val="auto"/>
              </w:rPr>
            </w:pPr>
            <w:r>
              <w:rPr>
                <w:rFonts w:ascii="Arial" w:cs="Arial" w:eastAsia="Arial" w:hAnsi="Arial"/>
                <w:sz w:val="14"/>
                <w:szCs w:val="14"/>
                <w:color w:val="auto"/>
              </w:rPr>
              <w:t>(24,555)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(12,427)</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tax assets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(35,005)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(28,297)</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22"/>
                <w:szCs w:val="22"/>
                <w:color w:val="auto"/>
              </w:rPr>
            </w:pPr>
          </w:p>
        </w:tc>
        <w:tc>
          <w:tcPr>
            <w:tcW w:w="1340" w:type="dxa"/>
            <w:vAlign w:val="bottom"/>
          </w:tcPr>
          <w:p>
            <w:pPr>
              <w:jc w:val="right"/>
              <w:ind w:right="47"/>
              <w:spacing w:after="0"/>
              <w:rPr>
                <w:sz w:val="20"/>
                <w:szCs w:val="20"/>
                <w:color w:val="auto"/>
              </w:rPr>
            </w:pPr>
            <w:r>
              <w:rPr>
                <w:rFonts w:ascii="Arial" w:cs="Arial" w:eastAsia="Arial" w:hAnsi="Arial"/>
                <w:sz w:val="14"/>
                <w:szCs w:val="14"/>
                <w:color w:val="auto"/>
              </w:rPr>
              <w:t>4,301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(7,806)</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(2,595)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22"/>
                <w:szCs w:val="22"/>
                <w:color w:val="auto"/>
              </w:rPr>
            </w:pPr>
          </w:p>
        </w:tc>
        <w:tc>
          <w:tcPr>
            <w:tcW w:w="1340" w:type="dxa"/>
            <w:vAlign w:val="bottom"/>
          </w:tcPr>
          <w:p>
            <w:pPr>
              <w:jc w:val="right"/>
              <w:ind w:right="7"/>
              <w:spacing w:after="0"/>
              <w:rPr>
                <w:sz w:val="20"/>
                <w:szCs w:val="20"/>
                <w:color w:val="auto"/>
              </w:rPr>
            </w:pPr>
            <w:r>
              <w:rPr>
                <w:rFonts w:ascii="Arial" w:cs="Arial" w:eastAsia="Arial" w:hAnsi="Arial"/>
                <w:sz w:val="14"/>
                <w:szCs w:val="14"/>
                <w:color w:val="auto"/>
              </w:rPr>
              <w:t>(1,584)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(9,842)</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(3,296)</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160" w:type="dxa"/>
            <w:vAlign w:val="bottom"/>
          </w:tcPr>
          <w:p>
            <w:pPr>
              <w:spacing w:after="0"/>
              <w:rPr>
                <w:sz w:val="22"/>
                <w:szCs w:val="22"/>
                <w:color w:val="auto"/>
              </w:rPr>
            </w:pPr>
          </w:p>
        </w:tc>
        <w:tc>
          <w:tcPr>
            <w:tcW w:w="1340" w:type="dxa"/>
            <w:vAlign w:val="bottom"/>
          </w:tcPr>
          <w:p>
            <w:pPr>
              <w:jc w:val="right"/>
              <w:ind w:right="47"/>
              <w:spacing w:after="0"/>
              <w:rPr>
                <w:sz w:val="20"/>
                <w:szCs w:val="20"/>
                <w:color w:val="auto"/>
              </w:rPr>
            </w:pPr>
            <w:r>
              <w:rPr>
                <w:rFonts w:ascii="Arial" w:cs="Arial" w:eastAsia="Arial" w:hAnsi="Arial"/>
                <w:sz w:val="14"/>
                <w:szCs w:val="14"/>
                <w:color w:val="auto"/>
              </w:rPr>
              <w:t>3,253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(1,895)</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(3,119)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22"/>
                <w:szCs w:val="22"/>
                <w:color w:val="auto"/>
              </w:rPr>
            </w:pPr>
          </w:p>
        </w:tc>
        <w:tc>
          <w:tcPr>
            <w:tcW w:w="1340" w:type="dxa"/>
            <w:vAlign w:val="bottom"/>
          </w:tcPr>
          <w:p>
            <w:pPr>
              <w:jc w:val="right"/>
              <w:ind w:right="47"/>
              <w:spacing w:after="0"/>
              <w:rPr>
                <w:sz w:val="20"/>
                <w:szCs w:val="20"/>
                <w:color w:val="auto"/>
              </w:rPr>
            </w:pPr>
            <w:r>
              <w:rPr>
                <w:rFonts w:ascii="Arial" w:cs="Arial" w:eastAsia="Arial" w:hAnsi="Arial"/>
                <w:sz w:val="14"/>
                <w:szCs w:val="14"/>
                <w:color w:val="auto"/>
              </w:rPr>
              <w:t>142,867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136,193</w:t>
            </w:r>
          </w:p>
        </w:tc>
      </w:tr>
      <w:tr>
        <w:trPr>
          <w:trHeight w:val="270"/>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6,789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13,753</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244,671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213,989</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160" w:type="dxa"/>
            <w:vAlign w:val="bottom"/>
          </w:tcPr>
          <w:p>
            <w:pPr>
              <w:spacing w:after="0"/>
              <w:rPr>
                <w:sz w:val="22"/>
                <w:szCs w:val="22"/>
                <w:color w:val="auto"/>
              </w:rPr>
            </w:pPr>
          </w:p>
        </w:tc>
        <w:tc>
          <w:tcPr>
            <w:tcW w:w="1340" w:type="dxa"/>
            <w:vAlign w:val="bottom"/>
          </w:tcPr>
          <w:p>
            <w:pPr>
              <w:jc w:val="right"/>
              <w:ind w:right="7"/>
              <w:spacing w:after="0"/>
              <w:rPr>
                <w:sz w:val="20"/>
                <w:szCs w:val="20"/>
                <w:color w:val="auto"/>
              </w:rPr>
            </w:pPr>
            <w:r>
              <w:rPr>
                <w:rFonts w:ascii="Arial" w:cs="Arial" w:eastAsia="Arial" w:hAnsi="Arial"/>
                <w:sz w:val="14"/>
                <w:szCs w:val="14"/>
                <w:color w:val="auto"/>
              </w:rPr>
              <w:t>(370,573)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(329,687)</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21,805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35,384</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160" w:type="dxa"/>
            <w:vAlign w:val="bottom"/>
          </w:tcPr>
          <w:p>
            <w:pPr>
              <w:spacing w:after="0"/>
              <w:rPr>
                <w:sz w:val="22"/>
                <w:szCs w:val="22"/>
                <w:color w:val="auto"/>
              </w:rPr>
            </w:pPr>
          </w:p>
        </w:tc>
        <w:tc>
          <w:tcPr>
            <w:tcW w:w="1340" w:type="dxa"/>
            <w:vAlign w:val="bottom"/>
          </w:tcPr>
          <w:p>
            <w:pPr>
              <w:jc w:val="right"/>
              <w:ind w:right="47"/>
              <w:spacing w:after="0"/>
              <w:rPr>
                <w:sz w:val="20"/>
                <w:szCs w:val="20"/>
                <w:color w:val="auto"/>
              </w:rPr>
            </w:pPr>
            <w:r>
              <w:rPr>
                <w:rFonts w:ascii="Arial" w:cs="Arial" w:eastAsia="Arial" w:hAnsi="Arial"/>
                <w:sz w:val="14"/>
                <w:szCs w:val="14"/>
                <w:color w:val="auto"/>
              </w:rPr>
              <w:t>344,959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364,256</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(50,319)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(29,013)</w:t>
            </w:r>
          </w:p>
        </w:tc>
      </w:tr>
      <w:tr>
        <w:trPr>
          <w:trHeight w:val="264"/>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Payments made in connection with business acquisition, net of cash acquired</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(22,087)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(38,025)</w:t>
            </w:r>
          </w:p>
        </w:tc>
      </w:tr>
      <w:tr>
        <w:trPr>
          <w:trHeight w:val="256"/>
        </w:trPr>
        <w:tc>
          <w:tcPr>
            <w:tcW w:w="83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(used in) investing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(76,215)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2,915</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42,292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63,543</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160" w:type="dxa"/>
            <w:vAlign w:val="bottom"/>
          </w:tcPr>
          <w:p>
            <w:pPr>
              <w:spacing w:after="0"/>
              <w:rPr>
                <w:sz w:val="22"/>
                <w:szCs w:val="22"/>
                <w:color w:val="auto"/>
              </w:rPr>
            </w:pPr>
          </w:p>
        </w:tc>
        <w:tc>
          <w:tcPr>
            <w:tcW w:w="1340" w:type="dxa"/>
            <w:vAlign w:val="bottom"/>
          </w:tcPr>
          <w:p>
            <w:pPr>
              <w:jc w:val="right"/>
              <w:ind w:right="7"/>
              <w:spacing w:after="0"/>
              <w:rPr>
                <w:sz w:val="20"/>
                <w:szCs w:val="20"/>
                <w:color w:val="auto"/>
              </w:rPr>
            </w:pPr>
            <w:r>
              <w:rPr>
                <w:rFonts w:ascii="Arial" w:cs="Arial" w:eastAsia="Arial" w:hAnsi="Arial"/>
                <w:sz w:val="14"/>
                <w:szCs w:val="14"/>
                <w:color w:val="auto"/>
              </w:rPr>
              <w:t>(29,886)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(22,989)</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Payments of debt assumed in connection with business acquisition</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(1,626)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(used in) financing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(64,220)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40,554</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160" w:type="dxa"/>
            <w:vAlign w:val="bottom"/>
          </w:tcPr>
          <w:p>
            <w:pPr>
              <w:spacing w:after="0"/>
              <w:rPr>
                <w:sz w:val="21"/>
                <w:szCs w:val="21"/>
                <w:color w:val="auto"/>
              </w:rPr>
            </w:pPr>
          </w:p>
        </w:tc>
        <w:tc>
          <w:tcPr>
            <w:tcW w:w="1340" w:type="dxa"/>
            <w:vAlign w:val="bottom"/>
          </w:tcPr>
          <w:p>
            <w:pPr>
              <w:jc w:val="right"/>
              <w:ind w:right="47"/>
              <w:spacing w:after="0"/>
              <w:rPr>
                <w:sz w:val="20"/>
                <w:szCs w:val="20"/>
                <w:color w:val="auto"/>
              </w:rPr>
            </w:pPr>
            <w:r>
              <w:rPr>
                <w:rFonts w:ascii="Arial" w:cs="Arial" w:eastAsia="Arial" w:hAnsi="Arial"/>
                <w:sz w:val="14"/>
                <w:szCs w:val="14"/>
                <w:color w:val="auto"/>
              </w:rPr>
              <w:t>104,236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257,458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543,277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283,254</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647,513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540,712</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Cash paid for income taxes—net of refunds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20,534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15,272</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15,627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13,695</w:t>
            </w:r>
          </w:p>
        </w:tc>
      </w:tr>
      <w:tr>
        <w:trPr>
          <w:trHeight w:val="21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8,325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2,243</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8340" w:type="dxa"/>
            <w:vAlign w:val="bottom"/>
          </w:tcPr>
          <w:p>
            <w:pPr>
              <w:ind w:left="500"/>
              <w:spacing w:after="0"/>
              <w:rPr>
                <w:sz w:val="20"/>
                <w:szCs w:val="20"/>
                <w:color w:val="auto"/>
              </w:rPr>
            </w:pPr>
            <w:r>
              <w:rPr>
                <w:rFonts w:ascii="Arial" w:cs="Arial" w:eastAsia="Arial" w:hAnsi="Arial"/>
                <w:sz w:val="14"/>
                <w:szCs w:val="14"/>
                <w:color w:val="auto"/>
              </w:rPr>
              <w:t>Equity awards assumed in connection with business acquisition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471</w:t>
            </w:r>
          </w:p>
        </w:tc>
      </w:tr>
      <w:tr>
        <w:trPr>
          <w:trHeight w:val="20"/>
        </w:trPr>
        <w:tc>
          <w:tcPr>
            <w:tcW w:w="8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unaudited condensed consolidated financial statements of Fortinet, Inc. and its wholly-owned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(“SEC”). Accordingly, they do not include all of the information and footnotes required by GAAP for complete financial statements, and should be read in conjunction with our audited consolidated financial statements as of and for the year ended December 31, 2015, contained in our Annual Report on Form 10-K (the “Form 10-K”) filed with the SEC on February 26, 2016. In the opinion of management, all adjustments, which includes normal recurring adjustments, considered necessary for a fair presentation have been included. All intercompany balances, transactions and cash flows have been eliminated. The results of operations for the three and nine months ended September 30, 2016 are not necessarily indicative of the results for the full year or for any future periods. The condensed consolidated balance sheet as of December 31, 2015 is derived from the audited consolidated financial statements for the year ended December 31, 2015.</w:t>
      </w:r>
    </w:p>
    <w:p>
      <w:pPr>
        <w:spacing w:after="0" w:line="18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There have been no material changes to our significant accounting policies as of and for the three and nine months ended September 30, 2016, except for changes to our policy related to stock-based compensation expense. For more information, refer to the “Recently Adopted Accounting Standards.”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March 2016, the Financial Accounting Standards Board (“FASB”) issued Accounting Standards Update (“ASU”) 2016-09—Compensation— Stock Compensation—Improvements to Employee Share-Based Payment Accounting (“ASU 2016-09”). The new guidance changes the accounting for certain aspects of stock-based payments to employees and requires excess tax benefits and tax deficiencies to be recorded in the income statement when the awards vest or are settled. In addition, cash flows related to excess tax benefits will no longer be separately classified as a financing activity apart from other income tax cash flows. The standard also allows us to repurchase more of an employee’s shares for tax withholding purposes without triggering liability accounting, clarifies that all cash payments made on an employee’s behalf for withheld shares should be presented as a financing activity on our cash flows statement, and provides an accounting policy election to account for forfeitures as they occur.</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elected to early adopt the new guidance in the second quarter of 2016. The primary impact of the adoption was the recognition of excess tax benefits in our provision for income taxes rather than paid-in capital, as well as the adjustment in stock-based compensation expense as a result of our change in forfeiture policy. The new guidance eliminates the requirement to delay the recognition of excess tax benefits until it reduces current taxes payable. We adopted this change on a modified retrospective basis, and recorded unrecognized excess tax benefits of $32.4 million as a cumulative-effect adjustment, which increased retained earnings on January 1, 2016. The new guidance also requires us to record, subsequent to the adoption, excess tax benefits and tax deficiencies in the period these arise. As a result, our provision for income taxes decreased by $3.6 million during the first quarter of 2016.</w:t>
      </w:r>
    </w:p>
    <w:p>
      <w:pPr>
        <w:spacing w:after="0" w:line="178" w:lineRule="exact"/>
        <w:rPr>
          <w:sz w:val="20"/>
          <w:szCs w:val="20"/>
          <w:color w:val="auto"/>
        </w:rPr>
      </w:pPr>
    </w:p>
    <w:p>
      <w:pPr>
        <w:ind w:right="80" w:firstLine="648"/>
        <w:spacing w:after="0" w:line="329" w:lineRule="auto"/>
        <w:rPr>
          <w:sz w:val="20"/>
          <w:szCs w:val="20"/>
          <w:color w:val="auto"/>
        </w:rPr>
      </w:pPr>
      <w:r>
        <w:rPr>
          <w:rFonts w:ascii="Arial" w:cs="Arial" w:eastAsia="Arial" w:hAnsi="Arial"/>
          <w:sz w:val="16"/>
          <w:szCs w:val="16"/>
          <w:color w:val="auto"/>
        </w:rPr>
        <w:t>Under the new guidance, we have elected to change our policy and have started to recognize forfeitures of awards as they occur. The change in forfeiture policy was adopted using a modified retrospective transition method. We recorded a cumulative-effect adjustment to decrease retained earnings by $0.8 million upon transition on January 1, 2016 and a retrospective decrease of stock-based compensation of $2.0 million during the first quarter of 2016.</w:t>
      </w:r>
    </w:p>
    <w:p>
      <w:pPr>
        <w:spacing w:after="0" w:line="13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amendment to the minimum statutory withholding tax requirements was adopted on a modified retrospective basis. The adoption had no impact on the January 1, 2016 retained earnings. In addition, we adopted the presentation of taxes paid related to net share settlement of equity awards as a financing activity on the statement of cash flows on a retrospective basis. Our adoption had no impact to any of the periods presented in our consolidated cash flows statements since such cash flows have historically been presented as a financing activity.</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adoption of ASU 2016-09 impacted our previously reported quarterly results for the three months ended March 31, 2016, as well as our weighted average shares outstanding—diluted, as follows (in thousands, except for earnings per share):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690"/>
              <w:spacing w:after="0"/>
              <w:rPr>
                <w:sz w:val="20"/>
                <w:szCs w:val="20"/>
                <w:color w:val="auto"/>
              </w:rPr>
            </w:pPr>
            <w:r>
              <w:rPr>
                <w:rFonts w:ascii="Arial" w:cs="Arial" w:eastAsia="Arial" w:hAnsi="Arial"/>
                <w:sz w:val="16"/>
                <w:szCs w:val="16"/>
                <w:b w:val="1"/>
                <w:bCs w:val="1"/>
                <w:color w:val="auto"/>
              </w:rPr>
              <w:t>Three Months Ended</w:t>
            </w:r>
          </w:p>
        </w:tc>
      </w:tr>
      <w:tr>
        <w:trPr>
          <w:trHeight w:val="257"/>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80" w:type="dxa"/>
            <w:vAlign w:val="bottom"/>
            <w:gridSpan w:val="4"/>
          </w:tcPr>
          <w:p>
            <w:pPr>
              <w:jc w:val="right"/>
              <w:ind w:right="890"/>
              <w:spacing w:after="0"/>
              <w:rPr>
                <w:sz w:val="20"/>
                <w:szCs w:val="20"/>
                <w:color w:val="auto"/>
              </w:rPr>
            </w:pPr>
            <w:r>
              <w:rPr>
                <w:rFonts w:ascii="Arial" w:cs="Arial" w:eastAsia="Arial" w:hAnsi="Arial"/>
                <w:sz w:val="16"/>
                <w:szCs w:val="16"/>
                <w:b w:val="1"/>
                <w:bCs w:val="1"/>
                <w:color w:val="auto"/>
              </w:rPr>
              <w:t>March 31, 2016</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As Adjusted</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30,881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28,901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2,118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 per share—Diluted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0.01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outstanding—Diluted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174,421</w:t>
            </w:r>
          </w:p>
        </w:tc>
      </w:tr>
      <w:tr>
        <w:trPr>
          <w:trHeight w:val="575"/>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4"/>
          </w:tcPr>
          <w:p>
            <w:pPr>
              <w:jc w:val="right"/>
              <w:ind w:right="890"/>
              <w:spacing w:after="0"/>
              <w:rPr>
                <w:sz w:val="20"/>
                <w:szCs w:val="20"/>
                <w:color w:val="auto"/>
              </w:rPr>
            </w:pPr>
            <w:r>
              <w:rPr>
                <w:rFonts w:ascii="Arial" w:cs="Arial" w:eastAsia="Arial" w:hAnsi="Arial"/>
                <w:sz w:val="16"/>
                <w:szCs w:val="16"/>
                <w:b w:val="1"/>
                <w:bCs w:val="1"/>
                <w:color w:val="auto"/>
              </w:rPr>
              <w:t>March 31, 2016</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As Reported</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5"/>
              </w:rPr>
              <w:t>As Adjusted</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Balance Sheets: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167,625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718,849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717,671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60,196</w:t>
            </w: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September 2015, the FASB issued ASU 2015-16—Business Combinations—Simplifying the Accounting for Measurement-Period Adjustments,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they would have recorded in previous periods if the accounting had been completed at the acquisition date. We adopted ASU 2015-16 on January 1, 2016. The adoption of ASU 2015-16 has not had any impact on our consolidated financial statements.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In October 2016, the FASB issued ASU 2016-16—Income Taxes —Intra-Entity Transfer of Assets Other Than Inventory, which requires the recognition of the income tax consequences of an intra-entity transfer of an asset, other than inventory, when the transfer occurs. ASU 2016-06 will be effective for us beginning on January 1, 2018. We are currently evaluating the impact of adopting ASU 2016-16 on our consolidated financial statements.</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August 2016, the FASB issued ASU 2016-15—Statement of Cash Flows—Classification of Certain Cash Receipts and Cash Payments, which clarifies how companies present and classify certain cash receipts and cash payments in the statement of cash flows. ASU 2016-15 is effective for us beginning on January 1, 2018. Early adoption is permitted, including adoption in an interim period. We are currently evaluating the impact of adopting ASU 2016-15 on our consolidated financial statements.</w:t>
      </w:r>
    </w:p>
    <w:p>
      <w:pPr>
        <w:spacing w:after="0" w:line="18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 June 2016, the FASB issued ASU 2016-13—Financial Instruments—Credit Losses—Measurement of Credit Losses on Financial Instruments, which requires measurement and recognition of expected credit losses for financial assets held. ASU 2016-13 is effective for us beginning on January 1, 2020, with the option to adopt early on January 1, 2019. We are currently evaluating the impact of ASU 2016-13 will have on our consolidated financial statements.</w:t>
      </w:r>
    </w:p>
    <w:p>
      <w:pPr>
        <w:spacing w:after="0" w:line="18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February 2016, the FASB issued ASU 2016-02—Leases, which amends lease accounting requirements to begin recording assets and liabilities arising from leases on the balance sheet. The new guidance will also require significant additional disclosures about the amount, timing and uncertainty of cash flows from leases. This new guidance will be effective for us beginning on January 1, 2019 using a modified retrospective approach. The modified retrospective approach includes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number of optional practical expedients that entities may elect to apply. We expect our assets and liabilities to increase as a result of the adoption of this standard. We are currently evaluating the impact of adopting ASU 2016-02 on our consolidated financial statements.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May 2014, the FASB issued ASU 2014-09—Revenue from Contracts with Customers, which creates a single, joint revenue standard that is consistent across all industries and markets for companies that prepare their financial statements in accordance with GAAP. Under ASU 2014-09, an entity is required to recognize revenue upon the transfer of promised goods or services to customers in an amount that reflects the consideration the entity expects to be entitled to receive in exchange for those goods or services. In July 2015, the FASB decided to delay the effective date of the new revenue standard by one year. In March 2016, the FASB issued ASU 2016-08, which clarifies the implementation guidance on principal versus agent considerations. In April 2016, the FASB issued ASU 2016-10, which clarifies the implementation guidance on identifying performance obligations and licensing. In May 2016, the FASB issued ASU 2016-12—Revenue from Contracts with Customers—Narrow-scope Improvements and Practical Expedients, which amends the guidance on collectability, noncash consideration, presentation of sales tax and transition. These standards will be effective for us beginning on January 1, 2018. We are currently evaluating the impact of these new standards on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as of September 30, 2016 and December 31, 2015 were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September 30, 2016</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385,016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385,230</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127,059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127,034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53,799</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4,322</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52,686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52,752</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622,904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623,137</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6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438,533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437,194</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66,263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66,232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61,022</w:t>
            </w:r>
          </w:p>
        </w:tc>
      </w:tr>
      <w:tr>
        <w:trPr>
          <w:trHeight w:val="262"/>
        </w:trPr>
        <w:tc>
          <w:tcPr>
            <w:tcW w:w="5160" w:type="dxa"/>
            <w:vAlign w:val="bottom"/>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14,897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14,897</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41,727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41,688</w:t>
            </w:r>
          </w:p>
        </w:tc>
      </w:tr>
      <w:tr>
        <w:trPr>
          <w:trHeight w:val="257"/>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622,470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621,033</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660" w:right="5380" w:hanging="5652"/>
        <w:spacing w:after="0" w:line="327" w:lineRule="auto"/>
        <w:tabs>
          <w:tab w:leader="none" w:pos="191"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The majority of our certificates of deposit and term deposits are foreign deposits. 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gross unrealized losses and the related fair values of our investments that have been in a continuous unrealized loss position as of September 30, 2016 and December 31, 2015 were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9"/>
              </w:rPr>
              <w:t>September 30, 2016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194,938</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19,320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5,492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218,365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37,548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255,913</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75"/>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December 31, 2015</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390,567</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31,977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34,703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456,891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43,041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499,932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as of September 30, 2016 and December 31, 2015 were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2015</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382,909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348,074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240,228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272,959</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623,137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621,033</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 securities are insignificant in the periods presented and are included in Other expense—net in our condensed consolidated statements of operations. We use the specific identification method to determine the cost basis of investments sold.</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September 30, 2016.</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fair values of our financial assets measured at fair value on a recurring basis as of September 30, 2016 and December 31, 2015 were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September 30, 2016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December 31, 2015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7"/>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0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Observable</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6"/>
              </w:rPr>
              <w:t>Unobservable</w:t>
            </w: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3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r>
      <w:tr>
        <w:trPr>
          <w:trHeight w:val="250"/>
        </w:trPr>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(Level 1)</w:t>
            </w:r>
          </w:p>
        </w:tc>
        <w:tc>
          <w:tcPr>
            <w:tcW w:w="140" w:type="dxa"/>
            <w:vAlign w:val="bottom"/>
          </w:tcPr>
          <w:p>
            <w:pPr>
              <w:spacing w:after="0"/>
              <w:rPr>
                <w:sz w:val="21"/>
                <w:szCs w:val="21"/>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(Level 2)</w:t>
            </w:r>
          </w:p>
        </w:tc>
        <w:tc>
          <w:tcPr>
            <w:tcW w:w="14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(Level 3)</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(Level 1)</w:t>
            </w:r>
          </w:p>
        </w:tc>
        <w:tc>
          <w:tcPr>
            <w:tcW w:w="140" w:type="dxa"/>
            <w:vAlign w:val="bottom"/>
          </w:tcPr>
          <w:p>
            <w:pPr>
              <w:spacing w:after="0"/>
              <w:rPr>
                <w:sz w:val="21"/>
                <w:szCs w:val="2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(Level 2)</w:t>
            </w:r>
          </w:p>
        </w:tc>
        <w:tc>
          <w:tcPr>
            <w:tcW w:w="120" w:type="dxa"/>
            <w:vAlign w:val="bottom"/>
          </w:tcPr>
          <w:p>
            <w:pPr>
              <w:spacing w:after="0"/>
              <w:rPr>
                <w:sz w:val="21"/>
                <w:szCs w:val="21"/>
                <w:color w:val="auto"/>
              </w:rPr>
            </w:pPr>
          </w:p>
        </w:tc>
        <w:tc>
          <w:tcPr>
            <w:tcW w:w="900" w:type="dxa"/>
            <w:vAlign w:val="bottom"/>
          </w:tcPr>
          <w:p>
            <w:pPr>
              <w:jc w:val="center"/>
              <w:ind w:right="42"/>
              <w:spacing w:after="0"/>
              <w:rPr>
                <w:sz w:val="20"/>
                <w:szCs w:val="20"/>
                <w:color w:val="auto"/>
              </w:rPr>
            </w:pPr>
            <w:r>
              <w:rPr>
                <w:rFonts w:ascii="Arial" w:cs="Arial" w:eastAsia="Arial" w:hAnsi="Arial"/>
                <w:sz w:val="13"/>
                <w:szCs w:val="13"/>
                <w:b w:val="1"/>
                <w:bCs w:val="1"/>
                <w:color w:val="auto"/>
                <w:w w:val="87"/>
              </w:rPr>
              <w:t>(Level 3)</w:t>
            </w: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385,230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42"/>
              <w:spacing w:after="0"/>
              <w:rPr>
                <w:sz w:val="20"/>
                <w:szCs w:val="20"/>
                <w:color w:val="auto"/>
              </w:rPr>
            </w:pPr>
            <w:r>
              <w:rPr>
                <w:rFonts w:ascii="Arial" w:cs="Arial" w:eastAsia="Arial" w:hAnsi="Arial"/>
                <w:sz w:val="18"/>
                <w:szCs w:val="18"/>
                <w:color w:val="auto"/>
                <w:w w:val="98"/>
              </w:rPr>
              <w:t>385,230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437,194</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w w:val="98"/>
              </w:rPr>
              <w:t>437,194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132,033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w w:val="98"/>
              </w:rPr>
              <w:t>132,033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69,231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53,799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42"/>
              <w:spacing w:after="0"/>
              <w:rPr>
                <w:sz w:val="20"/>
                <w:szCs w:val="20"/>
                <w:color w:val="auto"/>
              </w:rPr>
            </w:pPr>
            <w:r>
              <w:rPr>
                <w:rFonts w:ascii="Arial" w:cs="Arial" w:eastAsia="Arial" w:hAnsi="Arial"/>
                <w:sz w:val="18"/>
                <w:szCs w:val="18"/>
                <w:color w:val="auto"/>
              </w:rPr>
              <w:t>53,799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61,022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deposits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4,322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14,897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3"/>
              <w:spacing w:after="0"/>
              <w:rPr>
                <w:sz w:val="20"/>
                <w:szCs w:val="20"/>
                <w:color w:val="auto"/>
              </w:rPr>
            </w:pPr>
            <w:r>
              <w:rPr>
                <w:rFonts w:ascii="Arial" w:cs="Arial" w:eastAsia="Arial" w:hAnsi="Arial"/>
                <w:sz w:val="18"/>
                <w:szCs w:val="18"/>
                <w:color w:val="auto"/>
              </w:rPr>
              <w:t>21,886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42"/>
              <w:spacing w:after="0"/>
              <w:rPr>
                <w:sz w:val="20"/>
                <w:szCs w:val="20"/>
                <w:color w:val="auto"/>
              </w:rPr>
            </w:pPr>
            <w:r>
              <w:rPr>
                <w:rFonts w:ascii="Arial" w:cs="Arial" w:eastAsia="Arial" w:hAnsi="Arial"/>
                <w:sz w:val="18"/>
                <w:szCs w:val="18"/>
                <w:color w:val="auto"/>
              </w:rPr>
              <w:t>50,030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U.S. government and agency</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42,243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10,509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25,693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15,995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650,022</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8"/>
                <w:szCs w:val="18"/>
                <w:color w:val="auto"/>
              </w:rPr>
              <w:t>64,129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w w:val="98"/>
              </w:rPr>
              <w:t>585,893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674,062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75,723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98"/>
              </w:rPr>
              <w:t>598,339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26,885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53,029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382,909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348,074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240,228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272,959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650,022</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674,062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and Level 2 of the fair value hierarchy during the nine months ended September 30,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inventory as of September 30, 2016 and December 31, 2015 consisted of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74,041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68,443</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93,731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83,868</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Inventory includes finished goods held by distributors where revenue is recognized on a sell-through basis of $1.4 million and $1.1 million as of September 30, 2016 and December 31, 2015, respectively. Inventory also includes materials at contract manufacturers of $6.3 million and $4.9 million as of September 30, 2016 and December 31, 2015,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EQUIPMENT—net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property and equipment—net as of September 30, 2016 and December 31, 2015 consisted of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44,513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28,841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62,585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45,632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8,106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11,179</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189,975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140,126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126,109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91,067</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was $10.2 million and $7.5 million during the three months ended September 30, 2016 and September 30, 2015,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$28.6 million and $20.3 million during the nine months ended September 30, 2016 and September 30, 2015,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PRIVATELY-HELD COMPANIES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investments in the equity securities of three privately-held companies totaled $10.3 million as of September 30, 2016 and December 31, 2015. Each of these investments are accounted for as cost-basis investments, as we own less than 20% of the voting securities and do not have the ability to exercise significant influence over operating and financial policies of the respective entities. These investments are carried at historical cost and are recorded as Other assets on our condensed consolidated balance sheet and would be measured at fair value if indicators of impairment exist. As of September 30, 2016, no events have occurred that would adversely affect the carrying value of these investments.</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determined that we had a variable interest in these privately-held companies. However, we determined that we were not the primary beneficiary as we did not have the power to direct their activities that most significantly affect their economic performance. The variable interest entities were not required to be consolidated in our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AccelOps, Inc.</w:t>
      </w:r>
    </w:p>
    <w:p>
      <w:pPr>
        <w:spacing w:after="0" w:line="22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On June 7, 2016, we completed our acquisition of AccelOps, Inc. (“AccelOps”), a provider of network security monitoring and analytics solutions for total cash consideration of $22.1 million, net of cash received. We believe this acquisition will extend the Fortinet Security Fabric (as defined below) by enhancing our network security visibility, security data analytics, and threat intelligence across multi-vendor solutions.</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acquisition of AccelOps is accounted as a business combination in accordance with the Accounting Standards Codification Topic 805 “Business Combinations” (“ASC 805”) issued by the FASB. We use our best estimates and assumptions to assign fair value to the tangible and intangible assets acquired and liabilities assumed at the acquisition date. We included acquisition-related costs of $0.3 million in general and administrative expenses. The total purchase price was allocated to AccelOps’ identifiable tangible and intangible assets acquired and liabilities assumed based on their estimated fair values as of the acquisition date. The acquisition also included a contingent obligation for up to $4.0 million in future earn out payments to certain former stockholders of AccelOps if specified future financial targets are met for the three and six months period ended June 30, 2016 and December 31, 2016, respectively. The financial target for the three months period ended June 30, 2016 was not met. As of September 30, 2016, no fair value was assigned to the contingent consideration based on the estimated probability of attainment of the remaining target. We will remeasure the contingent consideration during the contingency period for the remaining target, with changes in fair value to be recorded in our consolidated statements of operations.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allocation of the purchase price was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1,126</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Finite-lived intangible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 in process research and development</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9,861</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1,694</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9,442</w:t>
            </w:r>
          </w:p>
        </w:tc>
      </w:tr>
      <w:tr>
        <w:trPr>
          <w:trHeight w:val="257"/>
        </w:trPr>
        <w:tc>
          <w:tcPr>
            <w:tcW w:w="9480" w:type="dxa"/>
            <w:vAlign w:val="bottom"/>
          </w:tcPr>
          <w:p>
            <w:pPr>
              <w:ind w:left="500"/>
              <w:spacing w:after="0"/>
              <w:rPr>
                <w:sz w:val="20"/>
                <w:szCs w:val="20"/>
                <w:color w:val="auto"/>
              </w:rPr>
            </w:pPr>
            <w:r>
              <w:rPr>
                <w:rFonts w:ascii="Arial" w:cs="Arial" w:eastAsia="Arial" w:hAnsi="Arial"/>
                <w:sz w:val="18"/>
                <w:szCs w:val="18"/>
                <w:color w:val="auto"/>
              </w:rPr>
              <w:t>Total purchase price allocation</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22,284</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Finite-lived intangible assets consist of developed technology, customer relationships, and other intangible assets. AccelOps’ technology provides a software solution to manage security, performance and compliance from a single platform. The acquired developed technologies include software patents, know-how, process and designs. The value of customer relationships is attributable to the generation of a consistent income source and the avoidance of costs associated with creating new customer relationships.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useful life and fair values of the acquired finite-lived intangible assets were as follows (in thousands, except for estimated useful life):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Estimated Useful Life</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Values</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technologies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2,300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14,900</w:t>
            </w:r>
          </w:p>
        </w:tc>
      </w:tr>
      <w:tr>
        <w:trPr>
          <w:trHeight w:val="20"/>
        </w:trPr>
        <w:tc>
          <w:tcPr>
            <w:tcW w:w="7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developed technologies and other are amortized on a straight-line basis. The amortization expense of developed technologies and other intangibles are recorded in cost of service revenue. The amortization expense of customer relationships is amortized on an accelerated basis and is recorded in sales and marketing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Indefinite-lived intangible assets consist of in-process research and development, which will begin to be amortized upon completion of development.</w:t>
      </w:r>
    </w:p>
    <w:p>
      <w:pPr>
        <w:spacing w:after="0" w:line="24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goodwill of $9.9 million represents the amount of the purchase price in excess of the fair value of the net tangible liabilities assumed and intangible assets acquired, including AccelOps’ assembled workforce. The goodwill recorded as part of the AccelOps acquisition is not deductible for U.S. federal income tax purposes. The financial results of this acquisition are considered immaterial for purposes of pro forma financial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 Networks,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8, 2015, we completed our acquisition of Meru Networks, Inc. (“Meru”), a provider of Wi-Fi networking products and services.</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In connection with the acquisition, we paid $41.8 million, comprised of cash consideration of $40.9 million, withholding tax liability of $0.4 million and $0.5 million in estimated fair value associated with restricted stock units (“RSUs”) of Meru that were converted for 53,401 shares of our common stock.</w:t>
      </w:r>
    </w:p>
    <w:p>
      <w:pPr>
        <w:spacing w:after="0" w:line="12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accounted for this transaction as a business combination. During the three and nine months ended September 30, 2015, we included acquisition-related costs of $1.7 million in general and administrative expenses. The total purchase price was allocated to Meru’s identifiable tangible and intangible assets acquired and liabilities assumed based on their estimated fair values as of the acquisition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allocation of the purchase price was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5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5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5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5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5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19,600</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Goodwill</w:t>
            </w:r>
          </w:p>
        </w:tc>
        <w:tc>
          <w:tcPr>
            <w:tcW w:w="5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5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66,451</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5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5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14,887</w:t>
            </w:r>
          </w:p>
        </w:tc>
        <w:tc>
          <w:tcPr>
            <w:tcW w:w="0" w:type="dxa"/>
            <w:vAlign w:val="bottom"/>
          </w:tcPr>
          <w:p>
            <w:pPr>
              <w:spacing w:after="0"/>
              <w:rPr>
                <w:sz w:val="1"/>
                <w:szCs w:val="1"/>
                <w:color w:val="auto"/>
              </w:rPr>
            </w:pPr>
          </w:p>
        </w:tc>
      </w:tr>
      <w:tr>
        <w:trPr>
          <w:trHeight w:val="237"/>
        </w:trPr>
        <w:tc>
          <w:tcPr>
            <w:tcW w:w="428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52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24,687</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purchase price allocation</w:t>
            </w:r>
          </w:p>
        </w:tc>
        <w:tc>
          <w:tcPr>
            <w:tcW w:w="5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41,764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jc w:val="right"/>
              <w:ind w:right="3590"/>
              <w:spacing w:after="0"/>
              <w:rPr>
                <w:sz w:val="20"/>
                <w:szCs w:val="20"/>
                <w:color w:val="auto"/>
              </w:rPr>
            </w:pPr>
            <w:r>
              <w:rPr>
                <w:rFonts w:ascii="Arial" w:cs="Arial" w:eastAsia="Arial" w:hAnsi="Arial"/>
                <w:sz w:val="18"/>
                <w:szCs w:val="18"/>
                <w:color w:val="auto"/>
              </w:rPr>
              <w:t>14</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goodwill of $1.9 million represents the premium we paid over the fair value of the net tangible liabilities assumed and identified intangible assets acquired, due primarily to Meru’s assembled workforce. The goodwill recorded as part of the Meru acquisition is not deductible for U.S. federal income tax purposes.</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Intangible assets consist primarily of customer relationships and developed technologies. Customer relationships represent Meru’s installed base and the ability to sell existing, in-process and future versions of our products and services to its existing customers. Developed technologies represent the virtualized wireless local area network solutions offering centralized coordination and control of various access points on the network. This includes patented and unpatented technology, know-how, processes, designs and computer software. The estimated useful life and fair values of the acquired identifiable intangible assets were as follows (in thousands, except for estimated useful life):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 Useful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834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Life (in years)</w:t>
            </w: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Fair Values</w:t>
            </w: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Developed technologies</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7,200</w:t>
            </w: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19,600</w:t>
            </w:r>
          </w:p>
        </w:tc>
      </w:tr>
      <w:tr>
        <w:trPr>
          <w:trHeight w:val="20"/>
        </w:trPr>
        <w:tc>
          <w:tcPr>
            <w:tcW w:w="8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Customer relationships and trade name are amortized and the amortization expense is recorded in sales and marketing expenses in the condensed consolidated statement of operations. Developed technologies are amortized and the amortization expense is recorded in cost of product revenue in the condensed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carrying amount of goodwill were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Arial" w:cs="Arial" w:eastAsia="Arial" w:hAnsi="Arial"/>
                <w:sz w:val="16"/>
                <w:szCs w:val="16"/>
                <w:b w:val="1"/>
                <w:bCs w:val="1"/>
                <w:color w:val="auto"/>
              </w:rPr>
              <w:t>Amount</w:t>
            </w:r>
          </w:p>
        </w:tc>
      </w:tr>
      <w:tr>
        <w:trPr>
          <w:trHeight w:val="33"/>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 due to business acquisition</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9,861</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Balance—September 30, 2016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14,553</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to goodwill during the three and nine months ended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intangible assets—net as of September 30, 2016 and December 31, 2015 were (in thousands):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0"/>
              </w:rPr>
              <w:t>September 30, 2016</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9,765</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23,984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16,484</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26,249</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w:t>
            </w:r>
          </w:p>
        </w:tc>
      </w:tr>
      <w:tr>
        <w:trPr>
          <w:trHeight w:val="257"/>
        </w:trPr>
        <w:tc>
          <w:tcPr>
            <w:tcW w:w="5500" w:type="dxa"/>
            <w:vAlign w:val="bottom"/>
          </w:tcPr>
          <w:p>
            <w:pPr>
              <w:ind w:left="72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40,084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12,235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27,849</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1"/>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0"/>
              </w:rPr>
              <w:t>December 31, 2015</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
        </w:trPr>
        <w:tc>
          <w:tcPr>
            <w:tcW w:w="55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10,980</w:t>
            </w: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6,660</w:t>
            </w:r>
          </w:p>
        </w:tc>
      </w:tr>
      <w:tr>
        <w:trPr>
          <w:trHeight w:val="257"/>
        </w:trPr>
        <w:tc>
          <w:tcPr>
            <w:tcW w:w="5500" w:type="dxa"/>
            <w:vAlign w:val="bottom"/>
          </w:tcPr>
          <w:p>
            <w:pPr>
              <w:ind w:left="50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23,584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17,640</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Amortization expense was $2.8 million and $1.3 million during the three months ended September 30, 2016 and September 30, 2015, respectively. Amortization expense was $6.3 million and $1.9 million during the nine months ended September 30, 2016 and September 30, 2015, respectively. The following table summarizes estimated future amortization expense of Other intangible assets—net with finite lives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right"/>
              <w:ind w:right="591"/>
              <w:spacing w:after="0"/>
              <w:rPr>
                <w:sz w:val="20"/>
                <w:szCs w:val="20"/>
                <w:color w:val="auto"/>
              </w:rPr>
            </w:pPr>
            <w:r>
              <w:rPr>
                <w:rFonts w:ascii="Arial" w:cs="Arial" w:eastAsia="Arial" w:hAnsi="Arial"/>
                <w:sz w:val="16"/>
                <w:szCs w:val="16"/>
                <w:b w:val="1"/>
                <w:bCs w:val="1"/>
                <w:color w:val="auto"/>
              </w:rPr>
              <w:t>Amount</w:t>
            </w:r>
          </w:p>
        </w:tc>
      </w:tr>
      <w:tr>
        <w:trPr>
          <w:trHeight w:val="33"/>
        </w:trPr>
        <w:tc>
          <w:tcPr>
            <w:tcW w:w="9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380"/>
              <w:spacing w:after="0"/>
              <w:rPr>
                <w:sz w:val="20"/>
                <w:szCs w:val="20"/>
                <w:color w:val="auto"/>
              </w:rPr>
            </w:pPr>
            <w:r>
              <w:rPr>
                <w:rFonts w:ascii="Arial" w:cs="Arial" w:eastAsia="Arial" w:hAnsi="Arial"/>
                <w:sz w:val="18"/>
                <w:szCs w:val="18"/>
                <w:color w:val="auto"/>
              </w:rPr>
              <w:t>2016 (remainder)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2,798</w:t>
            </w:r>
          </w:p>
        </w:tc>
      </w:tr>
      <w:tr>
        <w:trPr>
          <w:trHeight w:val="27"/>
        </w:trPr>
        <w:tc>
          <w:tcPr>
            <w:tcW w:w="9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8,450</w:t>
            </w:r>
          </w:p>
        </w:tc>
      </w:tr>
      <w:tr>
        <w:trPr>
          <w:trHeight w:val="243"/>
        </w:trPr>
        <w:tc>
          <w:tcPr>
            <w:tcW w:w="9480" w:type="dxa"/>
            <w:vAlign w:val="bottom"/>
          </w:tcPr>
          <w:p>
            <w:pPr>
              <w:ind w:left="38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7,098</w:t>
            </w:r>
          </w:p>
        </w:tc>
      </w:tr>
      <w:tr>
        <w:trPr>
          <w:trHeight w:val="27"/>
        </w:trPr>
        <w:tc>
          <w:tcPr>
            <w:tcW w:w="9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5,540</w:t>
            </w:r>
          </w:p>
        </w:tc>
      </w:tr>
      <w:tr>
        <w:trPr>
          <w:trHeight w:val="243"/>
        </w:trPr>
        <w:tc>
          <w:tcPr>
            <w:tcW w:w="9480" w:type="dxa"/>
            <w:vAlign w:val="bottom"/>
          </w:tcPr>
          <w:p>
            <w:pPr>
              <w:ind w:left="38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2,363</w:t>
            </w:r>
          </w:p>
        </w:tc>
      </w:tr>
      <w:tr>
        <w:trPr>
          <w:trHeight w:val="27"/>
        </w:trPr>
        <w:tc>
          <w:tcPr>
            <w:tcW w:w="9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26,249</w:t>
            </w:r>
          </w:p>
        </w:tc>
      </w:tr>
      <w:tr>
        <w:trPr>
          <w:trHeight w:val="20"/>
        </w:trPr>
        <w:tc>
          <w:tcPr>
            <w:tcW w:w="9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RSUs including performance stock units (“PSUs”), and our employee stock purchase plan (“ESPP”). Dilutive shares of common stock are determined by applying the treasury stock method.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thousands, except per 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6,291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8,169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10,521</w:t>
            </w: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shares: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173,335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171,648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172,212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169,898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173,335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171,648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172,212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169,898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92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RSUs (including PSUs)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43"/>
        </w:trPr>
        <w:tc>
          <w:tcPr>
            <w:tcW w:w="5160" w:type="dxa"/>
            <w:vAlign w:val="bottom"/>
          </w:tcPr>
          <w:p>
            <w:pPr>
              <w:ind w:left="920"/>
              <w:spacing w:after="0"/>
              <w:rPr>
                <w:sz w:val="20"/>
                <w:szCs w:val="20"/>
                <w:color w:val="auto"/>
              </w:rPr>
            </w:pPr>
            <w:r>
              <w:rPr>
                <w:rFonts w:ascii="Arial" w:cs="Arial" w:eastAsia="Arial" w:hAnsi="Arial"/>
                <w:sz w:val="18"/>
                <w:szCs w:val="18"/>
                <w:color w:val="auto"/>
              </w:rPr>
              <w:t>ESPP</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Weighted-average shares used to compute diluted net income per</w:t>
            </w:r>
          </w:p>
        </w:tc>
        <w:tc>
          <w:tcPr>
            <w:tcW w:w="18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177,938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177,897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176,046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175,963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5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potentially dilutive shares of common stock were excluded from the computation of diluted net income per share for the periods presented, as their effect would have been antidilutive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4"/>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3060" w:type="dxa"/>
            <w:vAlign w:val="bottom"/>
            <w:gridSpan w:val="3"/>
          </w:tcPr>
          <w:p>
            <w:pPr>
              <w:jc w:val="right"/>
              <w:ind w:right="7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jc w:val="right"/>
              <w:ind w:right="17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160" w:type="dxa"/>
            <w:vAlign w:val="bottom"/>
          </w:tcPr>
          <w:p>
            <w:pPr>
              <w:spacing w:after="0"/>
              <w:rPr>
                <w:sz w:val="18"/>
                <w:szCs w:val="18"/>
                <w:color w:val="auto"/>
              </w:rPr>
            </w:pPr>
          </w:p>
        </w:tc>
        <w:tc>
          <w:tcPr>
            <w:tcW w:w="1500" w:type="dxa"/>
            <w:vAlign w:val="bottom"/>
          </w:tcPr>
          <w:p>
            <w:pPr>
              <w:jc w:val="right"/>
              <w:ind w:right="51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4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RSUs (including PSUs)</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1,026</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r>
      <w:tr>
        <w:trPr>
          <w:trHeight w:val="237"/>
        </w:trPr>
        <w:tc>
          <w:tcPr>
            <w:tcW w:w="516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1,423</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1500" w:type="dxa"/>
            <w:vAlign w:val="bottom"/>
          </w:tcPr>
          <w:p>
            <w:pPr>
              <w:jc w:val="right"/>
              <w:ind w:right="77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restructuring activity for the nine months ended September 30, 2016 (in thousands):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Employee Severance</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Terminations and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and Other Benefits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Other Charges</w:t>
            </w:r>
          </w:p>
        </w:tc>
        <w:tc>
          <w:tcPr>
            <w:tcW w:w="36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3,918</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3,164</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non-cash charges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September 30,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Meru Restructuring</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connection with the acquisition of Meru, we initiated planned cost reduction and restructuring activities to improve our cost structure and operational efficiencies starting in the third quarter of 2015. To date, we have incurred $7.9 million of charges related to this restructuring. These charges are primarily related to severance payments to be paid in cash and are included in operating expense in the condensed consolidated statements of operations of the period when incurred. We incurred $0.1 million and $0.3 million of charges related to this restructuring during the three and nine months ended September 30, 2016, respectively, and these charges are included in operating expense in the condensed consolidated statements of operations. We do not anticipate incurring additional charges related to this restructuring.</w:t>
      </w:r>
    </w:p>
    <w:p>
      <w:pPr>
        <w:spacing w:after="0" w:line="124" w:lineRule="exact"/>
        <w:rPr>
          <w:sz w:val="20"/>
          <w:szCs w:val="20"/>
          <w:color w:val="auto"/>
        </w:rPr>
      </w:pPr>
    </w:p>
    <w:p>
      <w:pPr>
        <w:ind w:right="1080" w:firstLine="648"/>
        <w:spacing w:after="0" w:line="277" w:lineRule="auto"/>
        <w:rPr>
          <w:sz w:val="20"/>
          <w:szCs w:val="20"/>
          <w:color w:val="auto"/>
        </w:rPr>
      </w:pPr>
      <w:r>
        <w:rPr>
          <w:rFonts w:ascii="Arial" w:cs="Arial" w:eastAsia="Arial" w:hAnsi="Arial"/>
          <w:sz w:val="18"/>
          <w:szCs w:val="18"/>
          <w:color w:val="auto"/>
        </w:rPr>
        <w:t>The remaining restructuring reserve of $1.1 million is included in accrued liabilities on the condensed consolidated balance sheet as of September 30, 2016 and is expected to be paid within one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Restructuring</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the second and third quarter of 2016, we implemented a plan to restructure and further improve efficiencies in our operations due to the acquisition of AccelOps and certain other activities. We estimate that we will incur approximately $4.1 million of restructuring charges, primarily consisting of severance and other benefits, of which $2.2 million and $2.9 million were incurred during the three and nine months ended September 30, 2016, respectively, and are included in operating expense in the condensed consolidated statements of operations. We expect to incur the remaining charges in the fourth quarter of 2016.</w:t>
      </w:r>
    </w:p>
    <w:p>
      <w:pPr>
        <w:spacing w:after="0" w:line="283" w:lineRule="exact"/>
        <w:rPr>
          <w:sz w:val="20"/>
          <w:szCs w:val="20"/>
          <w:color w:val="auto"/>
        </w:rPr>
      </w:pPr>
    </w:p>
    <w:p>
      <w:pPr>
        <w:ind w:right="1080" w:firstLine="648"/>
        <w:spacing w:after="0" w:line="277" w:lineRule="auto"/>
        <w:rPr>
          <w:sz w:val="20"/>
          <w:szCs w:val="20"/>
          <w:color w:val="auto"/>
        </w:rPr>
      </w:pPr>
      <w:r>
        <w:rPr>
          <w:rFonts w:ascii="Arial" w:cs="Arial" w:eastAsia="Arial" w:hAnsi="Arial"/>
          <w:sz w:val="18"/>
          <w:szCs w:val="18"/>
          <w:color w:val="auto"/>
        </w:rPr>
        <w:t>The remaining restructuring reserve of $0.6 million is included in accrued liabilities on the condensed consolidated balance sheet as of September 30, 2016 and is expected to be paid within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principal contractual obligations as of September 30, 2016 were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2016 (remainder)</w:t>
            </w:r>
          </w:p>
        </w:tc>
        <w:tc>
          <w:tcPr>
            <w:tcW w:w="20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74,107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13,164</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7"/>
              </w:rPr>
              <w:t>Inventory purchase commitments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116,494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90,169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26,325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contractual commitments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open purchase orders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264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239,465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129,730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55,469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17,104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13,214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10,784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13,164</w:t>
            </w: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62"/>
        </w:trPr>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40" w:firstLine="648"/>
        <w:spacing w:after="0" w:line="258"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2026. Certain leases require us</w:t>
      </w:r>
      <w:r>
        <w:rPr>
          <w:rFonts w:ascii="Arial" w:cs="Arial" w:eastAsia="Arial" w:hAnsi="Arial"/>
          <w:sz w:val="18"/>
          <w:szCs w:val="18"/>
          <w:b w:val="1"/>
          <w:bCs w:val="1"/>
          <w:color w:val="auto"/>
        </w:rPr>
        <w:t xml:space="preserve"> </w:t>
      </w:r>
      <w:r>
        <w:rPr>
          <w:rFonts w:ascii="Arial" w:cs="Arial" w:eastAsia="Arial" w:hAnsi="Arial"/>
          <w:sz w:val="18"/>
          <w:szCs w:val="18"/>
          <w:color w:val="auto"/>
        </w:rPr>
        <w:t>to pay variable costs such as taxes, maintenance, and insurance. The terms of certain operating leases also provide for renewal options and escalation clauses. Rent expense was $6.1 million and $3.7 million during the three months ended September 30, 2016 and September 30, 2015, respectively. Rent expense was $14.7 million and $9.7 million during the nine months ended September 30, 2016 and September 30, 2015, respectively. Rent expense is recognized using the straight-line method over the term of the lease.</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September 30, 2016, we had $116.5 million of open purchase orders with our independent contract manufacturers that may not be cancelable.</w:t>
      </w:r>
    </w:p>
    <w:p>
      <w:pPr>
        <w:spacing w:after="0" w:line="141"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Other Contractual Commitments and Open Purchase Orders</w:t>
      </w:r>
      <w:r>
        <w:rPr>
          <w:rFonts w:ascii="Arial" w:cs="Arial" w:eastAsia="Arial" w:hAnsi="Arial"/>
          <w:sz w:val="18"/>
          <w:szCs w:val="18"/>
          <w:color w:val="auto"/>
        </w:rPr>
        <w:t>—In addition to commitments with contract manufacturers, we have open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orders and contractual obligations in the ordinary course of business for which we have not received goods or services. As of September 30, 2016, we had $48.9 million in other contractual commitments that may not be cancelable.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—Accrued warranty activities are summarized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right"/>
              <w:ind w:right="75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warranty for the period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 related to pre-existing warranties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4,400</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fees, including contingent legal fees,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We have not recorded any significant accrual for loss contingencies associated with such legal proceedings; determined that a significant unfavorable outcome is probable or reasonably possible; or determined that the amount or range of any possible significant loss is reasonably estimable.</w:t>
      </w:r>
    </w:p>
    <w:p>
      <w:pPr>
        <w:spacing w:after="0" w:line="16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and that could potentially expose us to losses in excess of the amount received under the agreement, and in some instances to potential liability that is not contractually limited. To date, there have been no material awards under such indemnification provisions.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We have stock-based compensation plans pursuant to which we have granted stock options and RSUs and PSUs. We also have an ESPP for all eligible employees. As of September 30, 2016, there were a total of 44,406,659 shares of common stock available for grant under our stock-based compensation plans.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and related information for RSUs, including PSUs, was (in thousands, except per share amounts):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4"/>
          </w:tcPr>
          <w:p>
            <w:pPr>
              <w:jc w:val="right"/>
              <w:ind w:right="21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Weighted-Average</w:t>
            </w:r>
          </w:p>
        </w:tc>
      </w:tr>
      <w:tr>
        <w:trPr>
          <w:trHeight w:val="203"/>
        </w:trPr>
        <w:tc>
          <w:tcPr>
            <w:tcW w:w="8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3"/>
              <w:spacing w:after="0"/>
              <w:rPr>
                <w:sz w:val="20"/>
                <w:szCs w:val="20"/>
                <w:color w:val="auto"/>
              </w:rPr>
            </w:pPr>
            <w:r>
              <w:rPr>
                <w:rFonts w:ascii="Arial" w:cs="Arial" w:eastAsia="Arial" w:hAnsi="Arial"/>
                <w:sz w:val="16"/>
                <w:szCs w:val="16"/>
                <w:b w:val="1"/>
                <w:bCs w:val="1"/>
                <w:color w:val="auto"/>
                <w:w w:val="96"/>
              </w:rPr>
              <w:t>Grant Date Fair</w:t>
            </w:r>
          </w:p>
        </w:tc>
      </w:tr>
      <w:tr>
        <w:trPr>
          <w:trHeight w:val="210"/>
        </w:trPr>
        <w:tc>
          <w:tcPr>
            <w:tcW w:w="83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Number of Shares</w:t>
            </w:r>
          </w:p>
        </w:tc>
        <w:tc>
          <w:tcPr>
            <w:tcW w:w="160" w:type="dxa"/>
            <w:vAlign w:val="bottom"/>
          </w:tcPr>
          <w:p>
            <w:pPr>
              <w:spacing w:after="0"/>
              <w:rPr>
                <w:sz w:val="18"/>
                <w:szCs w:val="18"/>
                <w:color w:val="auto"/>
              </w:rPr>
            </w:pPr>
          </w:p>
        </w:tc>
        <w:tc>
          <w:tcPr>
            <w:tcW w:w="132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Value per Share</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32.97</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27.54</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32.12</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30.37</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Balance—September 30, 2016</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30.99</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September 30, 2016, total compensation expense related to unvested RSUs, including PSUs, that were granted to employees and non-employees, but not yet recognized, was $273.0 million. This expense is expected to be amortized on a straight-line basis over a weighted-average vesting period of 2.85 years. We did not grant any PSUs during the three and nine months ended September 30, 2016. The stock-based compensation expense related to PSU awards is not material.</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condensed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shares and amount withheld for employee taxes were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880" w:type="dxa"/>
            <w:vAlign w:val="bottom"/>
            <w:gridSpan w:val="3"/>
          </w:tcPr>
          <w:p>
            <w:pPr>
              <w:jc w:val="right"/>
              <w:ind w:right="73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20" w:type="dxa"/>
            <w:vAlign w:val="bottom"/>
          </w:tcPr>
          <w:p>
            <w:pPr>
              <w:jc w:val="right"/>
              <w:ind w:right="194"/>
              <w:spacing w:after="0"/>
              <w:rPr>
                <w:sz w:val="20"/>
                <w:szCs w:val="20"/>
                <w:color w:val="auto"/>
              </w:rPr>
            </w:pPr>
            <w:r>
              <w:rPr>
                <w:rFonts w:ascii="Arial" w:cs="Arial" w:eastAsia="Arial" w:hAnsi="Arial"/>
                <w:sz w:val="16"/>
                <w:szCs w:val="16"/>
                <w:b w:val="1"/>
                <w:bCs w:val="1"/>
                <w:color w:val="auto"/>
                <w:w w:val="93"/>
              </w:rPr>
              <w:t>September 30,</w:t>
            </w:r>
          </w:p>
        </w:tc>
        <w:tc>
          <w:tcPr>
            <w:tcW w:w="260" w:type="dxa"/>
            <w:vAlign w:val="bottom"/>
          </w:tcPr>
          <w:p>
            <w:pPr>
              <w:spacing w:after="0"/>
              <w:rPr>
                <w:sz w:val="18"/>
                <w:szCs w:val="18"/>
                <w:color w:val="auto"/>
              </w:rPr>
            </w:pPr>
          </w:p>
        </w:tc>
        <w:tc>
          <w:tcPr>
            <w:tcW w:w="1320" w:type="dxa"/>
            <w:vAlign w:val="bottom"/>
          </w:tcPr>
          <w:p>
            <w:pPr>
              <w:jc w:val="right"/>
              <w:ind w:right="195"/>
              <w:spacing w:after="0"/>
              <w:rPr>
                <w:sz w:val="20"/>
                <w:szCs w:val="20"/>
                <w:color w:val="auto"/>
              </w:rPr>
            </w:pPr>
            <w:r>
              <w:rPr>
                <w:rFonts w:ascii="Arial" w:cs="Arial" w:eastAsia="Arial" w:hAnsi="Arial"/>
                <w:sz w:val="16"/>
                <w:szCs w:val="16"/>
                <w:b w:val="1"/>
                <w:bCs w:val="1"/>
                <w:color w:val="auto"/>
                <w:w w:val="93"/>
              </w:rPr>
              <w:t>September 30,</w:t>
            </w:r>
          </w:p>
        </w:tc>
        <w:tc>
          <w:tcPr>
            <w:tcW w:w="26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14"/>
              <w:spacing w:after="0"/>
              <w:rPr>
                <w:sz w:val="20"/>
                <w:szCs w:val="20"/>
                <w:color w:val="auto"/>
              </w:rPr>
            </w:pPr>
            <w:r>
              <w:rPr>
                <w:rFonts w:ascii="Arial" w:cs="Arial" w:eastAsia="Arial" w:hAnsi="Arial"/>
                <w:sz w:val="16"/>
                <w:szCs w:val="16"/>
                <w:b w:val="1"/>
                <w:bCs w:val="1"/>
                <w:color w:val="auto"/>
              </w:rPr>
              <w:t>2015</w:t>
            </w:r>
          </w:p>
        </w:tc>
        <w:tc>
          <w:tcPr>
            <w:tcW w:w="260" w:type="dxa"/>
            <w:vAlign w:val="bottom"/>
          </w:tcPr>
          <w:p>
            <w:pPr>
              <w:spacing w:after="0"/>
              <w:rPr>
                <w:sz w:val="18"/>
                <w:szCs w:val="18"/>
                <w:color w:val="auto"/>
              </w:rPr>
            </w:pPr>
          </w:p>
        </w:tc>
        <w:tc>
          <w:tcPr>
            <w:tcW w:w="1320" w:type="dxa"/>
            <w:vAlign w:val="bottom"/>
          </w:tcPr>
          <w:p>
            <w:pPr>
              <w:jc w:val="right"/>
              <w:ind w:right="515"/>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937</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12,528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11,628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29,886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22,989</w:t>
            </w:r>
          </w:p>
        </w:tc>
      </w:tr>
      <w:tr>
        <w:trPr>
          <w:trHeight w:val="918"/>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assumptions relating to our employee stock options were: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340" w:type="dxa"/>
            <w:vAlign w:val="bottom"/>
            <w:gridSpan w:val="3"/>
          </w:tcPr>
          <w:p>
            <w:pPr>
              <w:jc w:val="right"/>
              <w:ind w:right="913"/>
              <w:spacing w:after="0"/>
              <w:rPr>
                <w:sz w:val="20"/>
                <w:szCs w:val="20"/>
                <w:color w:val="auto"/>
              </w:rPr>
            </w:pPr>
            <w:r>
              <w:rPr>
                <w:rFonts w:ascii="Arial" w:cs="Arial" w:eastAsia="Arial" w:hAnsi="Arial"/>
                <w:sz w:val="16"/>
                <w:szCs w:val="16"/>
                <w:b w:val="1"/>
                <w:bCs w:val="1"/>
                <w:color w:val="auto"/>
              </w:rPr>
              <w:t>Three Months Ended</w:t>
            </w:r>
          </w:p>
        </w:tc>
        <w:tc>
          <w:tcPr>
            <w:tcW w:w="3140" w:type="dxa"/>
            <w:vAlign w:val="bottom"/>
            <w:gridSpan w:val="2"/>
          </w:tcPr>
          <w:p>
            <w:pPr>
              <w:jc w:val="right"/>
              <w:ind w:right="79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9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9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700" w:type="dxa"/>
            <w:vAlign w:val="bottom"/>
          </w:tcPr>
          <w:p>
            <w:pPr>
              <w:jc w:val="right"/>
              <w:ind w:right="373"/>
              <w:spacing w:after="0"/>
              <w:rPr>
                <w:sz w:val="20"/>
                <w:szCs w:val="20"/>
                <w:color w:val="auto"/>
              </w:rPr>
            </w:pPr>
            <w:r>
              <w:rPr>
                <w:rFonts w:ascii="Arial" w:cs="Arial" w:eastAsia="Arial" w:hAnsi="Arial"/>
                <w:sz w:val="16"/>
                <w:szCs w:val="16"/>
                <w:b w:val="1"/>
                <w:bCs w:val="1"/>
                <w:color w:val="auto"/>
              </w:rPr>
              <w:t>September 30,</w:t>
            </w:r>
          </w:p>
        </w:tc>
        <w:tc>
          <w:tcPr>
            <w:tcW w:w="1660" w:type="dxa"/>
            <w:vAlign w:val="bottom"/>
          </w:tcPr>
          <w:p>
            <w:pPr>
              <w:jc w:val="right"/>
              <w:ind w:right="374"/>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jc w:val="right"/>
              <w:ind w:right="21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494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700" w:type="dxa"/>
            <w:vAlign w:val="bottom"/>
          </w:tcPr>
          <w:p>
            <w:pPr>
              <w:jc w:val="right"/>
              <w:ind w:right="673"/>
              <w:spacing w:after="0"/>
              <w:rPr>
                <w:sz w:val="20"/>
                <w:szCs w:val="20"/>
                <w:color w:val="auto"/>
              </w:rPr>
            </w:pPr>
            <w:r>
              <w:rPr>
                <w:rFonts w:ascii="Arial" w:cs="Arial" w:eastAsia="Arial" w:hAnsi="Arial"/>
                <w:sz w:val="16"/>
                <w:szCs w:val="16"/>
                <w:b w:val="1"/>
                <w:bCs w:val="1"/>
                <w:color w:val="auto"/>
              </w:rPr>
              <w:t>2015</w:t>
            </w:r>
          </w:p>
        </w:tc>
        <w:tc>
          <w:tcPr>
            <w:tcW w:w="1660" w:type="dxa"/>
            <w:vAlign w:val="bottom"/>
          </w:tcPr>
          <w:p>
            <w:pPr>
              <w:jc w:val="right"/>
              <w:ind w:right="694"/>
              <w:spacing w:after="0"/>
              <w:rPr>
                <w:sz w:val="20"/>
                <w:szCs w:val="20"/>
                <w:color w:val="auto"/>
              </w:rPr>
            </w:pPr>
            <w:r>
              <w:rPr>
                <w:rFonts w:ascii="Arial" w:cs="Arial" w:eastAsia="Arial" w:hAnsi="Arial"/>
                <w:sz w:val="16"/>
                <w:szCs w:val="16"/>
                <w:b w:val="1"/>
                <w:bCs w:val="1"/>
                <w:color w:val="auto"/>
              </w:rPr>
              <w:t>2016</w:t>
            </w:r>
          </w:p>
        </w:tc>
        <w:tc>
          <w:tcPr>
            <w:tcW w:w="1480" w:type="dxa"/>
            <w:vAlign w:val="bottom"/>
          </w:tcPr>
          <w:p>
            <w:pPr>
              <w:jc w:val="right"/>
              <w:ind w:right="513"/>
              <w:spacing w:after="0"/>
              <w:rPr>
                <w:sz w:val="20"/>
                <w:szCs w:val="20"/>
                <w:color w:val="auto"/>
              </w:rPr>
            </w:pPr>
            <w:r>
              <w:rPr>
                <w:rFonts w:ascii="Arial" w:cs="Arial" w:eastAsia="Arial" w:hAnsi="Arial"/>
                <w:sz w:val="16"/>
                <w:szCs w:val="16"/>
                <w:b w:val="1"/>
                <w:bCs w:val="1"/>
                <w:color w:val="auto"/>
              </w:rPr>
              <w:t>2015</w:t>
            </w:r>
          </w:p>
        </w:tc>
      </w:tr>
      <w:tr>
        <w:trPr>
          <w:trHeight w:val="33"/>
        </w:trPr>
        <w:tc>
          <w:tcPr>
            <w:tcW w:w="4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Expected term in years</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4.3</w:t>
            </w:r>
          </w:p>
        </w:tc>
        <w:tc>
          <w:tcPr>
            <w:tcW w:w="16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4.3</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w:t>
            </w:r>
          </w:p>
        </w:tc>
      </w:tr>
      <w:tr>
        <w:trPr>
          <w:trHeight w:val="243"/>
        </w:trPr>
        <w:tc>
          <w:tcPr>
            <w:tcW w:w="4940" w:type="dxa"/>
            <w:vAlign w:val="bottom"/>
          </w:tcPr>
          <w:p>
            <w:pPr>
              <w:ind w:left="500"/>
              <w:spacing w:after="0"/>
              <w:rPr>
                <w:sz w:val="20"/>
                <w:szCs w:val="20"/>
                <w:color w:val="auto"/>
              </w:rPr>
            </w:pPr>
            <w:r>
              <w:rPr>
                <w:rFonts w:ascii="Arial" w:cs="Arial" w:eastAsia="Arial" w:hAnsi="Arial"/>
                <w:sz w:val="18"/>
                <w:szCs w:val="18"/>
                <w:color w:val="auto"/>
              </w:rPr>
              <w:t>Volatility</w:t>
            </w: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37%</w:t>
            </w:r>
          </w:p>
        </w:tc>
        <w:tc>
          <w:tcPr>
            <w:tcW w:w="1660" w:type="dxa"/>
            <w:vAlign w:val="bottom"/>
          </w:tcPr>
          <w:p>
            <w:pPr>
              <w:jc w:val="right"/>
              <w:ind w:right="114"/>
              <w:spacing w:after="0"/>
              <w:rPr>
                <w:sz w:val="20"/>
                <w:szCs w:val="20"/>
                <w:color w:val="auto"/>
              </w:rPr>
            </w:pPr>
            <w:r>
              <w:rPr>
                <w:rFonts w:ascii="Arial" w:cs="Arial" w:eastAsia="Arial" w:hAnsi="Arial"/>
                <w:sz w:val="18"/>
                <w:szCs w:val="18"/>
                <w:color w:val="auto"/>
              </w:rPr>
              <w:t>42%</w:t>
            </w: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w:t>
            </w:r>
          </w:p>
        </w:tc>
        <w:tc>
          <w:tcPr>
            <w:tcW w:w="16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940" w:type="dxa"/>
            <w:vAlign w:val="bottom"/>
          </w:tcPr>
          <w:p>
            <w:pPr>
              <w:ind w:left="500"/>
              <w:spacing w:after="0"/>
              <w:rPr>
                <w:sz w:val="20"/>
                <w:szCs w:val="20"/>
                <w:color w:val="auto"/>
              </w:rPr>
            </w:pPr>
            <w:r>
              <w:rPr>
                <w:rFonts w:ascii="Arial" w:cs="Arial" w:eastAsia="Arial" w:hAnsi="Arial"/>
                <w:sz w:val="18"/>
                <w:szCs w:val="18"/>
                <w:color w:val="auto"/>
              </w:rPr>
              <w:t>Dividend rate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 option activity and related information was (in thousands, except exercise prices and contractual life):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4"/>
          </w:tcPr>
          <w:p>
            <w:pPr>
              <w:ind w:left="560"/>
              <w:spacing w:after="0"/>
              <w:rPr>
                <w:sz w:val="20"/>
                <w:szCs w:val="20"/>
                <w:color w:val="auto"/>
              </w:rPr>
            </w:pPr>
            <w:r>
              <w:rPr>
                <w:rFonts w:ascii="Arial" w:cs="Arial" w:eastAsia="Arial" w:hAnsi="Arial"/>
                <w:sz w:val="16"/>
                <w:szCs w:val="16"/>
                <w:b w:val="1"/>
                <w:bCs w:val="1"/>
                <w:color w:val="auto"/>
              </w:rPr>
              <w:t>Options Outstanding</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7"/>
                <w:szCs w:val="17"/>
                <w:color w:val="auto"/>
              </w:rPr>
            </w:pPr>
          </w:p>
        </w:tc>
        <w:tc>
          <w:tcPr>
            <w:tcW w:w="1220" w:type="dxa"/>
            <w:vAlign w:val="bottom"/>
          </w:tcPr>
          <w:p>
            <w:pPr>
              <w:jc w:val="center"/>
              <w:ind w:right="175"/>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516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Exercise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7"/>
                <w:szCs w:val="17"/>
                <w:color w:val="auto"/>
              </w:rPr>
            </w:pPr>
          </w:p>
        </w:tc>
        <w:tc>
          <w:tcPr>
            <w:tcW w:w="1220" w:type="dxa"/>
            <w:vAlign w:val="bottom"/>
          </w:tcPr>
          <w:p>
            <w:pPr>
              <w:jc w:val="center"/>
              <w:ind w:right="1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Life (Years)</w:t>
            </w:r>
          </w:p>
        </w:tc>
        <w:tc>
          <w:tcPr>
            <w:tcW w:w="260" w:type="dxa"/>
            <w:vAlign w:val="bottom"/>
          </w:tcPr>
          <w:p>
            <w:pPr>
              <w:spacing w:after="0"/>
              <w:rPr>
                <w:sz w:val="18"/>
                <w:szCs w:val="18"/>
                <w:color w:val="auto"/>
              </w:rPr>
            </w:pPr>
          </w:p>
        </w:tc>
        <w:tc>
          <w:tcPr>
            <w:tcW w:w="1220" w:type="dxa"/>
            <w:vAlign w:val="bottom"/>
          </w:tcPr>
          <w:p>
            <w:pPr>
              <w:jc w:val="center"/>
              <w:ind w:right="175"/>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Balance—September 30, 2016</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89,714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Options exercisable—September 30, 2016</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4,469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70,864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September 30, 2016, for all in-the-money options. As of September 30, 2016, total compensation expense related to unvested stock options granted to employees but not yet recognized was $16.8 million. This expense is expected to be amortized on a straight-line basis over a weighted-average period of 3.0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76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2016</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2015</w:t>
            </w:r>
          </w:p>
        </w:tc>
        <w:tc>
          <w:tcPr>
            <w:tcW w:w="152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3"/>
              </w:rPr>
              <w:t>September 30, 2016</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September 30, 2015</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9.08</w:t>
            </w:r>
          </w:p>
        </w:tc>
        <w:tc>
          <w:tcPr>
            <w:tcW w:w="78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9,340</w:t>
            </w:r>
          </w:p>
        </w:tc>
        <w:tc>
          <w:tcPr>
            <w:tcW w:w="120" w:type="dxa"/>
            <w:vAlign w:val="bottom"/>
          </w:tcPr>
          <w:p>
            <w:pPr>
              <w:spacing w:after="0"/>
              <w:rPr>
                <w:sz w:val="21"/>
                <w:szCs w:val="21"/>
                <w:color w:val="auto"/>
              </w:rPr>
            </w:pPr>
          </w:p>
        </w:tc>
        <w:tc>
          <w:tcPr>
            <w:tcW w:w="780" w:type="dxa"/>
            <w:vAlign w:val="bottom"/>
          </w:tcPr>
          <w:p>
            <w:pPr>
              <w:jc w:val="right"/>
              <w:ind w:right="57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40,132</w:t>
            </w:r>
          </w:p>
        </w:tc>
        <w:tc>
          <w:tcPr>
            <w:tcW w:w="100" w:type="dxa"/>
            <w:vAlign w:val="bottom"/>
          </w:tcPr>
          <w:p>
            <w:pPr>
              <w:spacing w:after="0"/>
              <w:rPr>
                <w:sz w:val="21"/>
                <w:szCs w:val="21"/>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35,593</w:t>
            </w:r>
          </w:p>
        </w:tc>
        <w:tc>
          <w:tcPr>
            <w:tcW w:w="78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103,170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4,583</w:t>
            </w:r>
          </w:p>
        </w:tc>
        <w:tc>
          <w:tcPr>
            <w:tcW w:w="78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9,001</w:t>
            </w:r>
          </w:p>
        </w:tc>
      </w:tr>
      <w:tr>
        <w:trPr>
          <w:trHeight w:val="89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our ESPP, we use the Black-Scholes option pricing model that employs the following weighted-average assumptions: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300" w:type="dxa"/>
            <w:vAlign w:val="bottom"/>
            <w:gridSpan w:val="4"/>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3180" w:type="dxa"/>
            <w:vAlign w:val="bottom"/>
            <w:gridSpan w:val="3"/>
          </w:tcPr>
          <w:p>
            <w:pPr>
              <w:jc w:val="right"/>
              <w:ind w:right="79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9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49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6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tcPr>
          <w:p>
            <w:pPr>
              <w:jc w:val="right"/>
              <w:ind w:right="21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494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2015</w:t>
            </w:r>
          </w:p>
        </w:tc>
      </w:tr>
      <w:tr>
        <w:trPr>
          <w:trHeight w:val="33"/>
        </w:trPr>
        <w:tc>
          <w:tcPr>
            <w:tcW w:w="4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the ESPP is provided below (in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Shares issued under the ESPP</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764</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 issued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24.30</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product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Cost of service revenue</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5,141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17,361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17,378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13,904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50,183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34,482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9,376</w:t>
            </w:r>
          </w:p>
        </w:tc>
      </w:tr>
      <w:tr>
        <w:trPr>
          <w:trHeight w:val="257"/>
        </w:trPr>
        <w:tc>
          <w:tcPr>
            <w:tcW w:w="516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31,093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26,319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90,342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67,001</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stock-based compensation expense by award type was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RSUs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53,674</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9,141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ESPP</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4,186</w:t>
            </w:r>
          </w:p>
        </w:tc>
      </w:tr>
      <w:tr>
        <w:trPr>
          <w:trHeight w:val="257"/>
        </w:trPr>
        <w:tc>
          <w:tcPr>
            <w:tcW w:w="516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31,093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26,319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90,342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67,001</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consolidated statements of operations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6"/>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300" w:type="dxa"/>
            <w:vAlign w:val="bottom"/>
          </w:tcPr>
          <w:p>
            <w:pPr>
              <w:jc w:val="center"/>
              <w:ind w:right="116"/>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7"/>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7"/>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8,223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22,961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12,867</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January 2016, our board of directors approved a new Share Repurchase Program (the “Program”), which authorizes the repurchase of up to $200.0 million of our outstanding common stock through December 31, 2017.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During the three and nine months ended September 30, 2016, we repurchased 0.7 million and 2.7 million shares of common stock under the Program, respectively, in open market transactions at an average price of $36.04 and $27.82 per share, respectively, for an aggregate purchase price of $25.0 million and $75.0 million, respectively. As of September 30, 2016, $125.0 million remained available for future share repurchases under the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effective tax rate was 5% for the three months ended September 30, 2016, compared to an effective tax rate of 804% for the same period last year. The effective tax rate was 2,053% for the nine months ended September 30, 2016, compared to an effective tax rate of -165% for the same period last year. The effective tax rate for the periods presented was comprised of U.S. federal and state taxes, foreign withholding taxes and foreign income taxes. The changes in the tax provision for the periods presented were primarily due to the tax benefit from the adoption of the new accounting guidance relating to stock-based compensation. The effective tax rate for the three months ended September 30, 2016 was an expense as compared to a benefit for the same period last year. The increase in effective tax rate for the nine months ended September 30, 2016 was primarily due to additional tax benefits from the adoption of the new accounting guidance relating to stock-based compensation. As a result of the early adoption of the new guidance on stock-based compensation, we recorded income tax benefit of $2.5 million and $8.7 million during the three and nine months ended September 30, 2016, respectively.</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September 30, 2016 and December 31, 2015, unrecognized tax benefits were $64.9 million and $59.7 million, respectively. The total amount of $63.5 million in unrecognized tax benefits, if recognized, would favorably impact the effective tax rate. It is our policy to classify accrued interest and penalties related to unrecognized tax benefits in the provision for income taxes. As of September 30, 2016, we had accrued $8.8 million for estimated interest related to uncertain tax positions.</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file income tax returns in the U.S. federal jurisdiction, and various U.S. state and foreign jurisdictions. The statute of limitations is open for years that generated state net operating loss carryforwards and after 2009 for state jurisdictions. Additionally, we have foreign net operating losses that have an indefinite life. Generally, we are no longer subject to non-U.S. income tax examinations by tax authorities for tax years prior to 2009. We are no longer subject to examination by U.S. federal tax authorities for tax years prior to 2012. We are currently under examination by U.S federal income tax authorities for the tax years 2012, 2013, and 2014. In addition, the tax authorities in France are examining the inter-company relationship between Fortinet, Inc., Fortinet France and Fortinet Singapore. We are in the early stages of this inquiry and as of yet no official audit has been opened. We are also under audit by the Japanese tax authorities for the years 2013, 2014 and 2015. We do not expect any material adjustments as a result of this audit.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PLANS</w:t>
      </w:r>
    </w:p>
    <w:p>
      <w:pPr>
        <w:spacing w:after="0" w:line="22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the 401(k) Plan and RRSP for the three months ended September 30, 2016 and September 30, 2015 were $1.2 million and $0.9 million, respectively. Our matching contributions to the 401(k) Plan and RRSP during the nine months ended September 30, 2016 and September 30, 2015 were $3.4 million and $2.7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SIGNIFICANT CUSTOMER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and property and equipment— net by geographic region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30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176"/>
        </w:trPr>
        <w:tc>
          <w:tcPr>
            <w:tcW w:w="5160" w:type="dxa"/>
            <w:vAlign w:val="bottom"/>
            <w:gridSpan w:val="4"/>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5"/>
                <w:szCs w:val="15"/>
                <w:color w:val="auto"/>
              </w:rPr>
            </w:pPr>
          </w:p>
        </w:tc>
        <w:tc>
          <w:tcPr>
            <w:tcW w:w="132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2"/>
              <w:spacing w:after="0" w:line="176" w:lineRule="exact"/>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2"/>
              <w:spacing w:after="0" w:line="176" w:lineRule="exact"/>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30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83,049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72,767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239,417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202,491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26,027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Other Americas</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15,614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14,371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46,850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38,151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113,165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313,318</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Europe, Middle East, and Africa (“EMEA”)</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116,967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91,740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336,911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250,808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Asia Pacific (“APAC”)</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55,163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189,136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148,613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120" w:type="dxa"/>
            <w:vAlign w:val="bottom"/>
            <w:gridSpan w:val="3"/>
          </w:tcPr>
          <w:p>
            <w:pPr>
              <w:ind w:left="46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316,646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260,068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912,613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712,739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1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24"/>
                <w:szCs w:val="24"/>
                <w:color w:val="auto"/>
              </w:rPr>
            </w:pPr>
          </w:p>
        </w:tc>
        <w:tc>
          <w:tcPr>
            <w:tcW w:w="130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76"/>
        </w:trPr>
        <w:tc>
          <w:tcPr>
            <w:tcW w:w="516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112"/>
              <w:spacing w:after="0" w:line="176" w:lineRule="exact"/>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92"/>
              <w:spacing w:after="0" w:line="176" w:lineRule="exact"/>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60" w:type="dxa"/>
            <w:vAlign w:val="bottom"/>
            <w:gridSpan w:val="4"/>
            <w:vMerge w:val="restart"/>
          </w:tcPr>
          <w:p>
            <w:pPr>
              <w:ind w:left="40"/>
              <w:spacing w:after="0"/>
              <w:rPr>
                <w:sz w:val="20"/>
                <w:szCs w:val="20"/>
                <w:color w:val="auto"/>
              </w:rPr>
            </w:pPr>
            <w:r>
              <w:rPr>
                <w:rFonts w:ascii="Arial" w:cs="Arial" w:eastAsia="Arial" w:hAnsi="Arial"/>
                <w:sz w:val="18"/>
                <w:szCs w:val="18"/>
                <w:color w:val="auto"/>
              </w:rPr>
              <w:t>Americas:</w:t>
            </w: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6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Other Americas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70,036</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EMEA:</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France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Other EMEA</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EMEA</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APAC</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property and equipment—net</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91,067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vMerge w:val="restart"/>
          </w:tcPr>
          <w:p>
            <w:pPr>
              <w:jc w:val="right"/>
              <w:ind w:right="77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our 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300" w:type="dxa"/>
            <w:vAlign w:val="bottom"/>
            <w:gridSpan w:val="4"/>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3180" w:type="dxa"/>
            <w:vAlign w:val="bottom"/>
            <w:gridSpan w:val="2"/>
          </w:tcPr>
          <w:p>
            <w:pPr>
              <w:jc w:val="right"/>
              <w:ind w:right="79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9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9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6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70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jc w:val="right"/>
              <w:ind w:right="214"/>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4940" w:type="dxa"/>
            <w:vAlign w:val="bottom"/>
          </w:tcPr>
          <w:p>
            <w:pPr>
              <w:spacing w:after="0"/>
              <w:rPr>
                <w:sz w:val="18"/>
                <w:szCs w:val="18"/>
                <w:color w:val="auto"/>
              </w:rPr>
            </w:pPr>
          </w:p>
        </w:tc>
        <w:tc>
          <w:tcPr>
            <w:tcW w:w="1540" w:type="dxa"/>
            <w:vAlign w:val="bottom"/>
          </w:tcPr>
          <w:p>
            <w:pPr>
              <w:jc w:val="right"/>
              <w:ind w:right="53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540" w:type="dxa"/>
            <w:vAlign w:val="bottom"/>
          </w:tcPr>
          <w:p>
            <w:pPr>
              <w:jc w:val="right"/>
              <w:ind w:right="51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700" w:type="dxa"/>
            <w:vAlign w:val="bottom"/>
          </w:tcPr>
          <w:p>
            <w:pPr>
              <w:jc w:val="right"/>
              <w:ind w:right="695"/>
              <w:spacing w:after="0"/>
              <w:rPr>
                <w:sz w:val="20"/>
                <w:szCs w:val="20"/>
                <w:color w:val="auto"/>
              </w:rPr>
            </w:pPr>
            <w:r>
              <w:rPr>
                <w:rFonts w:ascii="Arial" w:cs="Arial" w:eastAsia="Arial" w:hAnsi="Arial"/>
                <w:sz w:val="16"/>
                <w:szCs w:val="16"/>
                <w:b w:val="1"/>
                <w:bCs w:val="1"/>
                <w:color w:val="auto"/>
              </w:rPr>
              <w:t>2016</w:t>
            </w:r>
          </w:p>
        </w:tc>
        <w:tc>
          <w:tcPr>
            <w:tcW w:w="1480" w:type="dxa"/>
            <w:vAlign w:val="bottom"/>
          </w:tcPr>
          <w:p>
            <w:pPr>
              <w:jc w:val="right"/>
              <w:ind w:right="514"/>
              <w:spacing w:after="0"/>
              <w:rPr>
                <w:sz w:val="20"/>
                <w:szCs w:val="20"/>
                <w:color w:val="auto"/>
              </w:rPr>
            </w:pPr>
            <w:r>
              <w:rPr>
                <w:rFonts w:ascii="Arial" w:cs="Arial" w:eastAsia="Arial" w:hAnsi="Arial"/>
                <w:sz w:val="16"/>
                <w:szCs w:val="16"/>
                <w:b w:val="1"/>
                <w:bCs w:val="1"/>
                <w:color w:val="auto"/>
              </w:rPr>
              <w:t>2015</w:t>
            </w:r>
          </w:p>
        </w:tc>
      </w:tr>
      <w:tr>
        <w:trPr>
          <w:trHeight w:val="33"/>
        </w:trPr>
        <w:tc>
          <w:tcPr>
            <w:tcW w:w="4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Ingram Micro</w:t>
            </w: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Represents less than 10%</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net accounts receivable: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166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560" w:type="dxa"/>
            <w:vAlign w:val="bottom"/>
          </w:tcPr>
          <w:p>
            <w:pPr>
              <w:jc w:val="right"/>
              <w:ind w:right="2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560" w:type="dxa"/>
            <w:vAlign w:val="bottom"/>
          </w:tcPr>
          <w:p>
            <w:pPr>
              <w:jc w:val="right"/>
              <w:ind w:right="53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560" w:type="dxa"/>
            <w:vAlign w:val="bottom"/>
          </w:tcPr>
          <w:p>
            <w:pPr>
              <w:jc w:val="right"/>
              <w:ind w:right="534"/>
              <w:spacing w:after="0"/>
              <w:rPr>
                <w:sz w:val="20"/>
                <w:szCs w:val="20"/>
                <w:color w:val="auto"/>
              </w:rPr>
            </w:pPr>
            <w:r>
              <w:rPr>
                <w:rFonts w:ascii="Arial" w:cs="Arial" w:eastAsia="Arial" w:hAnsi="Arial"/>
                <w:sz w:val="16"/>
                <w:szCs w:val="16"/>
                <w:b w:val="1"/>
                <w:bCs w:val="1"/>
                <w:color w:val="auto"/>
              </w:rPr>
              <w:t>2015</w:t>
            </w:r>
          </w:p>
        </w:tc>
      </w:tr>
      <w:tr>
        <w:trPr>
          <w:trHeight w:val="33"/>
        </w:trPr>
        <w:tc>
          <w:tcPr>
            <w:tcW w:w="20" w:type="dxa"/>
            <w:vAlign w:val="bottom"/>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Exclusive Networks Group</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20" w:type="dxa"/>
            <w:vAlign w:val="bottom"/>
          </w:tcPr>
          <w:p>
            <w:pPr>
              <w:spacing w:after="0"/>
              <w:rPr>
                <w:sz w:val="21"/>
                <w:szCs w:val="21"/>
                <w:color w:val="auto"/>
              </w:rPr>
            </w:pPr>
          </w:p>
        </w:tc>
        <w:tc>
          <w:tcPr>
            <w:tcW w:w="8180" w:type="dxa"/>
            <w:vAlign w:val="bottom"/>
          </w:tcPr>
          <w:p>
            <w:pPr>
              <w:ind w:left="20"/>
              <w:spacing w:after="0"/>
              <w:rPr>
                <w:sz w:val="20"/>
                <w:szCs w:val="20"/>
                <w:color w:val="auto"/>
              </w:rPr>
            </w:pPr>
            <w:r>
              <w:rPr>
                <w:rFonts w:ascii="Arial" w:cs="Arial" w:eastAsia="Arial" w:hAnsi="Arial"/>
                <w:sz w:val="18"/>
                <w:szCs w:val="18"/>
                <w:color w:val="auto"/>
              </w:rPr>
              <w:t>Fine Tec Computers</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Ingram</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Represents less than 10%</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accumulated balances of other comprehensive income or loss were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September 30, 2016</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Tax benefit</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(provision) related to</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items of other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Gains/Losses on</w:t>
            </w:r>
          </w:p>
        </w:tc>
        <w:tc>
          <w:tcPr>
            <w:tcW w:w="12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comprehensive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Investments</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income or loss</w:t>
            </w:r>
          </w:p>
        </w:tc>
        <w:tc>
          <w:tcPr>
            <w:tcW w:w="36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638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1,085</w:t>
            </w:r>
          </w:p>
        </w:tc>
      </w:tr>
      <w:tr>
        <w:trPr>
          <w:trHeight w:val="27"/>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1,086</w:t>
            </w:r>
          </w:p>
        </w:tc>
      </w:tr>
      <w:tr>
        <w:trPr>
          <w:trHeight w:val="27"/>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at September 30,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r>
      <w:tr>
        <w:trPr>
          <w:trHeight w:val="20"/>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details of reclassification out of accumulated other comprehensive income (loss) were (in thousands):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Reclassified from</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jc w:val="center"/>
              <w:ind w:right="94"/>
              <w:spacing w:after="0"/>
              <w:rPr>
                <w:sz w:val="20"/>
                <w:szCs w:val="20"/>
                <w:color w:val="auto"/>
              </w:rPr>
            </w:pPr>
            <w:r>
              <w:rPr>
                <w:rFonts w:ascii="Arial" w:cs="Arial" w:eastAsia="Arial" w:hAnsi="Arial"/>
                <w:sz w:val="16"/>
                <w:szCs w:val="16"/>
                <w:b w:val="1"/>
                <w:bCs w:val="1"/>
                <w:color w:val="auto"/>
                <w:w w:val="93"/>
              </w:rPr>
              <w:t>Accumulated Other</w:t>
            </w:r>
          </w:p>
        </w:tc>
        <w:tc>
          <w:tcPr>
            <w:tcW w:w="100" w:type="dxa"/>
            <w:vAlign w:val="bottom"/>
          </w:tcPr>
          <w:p>
            <w:pPr>
              <w:spacing w:after="0"/>
              <w:rPr>
                <w:sz w:val="17"/>
                <w:szCs w:val="17"/>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2"/>
              </w:rPr>
              <w:t>Affected Line Item in the Statement</w:t>
            </w:r>
          </w:p>
        </w:tc>
        <w:tc>
          <w:tcPr>
            <w:tcW w:w="0" w:type="dxa"/>
            <w:vAlign w:val="bottom"/>
          </w:tcPr>
          <w:p>
            <w:pPr>
              <w:spacing w:after="0"/>
              <w:rPr>
                <w:sz w:val="1"/>
                <w:szCs w:val="1"/>
                <w:color w:val="auto"/>
              </w:rPr>
            </w:pPr>
          </w:p>
        </w:tc>
      </w:tr>
      <w:tr>
        <w:trPr>
          <w:trHeight w:val="210"/>
        </w:trPr>
        <w:tc>
          <w:tcPr>
            <w:tcW w:w="5580" w:type="dxa"/>
            <w:vAlign w:val="bottom"/>
          </w:tcPr>
          <w:p>
            <w:pPr>
              <w:ind w:left="680"/>
              <w:spacing w:after="0"/>
              <w:rPr>
                <w:sz w:val="20"/>
                <w:szCs w:val="20"/>
                <w:color w:val="auto"/>
              </w:rPr>
            </w:pPr>
            <w:r>
              <w:rPr>
                <w:rFonts w:ascii="Arial" w:cs="Arial" w:eastAsia="Arial" w:hAnsi="Arial"/>
                <w:sz w:val="16"/>
                <w:szCs w:val="16"/>
                <w:b w:val="1"/>
                <w:bCs w:val="1"/>
                <w:color w:val="auto"/>
                <w:w w:val="90"/>
              </w:rPr>
              <w:t>Details about Accumulated Other Comprehensive Income Components</w:t>
            </w:r>
          </w:p>
        </w:tc>
        <w:tc>
          <w:tcPr>
            <w:tcW w:w="68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Comprehensive Income (Loss)</w:t>
            </w:r>
          </w:p>
        </w:tc>
        <w:tc>
          <w:tcPr>
            <w:tcW w:w="10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Where Net Income is Presented</w:t>
            </w:r>
          </w:p>
        </w:tc>
        <w:tc>
          <w:tcPr>
            <w:tcW w:w="0" w:type="dxa"/>
            <w:vAlign w:val="bottom"/>
          </w:tcPr>
          <w:p>
            <w:pPr>
              <w:spacing w:after="0"/>
              <w:rPr>
                <w:sz w:val="1"/>
                <w:szCs w:val="1"/>
                <w:color w:val="auto"/>
              </w:rPr>
            </w:pPr>
          </w:p>
        </w:tc>
      </w:tr>
      <w:tr>
        <w:trPr>
          <w:trHeight w:val="33"/>
        </w:trPr>
        <w:tc>
          <w:tcPr>
            <w:tcW w:w="5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losses on investments</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Tax benefit related to items of other comprehensive loss</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(1)  Provision for income taxes</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reclassification for the period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410"/>
              <w:spacing w:after="0"/>
              <w:rPr>
                <w:sz w:val="20"/>
                <w:szCs w:val="20"/>
                <w:color w:val="auto"/>
              </w:rPr>
            </w:pPr>
            <w:r>
              <w:rPr>
                <w:rFonts w:ascii="Arial" w:cs="Arial" w:eastAsia="Arial" w:hAnsi="Arial"/>
                <w:sz w:val="18"/>
                <w:szCs w:val="18"/>
                <w:color w:val="auto"/>
                <w:w w:val="79"/>
              </w:rPr>
              <w:t>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FOREIGN CURRENCY DERIVATIVES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sales contracts are primarily denominated in U.S. dollars and therefore substantially all of our revenue is not subject to foreign currency translation risk. However, a substantial portion of our operating expenses incurred outside the United States is denominated in foreign currencies and is subject to fluctuations due to changes in foreign currency exchange rates, particularly changes in the Canadian dollar (“CAD”), Euro (“EUR”), Great British pound (“GBP”), and Chinese yen (“CNY”). To help protect against significant fluctuations in value and the volatility of future cash flows caused by changes in currency exchange rates, we engage in foreign currency risk management activities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between one and three months. Changes in the fair value of forward exchange contracts related to balance sheet accounts are insignificant and are included in Other expense—net in the condensed consolidated statement of operations. As of September 30, 2016, the fair value of the forward exchange contracts was not material.</w:t>
      </w:r>
    </w:p>
    <w:p>
      <w:pPr>
        <w:spacing w:after="0" w:line="18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Additionally, independent of any hedging activities, fluctuations in foreign currency exchange rates may cause us to recognize transaction gains and losses in our condensed consolidated statements of operations. Our hedging activities are intended to reduce, but not eliminate, the impact of currency exchange rate movements. As our hedging activities are relatively short-term in nature and are focused on the CAD, long-term material changes in the value of the U.S. dollar against other foreign currencies, such as the EUR, GBP and CNY could adversely impact our operating expenses in the future.</w:t>
      </w:r>
    </w:p>
    <w:p>
      <w:pPr>
        <w:spacing w:after="0" w:line="15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notional amount of forward exchange contracts to hedge balance sheet accounts as of September 30, 2016 and December 31, 2015 were (in thousands):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00" w:type="dxa"/>
            <w:vAlign w:val="bottom"/>
          </w:tcPr>
          <w:p>
            <w:pPr>
              <w:ind w:left="460"/>
              <w:spacing w:after="0"/>
              <w:rPr>
                <w:sz w:val="20"/>
                <w:szCs w:val="20"/>
                <w:color w:val="auto"/>
              </w:rPr>
            </w:pPr>
            <w:r>
              <w:rPr>
                <w:rFonts w:ascii="Arial" w:cs="Arial" w:eastAsia="Arial" w:hAnsi="Arial"/>
                <w:sz w:val="16"/>
                <w:szCs w:val="16"/>
                <w:b w:val="1"/>
                <w:bCs w:val="1"/>
                <w:color w:val="auto"/>
                <w:w w:val="98"/>
              </w:rPr>
              <w:t>Buy/Sell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53"/>
              <w:spacing w:after="0"/>
              <w:rPr>
                <w:sz w:val="20"/>
                <w:szCs w:val="20"/>
                <w:color w:val="auto"/>
              </w:rPr>
            </w:pPr>
            <w:r>
              <w:rPr>
                <w:rFonts w:ascii="Arial" w:cs="Arial" w:eastAsia="Arial" w:hAnsi="Arial"/>
                <w:sz w:val="16"/>
                <w:szCs w:val="16"/>
                <w:b w:val="1"/>
                <w:bCs w:val="1"/>
                <w:color w:val="auto"/>
              </w:rPr>
              <w:t>Notional</w:t>
            </w:r>
          </w:p>
        </w:tc>
      </w:tr>
      <w:tr>
        <w:trPr>
          <w:trHeight w:val="33"/>
        </w:trPr>
        <w:tc>
          <w:tcPr>
            <w:tcW w:w="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9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Balance Sheet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940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Currency—As of September 30, 2016</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8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CAD</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Sell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4,520</w:t>
            </w:r>
          </w:p>
        </w:tc>
      </w:tr>
      <w:tr>
        <w:trPr>
          <w:trHeight w:val="297"/>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Currency—As of December 31, 2015</w:t>
            </w:r>
          </w:p>
        </w:tc>
        <w:tc>
          <w:tcPr>
            <w:tcW w:w="6580" w:type="dxa"/>
            <w:vAlign w:val="bottom"/>
            <w:tcBorders>
              <w:bottom w:val="single" w:sz="8" w:color="CCEEFF"/>
            </w:tcBorders>
            <w:gridSpan w:val="3"/>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400" w:type="dxa"/>
            <w:vAlign w:val="bottom"/>
            <w:gridSpan w:val="4"/>
          </w:tcPr>
          <w:p>
            <w:pPr>
              <w:spacing w:after="0"/>
              <w:rPr>
                <w:sz w:val="20"/>
                <w:szCs w:val="20"/>
                <w:color w:val="auto"/>
              </w:rPr>
            </w:pPr>
            <w:r>
              <w:rPr>
                <w:rFonts w:ascii="Arial" w:cs="Arial" w:eastAsia="Arial" w:hAnsi="Arial"/>
                <w:sz w:val="18"/>
                <w:szCs w:val="18"/>
                <w:color w:val="auto"/>
              </w:rPr>
              <w:t>CAD</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Sell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7,011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The son of one member of our board of directors is a partner of an outside law firm that we utilize for certain complex litigation matters. Expenses for legal services provided by the law firm related to matters that arose subsequent to the member joining our board of directors were not material during the three months ended September 30, 2016 and $0.9 million during the three months ended September 30, 2015. No contingent fees were incurred during the three months ended September 30, 2016 and September 30, 2015. Expenses for legal services provided by the law firm related to matters that arose subsequent to the member joining our board of directors were $0.3 million and $3.7 million during the nine months ended September 30, 2016 and September 30, 2015, respectively. Of such amounts, $0.5 million were incurred under contingent fee arrangements during the nine months ended September 30, 2015. No contingent fees were incurred during the nine months ended September 30, 2016. Amounts due and payable to the law firm were $0.1 million and $5.3 million as of September 30, 2016 and December 31, 2015, respectively.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8640" w:firstLine="8"/>
        <w:spacing w:after="0" w:line="566"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 Share Repurchase Program</w:t>
      </w:r>
    </w:p>
    <w:p>
      <w:pPr>
        <w:spacing w:after="0" w:line="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October 2016, our board of directors authorized the repurchase of up to $100.0 million of shares of our common stock under the Program, increasing our current authorization to $300.0 million through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00"/>
          </w:cols>
          <w:pgMar w:left="240" w:top="125" w:right="8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and Section 21E of the Exchange Act. These statements include, among other things, statements concerning our expectations regarding:</w:t>
      </w:r>
    </w:p>
    <w:p>
      <w:pPr>
        <w:spacing w:after="0" w:line="124"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63"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macro-economic and geopolitical factors on our international sales;</w:t>
      </w:r>
    </w:p>
    <w:p>
      <w:pPr>
        <w:spacing w:after="0" w:line="26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increased functionality and value in our security subscription and support service offerings;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growing our sales to enterprise, service provider and government organizations, the impact of sales to these organizations on our long-term growth, expansion and operating results and the effectiveness of our internal sales organization;</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 as a percentage of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managing our continued investments in sales and marketing, and the impact of those investments;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capital expenditures;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integration of acquired companies and technologies and expectations related to acquisitions;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success of our recently implemented enterprise resource planning (“ERP”) system;</w:t>
      </w:r>
    </w:p>
    <w:p>
      <w:pPr>
        <w:spacing w:after="0" w:line="225" w:lineRule="exact"/>
        <w:rPr>
          <w:rFonts w:ascii="Arial" w:cs="Arial" w:eastAsia="Arial" w:hAnsi="Arial"/>
          <w:sz w:val="18"/>
          <w:szCs w:val="18"/>
          <w:i w:val="1"/>
          <w:iCs w:val="1"/>
          <w:color w:val="auto"/>
        </w:rPr>
      </w:pPr>
    </w:p>
    <w:p>
      <w:pPr>
        <w:ind w:left="1300" w:right="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intentions regarding repatriation of cash, cash equivalents and investments held by our international subsidiaries and the sufficiency of our existing cash, cash equivalents and investments to meet our cash needs for at least the next 12 months;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provide high performance cybersecurity solutions to a wide variety of enterprises, service providers and government organizations of all sizes across the globe, including a majority of the 2015 Fortune 100. Our cybersecurity solutions are designed to provide broad, rapid protection against dynamic security threats while simplifying the IT infrastructure of our end-customers worldwide.</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common operating system, centralized management and open application program interfaces allow many of the solutions in our portfolio to be combined to create an integrated security architecture (the “Fortinet Security Fabric”) designed to address sophisticated threats and next-generation environments. The Fortinet Security Fabric connects our products, services and ecosystem partner solutions to help provide seamless protection at all points in the network, from endpoint to data center to cloud, regardless of whether deployed in physical, virtual or hybrid environments. The Fortinet Security Fabric delivers integrated scalability, access, awareness, security and openness both from the cloud and for the cloud. At the core of the Fortinet Security Fabric are our FortiGate physical and virtual appliances, which ship with a broad set of security services, including firewall, virtual private network, anti-malware, anti-spam, application control, intrusion prevention, web filtering and advanced threat protection. Many of these security services are enabled by our FortiGuard Labs team, which provides extensive threat research and a global cloud network to deliver subscription-based services to FortiGate appliances.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Enterprise customers select the form factor and deployment method that best meet their specific security requirements, such as a high-speed data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center firewall at the network core, a next generation firewall at the edge, a distributed enterprise firewall at branch sites, or a virtual machine for virtual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cloud environments. Smaller businesses tend to deploy Unified Threat Management devices. We derive a substantial majority of product sales from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FortiGate appliances. End-customers may also purchase FortiManager and FortiAnalyzer products in conjunction with a FortiGate deployment to provide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enterprise-class centralized management and analysis and reporting capabilities. We recently released our Security Information Event Management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FortiSIEM</w:t>
      </w:r>
      <w:r>
        <w:rPr>
          <w:rFonts w:ascii="Arial" w:cs="Arial" w:eastAsia="Arial" w:hAnsi="Arial"/>
          <w:sz w:val="17"/>
          <w:szCs w:val="17"/>
          <w:i w:val="1"/>
          <w:iCs w:val="1"/>
          <w:color w:val="auto"/>
        </w:rPr>
        <w:t>”</w:t>
      </w:r>
      <w:r>
        <w:rPr>
          <w:rFonts w:ascii="Arial" w:cs="Arial" w:eastAsia="Arial" w:hAnsi="Arial"/>
          <w:sz w:val="17"/>
          <w:szCs w:val="17"/>
          <w:color w:val="auto"/>
        </w:rPr>
        <w:t>) offering to provide organizations with a broad, holistic and scalable solution for managing network security, performance and compliance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standards across our and other vendor’s products. Finally, end-customers may purchase FortiCare technical support services for our products and FortiCare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professional services to assist in the design, implementation and maintenance of their networks.</w:t>
      </w:r>
    </w:p>
    <w:p>
      <w:pPr>
        <w:spacing w:after="0" w:line="21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complement our core FortiGate product line with other appliances and software licenses that offer additional protection from security threats to other critical areas of the enterprise, such as our secure wireless and access solution, advanced threat protection, secure email gateway, web application firewalls, application delivery controllers, database security, distributed denial of service protection, and endpoint security for employee computers and mobile devices. Sales of these complementary products have outpaced our overall growth in recent quarters.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220" w:hanging="328"/>
        <w:spacing w:after="0" w:line="27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recorded total revenue of $316.6 million and $912.6 million during the three and nine months ended September 30, 2016, respectively, an increase of 22% and 28%, respectively, compared to the same periods last year. Product revenue was $128.0 million and $389.2 million during the three and nine months ended September 30, 2016, respectively, an increase of 7% and 17%, respectively, compared to the same periods last year. Service revenue was $188.7 million and $523.4 million, respectively, during the three and nine months ended September 30, 2016, an increase of 34% and 37%, respectively, compared to the same periods last year.</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cash equivalents and investments were $1.27 billion as of September 30, 2016, an increase of $106.3 million, or 9%, from December 31, 2015.</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revenue was $934.8 million as of September 30, 2016, an increase of $143.5 million, or 18%, from December 31, 2015</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$244.7 million during the nine months ended September 30, 2016, an increase of $30.7 million, or 14%, compared to the same period last year.</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Revenue grew during the three and nine months ended September 30, 2016 compared to the same periods last year, as our strategy to invest in sales and marketing has enabled us to continue to gain market share and customers. During the three months ended September 30, 2016, our revenue grew amidst a more moderate global spending environment as compared to last year. Our revenue growth was driven by greater sales of our FortiGate, FortiGuard and FortiCare offerings. Although we continued to see diversity of FortiGate product sales across all segments, the increase in product revenue was limited as we experienced North America sales execution issues, macro-economic challenges primarily related to Brexit in the United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Kingdom and geopolitical issues in Latin America. Our high-end FortiGate products (FortiGate-1000 to -7000 series) accounted for 37% of billings. Our mid-range products (FortiGate-200 to -900 series) accounted for 29% of billings, and our entry-level products (FortiGate-20 to -100 series) accounted for 34% of billings. Service revenue also increased as we continue to charge more for functionality and value in our FortiGuard security subscription, FortiCare technical support and other offerings. During the three months ended September 30, 2016, we continue to see the shift in the revenue mix trend, in which service revenue outpaced product revenue growth.</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During the three and nine months ended September 30, 2016, operating expenses increased by 19% and 32%, respectively, as compared to the same period last year. The increase was primarily driven by our accelerated pace of hiring and investments made to expand our sales coverage, grow our marketing capabilities, develop new products and scale our customer support. We also continue to invest in research and development to strengthen our technology leadership position. We believe that continued product innovation has strengthened our technology and resulted in market share gains. In addition, we incurred expenses from business design and reengineering related to the implementation of a new ERP system. Headcount increased by 19% to 4,619 employees and contractors as of September 30, 2016, up from 3,889 as of September 30,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Our sales strategy is based on a distribution model whereby we primarily sell our products and services directly to distributors which sell to resellers and service providers, which, in turn, sell to our end-customers. In certain cases, we sell directly to government-focused resellers, large service providers and major systems integrators, which have significant purchasing power and unique customer deployment requirements. Typically, FortiGuard security subscription services and FortiCare technical support services are purchased along with our physical and virtual appliances, most frequently as part of a bundle offering that includes hardware and services. We invoice at the time of our sale for the total price of the products and subscription and technical support services, and the invoice is generally payable within 30 to 90 days. We generally recognize product revenue up-front and defer revenue for the sale of new, and renewal of existing, FortiGuard security subscription and FortiCare technical support services contracts. We recognize the related service revenue over the service period, which is typically one to three years, although it can be as long as five years. Sales of new and renewal services are a source of recurring revenue, as they increase our deferred revenue balance while also contributing positively to our gross margin and our cash flow from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monitor a number of financial and liquidity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cash, cash equivalents and investments, net cash provided by operating activities, and free cash flow.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214"/>
              <w:spacing w:after="0"/>
              <w:rPr>
                <w:sz w:val="20"/>
                <w:szCs w:val="20"/>
                <w:color w:val="auto"/>
              </w:rPr>
            </w:pPr>
            <w:r>
              <w:rPr>
                <w:rFonts w:ascii="Arial" w:cs="Arial" w:eastAsia="Arial" w:hAnsi="Arial"/>
                <w:sz w:val="16"/>
                <w:szCs w:val="16"/>
                <w:b w:val="1"/>
                <w:bCs w:val="1"/>
                <w:color w:val="auto"/>
                <w:w w:val="93"/>
              </w:rPr>
              <w:t>September 30,</w:t>
            </w:r>
          </w:p>
        </w:tc>
        <w:tc>
          <w:tcPr>
            <w:tcW w:w="26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514"/>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3"/>
          </w:tcPr>
          <w:p>
            <w:pPr>
              <w:jc w:val="right"/>
              <w:ind w:right="95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316,646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260,068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934,792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706,911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347,457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299,618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1,270,650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1,169,664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76,139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70,219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51,740</w:t>
            </w:r>
          </w:p>
        </w:tc>
      </w:tr>
    </w:tbl>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Our deferred revenue consists of amounts that have been invoiced but that have not yet been recognized as revenue.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and the mix of short-term and long-term deferred revenue because it represents a significant portion, and the timing, of revenue to be recognized in future periods.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Billings (Non-GAAP). </w:t>
      </w:r>
      <w:r>
        <w:rPr>
          <w:rFonts w:ascii="Arial" w:cs="Arial" w:eastAsia="Arial" w:hAnsi="Arial"/>
          <w:sz w:val="18"/>
          <w:szCs w:val="18"/>
          <w:color w:val="auto"/>
        </w:rPr>
        <w:t>We define billings as revenue recognized in accordance with GAAP plus the change in deferred revenue from the beginning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period less any deferred revenue balances acquired from business combination(s) during the period. We consider billings to be a useful metric for management and investors because billings drive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w:t>
      </w:r>
    </w:p>
    <w:p>
      <w:pPr>
        <w:spacing w:after="0" w:line="18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reconciliation of billings to revenue, the most directly comparable financial measure calculated and presented in accordance with GAAP,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right"/>
              <w:ind w:right="953"/>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316,646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260,068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increase in 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49,350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Less deferred revenue balance acquired in business acquisition</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(9,800)</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347,457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299,618</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capital expenditures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and other property and equipment. We consider free cash flow to be a liquidity measure that provides useful information to management and investors about the amount of cash generated by the business that, after the acquisition of property and equipment, can be used for strategic opportunities, including investing in our business, making strategic acquisitions, repurchasing outstanding common stock and strengthening the balance sheet. Analysis of free cash flow facilitates management’s comparison of our operating results to those of our peer companies. A limitation of using free cash flow rather than the GAAP measure of net cash provided by operating activities as a means for evaluating liquidity is that free cash flow does not represent the total increase or decrease in the cash, cash equivalents and investments balance for the period because it excludes cash provided by or used for other investing and financing activities. Management accounts for this limitation by providing information about our capital expenditures and other investing and financing activities on the face of the cash flow statement and under “—Liquidity and Capital Resources.” A reconciliation of free cash flow to net cash provided by operating activities, the most directly comparable financial measure calculated and presented in accordance with GAAP, is provided below:</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right"/>
              <w:ind w:right="694"/>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right"/>
              <w:ind w:right="954"/>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3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76,139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65,065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38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0" w:type="dxa"/>
            <w:vAlign w:val="bottom"/>
          </w:tcPr>
          <w:p>
            <w:pPr>
              <w:spacing w:after="0"/>
              <w:rPr>
                <w:sz w:val="1"/>
                <w:szCs w:val="1"/>
                <w:color w:val="auto"/>
              </w:rPr>
            </w:pP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38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70,219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51,740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60" w:type="dxa"/>
            <w:vAlign w:val="bottom"/>
            <w:vMerge w:val="restart"/>
          </w:tcPr>
          <w:p>
            <w:pPr>
              <w:jc w:val="right"/>
              <w:ind w:right="245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Our estimates include those related to revenue recognition, stock-based compensation expense, valuation of inventory, warranty liabilities, investments, business combinations, restructuring charges, goodwill and other long-lived assets, and accounting for income taxes.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6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Except for the change in certain policies related to stock-based compensation as a result of the early adoption of ASU 2016-09, there have been no material changes to our critical accounting policies and estimates as of and for the three and nine months ended September 30, 2016, as compared to the critical accounting policies and estimates described in the Form 10-K. See Note 1 to the notes to the condensed consolidated financial statements included in Part I, Item 1 of this Quarterly Report on Form 10-Q for a discussion relating to our change in certain accounting policies related to stock-based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See Note 1 to the notes to the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37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center"/>
              <w:ind w:right="1036"/>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127,972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119,737</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8,235</w:t>
            </w: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188,674</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140,331</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48,343</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316,646</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260,068</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56,578</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133,874</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113,165</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20,709</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116,967</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91,740</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25,227</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65,805</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55,163</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10,642</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19</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316,646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260,068</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56,578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Total revenue increased by $56.6 million, or 22%, during the three months ended September 30, 2016 compared to the same period last year amidst a more moderate global macro spending environment than we saw last year. On a geographic basis, revenue continued to be diversified globally. All three regions experienced revenue growth compared to the same period last year, with EMEA contributing to the largest portion of our revenue growth on both an absolute dollar and a percentage basis. Product revenue increased by $8.2 million, or 7%, during the three months ended September 30, 2016 compared to the same period last year. The increase in product revenue was primarily driven by greater sales of our FortiGate product family, as well as growth in other product lines. The increase in product revenue was limited as we experienced North America sales execution issues, macro-economic challenges related to Brexit in the United Kingdom and geopolitical issues in Latin America. Service revenue increased by $48.3 million, or 34%, during the three months ended September 30, 2016 compared to the same period last year.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 Service revenue also increased as we continue to charge more for functionality and value in our FortiGuard security subscription, FortiCare technical support and other offerings.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00" w:type="dxa"/>
            <w:vAlign w:val="bottom"/>
            <w:gridSpan w:val="5"/>
          </w:tcPr>
          <w:p>
            <w:pPr>
              <w:ind w:left="9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591"/>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jc w:val="right"/>
              <w:ind w:right="4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jc w:val="center"/>
              <w:ind w:right="1950"/>
              <w:spacing w:after="0"/>
              <w:rPr>
                <w:sz w:val="20"/>
                <w:szCs w:val="20"/>
                <w:color w:val="auto"/>
              </w:rPr>
            </w:pPr>
            <w:r>
              <w:rPr>
                <w:rFonts w:ascii="Arial" w:cs="Arial" w:eastAsia="Arial" w:hAnsi="Arial"/>
                <w:sz w:val="18"/>
                <w:szCs w:val="18"/>
                <w:color w:val="auto"/>
                <w:w w:val="90"/>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50,267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46,167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1"/>
              <w:spacing w:after="0"/>
              <w:rPr>
                <w:sz w:val="20"/>
                <w:szCs w:val="20"/>
                <w:color w:val="auto"/>
              </w:rPr>
            </w:pPr>
            <w:r>
              <w:rPr>
                <w:rFonts w:ascii="Arial" w:cs="Arial" w:eastAsia="Arial" w:hAnsi="Arial"/>
                <w:sz w:val="18"/>
                <w:szCs w:val="18"/>
                <w:color w:val="auto"/>
              </w:rPr>
              <w:t>4,100</w:t>
            </w:r>
          </w:p>
        </w:tc>
        <w:tc>
          <w:tcPr>
            <w:tcW w:w="1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jc w:val="center"/>
              <w:ind w:right="1970"/>
              <w:spacing w:after="0"/>
              <w:rPr>
                <w:sz w:val="20"/>
                <w:szCs w:val="20"/>
                <w:color w:val="auto"/>
              </w:rPr>
            </w:pPr>
            <w:r>
              <w:rPr>
                <w:rFonts w:ascii="Arial" w:cs="Arial" w:eastAsia="Arial" w:hAnsi="Arial"/>
                <w:sz w:val="18"/>
                <w:szCs w:val="18"/>
                <w:color w:val="auto"/>
                <w:w w:val="89"/>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34,532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25,534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8,998</w:t>
            </w:r>
          </w:p>
        </w:tc>
        <w:tc>
          <w:tcPr>
            <w:tcW w:w="1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w:t>
            </w:r>
          </w:p>
        </w:tc>
      </w:tr>
      <w:tr>
        <w:trPr>
          <w:trHeight w:val="297"/>
        </w:trPr>
        <w:tc>
          <w:tcPr>
            <w:tcW w:w="3600" w:type="dxa"/>
            <w:vAlign w:val="bottom"/>
            <w:tcBorders>
              <w:bottom w:val="single" w:sz="8" w:color="CCEEFF"/>
            </w:tcBorders>
          </w:tcPr>
          <w:p>
            <w:pPr>
              <w:jc w:val="center"/>
              <w:ind w:right="1930"/>
              <w:spacing w:after="0"/>
              <w:rPr>
                <w:sz w:val="20"/>
                <w:szCs w:val="20"/>
                <w:color w:val="auto"/>
              </w:rPr>
            </w:pPr>
            <w:r>
              <w:rPr>
                <w:rFonts w:ascii="Arial" w:cs="Arial" w:eastAsia="Arial" w:hAnsi="Arial"/>
                <w:sz w:val="18"/>
                <w:szCs w:val="18"/>
                <w:color w:val="auto"/>
                <w:w w:val="89"/>
              </w:rPr>
              <w:t>Total cost of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84,799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71,701</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13,098</w:t>
            </w:r>
          </w:p>
        </w:tc>
        <w:tc>
          <w:tcPr>
            <w:tcW w:w="1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00" w:type="dxa"/>
            <w:vAlign w:val="bottom"/>
          </w:tcPr>
          <w:p>
            <w:pPr>
              <w:jc w:val="center"/>
              <w:ind w:right="1950"/>
              <w:spacing w:after="0"/>
              <w:rPr>
                <w:sz w:val="20"/>
                <w:szCs w:val="20"/>
                <w:color w:val="auto"/>
              </w:rPr>
            </w:pPr>
            <w:r>
              <w:rPr>
                <w:rFonts w:ascii="Arial" w:cs="Arial" w:eastAsia="Arial" w:hAnsi="Arial"/>
                <w:sz w:val="18"/>
                <w:szCs w:val="18"/>
                <w:color w:val="auto"/>
                <w:w w:val="90"/>
              </w:rPr>
              <w:t>Product</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(0.7)%</w:t>
            </w:r>
          </w:p>
        </w:tc>
        <w:tc>
          <w:tcPr>
            <w:tcW w:w="196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jc w:val="center"/>
              <w:ind w:right="1970"/>
              <w:spacing w:after="0"/>
              <w:rPr>
                <w:sz w:val="20"/>
                <w:szCs w:val="20"/>
                <w:color w:val="auto"/>
              </w:rPr>
            </w:pPr>
            <w:r>
              <w:rPr>
                <w:rFonts w:ascii="Arial" w:cs="Arial" w:eastAsia="Arial" w:hAnsi="Arial"/>
                <w:sz w:val="18"/>
                <w:szCs w:val="18"/>
                <w:color w:val="auto"/>
                <w:w w:val="89"/>
              </w:rPr>
              <w:t>Service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0.8 %</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Total gross margin increased by 0.8 percentage points during the three months ended September 30, 2016 compared to the same period last year, as we continued to see a shift in the revenue mix, as service revenue outpaced product revenue</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growth. This resulted in a higher overall gross margin. Product gross margin decreased by 0.7 percentage points during the three months ended September 30, 2016 compared to the same period last year, due to higher inventory reserves and overhead costs. The decrease was partially offset by higher sales of software products, such as certain of our virtualized security solutions, as well as lower warranty expense.</w:t>
      </w:r>
    </w:p>
    <w:p>
      <w:pPr>
        <w:spacing w:after="0" w:line="181"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Service gross margin decreased by 0.1 percentage points during the three months ended September 30, 2016 as compared to the same period last year. Cost of service revenue increased by $9.0 million primarily due to a $4.2 million increase in personnel costs related to headcount increases.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right"/>
              <w:ind w:right="35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60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ind w:left="6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right"/>
              <w:ind w:right="1057"/>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right"/>
              <w:ind w:right="1076"/>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3"/>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40"/>
              <w:spacing w:after="0"/>
              <w:rPr>
                <w:sz w:val="20"/>
                <w:szCs w:val="20"/>
                <w:color w:val="auto"/>
              </w:rPr>
            </w:pPr>
            <w:r>
              <w:rPr>
                <w:rFonts w:ascii="Arial" w:cs="Arial" w:eastAsia="Arial" w:hAnsi="Arial"/>
                <w:sz w:val="16"/>
                <w:szCs w:val="16"/>
                <w:b w:val="1"/>
                <w:bCs w:val="1"/>
                <w:color w:val="auto"/>
                <w:w w:val="95"/>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47,239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42,110</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5,129</w:t>
            </w:r>
          </w:p>
        </w:tc>
        <w:tc>
          <w:tcPr>
            <w:tcW w:w="14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154,831</w:t>
            </w:r>
          </w:p>
        </w:tc>
        <w:tc>
          <w:tcPr>
            <w:tcW w:w="148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120,994</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33,837</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22,006</w:t>
            </w:r>
          </w:p>
        </w:tc>
        <w:tc>
          <w:tcPr>
            <w:tcW w:w="1480" w:type="dxa"/>
            <w:vAlign w:val="bottom"/>
            <w:gridSpan w:val="3"/>
          </w:tcPr>
          <w:p>
            <w:pPr>
              <w:jc w:val="right"/>
              <w:ind w:right="97"/>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21,220</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786</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4</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48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226,359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190,207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36,152</w:t>
            </w:r>
          </w:p>
        </w:tc>
        <w:tc>
          <w:tcPr>
            <w:tcW w:w="14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Research and development expense increased by $5.1 million, or 12%, during the three months ended September 30, 2016 compared to the same period last year, primarily due to an increase of $3.4 million in personnel costs as a result of increased headcount to support the development of new products and continued enhancements of our existing products. Depreciation and other occupancy-related costs increased by $1.7 million. We intend to continue to invest in our research and development organization, but expect research and development expense as a percentage of total revenue to remain at a relatively comparable level during the remainder of 2016.</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Sales and marketing expense increased by $33.8 million, or 28%, during the three months ended September 30, 2016 compared to the same period last year, primarily due to an increase of $27.0 million in personnel costs as we continued to increase our sales and marketing headcount. Marketing-related expenses increased by $0.7 million as we continued to invest in marketing programs to capture market share, particularly in the large enterprise market, including costs related to tradeshows and lead generation. In addition, we incurred increases in travel and entertainment expenses of $1.8 million and depreciation expense and occupancy-related costs of $4.5 million. We intend to continue to make investments in our sales resources and infrastructure and marketing strategy, which are critical to support growth, but at a slower pace. As such, we expect sales and marketing expense as a percentage of total revenue to slightly decrease during the remainder of 2016.</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General and administrative expense increased by $0.8 million, or 4%, during the three months ended September 30, 2016 compared to the same period last year. During the three months ended September 30, 2016, we expensed an additional $1.5 million relating to the implementation and maintenance of a new ERP system compared to the same period last year. In addition, personnel costs increased by $1.5 million due to increase in headcount in order to support our expanding business. The increase in expense was partially offset by lower professional fees of $1.4 million and other costs of $0.9 million. As a percentage of total revenue, we expect general and administrative expense to remain at a relatively comparable level during the remainder of 2016.</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charges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Restructuring charges of $2.3 million during the three months ended September 30, 2016 primarily relate to our restructuring activities to improve operating efficiencies due to the acquisition of AccelOps and certain other activities. Restructuring charges of $5.9 million during the three months ended September 30, 2015 primarily relate to the restructuring activities in connection with the Meru acquisition to reduce our cost structure and improve operational efficiencies. The restructuring activities included reduction of workforce primarily and consolidation of excess facilities. See Note 9 to the condensed consolidated financial statements for additional details, including types of expenses incurred and the timing of future expenses and cash payments.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3"/>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395"/>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560" w:type="dxa"/>
            <w:vAlign w:val="bottom"/>
          </w:tcPr>
          <w:p>
            <w:pPr>
              <w:jc w:val="right"/>
              <w:ind w:right="335"/>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715"/>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8"/>
                <w:szCs w:val="18"/>
                <w:color w:val="auto"/>
              </w:rPr>
            </w:pPr>
          </w:p>
        </w:tc>
        <w:tc>
          <w:tcPr>
            <w:tcW w:w="15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8"/>
                <w:szCs w:val="18"/>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2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1,888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1,333</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555</w:t>
            </w:r>
          </w:p>
        </w:tc>
        <w:tc>
          <w:tcPr>
            <w:tcW w:w="16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w w:val="94"/>
              </w:rPr>
              <w:t>42%</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(787)</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(653)</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(134)</w:t>
            </w:r>
          </w:p>
        </w:tc>
        <w:tc>
          <w:tcPr>
            <w:tcW w:w="1680" w:type="dxa"/>
            <w:vAlign w:val="bottom"/>
          </w:tcPr>
          <w:p>
            <w:pPr>
              <w:ind w:left="1320"/>
              <w:spacing w:after="0"/>
              <w:rPr>
                <w:sz w:val="20"/>
                <w:szCs w:val="20"/>
                <w:color w:val="auto"/>
              </w:rPr>
            </w:pPr>
            <w:r>
              <w:rPr>
                <w:rFonts w:ascii="Arial" w:cs="Arial" w:eastAsia="Arial" w:hAnsi="Arial"/>
                <w:sz w:val="18"/>
                <w:szCs w:val="18"/>
                <w:color w:val="auto"/>
              </w:rPr>
              <w:t>21</w:t>
            </w:r>
          </w:p>
        </w:tc>
      </w:tr>
    </w:tbl>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Interest income increased during the three months ended September 30, 2016 compared to the same period last year primarily due to interest earned on invested balances of cash, cash equivalents and investments. Interest income varies depending on our average investment balances during the period, types and mix of investments, and market interest rates. The increase in Other expense—net during the three months ended September 30, 2016 as compared to the same period last year was the result of higher foreign currency exchange losses. Other expense—net consisted primarily of foreign exchange and related hedging gains and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3840" w:type="dxa"/>
            <w:vAlign w:val="bottom"/>
            <w:gridSpan w:val="4"/>
          </w:tcPr>
          <w:p>
            <w:pPr>
              <w:jc w:val="right"/>
              <w:ind w:right="109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580" w:type="dxa"/>
            <w:vAlign w:val="bottom"/>
          </w:tcPr>
          <w:p>
            <w:pPr>
              <w:spacing w:after="0"/>
              <w:rPr>
                <w:sz w:val="18"/>
                <w:szCs w:val="18"/>
                <w:color w:val="auto"/>
              </w:rPr>
            </w:pPr>
          </w:p>
        </w:tc>
        <w:tc>
          <w:tcPr>
            <w:tcW w:w="1400" w:type="dxa"/>
            <w:vAlign w:val="bottom"/>
          </w:tcPr>
          <w:p>
            <w:pPr>
              <w:jc w:val="center"/>
              <w:ind w:left="337"/>
              <w:spacing w:after="0"/>
              <w:rPr>
                <w:sz w:val="20"/>
                <w:szCs w:val="20"/>
                <w:color w:val="auto"/>
              </w:rPr>
            </w:pPr>
            <w:r>
              <w:rPr>
                <w:rFonts w:ascii="Arial" w:cs="Arial" w:eastAsia="Arial" w:hAnsi="Arial"/>
                <w:sz w:val="16"/>
                <w:szCs w:val="16"/>
                <w:b w:val="1"/>
                <w:bCs w:val="1"/>
                <w:color w:val="auto"/>
                <w:w w:val="89"/>
              </w:rPr>
              <w:t>September 30,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1400" w:type="dxa"/>
            <w:vAlign w:val="bottom"/>
          </w:tcPr>
          <w:p>
            <w:pPr>
              <w:jc w:val="right"/>
              <w:ind w:right="237"/>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ind w:left="500"/>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8"/>
                <w:szCs w:val="18"/>
                <w:color w:val="auto"/>
              </w:rPr>
            </w:pPr>
          </w:p>
        </w:tc>
        <w:tc>
          <w:tcPr>
            <w:tcW w:w="1820" w:type="dxa"/>
            <w:vAlign w:val="bottom"/>
          </w:tcPr>
          <w:p>
            <w:pPr>
              <w:jc w:val="right"/>
              <w:ind w:right="91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5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gridSpan w:val="3"/>
          </w:tcPr>
          <w:p>
            <w:pPr>
              <w:ind w:left="500"/>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400" w:type="dxa"/>
            <w:vAlign w:val="bottom"/>
            <w:tcBorders>
              <w:bottom w:val="single" w:sz="8" w:color="CCEEFF"/>
            </w:tcBorders>
            <w:shd w:val="clear" w:color="auto" w:fill="CCEEFF"/>
          </w:tcPr>
          <w:p>
            <w:pPr>
              <w:jc w:val="right"/>
              <w:ind w:right="119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298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(9,329)</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rPr>
              <w:t>9,627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4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804%</w:t>
            </w:r>
          </w:p>
        </w:tc>
        <w:tc>
          <w:tcPr>
            <w:tcW w:w="500" w:type="dxa"/>
            <w:vAlign w:val="bottom"/>
          </w:tcPr>
          <w:p>
            <w:pPr>
              <w:spacing w:after="0"/>
              <w:rPr>
                <w:sz w:val="21"/>
                <w:szCs w:val="21"/>
                <w:color w:val="auto"/>
              </w:rPr>
            </w:pPr>
          </w:p>
        </w:tc>
        <w:tc>
          <w:tcPr>
            <w:tcW w:w="1820" w:type="dxa"/>
            <w:vAlign w:val="bottom"/>
          </w:tcPr>
          <w:p>
            <w:pPr>
              <w:jc w:val="right"/>
              <w:ind w:right="273"/>
              <w:spacing w:after="0"/>
              <w:rPr>
                <w:sz w:val="20"/>
                <w:szCs w:val="20"/>
                <w:color w:val="auto"/>
              </w:rPr>
            </w:pPr>
            <w:r>
              <w:rPr>
                <w:rFonts w:ascii="Arial" w:cs="Arial" w:eastAsia="Arial" w:hAnsi="Arial"/>
                <w:sz w:val="18"/>
                <w:szCs w:val="18"/>
                <w:color w:val="auto"/>
              </w:rPr>
              <w:t>(799)%</w:t>
            </w: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191"/>
        </w:trPr>
        <w:tc>
          <w:tcPr>
            <w:tcW w:w="3580" w:type="dxa"/>
            <w:vAlign w:val="bottom"/>
          </w:tcPr>
          <w:p>
            <w:pPr>
              <w:spacing w:after="0"/>
              <w:rPr>
                <w:sz w:val="20"/>
                <w:szCs w:val="20"/>
                <w:color w:val="auto"/>
              </w:rPr>
            </w:pPr>
            <w:r>
              <w:rPr>
                <w:rFonts w:ascii="Arial" w:cs="Arial" w:eastAsia="Arial" w:hAnsi="Arial"/>
                <w:sz w:val="14"/>
                <w:szCs w:val="14"/>
                <w:color w:val="auto"/>
              </w:rPr>
              <w:t>* not meaningful</w:t>
            </w:r>
          </w:p>
        </w:tc>
        <w:tc>
          <w:tcPr>
            <w:tcW w:w="1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spacing w:after="0" w:line="20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effective tax rate was 5% for the three months ended September 30, 2016, as compared to an effective tax rate of 804% for the same period last year. The effective tax rate for the periods presented was comprised of U.S. federal and state taxes, and foreign withholding and income taxes. The changes in the tax provision for the three months ended September 30, 2016 was primarily due to the tax benefit from adoption of the new accounting guidance relating to stock-based compensation. The effective tax rate for the three months ended September 30, 2016 was an expense as compared to a benefit for the same period last year.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the next twelve months, we do not believe there will be a decrease in uncertain tax benefits that could significantly impact our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and September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413"/>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center"/>
              <w:ind w:right="1036"/>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389,185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332,023</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57,162</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17%</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523,428</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380,716</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142,712</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37</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912,613</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712,739</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199,874</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28%</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386,566</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313,318</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73,248</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23%</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336,911</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250,808</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86,103</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34</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189,136</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148,613</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40,523</w:t>
            </w:r>
          </w:p>
        </w:tc>
        <w:tc>
          <w:tcPr>
            <w:tcW w:w="1420" w:type="dxa"/>
            <w:vAlign w:val="bottom"/>
          </w:tcPr>
          <w:p>
            <w:pPr>
              <w:ind w:left="1060"/>
              <w:spacing w:after="0"/>
              <w:rPr>
                <w:sz w:val="20"/>
                <w:szCs w:val="20"/>
                <w:color w:val="auto"/>
              </w:rPr>
            </w:pPr>
            <w:r>
              <w:rPr>
                <w:rFonts w:ascii="Arial" w:cs="Arial" w:eastAsia="Arial" w:hAnsi="Arial"/>
                <w:sz w:val="18"/>
                <w:szCs w:val="18"/>
                <w:color w:val="auto"/>
              </w:rPr>
              <w:t>27</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912,613</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712,739</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199,874</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28%</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Total revenue increased by $199.9 million, or 28%, during the nine months ended September 30, 2016 compared to the same period last year. All three regions experienced revenue growth compared to the same period last year, with EMEA contributing the largest portion of our revenue growth on both an absolute dollar and a percentage basis. We continued to see a limited increase in product revenue for Americas, as we experienced North America sales execution issues and geopolitical issues in Latin America. Product revenue increased by $57.2 million, or 17%, during the nine months ended September 30, 2016 compared to the same period last year. The increase in product revenue was primarily driven by greater sales in our FortiGate product family, as well as growth in other product lines.</w:t>
      </w:r>
    </w:p>
    <w:p>
      <w:pPr>
        <w:spacing w:after="0" w:line="19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Service revenue increased by $142.7 million, or 37%, during the nine months ended September 30, 2016 compared to the same period last year due to the recognition of revenue from our growing deferred revenue balance consisting of FortiGuard security subscription and FortiCare technical support contracts sold to a larger customer base, as well as the renewals of similar contracts sold in earlier periods. Service revenue also increased as we continue to charge more for functionality and value in our FortiGuard security subscription, FortiCare technical support and other offerings.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5"/>
          </w:tcPr>
          <w:p>
            <w:pPr>
              <w:ind w:left="98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69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3"/>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571"/>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152,368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134,932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17,436</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13%</w:t>
            </w:r>
          </w:p>
        </w:tc>
      </w:tr>
      <w:tr>
        <w:trPr>
          <w:trHeight w:val="27"/>
        </w:trPr>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94,578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69,869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24,709</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35</w:t>
            </w:r>
          </w:p>
        </w:tc>
      </w:tr>
      <w:tr>
        <w:trPr>
          <w:trHeight w:val="297"/>
        </w:trPr>
        <w:tc>
          <w:tcPr>
            <w:tcW w:w="3620" w:type="dxa"/>
            <w:vAlign w:val="bottom"/>
            <w:tcBorders>
              <w:bottom w:val="single" w:sz="8" w:color="CCEEFF"/>
            </w:tcBorders>
          </w:tcPr>
          <w:p>
            <w:pPr>
              <w:jc w:val="center"/>
              <w:ind w:right="1950"/>
              <w:spacing w:after="0"/>
              <w:rPr>
                <w:sz w:val="20"/>
                <w:szCs w:val="20"/>
                <w:color w:val="auto"/>
              </w:rPr>
            </w:pPr>
            <w:r>
              <w:rPr>
                <w:rFonts w:ascii="Arial" w:cs="Arial" w:eastAsia="Arial" w:hAnsi="Arial"/>
                <w:sz w:val="18"/>
                <w:szCs w:val="18"/>
                <w:color w:val="auto"/>
                <w:w w:val="89"/>
              </w:rPr>
              <w:t>Total cost of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246,946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204,801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42,145</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21%</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19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0.3</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Total gross margin increased by 1.6 percentage points during the nine months ended September 30, 2016 compared to the same period last year, as both product and service gross margins increased. Product gross margin increased by 1.4 percentage points during the nine months ended September 30, 2016 compared to the same period last year. Product gross margin was positively impacted by higher sales of software products such as certain of our virtualized security solutions and lower warranty expense, partially offset by higher inventory reserves and overhead costs.</w:t>
      </w:r>
    </w:p>
    <w:p>
      <w:pPr>
        <w:sectPr>
          <w:pgSz w:w="11900" w:h="16838" w:orient="portrait"/>
          <w:cols w:equalWidth="0" w:num="1">
            <w:col w:w="11420"/>
          </w:cols>
          <w:pgMar w:left="240" w:top="121"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Service gross margin increased by 0.3 percentage points during the nine months ended September 30, 2016 as compared to the same period last year, resulting from our ability to charge more for functionality and value to our service offerings, which have translated into improved service margins. Cost of service revenue increased by $24.7 million primarily due to a $14.0 million increase in personnel costs as a result of increased headcount.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right"/>
              <w:ind w:right="393"/>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60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ind w:left="6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right"/>
              <w:ind w:right="1055"/>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right"/>
              <w:ind w:right="1076"/>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3"/>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40"/>
              <w:spacing w:after="0"/>
              <w:rPr>
                <w:sz w:val="20"/>
                <w:szCs w:val="20"/>
                <w:color w:val="auto"/>
              </w:rPr>
            </w:pPr>
            <w:r>
              <w:rPr>
                <w:rFonts w:ascii="Arial" w:cs="Arial" w:eastAsia="Arial" w:hAnsi="Arial"/>
                <w:sz w:val="16"/>
                <w:szCs w:val="16"/>
                <w:b w:val="1"/>
                <w:bCs w:val="1"/>
                <w:color w:val="auto"/>
                <w:w w:val="95"/>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137,495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115,315</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22,180</w:t>
            </w:r>
          </w:p>
        </w:tc>
        <w:tc>
          <w:tcPr>
            <w:tcW w:w="14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463,628</w:t>
            </w:r>
          </w:p>
        </w:tc>
        <w:tc>
          <w:tcPr>
            <w:tcW w:w="1480" w:type="dxa"/>
            <w:vAlign w:val="bottom"/>
            <w:tcBorders>
              <w:bottom w:val="single" w:sz="8" w:color="CCEEFF"/>
            </w:tcBorders>
            <w:gridSpan w:val="3"/>
            <w:shd w:val="clear" w:color="auto" w:fill="CCEEFF"/>
          </w:tcPr>
          <w:p>
            <w:pPr>
              <w:jc w:val="right"/>
              <w:ind w:right="95"/>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333,531</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130,097</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39</w:t>
            </w: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63,629</w:t>
            </w:r>
          </w:p>
        </w:tc>
        <w:tc>
          <w:tcPr>
            <w:tcW w:w="1480" w:type="dxa"/>
            <w:vAlign w:val="bottom"/>
            <w:gridSpan w:val="3"/>
          </w:tcPr>
          <w:p>
            <w:pPr>
              <w:jc w:val="right"/>
              <w:ind w:right="9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51,199</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12,430</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667,916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505,928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161,988</w:t>
            </w:r>
          </w:p>
        </w:tc>
        <w:tc>
          <w:tcPr>
            <w:tcW w:w="14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Research and development expense increased by $22.2 million, or 19%, during the nine months ended September 30, 2016 compared to the same period last year primarily due to an increase of $16.2 million in personnel costs as a result of increased headcount to support the development of new products and continued enhancements of our existing products. Depreciation expense and other occupancy-related costs increased by $5.1 million and costs of test and prototype materials used in product development increased by $1.9 million.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Sales and marketing expense increased by $130.1 million, or 39%, during the nine months ended September 30, 2016 compared to the same period last year, primarily due to an increase of $101.0 million in personnel costs as we continued to increase our sales headcount in order to drive continued market share gains globally. Marketing-related expense increased by $8.5 million as we invested significantly in marketing programs to capture market share, particularly in the large enterprise market, including costs related to trade-shows and lead generation. In addition, depreciation expense and other occupancy-related expense increased by $10.1 million and travel and entertainment expense increased by $6.9 million.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General and administrative expense increased by $12.4 million, or 24%, during the nine months ended September 30, 2016 compared to the same period last year. During the nine months ended September 30, 2016, we expensed an additional $9.3 million of costs relating to the implementation and maintenance of the ERP system implementation compared to the same period last year. In addition, personnel costs increased by $8.2 million, as we continued to increase our headcount in order to support growth in our business. The increase was partially offset by lower professional fees of $3.9 million.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Restructuring charges of $3.2 million during the nine months ended September 30, 2016 primarily relate to our restructuring activities to improve operating efficiencies due to the acquisition of AccelOps and certain other activities. Restructuring charges of $5.9 million during the nine months ended September 30, 2015 relate to the restructuring activities in connection with the Meru acquisition. See Note 9 to the notes to the condensed consolidated financial statements included in Part I, Item 1 of this Quarterly Report on Form 10-Q for additional details, including types of expenses incurred and the timing of future expenses and cash payments.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3"/>
          </w:tcPr>
          <w:p>
            <w:pPr>
              <w:jc w:val="right"/>
              <w:ind w:right="1075"/>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395"/>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560" w:type="dxa"/>
            <w:vAlign w:val="bottom"/>
          </w:tcPr>
          <w:p>
            <w:pPr>
              <w:jc w:val="right"/>
              <w:ind w:right="335"/>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715"/>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8"/>
                <w:szCs w:val="18"/>
                <w:color w:val="auto"/>
              </w:rPr>
            </w:pPr>
          </w:p>
        </w:tc>
        <w:tc>
          <w:tcPr>
            <w:tcW w:w="15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18"/>
                <w:szCs w:val="18"/>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2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5,339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4,119</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1,220</w:t>
            </w:r>
          </w:p>
        </w:tc>
        <w:tc>
          <w:tcPr>
            <w:tcW w:w="168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w w:val="94"/>
              </w:rPr>
              <w:t>30%</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(3,449)</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(2,160)</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(1,289)</w:t>
            </w:r>
          </w:p>
        </w:tc>
        <w:tc>
          <w:tcPr>
            <w:tcW w:w="1680" w:type="dxa"/>
            <w:vAlign w:val="bottom"/>
          </w:tcPr>
          <w:p>
            <w:pPr>
              <w:ind w:left="1320"/>
              <w:spacing w:after="0"/>
              <w:rPr>
                <w:sz w:val="20"/>
                <w:szCs w:val="20"/>
                <w:color w:val="auto"/>
              </w:rPr>
            </w:pPr>
            <w:r>
              <w:rPr>
                <w:rFonts w:ascii="Arial" w:cs="Arial" w:eastAsia="Arial" w:hAnsi="Arial"/>
                <w:sz w:val="18"/>
                <w:szCs w:val="18"/>
                <w:color w:val="auto"/>
              </w:rPr>
              <w:t>60</w:t>
            </w:r>
          </w:p>
        </w:tc>
      </w:tr>
    </w:tbl>
    <w:p>
      <w:pPr>
        <w:spacing w:after="0" w:line="31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Interest income increased during the nine months ended September 30, 2016 compared to the same period last year primarily due to interest earned on invested balances of cash, cash equivalents and investments. Interest income varies depending on our average investment balances during the period, types and mix of investments, and market interest rates. The increase in Other expense—net for the nine months ended September 30, 2016 when compared to the same period last year, was the result of higher foreign currency exchange losses. Other expense—net consisted primarily of foreign exchange and related hedging gains and losses.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3"/>
          </w:tcPr>
          <w:p>
            <w:pPr>
              <w:jc w:val="right"/>
              <w:ind w:right="1175"/>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415"/>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8"/>
                <w:szCs w:val="18"/>
                <w:color w:val="auto"/>
              </w:rPr>
            </w:pPr>
          </w:p>
        </w:tc>
        <w:tc>
          <w:tcPr>
            <w:tcW w:w="1640" w:type="dxa"/>
            <w:vAlign w:val="bottom"/>
          </w:tcPr>
          <w:p>
            <w:pPr>
              <w:jc w:val="right"/>
              <w:ind w:right="415"/>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735"/>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18"/>
                <w:szCs w:val="18"/>
                <w:color w:val="auto"/>
              </w:rPr>
            </w:pPr>
          </w:p>
        </w:tc>
        <w:tc>
          <w:tcPr>
            <w:tcW w:w="1640" w:type="dxa"/>
            <w:vAlign w:val="bottom"/>
          </w:tcPr>
          <w:p>
            <w:pPr>
              <w:jc w:val="right"/>
              <w:ind w:right="715"/>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18"/>
                <w:szCs w:val="18"/>
                <w:color w:val="auto"/>
              </w:rPr>
            </w:pPr>
          </w:p>
        </w:tc>
        <w:tc>
          <w:tcPr>
            <w:tcW w:w="1720" w:type="dxa"/>
            <w:vAlign w:val="bottom"/>
          </w:tcPr>
          <w:p>
            <w:pPr>
              <w:jc w:val="right"/>
              <w:ind w:right="853"/>
              <w:spacing w:after="0"/>
              <w:rPr>
                <w:sz w:val="20"/>
                <w:szCs w:val="20"/>
                <w:color w:val="auto"/>
              </w:rPr>
            </w:pPr>
            <w:r>
              <w:rPr>
                <w:rFonts w:ascii="Arial" w:cs="Arial" w:eastAsia="Arial" w:hAnsi="Arial"/>
                <w:sz w:val="16"/>
                <w:szCs w:val="16"/>
                <w:b w:val="1"/>
                <w:bCs w:val="1"/>
                <w:color w:val="auto"/>
              </w:rPr>
              <w:t>Change</w:t>
            </w:r>
          </w:p>
        </w:tc>
        <w:tc>
          <w:tcPr>
            <w:tcW w:w="1660" w:type="dxa"/>
            <w:vAlign w:val="bottom"/>
          </w:tcPr>
          <w:p>
            <w:pPr>
              <w:jc w:val="right"/>
              <w:ind w:right="4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4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rPr>
              <w:t>(in thousands, except percentages)</w:t>
            </w:r>
          </w:p>
        </w:tc>
        <w:tc>
          <w:tcPr>
            <w:tcW w:w="16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(7,380)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(6,552)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(828)</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2,053%</w:t>
            </w:r>
          </w:p>
        </w:tc>
        <w:tc>
          <w:tcPr>
            <w:tcW w:w="3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w:t>
            </w:r>
          </w:p>
        </w:tc>
        <w:tc>
          <w:tcPr>
            <w:tcW w:w="480" w:type="dxa"/>
            <w:vAlign w:val="bottom"/>
          </w:tcPr>
          <w:p>
            <w:pPr>
              <w:spacing w:after="0"/>
              <w:rPr>
                <w:sz w:val="21"/>
                <w:szCs w:val="21"/>
                <w:color w:val="auto"/>
              </w:rPr>
            </w:pPr>
          </w:p>
        </w:tc>
        <w:tc>
          <w:tcPr>
            <w:tcW w:w="172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191"/>
        </w:trPr>
        <w:tc>
          <w:tcPr>
            <w:tcW w:w="3640" w:type="dxa"/>
            <w:vAlign w:val="bottom"/>
          </w:tcPr>
          <w:p>
            <w:pPr>
              <w:spacing w:after="0"/>
              <w:rPr>
                <w:sz w:val="20"/>
                <w:szCs w:val="20"/>
                <w:color w:val="auto"/>
              </w:rPr>
            </w:pPr>
            <w:r>
              <w:rPr>
                <w:rFonts w:ascii="Arial" w:cs="Arial" w:eastAsia="Arial" w:hAnsi="Arial"/>
                <w:sz w:val="14"/>
                <w:szCs w:val="14"/>
                <w:color w:val="auto"/>
              </w:rPr>
              <w:t>* not meaningful</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60" w:type="dxa"/>
            <w:vAlign w:val="bottom"/>
          </w:tcPr>
          <w:p>
            <w:pPr>
              <w:spacing w:after="0"/>
              <w:rPr>
                <w:sz w:val="16"/>
                <w:szCs w:val="16"/>
                <w:color w:val="auto"/>
              </w:rPr>
            </w:pPr>
          </w:p>
        </w:tc>
      </w:tr>
    </w:tbl>
    <w:p>
      <w:pPr>
        <w:spacing w:after="0" w:line="28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effective tax rate was 2,053% for the nine months ended September 30, 2016, compared with an effective tax rate of -165% for the same period last year. The benefit from income taxes for the nine months ended September 30, 2016 was comprised primarily of U.S. federal and state taxes, other foreign income taxes, foreign withholding taxes, and transfer pricing allocations which impact jurisdictional income taxed at various tax rates. The changes in benefit from income taxes and effective tax rate for the nine months ended September 30, 2016 was primarily due to the recognition of excess tax benefit from the adoption of the new accounting guidance related to the stock-based compensation.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30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30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center"/>
              <w:ind w:right="73"/>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543,277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623,137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621,033</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1,270,650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1,164,310</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6"/>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8"/>
                <w:szCs w:val="18"/>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644,513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591,873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02"/>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4"/>
          </w:tcPr>
          <w:p>
            <w:pPr>
              <w:jc w:val="center"/>
              <w:ind w:right="73"/>
              <w:spacing w:after="0"/>
              <w:rPr>
                <w:sz w:val="20"/>
                <w:szCs w:val="20"/>
                <w:color w:val="auto"/>
              </w:rPr>
            </w:pPr>
            <w:r>
              <w:rPr>
                <w:rFonts w:ascii="Arial" w:cs="Arial" w:eastAsia="Arial" w:hAnsi="Arial"/>
                <w:sz w:val="16"/>
                <w:szCs w:val="16"/>
                <w:b w:val="1"/>
                <w:bCs w:val="1"/>
                <w:color w:val="auto"/>
                <w:w w:val="92"/>
              </w:rPr>
              <w:t>Nine Months Ended</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30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center"/>
              <w:ind w:right="73"/>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213,989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provided by (used in) investing activities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2,915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40,554</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104,236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257,458</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Working capital is defined as current assets less current liabilities.</w:t>
      </w:r>
    </w:p>
    <w:p>
      <w:pPr>
        <w:spacing w:after="0" w:line="22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Liquidity and capital resources may be impacted by our operating activities, as well as by our business acquisitions, capital expenditures, stock repurchases, proceeds associated with stock option exercises and issuances of common stock under the ESPP, payment of taxes in connection with the net settlement of equity awards, the timing of sales within an accounting period, and investments in strategic relationships that we have made or may make in the future. Our liquidity may be impacted by our customer-buying patterns and the efforts of our sales force and channel partners, which have historically resulted in our receiving a substantial portion of our billings during the last two weeks of the quarter. Billings during the last two weeks of the third quarter of 2016 were in excess of 40% compared to the historical eight-quarter average of 34%. As of September 30, 2016, $125.0 million remained available for future share repurchases under our share repurchase program. In October 2016, the board of directors authorized a $100 million increase to our existing share repurchase program, bringing the amount authorized under the current program to $300 million. In recent years we have received significant capital as a result of the exercise of stock options. We expect proceeds in future years to decrease due to the increased mix of RSUs granted versus stock options and also to vary based on our share price. We expect to spend $15.0 million to $25.0 million in capital expenditures primarily related to expansion of our offices to support worldwide growth in the remainder of 2016.</w:t>
      </w:r>
    </w:p>
    <w:p>
      <w:pPr>
        <w:spacing w:after="0" w:line="183"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As of September 30, 2016, our cash, cash equivalents, and investments of $1.27 billion were invested primarily in corporate debt securities, commercial paper, municipal bonds, U.S. government and agency securities, money market funds and certificates of deposit and term deposits. It is our investment policy to invest excess cash in a manner that preserves capital, provides liquidity and maximizes return without significantly increasing risk.</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September 30, 2016, $501.4 million of our cash and investments were held by our international subsidiaries and are therefore not immediately available to fund domestic operations unless the cash is repatriated. We are considering repatriating some cash in December 2016. Should any amount be repatriated, it would be subject to U.S. federal income tax. However, any cash repatriated is expected to be offset by foreign tax credits. We do not enter into investments for trading or speculative purposes.</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the continuing market acceptance of our products and our investments in real estate through purchases or long-term leases.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depreciation of property and equipment, amortization of intangible assets and amortization of investment premiums.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operating activities during the nine months ended September 30, 2016 provided $244.7 million in cash as a result of the continued growth of our business and our ability to successfully manage our working capital. Changes in operating assets and liabilities primarily resulted from an increase in sales of our FortiGuard security subscription and FortiCare technical support contracts to new and existing customers, as reflected by an increase in our deferred revenue.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operating activities during the nine months ended September 30, 2015 provided $214.0 million in cash as a result of the continued growth in our business and the ability to successfully manage our working capital. Changes in operating assets and liabilities primarily resulted from an increase in sales of our FortiGuard security subscription and FortiCare technical support contracts to new and existing customers, as reflected by an increase in our deferred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purchases of property and equipment, and payments made in connection with business acquisitions. Historically, in making a lease versus purchase decision related to our larger facilities, we have elected to purchase the facility. We expect to make similar decisions in the future.</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During the nine months ended September 30, 2016, cash used for investing activities was primarily due to the $50.3 million we spent on capital expenditures, including our purchase of a warehouse in Union City, California for total cash of $18.5 million, and a $22.1 million payment for the acquisition of AccelOps. Cash outflows due to purchases of investments, net of sales and maturities, amounted to $3.8 million.</w:t>
      </w:r>
    </w:p>
    <w:p>
      <w:pPr>
        <w:spacing w:after="0" w:line="166"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During the nine months ended September 30, 2015, cash provided by investing activities was a result of positive cash flow due to maturities, net of purchases, from our investments of $70.0 million, partially offset by capital expenditures of $29.0 million and $38.0 million used for the acquisition of Meru.</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changes in cash flows from financing activities primarily relate to proceeds from the issuance of common stock under our equity incentive plan and ESPP, taxes paid related to net share settlement of equity awards, and repurchase and retirement of common stock.</w:t>
      </w:r>
    </w:p>
    <w:p>
      <w:pPr>
        <w:spacing w:after="0" w:line="170"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During the nine months ended September 30, 2016, cash used for financing activities was $64.2 million, primarily due to $75.0 million used to repurchase our common stock. This was partially offset by $12.4 million of proceeds from the issuance of common stock, net of taxes paid, related to withholding upon issuance of equity awards.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the nine months ended September 30, 2015, cash provided by financing activities was $40.6 million as a result of proceeds of $63.5 million from the issuance of common stock under our stock-based compensation plans. This cash inflow was partially offset by $23.0 million of withholding tax payments upon issuance of equity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There were no material changes outside the ordinary course of business during the nine months ended September 30, 2016 to the contractual obligations and commitments disclosed in Management’s Discussion and Analysis of Financial Condition and Results of Operations, set forth in Part II, Item 7, of the Form 10-K. See Note 10 to the notes to the condensed consolidated financial statements included in Part I, Item 1 of this Quarterly Report on Form 10-Q for additional information regarding contractual obligations and commitments.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2" w:right="27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September 30, 2016,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nine months ended September 30, 2016 compared to the disclosures in Part II, Item 7A of the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September 30, 2016.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September 30, 2016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July 2015, we completed the acquisition of Meru. We integrated Meru into our systems and controls environment beginning on January 1, 2016. In July 2016, we completed the implementation of a new ERP system. As a result of this implementation, we modified certain existing control processes as well as implemented new control processes to adapt to changes for the new ERP system. We believe that we have taken the necessary steps to monitor and maintain appropriate internal control over financial reporting.</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Except as described above, there were no changes in our internal control over financial reporting (as defined in Rules 13a-15(f) or 15d-15(f) under the Exchange Act) during the nine months ended September 30, 2016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believe that the possibility that any of the current pending claims, complaints or legal proceedings will result in a material loss is remote.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360" w:hanging="644"/>
        <w:spacing w:after="0" w:line="308"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logistics, shipping delays,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and the time it takes for our sales personnel to reach productivity;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and level of our investments in sales and marketing and the impact on operating expenses and operating margin, and the productivity and effectiveness of execution of the sales and marketing teams;</w:t>
      </w:r>
    </w:p>
    <w:p>
      <w:pPr>
        <w:spacing w:after="0" w:line="170"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the accuracy and timing of point-of-sale reporting by our “sell-through” channel partners, which impacts our ability to recognize revenue;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distributors, resellers or end-customers;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markets;</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partners, or end-customers;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jc w:val="both"/>
        <w:ind w:left="1300" w:right="32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or decreases in our billings, revenues and expenses caused by fluctuations in foreign currency exchange rates, as a significant portion of our expenses are incurred and paid in currencies other than the U.S. dollar, and fluctuations may impact the actual prices that partners and customers are willing to pay for our products and services;</w:t>
      </w:r>
    </w:p>
    <w:p>
      <w:pPr>
        <w:spacing w:after="0" w:line="181"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right="6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channel partners may have insufficient financial resources and may not be able to withstand changes and challenges in business conditions;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 security, exports, the environment, and accounting standards.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2" w:right="27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and spending environments,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slower or declining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Billings and revenue growth may slow, or we may experience a decrease in billings and revenue, for a number of reasons, including a slowdown in demand for our products or services, increased competition, a decrease in the growth of our overall market, softness in demand in certain geographies or industry verticals, such as the service provider industry, if we fail for any reason to continue to capitalize on growth opportunities, and due to other risks identified in the “Risk Factors.” Our expenses as a percentage of total revenue may be higher than expected if our revenue is lower than expected and if our investments in sales and marketing and other functional areas do not result in expected billings and revenue growth, and we may experience margin declines in future periods if we fail to increase billings, revenue or deferred revenue, do not appropriately manage our cost structure, or encounter unanticipated liabilities. Any failure by us to maintain profitability, maintain our margins, and continue our billings and revenue growth could cause the price of our common stock to materially decline.</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security subscription and FortiCare technical support services which may decline, and because we recognize revenue from FortiGuard security subscription and FortiCare technical support services over the term of the relevant service period, downturns or upturns in sales of FortiGuard security subscription and FortiCare technical support services are not immediately reflected in full in our operating results.</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Revenues from the sales of new, or renewals of existing, FortiGuard security subscription and FortiCare technical support services contracts may decline and fluctuate as a result of a number of factors, including fluctuations in purchases of FortiGate appliances,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services contracts decline, our revenue and revenue growth may decline and our business could suffer. In addition, in the event significant customers require payment terms for FortiGuard security subscription or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and in some instances has been as long as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or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or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and our international sales have represented more than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U.S. headquartered business’ sales in certain countries outside of the United States;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complying with U.S. or other foreign laws and regulations for foreign operations, including the U.S. Foreign Corrupt Practices Act, the U.K. Bribery Act 2010, import and export control laws, tariffs, trade barriers and economic sanctions;</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political unrest, political changes and uncertainty,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tax, employment and other laws.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For example, in June 2016, the United Kingdom held a referendum and voted in favor of leaving the European Union. This has created political and economic uncertainty, particularly in the United Kingdom and the European Union, which negatively impacted our business in the United Kingdom and European Union during the third quarter of 2016. The uncertainty may continue to negatively impact our business in the United Kingdom and European Union, including affecting our relationships with our existing and prospective end-customers, channel partners, and employees, and could have a material impact on the regulatory regime applicable our operations in the United Kingdom.</w:t>
      </w:r>
    </w:p>
    <w:p>
      <w:pPr>
        <w:spacing w:after="0" w:line="17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An important part of our growth strategy is to increase sales of our products to large and medium-sized enterprises, service providers and government organizations. While we have increased sales in recent periods to large enterprises and service providers, our sales volumes vary by quarter. We also have experienced less traction selling to certain government organizations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88" w:lineRule="exact"/>
        <w:rPr>
          <w:sz w:val="20"/>
          <w:szCs w:val="20"/>
          <w:color w:val="auto"/>
        </w:rPr>
      </w:pPr>
    </w:p>
    <w:p>
      <w:pPr>
        <w:ind w:left="1300" w:right="36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enterprises,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enterprise sales personnel may take longer to ramp up their productivity compared to other sales personnel.</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Large and medium-sized enterprises, service providers and government organizations often undertake a significant evaluation process that results in a lengthy sales cycle, in some cases over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product purchases by large and medium-sized enterprises, service providers and government organizations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Large and medium-sized enterprises, service providers and government organizations typically have longer implementation cycles, require greater product functionality and scalability, expect a broader range of services, including design services, demand that vendors take on a larger share of risks, require acceptance provisions that can lead to a delay in revenue recognition, and expect greater payment flexibility from vendors. Additionally, our large enterprise and service provider customers may increasingly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w:t>
      </w:r>
    </w:p>
    <w:p>
      <w:pPr>
        <w:spacing w:after="0" w:line="193"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22" w:right="29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inventory levels that are sufficient to ensure competitive lead times against the risk of inventory obsolescence because of rapidly changing technology, and customer requirements and excess inventory levels.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and excesses due to demand for certain products that varied from forecasted amounts. If we are unable to effectively manage our inventory and that of our channel partners, our results of operations could be adversely affected.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Chairman and Chief Executive Officer, and Michael Xie, our Co-Founder, President and Chief Technology Officer, and any of our senior sales leaders or functional area leaders, could significantly delay or prevent the achievement of our development and strategic objectives. The loss of the services, or distraction, of our senior management for any reason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for qualified employees in network security and especially in the locations where we have a substantial presence and need for highly-skilled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in some regions, we may be unable to add new end-customers or increase sales to our existing end-customers and our business will be adversely affected.</w:t>
      </w:r>
    </w:p>
    <w:p>
      <w:pPr>
        <w:spacing w:after="0" w:line="170" w:lineRule="exact"/>
        <w:rPr>
          <w:sz w:val="20"/>
          <w:szCs w:val="20"/>
          <w:color w:val="auto"/>
        </w:rPr>
      </w:pPr>
    </w:p>
    <w:p>
      <w:pPr>
        <w:ind w:firstLine="540"/>
        <w:spacing w:after="0" w:line="286" w:lineRule="auto"/>
        <w:rPr>
          <w:sz w:val="20"/>
          <w:szCs w:val="20"/>
          <w:color w:val="auto"/>
        </w:rPr>
      </w:pPr>
      <w:r>
        <w:rPr>
          <w:rFonts w:ascii="Arial" w:cs="Arial" w:eastAsia="Arial" w:hAnsi="Arial"/>
          <w:sz w:val="16"/>
          <w:szCs w:val="16"/>
          <w:color w:val="auto"/>
        </w:rPr>
        <w:t>Although we have a channel sales model, members of our sales organization often engage in direct interaction with our prospective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Our ability to grow our revenue will depend, in large part, on our success in recruiting, training and retaining sufficient numbers of sales personnel to support our growth and on the effectiveness of those personnel. New hires require significant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For example, in early 2016, we realigned our sales organization and it has taken more time than we expected to ramp up the productivity of our realigned sales organization, which negatively impacted our revenue growth in the third quarter of 2016 in some regions. Furthermore, hiring sales personnel in new countries requires additional set up and upfront costs that we may not recover if the sales personnel fail to achieve full productivity. If our new sales employees do not become fully productive on the timelines that we have projected, our revenue will not increase at anticipated levels and our ability to achieve long 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and services may decrease, which may reduce our gross profits and adversely impact our financial results and the trading price of our common stock.</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average sales prices for our products and services may decline for a variety of reasons, including competitive pricing pressures, discounts or promotional programs we offer, a change in our mix of products and services and anticipation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2" w:right="27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average sales prices and gross profits for our products or services will decrease over product life cycles. We cannot ensure that we will be successful in developing and introducing new offerings with enhanced functionality on a timely basis, or that our product and services offerings, if introduced, will enable us to maintain our prices and gross profits at levels that will allow us to maintain profitability.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in the third quarter of 2016, the portion of orders during the last two weeks of the quarter was 40%, and, on average over the past eight quarters, our shipments during the last two weeks of each quarter accounted for 34%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enterprise,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if our marketing programs are not successful in continuing to create market awareness of our company and products and increased lead generation, or if we experience turnover and disruption in our sales and marketing teams, we will not be able to achieve sustained growth, and our business, financial condition and results of operations will be adversely affected.</w:t>
      </w:r>
    </w:p>
    <w:p>
      <w:pPr>
        <w:spacing w:after="0" w:line="16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 significant portion of our sales are through a limited number of distributors, and substantially all of our revenue is generated through sales by our channel partners, including distributors and resellers. We depend upon our channel partners to generate a significant portion of our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They may also market, sell and support products and services that are competitive with ours, and may devote more resources to the marketing, sales and support of such products. They may also have incentives to promote our competitors’ products to the detriment of our own, or they may cease selling our products altogether. We cannot ensure that we will retain these channel partners or that we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During the three months ended September 30, 2016, Exclusive Networks Group and Ingram Micro, which distributed our solutions to a large group of resellers and end-customers, accounted for 19% and 10% of our total revenue, respectively. During the nine months ended September 30, 2016, Exclusive Networks Group accounted for 19% of our total revenue. During the three and nine months ended September 30, 2015, Exclusive Networks Group accounted for 17% of our total revenue.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Different customers deploy and use our products in different ways, and certain deployments and usages may subject our products to adverse conditions that may negatively impact the effectiveness and useful lifetime of our products.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security subscription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92" w:lineRule="exact"/>
        <w:rPr>
          <w:sz w:val="20"/>
          <w:szCs w:val="20"/>
          <w:color w:val="auto"/>
        </w:rPr>
      </w:pPr>
    </w:p>
    <w:p>
      <w:pPr>
        <w:ind w:left="1300" w:right="3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84"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color w:val="auto"/>
        </w:rPr>
        <w:t>Our business has grown over the last several years. We rely heavily on information technology and accounting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Combined with the fact that we may receive large amount of our orders in the last few weeks of any given quarter, a significant interruption in our email service or other systems could result in delayed order fulfillment and decreased billings and revenue for that quarter. To manage any future growth effectively, we must continue to improve and expand our information technology and financial, operating and administrative systems and controls, and continue to manage headcount, capital and processes in an efficient manner. We may not be able to successfully implement requisite improvements to these systems, controls and processes, such as system capacity,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our new enterprise resource planning system.</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have recently implemented a new ERP system. The ERP system is critical to our ability to provide important information to our management, obtain and deliver products, provide services and customer support, send invoices and track payments, fulfill contractual obligations, accurately maintain books and records, provide accurate, timely and reliable reports on our financial and operating results or otherwise operate our business. ERP implementations also require transformation of business and financial processes in order to reap the benefits of the ERP system; any such transformation involves risks inherent in the conversion to a new computer system, including loss of information and potential disruption to our normal operations. The implementation and maintenance of the new ERP system has required, and will continue to require, the investment of significant financial and human resources. In addition, we may choose to upgrade the functionality of our ERP system, which may lead to additional costs. We may also discover deficiencies in our design or implementation or maintenance of the new ERP system that could adversely affect our ability to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the system does not operate as intended, the effectiveness of our internal control over financial reporting could be adversely affected or our ability to assess it adequately could be delayed.</w:t>
      </w:r>
    </w:p>
    <w:p>
      <w:pPr>
        <w:spacing w:after="0" w:line="17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and sales return reserves, stock-based compensation expense, valuation of inventory, warranty liabilities, investments, accounting for business combination, goodwill and other long-lived assets, restructuring, accounting for income taxes, and litigation and settlement costs.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Faraday, K-Micro and Renesas. Our reliance on our third-party manufacturers in Asia and elsewhere reduces our control over the manufacturing process, exposing us to risks, including reduced control over quality assurance and product costs,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UMC and TSMC on a purchase order basis, and UMC and TSMC do not guarantee any capacity and could reject orders or could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78"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the determination of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materials used in the manufacture of our products to the extent that there may be only a limited number of suppliers that are able to meet our sourcing requirements. There can be no assurance that we will be able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or loss of sales and customers, or increase component costs resulting in lower gross margins.</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and, to a lesser extent, the British Pound. For example, the vote in the United Kingdom in June 2016 to leave the European Union has resulted in significant and unpredictable fluctuations in the exchange rate of the British Pound and may continue to negatively affect our sales in Europe. While we are not currently engaged in material hedging activities, we have been hedging currency exposures relating to certain balance sheet accounts and, if we stop hedging against any of these risks or if our attempts to hedge against these currency exposures are not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122" w:right="29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could increase the real cost of our products to our customers outside of the United States, which could also adversely affect our financial condition and results of operations.</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example,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2" w:right="27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our real property,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20"/>
        <w:spacing w:after="0" w:line="264" w:lineRule="auto"/>
        <w:rPr>
          <w:sz w:val="20"/>
          <w:szCs w:val="20"/>
          <w:color w:val="auto"/>
        </w:rPr>
      </w:pPr>
      <w:r>
        <w:rPr>
          <w:rFonts w:ascii="Arial" w:cs="Arial" w:eastAsia="Arial" w:hAnsi="Arial"/>
          <w:sz w:val="18"/>
          <w:szCs w:val="18"/>
          <w:color w:val="auto"/>
        </w:rPr>
        <w:t>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internal network system or our website is compromised, public perception of our products and services will be harmed, we may become subject to liability, and our business, operating results and stock price may be adversely impacted.</w:t>
      </w:r>
    </w:p>
    <w:p>
      <w:pPr>
        <w:spacing w:after="0" w:line="17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will not succeed unless the marketplace is confident that we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and third parties may attempt to fraudulently induce our employees to transfer funds or disclose information in order to gain access to our network and confidential information. We cannot assure you that the measures we have taken to protect our network and website will provide absolute security. Moreover, because we provide network security products, we may be a more attractive target for attacks by computer hackers.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 organization end-customers require higher levels of support than smaller end-customers because of their more complex deployments. If we, our channel partners or other third parties fail to meet the requirements of our larger end-customers, it may be more difficult to execute on our strategy to increase our penetration with large enterprises, service providers and government organizations. As a result, our failure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maintain high quality support services would have a material adverse effect on our business,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147" w:lineRule="exact"/>
        <w:rPr>
          <w:sz w:val="20"/>
          <w:szCs w:val="20"/>
          <w:color w:val="auto"/>
        </w:rPr>
      </w:pPr>
    </w:p>
    <w:p>
      <w:pPr>
        <w:ind w:left="1300" w:right="3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court decisions, tax rulings and interpretations of tax laws, and regulations by international, federal or local governmental authorities; or</w:t>
      </w:r>
    </w:p>
    <w:p>
      <w:pPr>
        <w:spacing w:after="0" w:line="248" w:lineRule="exact"/>
        <w:rPr>
          <w:rFonts w:ascii="Arial" w:cs="Arial" w:eastAsia="Arial" w:hAnsi="Arial"/>
          <w:sz w:val="16"/>
          <w:szCs w:val="16"/>
          <w:color w:val="auto"/>
        </w:rPr>
      </w:pPr>
    </w:p>
    <w:p>
      <w:pPr>
        <w:ind w:left="1300" w:right="14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Significant judgment is required to determine the recognition and measurement attribute prescribed in the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(“IRS”) and other tax authorities. The tax authorities in France are examining the inter-company relationship between Fortinet, Inc., Fortinet France and Fortinet Singapore. We are in the early stages of this inquiry and as of yet no official audit has been opened. We regularly assess the likelihood of adverse outcomes resulting from such examinations to determine the adequacy of our provision for income taxes.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In addition, we hold a significant portion of our cash and investments outside of the United States. Potential legislation could result in our transferring this cash and investments back to the United States, and potentially incurring an additional tax obligation.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w:t>
      </w:r>
    </w:p>
    <w:p>
      <w:pPr>
        <w:spacing w:after="0" w:line="16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Organisation for Economic Co-operation and Development (the “OECD”), an international association comprised of 34 countries, including the United States, has been working on a Base Erosion and Profit Sharing Project. As part of this project, the OECD has issued in 2015, and is expected to continue to issue, guidelines and proposals that may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7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we are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For example, we closed our acquisitions of Meru and AccelOps in the third quarter of 2015 and the second quarter of 2016, respectively. For any past acquisition or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system, sales and support processes and systems,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such as our acquisition of AccelOps,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office center in Vancouver, Canada is subject to the risk of flooding and is also in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as well as our customers’ ability to order from us and our employees’ ability to perform their duties.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delays or cancellations of customer orders, or in the delay of the manufacture, deployment or shipment of our products, our business, financial condition and results of operations would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most of our products depend on increased demand for incorporating broad security functionality in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enterprise,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market for network security products is intensely competitive, and we expect competition to intensify in the future. Our competitors include companies such as Check Point, Cisco, F5 Networks, FireEye, Intel, Juniper, Palo Alto Networks, SonicWall, Sophos and Symantec.</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Cisco’s acquisition of SourceFire, Juniper’s acquisition of NetScreen Technologies Inc., and Check Point’s acquisition of Nokia Corporations’ security appliance business),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3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(LGPL),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2" w:right="25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We have several on-going patent lawsuits and several non-practicing entity patent holding companies have sent us letters proposing that we license certain of their patents.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Sarbanes-Oxley Act of 2002, the Dodd-Frank Wall Street Reform and Consumer Protection Act of 2010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2015, our internal controls over financial reporting were effective, we cannot predict the outcome of our testing in 2016 or future periods. We may incur additional expenses and commitment of management’s time in connection with further evaluations, both of which could materially increase our operating expenses and accordingly reduce our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 change in accounting standards or practices, and varying interpretations of existing accounting pronouncements, such as changes to standards related to revenue recognition (which are effective for us beginning on January 1, 2018), the increased use of fair value measure, and financial instruments could have a significant effect on our reported financial results 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or announcements regarding any stock repurchase programs and the timing and amount of shares we purchase under such programs. For example, during the nine months ended September 30, 2016, the closing price of our common stock ranged from $23.83 to $37.17.</w:t>
      </w:r>
    </w:p>
    <w:p>
      <w:pPr>
        <w:spacing w:after="0" w:line="188" w:lineRule="exact"/>
        <w:rPr>
          <w:sz w:val="20"/>
          <w:szCs w:val="20"/>
          <w:color w:val="auto"/>
        </w:rPr>
      </w:pPr>
    </w:p>
    <w:p>
      <w:pPr>
        <w:ind w:firstLine="531"/>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122" w:right="4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that we repurchased in the three months ended September 30, 2016 (in thousands, except number of share and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Dollar Value of</w:t>
            </w:r>
          </w:p>
        </w:tc>
      </w:t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Purchased</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Yet Be Purchased</w:t>
            </w:r>
          </w:p>
        </w:tc>
      </w:t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as Part of Publicly</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Under the Plan or</w:t>
            </w:r>
          </w:p>
        </w:tc>
      </w:tr>
      <w:tr>
        <w:trPr>
          <w:trHeight w:val="203"/>
        </w:trPr>
        <w:tc>
          <w:tcPr>
            <w:tcW w:w="4100" w:type="dxa"/>
            <w:vAlign w:val="bottom"/>
          </w:tcPr>
          <w:p>
            <w:pPr>
              <w:spacing w:after="0"/>
              <w:rPr>
                <w:sz w:val="17"/>
                <w:szCs w:val="17"/>
                <w:color w:val="auto"/>
              </w:rPr>
            </w:pPr>
          </w:p>
        </w:tc>
        <w:tc>
          <w:tcPr>
            <w:tcW w:w="3020" w:type="dxa"/>
            <w:vAlign w:val="bottom"/>
            <w:gridSpan w:val="2"/>
          </w:tcPr>
          <w:p>
            <w:pPr>
              <w:jc w:val="center"/>
              <w:ind w:left="1294"/>
              <w:spacing w:after="0"/>
              <w:rPr>
                <w:sz w:val="20"/>
                <w:szCs w:val="20"/>
                <w:color w:val="auto"/>
              </w:rPr>
            </w:pPr>
            <w:r>
              <w:rPr>
                <w:rFonts w:ascii="Arial" w:cs="Arial" w:eastAsia="Arial" w:hAnsi="Arial"/>
                <w:sz w:val="16"/>
                <w:szCs w:val="16"/>
                <w:b w:val="1"/>
                <w:bCs w:val="1"/>
                <w:color w:val="auto"/>
                <w:w w:val="94"/>
              </w:rPr>
              <w:t>Total Number of</w:t>
            </w: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Average Price Paid</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Announced Plan</w:t>
            </w:r>
          </w:p>
        </w:tc>
        <w:tc>
          <w:tcPr>
            <w:tcW w:w="140" w:type="dxa"/>
            <w:vAlign w:val="bottom"/>
          </w:tcPr>
          <w:p>
            <w:pPr>
              <w:spacing w:after="0"/>
              <w:rPr>
                <w:sz w:val="17"/>
                <w:szCs w:val="17"/>
                <w:color w:val="auto"/>
              </w:rPr>
            </w:pPr>
          </w:p>
        </w:tc>
        <w:tc>
          <w:tcPr>
            <w:tcW w:w="1220" w:type="dxa"/>
            <w:vAlign w:val="bottom"/>
          </w:tcPr>
          <w:p>
            <w:pPr>
              <w:jc w:val="center"/>
              <w:ind w:right="74"/>
              <w:spacing w:after="0"/>
              <w:rPr>
                <w:sz w:val="20"/>
                <w:szCs w:val="20"/>
                <w:color w:val="auto"/>
              </w:rPr>
            </w:pPr>
            <w:r>
              <w:rPr>
                <w:rFonts w:ascii="Arial" w:cs="Arial" w:eastAsia="Arial" w:hAnsi="Arial"/>
                <w:sz w:val="16"/>
                <w:szCs w:val="16"/>
                <w:b w:val="1"/>
                <w:bCs w:val="1"/>
                <w:color w:val="auto"/>
                <w:w w:val="94"/>
              </w:rPr>
              <w:t>Program</w:t>
            </w:r>
          </w:p>
        </w:tc>
      </w:tr>
      <w:tr>
        <w:trPr>
          <w:trHeight w:val="210"/>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Period</w:t>
            </w:r>
          </w:p>
        </w:tc>
        <w:tc>
          <w:tcPr>
            <w:tcW w:w="3020" w:type="dxa"/>
            <w:vAlign w:val="bottom"/>
            <w:gridSpan w:val="2"/>
          </w:tcPr>
          <w:p>
            <w:pPr>
              <w:jc w:val="center"/>
              <w:ind w:left="1294"/>
              <w:spacing w:after="0"/>
              <w:rPr>
                <w:sz w:val="20"/>
                <w:szCs w:val="20"/>
                <w:color w:val="auto"/>
              </w:rPr>
            </w:pPr>
            <w:r>
              <w:rPr>
                <w:rFonts w:ascii="Arial" w:cs="Arial" w:eastAsia="Arial" w:hAnsi="Arial"/>
                <w:sz w:val="16"/>
                <w:szCs w:val="16"/>
                <w:b w:val="1"/>
                <w:bCs w:val="1"/>
                <w:color w:val="auto"/>
                <w:w w:val="88"/>
              </w:rPr>
              <w:t>Shares Purchased</w:t>
            </w:r>
          </w:p>
        </w:tc>
        <w:tc>
          <w:tcPr>
            <w:tcW w:w="22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per Share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or Program</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 July 31, 2016</w:t>
            </w:r>
          </w:p>
        </w:tc>
        <w:tc>
          <w:tcPr>
            <w:tcW w:w="3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150,000</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August 1 - August 31, 2016</w:t>
            </w:r>
          </w:p>
        </w:tc>
        <w:tc>
          <w:tcPr>
            <w:tcW w:w="2900" w:type="dxa"/>
            <w:vAlign w:val="bottom"/>
          </w:tcPr>
          <w:p>
            <w:pPr>
              <w:jc w:val="right"/>
              <w:ind w:right="54"/>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143,724</w:t>
            </w:r>
          </w:p>
        </w:tc>
      </w:tr>
      <w:tr>
        <w:trPr>
          <w:trHeight w:val="27"/>
        </w:trPr>
        <w:tc>
          <w:tcPr>
            <w:tcW w:w="4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1 - September 30, 2016</w:t>
            </w:r>
          </w:p>
        </w:tc>
        <w:tc>
          <w:tcPr>
            <w:tcW w:w="2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518,598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36.11</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518,598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125,000</w:t>
            </w:r>
          </w:p>
        </w:tc>
      </w:tr>
      <w:tr>
        <w:trPr>
          <w:trHeight w:val="27"/>
        </w:trPr>
        <w:tc>
          <w:tcPr>
            <w:tcW w:w="410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October 2016, our board of directors authorized the repurchase of up to $100.0 million of shares of our common stock under the Program, increasing our current authorization to $300.0 million through December 2017.</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35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720" w:val="left"/>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Andrew Del Matto, Chief Financial Officer</w:t>
      </w:r>
    </w:p>
    <w:p>
      <w:pPr>
        <w:spacing w:after="0" w:line="154"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(Duly Authorized Officer and Principal Financial Officer)</w:t>
      </w:r>
    </w:p>
    <w:p>
      <w:pPr>
        <w:spacing w:after="0" w:line="200" w:lineRule="exact"/>
        <w:rPr>
          <w:sz w:val="20"/>
          <w:szCs w:val="20"/>
          <w:color w:val="auto"/>
        </w:rPr>
      </w:pPr>
    </w:p>
    <w:p>
      <w:pPr>
        <w:spacing w:after="0" w:line="30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120" w:val="left"/>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Keith Jensen, Chief Accounting Officer</w:t>
      </w:r>
    </w:p>
    <w:p>
      <w:pPr>
        <w:spacing w:after="0" w:line="154"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40"/>
          </w:cols>
          <w:pgMar w:left="240" w:top="122" w:right="71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60" w:type="dxa"/>
            <w:vAlign w:val="bottom"/>
            <w:gridSpan w:val="5"/>
          </w:tcPr>
          <w:p>
            <w:pPr>
              <w:ind w:left="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38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24"/>
                <w:szCs w:val="24"/>
                <w:color w:val="auto"/>
              </w:rPr>
            </w:pPr>
          </w:p>
        </w:tc>
        <w:tc>
          <w:tcPr>
            <w:tcW w:w="386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Incorporated by reference herein</w:t>
            </w:r>
          </w:p>
        </w:tc>
        <w:tc>
          <w:tcPr>
            <w:tcW w:w="120" w:type="dxa"/>
            <w:vAlign w:val="bottom"/>
            <w:vMerge w:val="restart"/>
          </w:tcPr>
          <w:p>
            <w:pPr>
              <w:spacing w:after="0"/>
              <w:rPr>
                <w:sz w:val="24"/>
                <w:szCs w:val="24"/>
                <w:color w:val="auto"/>
              </w:rPr>
            </w:pPr>
          </w:p>
        </w:tc>
        <w:tc>
          <w:tcPr>
            <w:tcW w:w="146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9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3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82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10480" w:type="dxa"/>
            <w:vAlign w:val="bottom"/>
            <w:gridSpan w:val="7"/>
          </w:tcPr>
          <w:p>
            <w:pPr>
              <w:ind w:left="140"/>
              <w:spacing w:after="0"/>
              <w:rPr>
                <w:sz w:val="20"/>
                <w:szCs w:val="20"/>
                <w:color w:val="auto"/>
              </w:rPr>
            </w:pPr>
            <w:r>
              <w:rPr>
                <w:rFonts w:ascii="Arial" w:cs="Arial" w:eastAsia="Arial" w:hAnsi="Arial"/>
                <w:sz w:val="14"/>
                <w:szCs w:val="14"/>
                <w:color w:val="auto"/>
                <w:w w:val="98"/>
              </w:rPr>
              <w:t>Certification of Chief Executive Officer pursuant to Exchange Act Rules 13a-14(a) and 15d-14(a), as adopted pursuant to Section 302 of the Sarbanes-Oxley Act of 2002</w:t>
            </w:r>
          </w:p>
        </w:tc>
        <w:tc>
          <w:tcPr>
            <w:tcW w:w="0" w:type="dxa"/>
            <w:vAlign w:val="bottom"/>
          </w:tcPr>
          <w:p>
            <w:pPr>
              <w:spacing w:after="0"/>
              <w:rPr>
                <w:sz w:val="1"/>
                <w:szCs w:val="1"/>
                <w:color w:val="auto"/>
              </w:rPr>
            </w:pPr>
          </w:p>
        </w:tc>
      </w:tr>
      <w:tr>
        <w:trPr>
          <w:trHeight w:val="392"/>
        </w:trPr>
        <w:tc>
          <w:tcPr>
            <w:tcW w:w="82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10480" w:type="dxa"/>
            <w:vAlign w:val="bottom"/>
            <w:gridSpan w:val="7"/>
          </w:tcPr>
          <w:p>
            <w:pPr>
              <w:ind w:left="140"/>
              <w:spacing w:after="0"/>
              <w:rPr>
                <w:sz w:val="20"/>
                <w:szCs w:val="20"/>
                <w:color w:val="auto"/>
              </w:rPr>
            </w:pPr>
            <w:r>
              <w:rPr>
                <w:rFonts w:ascii="Arial" w:cs="Arial" w:eastAsia="Arial" w:hAnsi="Arial"/>
                <w:sz w:val="14"/>
                <w:szCs w:val="14"/>
                <w:color w:val="auto"/>
                <w:w w:val="99"/>
              </w:rPr>
              <w:t>Certification of Chief Financial Officer pursuant to Exchange Act Rules 13a-14(a) and 15d-14(a), as adopted pursuant to Section 302 of the Sarbanes-Oxley Act of 2002</w:t>
            </w:r>
          </w:p>
        </w:tc>
        <w:tc>
          <w:tcPr>
            <w:tcW w:w="0" w:type="dxa"/>
            <w:vAlign w:val="bottom"/>
          </w:tcPr>
          <w:p>
            <w:pPr>
              <w:spacing w:after="0"/>
              <w:rPr>
                <w:sz w:val="1"/>
                <w:szCs w:val="1"/>
                <w:color w:val="auto"/>
              </w:rPr>
            </w:pPr>
          </w:p>
        </w:tc>
      </w:tr>
      <w:tr>
        <w:trPr>
          <w:trHeight w:val="392"/>
        </w:trPr>
        <w:tc>
          <w:tcPr>
            <w:tcW w:w="82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10480" w:type="dxa"/>
            <w:vAlign w:val="bottom"/>
            <w:gridSpan w:val="7"/>
          </w:tcPr>
          <w:p>
            <w:pPr>
              <w:ind w:left="140"/>
              <w:spacing w:after="0"/>
              <w:rPr>
                <w:sz w:val="20"/>
                <w:szCs w:val="20"/>
                <w:color w:val="auto"/>
              </w:rPr>
            </w:pPr>
            <w:r>
              <w:rPr>
                <w:rFonts w:ascii="Arial" w:cs="Arial" w:eastAsia="Arial" w:hAnsi="Arial"/>
                <w:sz w:val="14"/>
                <w:szCs w:val="14"/>
                <w:color w:val="auto"/>
                <w:w w:val="95"/>
              </w:rPr>
              <w:t>Certifications of Chief Executive Officer and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XBRL Taxonomy Extension Schema Document</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XBRL Taxonomy Extension Calculation Linkbase Document</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XBRL Taxonomy Extension Presentation Linkbase Document</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XBRL Taxonomy Extension Definition Linkbase Document</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XBRL Taxonomy Extension Label Linkbase Document</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XBRL Instance Document</w:t>
            </w: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179"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September 30, 2016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40"/>
              <w:spacing w:after="0"/>
              <w:rPr>
                <w:sz w:val="20"/>
                <w:szCs w:val="20"/>
                <w:color w:val="auto"/>
              </w:rPr>
            </w:pPr>
            <w:r>
              <w:rPr>
                <w:rFonts w:ascii="Arial" w:cs="Arial" w:eastAsia="Arial" w:hAnsi="Arial"/>
                <w:sz w:val="18"/>
                <w:szCs w:val="18"/>
                <w:color w:val="auto"/>
              </w:rPr>
              <w:t>November 8, 2016</w:t>
            </w: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 Andrew Del Matto, certify, pursuant to 18 U.S.C. Section 1350, as adopted pursuant to Section 906 of the Sarbanes-Oxley Act of 2002, that the Quarterly Report on Form 10-Q of Fortinet, Inc. for the quarter ended September 30, 2016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Andrew Del Matto</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40"/>
              <w:spacing w:after="0"/>
              <w:rPr>
                <w:sz w:val="20"/>
                <w:szCs w:val="20"/>
                <w:color w:val="auto"/>
              </w:rPr>
            </w:pPr>
            <w:r>
              <w:rPr>
                <w:rFonts w:ascii="Arial" w:cs="Arial" w:eastAsia="Arial" w:hAnsi="Arial"/>
                <w:sz w:val="18"/>
                <w:szCs w:val="18"/>
                <w:color w:val="auto"/>
              </w:rPr>
              <w:t>November 8, 2016</w:t>
            </w: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Andrew Del Matto</w:t>
            </w:r>
          </w:p>
        </w:tc>
      </w:tr>
      <w:tr>
        <w:trPr>
          <w:trHeight w:val="256"/>
        </w:trPr>
        <w:tc>
          <w:tcPr>
            <w:tcW w:w="5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8"/>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2019-12-29T09:38:43Z</dcterms:created>
  <dcterms:modified xsi:type="dcterms:W3CDTF">2019-12-29T09:38:43Z</dcterms:modified>
</cp:coreProperties>
</file>