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8599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599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198120</wp:posOffset>
            </wp:positionV>
            <wp:extent cx="72859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5990" cy="635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r>
        <w:rPr>
          <w:rFonts w:ascii="Arial" w:cs="Arial" w:eastAsia="Arial" w:hAnsi="Arial"/>
          <w:sz w:val="23"/>
          <w:szCs w:val="23"/>
          <w:color w:val="auto"/>
        </w:rPr>
        <w:t>&lt; /div&gt;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3133090</wp:posOffset>
            </wp:positionH>
            <wp:positionV relativeFrom="paragraph">
              <wp:posOffset>137160</wp:posOffset>
            </wp:positionV>
            <wp:extent cx="10223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2350" cy="6350"/>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3133090</wp:posOffset>
            </wp:positionH>
            <wp:positionV relativeFrom="paragraph">
              <wp:posOffset>83820</wp:posOffset>
            </wp:positionV>
            <wp:extent cx="102235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2350" cy="6350"/>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7" w:lineRule="exact"/>
        <w:rPr>
          <w:sz w:val="24"/>
          <w:szCs w:val="24"/>
          <w:color w:val="auto"/>
        </w:rPr>
      </w:pPr>
    </w:p>
    <w:p>
      <w:pPr>
        <w:spacing w:after="0"/>
        <w:tabs>
          <w:tab w:leader="none" w:pos="280" w:val="left"/>
        </w:tabs>
        <w:rPr>
          <w:sz w:val="20"/>
          <w:szCs w:val="20"/>
          <w:color w:val="auto"/>
        </w:rPr>
      </w:pPr>
      <w:r>
        <w:rPr>
          <w:rFonts w:ascii="Arial" w:cs="Arial" w:eastAsia="Arial" w:hAnsi="Arial"/>
          <w:sz w:val="15"/>
          <w:szCs w:val="15"/>
          <w:b w:val="1"/>
          <w:bCs w:val="1"/>
          <w:color w:val="auto"/>
        </w:rPr>
        <w:t>[x]</w:t>
        <w:tab/>
        <w:t>QUARTERLY REPORT PURSUANT TO SECTION 13 OR 15(d) OF THE SECURITIES EXCHANGE ACT OF 1934</w:t>
      </w:r>
    </w:p>
    <w:p>
      <w:pPr>
        <w:spacing w:after="0" w:line="268"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For the quarterly period ended September 30, 2010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264" w:lineRule="exact"/>
        <w:rPr>
          <w:sz w:val="24"/>
          <w:szCs w:val="24"/>
          <w:color w:val="auto"/>
        </w:rPr>
      </w:pPr>
    </w:p>
    <w:p>
      <w:pPr>
        <w:spacing w:after="0"/>
        <w:tabs>
          <w:tab w:leader="none" w:pos="240" w:val="left"/>
        </w:tabs>
        <w:rPr>
          <w:sz w:val="20"/>
          <w:szCs w:val="20"/>
          <w:color w:val="auto"/>
        </w:rPr>
      </w:pPr>
      <w:r>
        <w:rPr>
          <w:rFonts w:ascii="Arial" w:cs="Arial" w:eastAsia="Arial" w:hAnsi="Arial"/>
          <w:sz w:val="15"/>
          <w:szCs w:val="15"/>
          <w:b w:val="1"/>
          <w:bCs w:val="1"/>
          <w:color w:val="auto"/>
        </w:rPr>
        <w:t>[ ]</w:t>
        <w:tab/>
        <w:t>TRANSITION REPORT PURSUANT TO SECTION 13 OR 15(d) OF THE SECURITIES EXCHANGE ACT OF 1934</w:t>
      </w:r>
    </w:p>
    <w:p>
      <w:pPr>
        <w:spacing w:after="0" w:line="267" w:lineRule="exact"/>
        <w:rPr>
          <w:sz w:val="24"/>
          <w:szCs w:val="24"/>
          <w:color w:val="auto"/>
        </w:rPr>
      </w:pPr>
    </w:p>
    <w:tbl>
      <w:tblPr>
        <w:tblLayout w:type="fixed"/>
        <w:tblInd w:w="340" w:type="dxa"/>
        <w:tblCellMar>
          <w:top w:w="0" w:type="dxa"/>
          <w:left w:w="0" w:type="dxa"/>
          <w:bottom w:w="0" w:type="dxa"/>
          <w:right w:w="0" w:type="dxa"/>
        </w:tblCellMar>
      </w:tblPr>
      <w:tr>
        <w:trPr>
          <w:trHeight w:val="149"/>
        </w:trPr>
        <w:tc>
          <w:tcPr>
            <w:tcW w:w="1840" w:type="dxa"/>
            <w:vAlign w:val="bottom"/>
          </w:tcPr>
          <w:p>
            <w:pPr>
              <w:spacing w:after="0"/>
              <w:rPr>
                <w:sz w:val="20"/>
                <w:szCs w:val="20"/>
                <w:color w:val="auto"/>
              </w:rPr>
            </w:pPr>
            <w:r>
              <w:rPr>
                <w:rFonts w:ascii="Arial" w:cs="Arial" w:eastAsia="Arial" w:hAnsi="Arial"/>
                <w:sz w:val="13"/>
                <w:szCs w:val="13"/>
                <w:b w:val="1"/>
                <w:bCs w:val="1"/>
                <w:color w:val="auto"/>
                <w:w w:val="99"/>
              </w:rPr>
              <w:t>For the transition period from</w:t>
            </w:r>
          </w:p>
        </w:tc>
        <w:tc>
          <w:tcPr>
            <w:tcW w:w="1860" w:type="dxa"/>
            <w:vAlign w:val="bottom"/>
            <w:gridSpan w:val="3"/>
          </w:tcPr>
          <w:p>
            <w:pPr>
              <w:ind w:left="280"/>
              <w:spacing w:after="0"/>
              <w:rPr>
                <w:sz w:val="20"/>
                <w:szCs w:val="20"/>
                <w:color w:val="auto"/>
              </w:rPr>
            </w:pPr>
            <w:r>
              <w:rPr>
                <w:rFonts w:ascii="Arial" w:cs="Arial" w:eastAsia="Arial" w:hAnsi="Arial"/>
                <w:sz w:val="13"/>
                <w:szCs w:val="13"/>
                <w:b w:val="1"/>
                <w:bCs w:val="1"/>
                <w:color w:val="auto"/>
              </w:rPr>
              <w:t>to</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433"/>
        </w:trPr>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4760" w:type="dxa"/>
            <w:vAlign w:val="bottom"/>
            <w:gridSpan w:val="3"/>
          </w:tcPr>
          <w:p>
            <w:pPr>
              <w:jc w:val="center"/>
              <w:ind w:right="1335"/>
              <w:spacing w:after="0"/>
              <w:rPr>
                <w:sz w:val="20"/>
                <w:szCs w:val="20"/>
                <w:color w:val="auto"/>
              </w:rPr>
            </w:pPr>
            <w:r>
              <w:rPr>
                <w:rFonts w:ascii="Arial" w:cs="Arial" w:eastAsia="Arial" w:hAnsi="Arial"/>
                <w:sz w:val="13"/>
                <w:szCs w:val="13"/>
                <w:b w:val="1"/>
                <w:bCs w:val="1"/>
                <w:color w:val="auto"/>
                <w:w w:val="89"/>
              </w:rPr>
              <w:t>Commission file number: 001-34511</w:t>
            </w:r>
          </w:p>
        </w:tc>
      </w:tr>
      <w:tr>
        <w:trPr>
          <w:trHeight w:val="145"/>
        </w:trPr>
        <w:tc>
          <w:tcPr>
            <w:tcW w:w="1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260" w:type="dxa"/>
            <w:vAlign w:val="bottom"/>
          </w:tcPr>
          <w:p>
            <w:pPr>
              <w:spacing w:after="0"/>
              <w:rPr>
                <w:sz w:val="12"/>
                <w:szCs w:val="12"/>
                <w:color w:val="auto"/>
              </w:rPr>
            </w:pPr>
          </w:p>
        </w:tc>
      </w:tr>
      <w:tr>
        <w:trPr>
          <w:trHeight w:val="467"/>
        </w:trPr>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760" w:type="dxa"/>
            <w:vAlign w:val="bottom"/>
            <w:gridSpan w:val="3"/>
          </w:tcPr>
          <w:p>
            <w:pPr>
              <w:jc w:val="center"/>
              <w:ind w:right="1335"/>
              <w:spacing w:after="0"/>
              <w:rPr>
                <w:sz w:val="20"/>
                <w:szCs w:val="20"/>
                <w:color w:val="auto"/>
              </w:rPr>
            </w:pPr>
            <w:r>
              <w:rPr>
                <w:rFonts w:ascii="Arial" w:cs="Arial" w:eastAsia="Arial" w:hAnsi="Arial"/>
                <w:sz w:val="31"/>
                <w:szCs w:val="31"/>
                <w:b w:val="1"/>
                <w:bCs w:val="1"/>
                <w:color w:val="auto"/>
              </w:rPr>
              <w:t>FORTINET, INC.</w:t>
            </w:r>
          </w:p>
        </w:tc>
      </w:tr>
      <w:tr>
        <w:trPr>
          <w:trHeight w:val="177"/>
        </w:trPr>
        <w:tc>
          <w:tcPr>
            <w:tcW w:w="1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760" w:type="dxa"/>
            <w:vAlign w:val="bottom"/>
            <w:gridSpan w:val="3"/>
          </w:tcPr>
          <w:p>
            <w:pPr>
              <w:jc w:val="center"/>
              <w:ind w:right="1315"/>
              <w:spacing w:after="0"/>
              <w:rPr>
                <w:sz w:val="20"/>
                <w:szCs w:val="20"/>
                <w:color w:val="auto"/>
              </w:rPr>
            </w:pPr>
            <w:r>
              <w:rPr>
                <w:rFonts w:ascii="Arial" w:cs="Arial" w:eastAsia="Arial" w:hAnsi="Arial"/>
                <w:sz w:val="13"/>
                <w:szCs w:val="13"/>
                <w:b w:val="1"/>
                <w:bCs w:val="1"/>
                <w:color w:val="auto"/>
                <w:w w:val="88"/>
              </w:rPr>
              <w:t>(Exact name of registrant as specified in its charter)</w:t>
            </w:r>
          </w:p>
        </w:tc>
      </w:tr>
      <w:tr>
        <w:trPr>
          <w:trHeight w:val="136"/>
        </w:trPr>
        <w:tc>
          <w:tcPr>
            <w:tcW w:w="1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r>
      <w:tr>
        <w:trPr>
          <w:trHeight w:val="307"/>
        </w:trPr>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1"/>
              </w:rPr>
              <w:t>Delaware</w:t>
            </w:r>
          </w:p>
        </w:tc>
        <w:tc>
          <w:tcPr>
            <w:tcW w:w="4760" w:type="dxa"/>
            <w:vAlign w:val="bottom"/>
            <w:gridSpan w:val="3"/>
          </w:tcPr>
          <w:p>
            <w:pPr>
              <w:jc w:val="right"/>
              <w:ind w:right="15"/>
              <w:spacing w:after="0"/>
              <w:rPr>
                <w:sz w:val="20"/>
                <w:szCs w:val="20"/>
                <w:color w:val="auto"/>
              </w:rPr>
            </w:pPr>
            <w:r>
              <w:rPr>
                <w:rFonts w:ascii="Arial" w:cs="Arial" w:eastAsia="Arial" w:hAnsi="Arial"/>
                <w:sz w:val="13"/>
                <w:szCs w:val="13"/>
                <w:b w:val="1"/>
                <w:bCs w:val="1"/>
                <w:color w:val="auto"/>
              </w:rPr>
              <w:t>77-0560389</w:t>
            </w:r>
          </w:p>
        </w:tc>
      </w:tr>
      <w:tr>
        <w:trPr>
          <w:trHeight w:val="123"/>
        </w:trPr>
        <w:tc>
          <w:tcPr>
            <w:tcW w:w="1840" w:type="dxa"/>
            <w:vAlign w:val="bottom"/>
          </w:tcPr>
          <w:p>
            <w:pPr>
              <w:ind w:left="380"/>
              <w:spacing w:after="0"/>
              <w:rPr>
                <w:sz w:val="20"/>
                <w:szCs w:val="20"/>
                <w:color w:val="auto"/>
              </w:rPr>
            </w:pPr>
            <w:r>
              <w:rPr>
                <w:rFonts w:ascii="Arial" w:cs="Arial" w:eastAsia="Arial" w:hAnsi="Arial"/>
                <w:sz w:val="9"/>
                <w:szCs w:val="9"/>
                <w:b w:val="1"/>
                <w:bCs w:val="1"/>
                <w:color w:val="auto"/>
              </w:rPr>
              <w:t>(State or other jurisdiction of</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60" w:type="dxa"/>
            <w:vAlign w:val="bottom"/>
          </w:tcPr>
          <w:p>
            <w:pPr>
              <w:jc w:val="center"/>
              <w:ind w:left="1495"/>
              <w:spacing w:after="0"/>
              <w:rPr>
                <w:sz w:val="20"/>
                <w:szCs w:val="20"/>
                <w:color w:val="auto"/>
              </w:rPr>
            </w:pPr>
            <w:r>
              <w:rPr>
                <w:rFonts w:ascii="Arial" w:cs="Arial" w:eastAsia="Arial" w:hAnsi="Arial"/>
                <w:sz w:val="9"/>
                <w:szCs w:val="9"/>
                <w:b w:val="1"/>
                <w:bCs w:val="1"/>
                <w:color w:val="auto"/>
                <w:w w:val="92"/>
              </w:rPr>
              <w:t>(I.R.S. Employer</w:t>
            </w:r>
          </w:p>
        </w:tc>
      </w:tr>
      <w:tr>
        <w:trPr>
          <w:trHeight w:val="116"/>
        </w:trPr>
        <w:tc>
          <w:tcPr>
            <w:tcW w:w="1840" w:type="dxa"/>
            <w:vAlign w:val="bottom"/>
          </w:tcPr>
          <w:p>
            <w:pPr>
              <w:spacing w:after="0"/>
              <w:rPr>
                <w:sz w:val="10"/>
                <w:szCs w:val="10"/>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1"/>
              </w:rPr>
              <w:t>incorporation or organization)</w:t>
            </w:r>
          </w:p>
        </w:tc>
        <w:tc>
          <w:tcPr>
            <w:tcW w:w="9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60" w:type="dxa"/>
            <w:vAlign w:val="bottom"/>
          </w:tcPr>
          <w:p>
            <w:pPr>
              <w:jc w:val="center"/>
              <w:ind w:left="1495"/>
              <w:spacing w:after="0"/>
              <w:rPr>
                <w:sz w:val="20"/>
                <w:szCs w:val="20"/>
                <w:color w:val="auto"/>
              </w:rPr>
            </w:pPr>
            <w:r>
              <w:rPr>
                <w:rFonts w:ascii="Arial" w:cs="Arial" w:eastAsia="Arial" w:hAnsi="Arial"/>
                <w:sz w:val="9"/>
                <w:szCs w:val="9"/>
                <w:b w:val="1"/>
                <w:bCs w:val="1"/>
                <w:color w:val="auto"/>
                <w:w w:val="94"/>
              </w:rPr>
              <w:t>Identification No.)</w:t>
            </w:r>
          </w:p>
        </w:tc>
      </w:tr>
      <w:tr>
        <w:trPr>
          <w:trHeight w:val="186"/>
        </w:trPr>
        <w:tc>
          <w:tcPr>
            <w:tcW w:w="1840" w:type="dxa"/>
            <w:vAlign w:val="bottom"/>
          </w:tcPr>
          <w:p>
            <w:pPr>
              <w:spacing w:after="0"/>
              <w:rPr>
                <w:sz w:val="16"/>
                <w:szCs w:val="16"/>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1090 Kifer Road</w:t>
            </w: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193"/>
        </w:trPr>
        <w:tc>
          <w:tcPr>
            <w:tcW w:w="1840" w:type="dxa"/>
            <w:vAlign w:val="bottom"/>
          </w:tcPr>
          <w:p>
            <w:pPr>
              <w:spacing w:after="0"/>
              <w:rPr>
                <w:sz w:val="16"/>
                <w:szCs w:val="16"/>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Sunnyvale, California</w:t>
            </w:r>
          </w:p>
        </w:tc>
        <w:tc>
          <w:tcPr>
            <w:tcW w:w="4760" w:type="dxa"/>
            <w:vAlign w:val="bottom"/>
            <w:gridSpan w:val="3"/>
          </w:tcPr>
          <w:p>
            <w:pPr>
              <w:jc w:val="right"/>
              <w:ind w:right="155"/>
              <w:spacing w:after="0"/>
              <w:rPr>
                <w:sz w:val="20"/>
                <w:szCs w:val="20"/>
                <w:color w:val="auto"/>
              </w:rPr>
            </w:pPr>
            <w:r>
              <w:rPr>
                <w:rFonts w:ascii="Arial" w:cs="Arial" w:eastAsia="Arial" w:hAnsi="Arial"/>
                <w:sz w:val="13"/>
                <w:szCs w:val="13"/>
                <w:b w:val="1"/>
                <w:bCs w:val="1"/>
                <w:color w:val="auto"/>
              </w:rPr>
              <w:t>94086</w:t>
            </w:r>
          </w:p>
        </w:tc>
      </w:tr>
      <w:tr>
        <w:trPr>
          <w:trHeight w:val="200"/>
        </w:trPr>
        <w:tc>
          <w:tcPr>
            <w:tcW w:w="1840" w:type="dxa"/>
            <w:vAlign w:val="bottom"/>
          </w:tcPr>
          <w:p>
            <w:pPr>
              <w:spacing w:after="0"/>
              <w:rPr>
                <w:sz w:val="17"/>
                <w:szCs w:val="17"/>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88"/>
              </w:rPr>
              <w:t>(Address principal ex ecutive offices)</w:t>
            </w: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60" w:type="dxa"/>
            <w:vAlign w:val="bottom"/>
          </w:tcPr>
          <w:p>
            <w:pPr>
              <w:jc w:val="center"/>
              <w:ind w:left="1475"/>
              <w:spacing w:after="0"/>
              <w:rPr>
                <w:sz w:val="20"/>
                <w:szCs w:val="20"/>
                <w:color w:val="auto"/>
              </w:rPr>
            </w:pPr>
            <w:r>
              <w:rPr>
                <w:rFonts w:ascii="Arial" w:cs="Arial" w:eastAsia="Arial" w:hAnsi="Arial"/>
                <w:sz w:val="9"/>
                <w:szCs w:val="9"/>
                <w:b w:val="1"/>
                <w:bCs w:val="1"/>
                <w:color w:val="auto"/>
                <w:w w:val="94"/>
              </w:rPr>
              <w:t>(Zip Code)</w:t>
            </w:r>
          </w:p>
        </w:tc>
      </w:tr>
      <w:tr>
        <w:trPr>
          <w:trHeight w:val="414"/>
        </w:trPr>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00" w:type="dxa"/>
            <w:vAlign w:val="bottom"/>
            <w:gridSpan w:val="2"/>
          </w:tcPr>
          <w:p>
            <w:pPr>
              <w:jc w:val="center"/>
              <w:ind w:left="826"/>
              <w:spacing w:after="0"/>
              <w:rPr>
                <w:sz w:val="20"/>
                <w:szCs w:val="20"/>
                <w:color w:val="auto"/>
              </w:rPr>
            </w:pPr>
            <w:r>
              <w:rPr>
                <w:rFonts w:ascii="Arial" w:cs="Arial" w:eastAsia="Arial" w:hAnsi="Arial"/>
                <w:sz w:val="13"/>
                <w:szCs w:val="13"/>
                <w:b w:val="1"/>
                <w:bCs w:val="1"/>
                <w:color w:val="auto"/>
                <w:w w:val="89"/>
              </w:rPr>
              <w:t>(408) 235-7700</w:t>
            </w:r>
          </w:p>
        </w:tc>
        <w:tc>
          <w:tcPr>
            <w:tcW w:w="2260" w:type="dxa"/>
            <w:vAlign w:val="bottom"/>
          </w:tcPr>
          <w:p>
            <w:pPr>
              <w:spacing w:after="0"/>
              <w:rPr>
                <w:sz w:val="24"/>
                <w:szCs w:val="24"/>
                <w:color w:val="auto"/>
              </w:rPr>
            </w:pPr>
          </w:p>
        </w:tc>
      </w:tr>
      <w:tr>
        <w:trPr>
          <w:trHeight w:val="116"/>
        </w:trPr>
        <w:tc>
          <w:tcPr>
            <w:tcW w:w="1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760" w:type="dxa"/>
            <w:vAlign w:val="bottom"/>
            <w:gridSpan w:val="3"/>
          </w:tcPr>
          <w:p>
            <w:pPr>
              <w:jc w:val="center"/>
              <w:ind w:right="1335"/>
              <w:spacing w:after="0"/>
              <w:rPr>
                <w:sz w:val="20"/>
                <w:szCs w:val="20"/>
                <w:color w:val="auto"/>
              </w:rPr>
            </w:pPr>
            <w:r>
              <w:rPr>
                <w:rFonts w:ascii="Arial" w:cs="Arial" w:eastAsia="Arial" w:hAnsi="Arial"/>
                <w:sz w:val="9"/>
                <w:szCs w:val="9"/>
                <w:b w:val="1"/>
                <w:bCs w:val="1"/>
                <w:color w:val="auto"/>
                <w:w w:val="8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3133090</wp:posOffset>
            </wp:positionH>
            <wp:positionV relativeFrom="paragraph">
              <wp:posOffset>87630</wp:posOffset>
            </wp:positionV>
            <wp:extent cx="10223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2350" cy="6350"/>
                    </a:xfrm>
                    <a:prstGeom prst="rect">
                      <a:avLst/>
                    </a:prstGeom>
                    <a:noFill/>
                  </pic:spPr>
                </pic:pic>
              </a:graphicData>
            </a:graphic>
          </wp:anchor>
        </w:drawing>
      </w:r>
    </w:p>
    <w:p>
      <w:pPr>
        <w:spacing w:after="0" w:line="254" w:lineRule="exact"/>
        <w:rPr>
          <w:sz w:val="24"/>
          <w:szCs w:val="24"/>
          <w:color w:val="auto"/>
        </w:rPr>
      </w:pPr>
    </w:p>
    <w:p>
      <w:pPr>
        <w:ind w:right="60" w:firstLine="347"/>
        <w:spacing w:after="0" w:line="268"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9" w:lineRule="exact"/>
        <w:rPr>
          <w:sz w:val="24"/>
          <w:szCs w:val="24"/>
          <w:color w:val="auto"/>
        </w:rPr>
      </w:pPr>
    </w:p>
    <w:p>
      <w:pPr>
        <w:ind w:right="500" w:firstLine="347"/>
        <w:spacing w:after="0" w:line="310"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 uch shorter period that the registrant was required to submit and post such files). Yes [ ] No [ ]</w:t>
      </w:r>
    </w:p>
    <w:p>
      <w:pPr>
        <w:spacing w:after="0" w:line="106" w:lineRule="exact"/>
        <w:rPr>
          <w:sz w:val="24"/>
          <w:szCs w:val="24"/>
          <w:color w:val="auto"/>
        </w:rPr>
      </w:pPr>
    </w:p>
    <w:p>
      <w:pPr>
        <w:ind w:right="100" w:firstLine="347"/>
        <w:spacing w:after="0" w:line="26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1680" w:type="dxa"/>
            <w:vAlign w:val="bottom"/>
          </w:tcPr>
          <w:p>
            <w:pPr>
              <w:ind w:left="20"/>
              <w:spacing w:after="0"/>
              <w:rPr>
                <w:sz w:val="20"/>
                <w:szCs w:val="20"/>
                <w:color w:val="auto"/>
              </w:rPr>
            </w:pPr>
            <w:r>
              <w:rPr>
                <w:rFonts w:ascii="Arial" w:cs="Arial" w:eastAsia="Arial" w:hAnsi="Arial"/>
                <w:sz w:val="13"/>
                <w:szCs w:val="13"/>
                <w:color w:val="auto"/>
              </w:rPr>
              <w:t>Large accelerated filer</w:t>
            </w:r>
          </w:p>
        </w:tc>
        <w:tc>
          <w:tcPr>
            <w:tcW w:w="880" w:type="dxa"/>
            <w:vAlign w:val="bottom"/>
          </w:tcPr>
          <w:p>
            <w:pPr>
              <w:ind w:left="520"/>
              <w:spacing w:after="0"/>
              <w:rPr>
                <w:sz w:val="20"/>
                <w:szCs w:val="20"/>
                <w:color w:val="auto"/>
              </w:rPr>
            </w:pPr>
            <w:r>
              <w:rPr>
                <w:rFonts w:ascii="Arial" w:cs="Arial" w:eastAsia="Arial" w:hAnsi="Arial"/>
                <w:sz w:val="13"/>
                <w:szCs w:val="13"/>
                <w:color w:val="auto"/>
              </w:rPr>
              <w:t>[ ]</w:t>
            </w:r>
          </w:p>
        </w:tc>
        <w:tc>
          <w:tcPr>
            <w:tcW w:w="3680" w:type="dxa"/>
            <w:vAlign w:val="bottom"/>
          </w:tcPr>
          <w:p>
            <w:pPr>
              <w:spacing w:after="0"/>
              <w:rPr>
                <w:sz w:val="14"/>
                <w:szCs w:val="14"/>
                <w:color w:val="auto"/>
              </w:rPr>
            </w:pPr>
          </w:p>
        </w:tc>
        <w:tc>
          <w:tcPr>
            <w:tcW w:w="4060" w:type="dxa"/>
            <w:vAlign w:val="bottom"/>
          </w:tcPr>
          <w:p>
            <w:pPr>
              <w:ind w:left="2040"/>
              <w:spacing w:after="0"/>
              <w:rPr>
                <w:sz w:val="20"/>
                <w:szCs w:val="20"/>
                <w:color w:val="auto"/>
              </w:rPr>
            </w:pPr>
            <w:r>
              <w:rPr>
                <w:rFonts w:ascii="Arial" w:cs="Arial" w:eastAsia="Arial" w:hAnsi="Arial"/>
                <w:sz w:val="13"/>
                <w:szCs w:val="13"/>
                <w:color w:val="auto"/>
              </w:rPr>
              <w:t>Accelerated filer</w:t>
            </w:r>
          </w:p>
        </w:tc>
        <w:tc>
          <w:tcPr>
            <w:tcW w:w="1180" w:type="dxa"/>
            <w:vAlign w:val="bottom"/>
          </w:tcPr>
          <w:p>
            <w:pPr>
              <w:jc w:val="right"/>
              <w:ind w:right="376"/>
              <w:spacing w:after="0"/>
              <w:rPr>
                <w:sz w:val="20"/>
                <w:szCs w:val="20"/>
                <w:color w:val="auto"/>
              </w:rPr>
            </w:pPr>
            <w:r>
              <w:rPr>
                <w:rFonts w:ascii="Arial" w:cs="Arial" w:eastAsia="Arial" w:hAnsi="Arial"/>
                <w:sz w:val="13"/>
                <w:szCs w:val="13"/>
                <w:color w:val="auto"/>
              </w:rPr>
              <w:t>[ ]</w:t>
            </w:r>
          </w:p>
        </w:tc>
      </w:tr>
      <w:tr>
        <w:trPr>
          <w:trHeight w:val="280"/>
        </w:trPr>
        <w:tc>
          <w:tcPr>
            <w:tcW w:w="1680" w:type="dxa"/>
            <w:vAlign w:val="bottom"/>
          </w:tcPr>
          <w:p>
            <w:pPr>
              <w:ind w:left="20"/>
              <w:spacing w:after="0"/>
              <w:rPr>
                <w:sz w:val="20"/>
                <w:szCs w:val="20"/>
                <w:color w:val="auto"/>
              </w:rPr>
            </w:pPr>
            <w:r>
              <w:rPr>
                <w:rFonts w:ascii="Arial" w:cs="Arial" w:eastAsia="Arial" w:hAnsi="Arial"/>
                <w:sz w:val="13"/>
                <w:szCs w:val="13"/>
                <w:color w:val="auto"/>
              </w:rPr>
              <w:t>Non-accelerated filer</w:t>
            </w:r>
          </w:p>
        </w:tc>
        <w:tc>
          <w:tcPr>
            <w:tcW w:w="880" w:type="dxa"/>
            <w:vAlign w:val="bottom"/>
          </w:tcPr>
          <w:p>
            <w:pPr>
              <w:ind w:left="520"/>
              <w:spacing w:after="0"/>
              <w:rPr>
                <w:sz w:val="20"/>
                <w:szCs w:val="20"/>
                <w:color w:val="auto"/>
              </w:rPr>
            </w:pPr>
            <w:r>
              <w:rPr>
                <w:rFonts w:ascii="Arial" w:cs="Arial" w:eastAsia="Arial" w:hAnsi="Arial"/>
                <w:sz w:val="13"/>
                <w:szCs w:val="13"/>
                <w:color w:val="auto"/>
              </w:rPr>
              <w:t>[x]</w:t>
            </w:r>
          </w:p>
        </w:tc>
        <w:tc>
          <w:tcPr>
            <w:tcW w:w="3680" w:type="dxa"/>
            <w:vAlign w:val="bottom"/>
          </w:tcPr>
          <w:p>
            <w:pPr>
              <w:ind w:left="220"/>
              <w:spacing w:after="0"/>
              <w:rPr>
                <w:sz w:val="20"/>
                <w:szCs w:val="20"/>
                <w:color w:val="auto"/>
              </w:rPr>
            </w:pPr>
            <w:r>
              <w:rPr>
                <w:rFonts w:ascii="Arial" w:cs="Arial" w:eastAsia="Arial" w:hAnsi="Arial"/>
                <w:sz w:val="13"/>
                <w:szCs w:val="13"/>
                <w:color w:val="auto"/>
              </w:rPr>
              <w:t>(Do not check if a smaller reporting company)</w:t>
            </w:r>
          </w:p>
        </w:tc>
        <w:tc>
          <w:tcPr>
            <w:tcW w:w="4060" w:type="dxa"/>
            <w:vAlign w:val="bottom"/>
          </w:tcPr>
          <w:p>
            <w:pPr>
              <w:ind w:left="2040"/>
              <w:spacing w:after="0"/>
              <w:rPr>
                <w:sz w:val="20"/>
                <w:szCs w:val="20"/>
                <w:color w:val="auto"/>
              </w:rPr>
            </w:pPr>
            <w:r>
              <w:rPr>
                <w:rFonts w:ascii="Arial" w:cs="Arial" w:eastAsia="Arial" w:hAnsi="Arial"/>
                <w:sz w:val="13"/>
                <w:szCs w:val="13"/>
                <w:color w:val="auto"/>
              </w:rPr>
              <w:t>Smaller reporting company</w:t>
            </w:r>
          </w:p>
        </w:tc>
        <w:tc>
          <w:tcPr>
            <w:tcW w:w="1180" w:type="dxa"/>
            <w:vAlign w:val="bottom"/>
          </w:tcPr>
          <w:p>
            <w:pPr>
              <w:jc w:val="right"/>
              <w:ind w:right="376"/>
              <w:spacing w:after="0"/>
              <w:rPr>
                <w:sz w:val="20"/>
                <w:szCs w:val="20"/>
                <w:color w:val="auto"/>
              </w:rPr>
            </w:pPr>
            <w:r>
              <w:rPr>
                <w:rFonts w:ascii="Arial" w:cs="Arial" w:eastAsia="Arial" w:hAnsi="Arial"/>
                <w:sz w:val="13"/>
                <w:szCs w:val="13"/>
                <w:color w:val="auto"/>
              </w:rPr>
              <w:t>[ ]</w:t>
            </w:r>
          </w:p>
        </w:tc>
      </w:tr>
      <w:tr>
        <w:trPr>
          <w:trHeight w:val="328"/>
        </w:trPr>
        <w:tc>
          <w:tcPr>
            <w:tcW w:w="6240" w:type="dxa"/>
            <w:vAlign w:val="bottom"/>
            <w:gridSpan w:val="3"/>
          </w:tcPr>
          <w:p>
            <w:pPr>
              <w:ind w:left="340"/>
              <w:spacing w:after="0"/>
              <w:rPr>
                <w:sz w:val="20"/>
                <w:szCs w:val="20"/>
                <w:color w:val="auto"/>
              </w:rPr>
            </w:pPr>
            <w:r>
              <w:rPr>
                <w:rFonts w:ascii="Arial" w:cs="Arial" w:eastAsia="Arial" w:hAnsi="Arial"/>
                <w:sz w:val="13"/>
                <w:szCs w:val="13"/>
                <w:color w:val="auto"/>
                <w:w w:val="90"/>
              </w:rPr>
              <w:t>Indicate by check mark whether the registrant is a shell company (as defined in Rule 12b-2 of the Exchange Act).</w:t>
            </w:r>
          </w:p>
        </w:tc>
        <w:tc>
          <w:tcPr>
            <w:tcW w:w="4060" w:type="dxa"/>
            <w:vAlign w:val="bottom"/>
          </w:tcPr>
          <w:p>
            <w:pPr>
              <w:ind w:left="60"/>
              <w:spacing w:after="0"/>
              <w:rPr>
                <w:sz w:val="20"/>
                <w:szCs w:val="20"/>
                <w:color w:val="auto"/>
              </w:rPr>
            </w:pPr>
            <w:r>
              <w:rPr>
                <w:rFonts w:ascii="Arial" w:cs="Arial" w:eastAsia="Arial" w:hAnsi="Arial"/>
                <w:sz w:val="13"/>
                <w:szCs w:val="13"/>
                <w:color w:val="auto"/>
              </w:rPr>
              <w:t>Yes [ ] &amp;n bsp; No  [x]</w:t>
            </w:r>
          </w:p>
        </w:tc>
        <w:tc>
          <w:tcPr>
            <w:tcW w:w="1180" w:type="dxa"/>
            <w:vAlign w:val="bottom"/>
          </w:tcPr>
          <w:p>
            <w:pPr>
              <w:spacing w:after="0"/>
              <w:rPr>
                <w:sz w:val="24"/>
                <w:szCs w:val="24"/>
                <w:color w:val="auto"/>
              </w:rPr>
            </w:pPr>
          </w:p>
        </w:tc>
      </w:tr>
      <w:tr>
        <w:trPr>
          <w:trHeight w:val="309"/>
        </w:trPr>
        <w:tc>
          <w:tcPr>
            <w:tcW w:w="6240" w:type="dxa"/>
            <w:vAlign w:val="bottom"/>
            <w:gridSpan w:val="3"/>
          </w:tcPr>
          <w:p>
            <w:pPr>
              <w:ind w:left="340"/>
              <w:spacing w:after="0"/>
              <w:rPr>
                <w:sz w:val="20"/>
                <w:szCs w:val="20"/>
                <w:color w:val="auto"/>
              </w:rPr>
            </w:pPr>
            <w:r>
              <w:rPr>
                <w:rFonts w:ascii="Arial" w:cs="Arial" w:eastAsia="Arial" w:hAnsi="Arial"/>
                <w:sz w:val="13"/>
                <w:szCs w:val="13"/>
                <w:color w:val="auto"/>
              </w:rPr>
              <w:t>As of October 29, 2010, there were 73,697,694 shares of the registrant's common stock outstanding.</w:t>
            </w:r>
          </w:p>
        </w:tc>
        <w:tc>
          <w:tcPr>
            <w:tcW w:w="40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16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bl>
    <w:p>
      <w:pPr>
        <w:sectPr>
          <w:pgSz w:w="11900" w:h="16838" w:orient="portrait"/>
          <w:cols w:equalWidth="0" w:num="1">
            <w:col w:w="11480"/>
          </w:cols>
          <w:pgMar w:left="220" w:top="227" w:right="199" w:bottom="1440" w:gutter="0" w:footer="0" w:header="0"/>
        </w:sectPr>
      </w:pPr>
    </w:p>
    <w:bookmarkStart w:id="1" w:name="page2"/>
    <w:bookmarkEnd w:id="1"/>
    <w:p>
      <w:pPr>
        <w:jc w:val="center"/>
        <w:ind w:right="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FORTINET, INC.</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QUARTERLY REPORT ON FORM 10-Q</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 xml:space="preserve">For the Quarter Ended </w:t>
      </w:r>
      <w:r>
        <w:rPr>
          <w:rFonts w:ascii="Arial" w:cs="Arial" w:eastAsia="Arial" w:hAnsi="Arial"/>
          <w:sz w:val="13"/>
          <w:szCs w:val="13"/>
          <w:b w:val="1"/>
          <w:bCs w:val="1"/>
          <w:color w:val="auto"/>
        </w:rPr>
        <w:t>September 30, 2010</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auto"/>
              </w:rPr>
              <w:t>&lt; /tr&gt;</w:t>
            </w:r>
          </w:p>
        </w:tc>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5"/>
        </w:trPr>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20" w:type="dxa"/>
            <w:vAlign w:val="bottom"/>
            <w:gridSpan w:val="5"/>
          </w:tcPr>
          <w:p>
            <w:pPr>
              <w:jc w:val="right"/>
              <w:ind w:right="20"/>
              <w:spacing w:after="0" w:line="146" w:lineRule="exact"/>
              <w:rPr>
                <w:sz w:val="20"/>
                <w:szCs w:val="20"/>
                <w:color w:val="auto"/>
              </w:rPr>
            </w:pPr>
            <w:r>
              <w:rPr>
                <w:rFonts w:ascii="Arial" w:cs="Arial" w:eastAsia="Arial" w:hAnsi="Arial"/>
                <w:sz w:val="13"/>
                <w:szCs w:val="13"/>
                <w:b w:val="1"/>
                <w:bCs w:val="1"/>
                <w:color w:val="auto"/>
              </w:rPr>
              <w:t>Page</w:t>
            </w:r>
          </w:p>
        </w:tc>
      </w:tr>
      <w:tr>
        <w:trPr>
          <w:trHeight w:val="173"/>
        </w:trPr>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gridSpan w:val="4"/>
          </w:tcPr>
          <w:p>
            <w:pPr>
              <w:jc w:val="center"/>
              <w:ind w:right="456"/>
              <w:spacing w:after="0"/>
              <w:rPr>
                <w:rFonts w:ascii="Arial" w:cs="Arial" w:eastAsia="Arial" w:hAnsi="Arial"/>
                <w:sz w:val="13"/>
                <w:szCs w:val="13"/>
                <w:b w:val="1"/>
                <w:bCs w:val="1"/>
                <w:color w:val="0000FF"/>
                <w:w w:val="98"/>
              </w:rPr>
            </w:pPr>
            <w:hyperlink w:anchor="page2">
              <w:r>
                <w:rPr>
                  <w:rFonts w:ascii="Arial" w:cs="Arial" w:eastAsia="Arial" w:hAnsi="Arial"/>
                  <w:sz w:val="13"/>
                  <w:szCs w:val="13"/>
                  <w:b w:val="1"/>
                  <w:bCs w:val="1"/>
                  <w:color w:val="0000FF"/>
                  <w:w w:val="98"/>
                </w:rPr>
                <w:t>Part I</w:t>
              </w:r>
            </w:hyperlink>
          </w:p>
        </w:tc>
        <w:tc>
          <w:tcPr>
            <w:tcW w:w="5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116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4000" w:type="dxa"/>
            <w:vAlign w:val="bottom"/>
            <w:gridSpan w:val="10"/>
          </w:tcPr>
          <w:p>
            <w:pPr>
              <w:spacing w:after="0"/>
              <w:rPr>
                <w:rFonts w:ascii="Arial" w:cs="Arial" w:eastAsia="Arial" w:hAnsi="Arial"/>
                <w:sz w:val="13"/>
                <w:szCs w:val="13"/>
                <w:b w:val="1"/>
                <w:bCs w:val="1"/>
                <w:color w:val="0000FF"/>
              </w:rPr>
            </w:pPr>
            <w:hyperlink w:anchor="page3">
              <w:r>
                <w:rPr>
                  <w:rFonts w:ascii="Arial" w:cs="Arial" w:eastAsia="Arial" w:hAnsi="Arial"/>
                  <w:sz w:val="13"/>
                  <w:szCs w:val="13"/>
                  <w:b w:val="1"/>
                  <w:bCs w:val="1"/>
                  <w:color w:val="0000FF"/>
                </w:rPr>
                <w:t>Financial Statements</w:t>
              </w:r>
            </w:hyperlink>
          </w:p>
        </w:tc>
        <w:tc>
          <w:tcPr>
            <w:tcW w:w="320" w:type="dxa"/>
            <w:vAlign w:val="bottom"/>
            <w:tcBorders>
              <w:top w:val="single" w:sz="8" w:color="0000FF"/>
            </w:tcBorders>
          </w:tcPr>
          <w:p>
            <w:pPr>
              <w:spacing w:after="0"/>
              <w:rPr>
                <w:sz w:val="15"/>
                <w:szCs w:val="15"/>
                <w:color w:val="auto"/>
              </w:rPr>
            </w:pPr>
          </w:p>
        </w:tc>
        <w:tc>
          <w:tcPr>
            <w:tcW w:w="560" w:type="dxa"/>
            <w:vAlign w:val="bottom"/>
            <w:gridSpan w:val="2"/>
          </w:tcPr>
          <w:p>
            <w:pPr>
              <w:spacing w:after="0"/>
              <w:rPr>
                <w:sz w:val="15"/>
                <w:szCs w:val="15"/>
                <w:color w:val="auto"/>
              </w:rPr>
            </w:pPr>
          </w:p>
        </w:tc>
        <w:tc>
          <w:tcPr>
            <w:tcW w:w="5420" w:type="dxa"/>
            <w:vAlign w:val="bottom"/>
            <w:gridSpan w:val="5"/>
          </w:tcPr>
          <w:p>
            <w:pPr>
              <w:jc w:val="right"/>
              <w:spacing w:after="0"/>
              <w:rPr>
                <w:rFonts w:ascii="Arial" w:cs="Arial" w:eastAsia="Arial" w:hAnsi="Arial"/>
                <w:sz w:val="13"/>
                <w:szCs w:val="13"/>
                <w:color w:val="0000FF"/>
              </w:rPr>
            </w:pPr>
            <w:hyperlink w:anchor="page3">
              <w:r>
                <w:rPr>
                  <w:rFonts w:ascii="Arial" w:cs="Arial" w:eastAsia="Arial" w:hAnsi="Arial"/>
                  <w:sz w:val="13"/>
                  <w:szCs w:val="13"/>
                  <w:color w:val="0000FF"/>
                </w:rPr>
                <w:t>3</w:t>
              </w:r>
            </w:hyperlink>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r>
      <w:tr>
        <w:trPr>
          <w:trHeight w:val="173"/>
        </w:trPr>
        <w:tc>
          <w:tcPr>
            <w:tcW w:w="1160" w:type="dxa"/>
            <w:vAlign w:val="bottom"/>
          </w:tcPr>
          <w:p>
            <w:pPr>
              <w:spacing w:after="0"/>
              <w:rPr>
                <w:sz w:val="20"/>
                <w:szCs w:val="20"/>
                <w:color w:val="auto"/>
              </w:rPr>
            </w:pPr>
            <w:r>
              <w:rPr>
                <w:rFonts w:ascii="Arial" w:cs="Arial" w:eastAsia="Arial" w:hAnsi="Arial"/>
                <w:sz w:val="13"/>
                <w:szCs w:val="13"/>
                <w:b w:val="1"/>
                <w:bCs w:val="1"/>
                <w:color w:val="auto"/>
              </w:rPr>
              <w:t>Item 2.</w:t>
            </w:r>
          </w:p>
        </w:tc>
        <w:tc>
          <w:tcPr>
            <w:tcW w:w="4880" w:type="dxa"/>
            <w:vAlign w:val="bottom"/>
            <w:tcBorders>
              <w:bottom w:val="single" w:sz="8" w:color="0000FF"/>
            </w:tcBorders>
            <w:gridSpan w:val="13"/>
          </w:tcPr>
          <w:p>
            <w:pPr>
              <w:spacing w:after="0"/>
              <w:rPr>
                <w:rFonts w:ascii="Arial" w:cs="Arial" w:eastAsia="Arial" w:hAnsi="Arial"/>
                <w:sz w:val="13"/>
                <w:szCs w:val="13"/>
                <w:b w:val="1"/>
                <w:bCs w:val="1"/>
                <w:color w:val="0000FF"/>
                <w:w w:val="88"/>
              </w:rPr>
            </w:pPr>
            <w:hyperlink w:anchor="page22">
              <w:r>
                <w:rPr>
                  <w:rFonts w:ascii="Arial" w:cs="Arial" w:eastAsia="Arial" w:hAnsi="Arial"/>
                  <w:sz w:val="13"/>
                  <w:szCs w:val="13"/>
                  <w:b w:val="1"/>
                  <w:bCs w:val="1"/>
                  <w:color w:val="0000FF"/>
                  <w:w w:val="88"/>
                </w:rPr>
                <w:t>Management's Discussion and Analysis of Financial Condition and Results of Operations</w:t>
              </w:r>
            </w:hyperlink>
          </w:p>
        </w:tc>
        <w:tc>
          <w:tcPr>
            <w:tcW w:w="5260" w:type="dxa"/>
            <w:vAlign w:val="bottom"/>
            <w:gridSpan w:val="2"/>
          </w:tcPr>
          <w:p>
            <w:pPr>
              <w:spacing w:after="0"/>
              <w:rPr>
                <w:sz w:val="15"/>
                <w:szCs w:val="15"/>
                <w:color w:val="auto"/>
              </w:rPr>
            </w:pPr>
          </w:p>
        </w:tc>
        <w:tc>
          <w:tcPr>
            <w:tcW w:w="140" w:type="dxa"/>
            <w:vAlign w:val="bottom"/>
            <w:tcBorders>
              <w:bottom w:val="single" w:sz="8" w:color="0000FF"/>
            </w:tcBorders>
            <w:gridSpan w:val="2"/>
          </w:tcPr>
          <w:p>
            <w:pPr>
              <w:jc w:val="right"/>
              <w:spacing w:after="0"/>
              <w:rPr>
                <w:rFonts w:ascii="Arial" w:cs="Arial" w:eastAsia="Arial" w:hAnsi="Arial"/>
                <w:sz w:val="13"/>
                <w:szCs w:val="13"/>
                <w:color w:val="0000FF"/>
                <w:w w:val="82"/>
              </w:rPr>
            </w:pPr>
            <w:hyperlink w:anchor="page22">
              <w:r>
                <w:rPr>
                  <w:rFonts w:ascii="Arial" w:cs="Arial" w:eastAsia="Arial" w:hAnsi="Arial"/>
                  <w:sz w:val="13"/>
                  <w:szCs w:val="13"/>
                  <w:color w:val="0000FF"/>
                  <w:w w:val="82"/>
                </w:rPr>
                <w:t>23</w:t>
              </w:r>
            </w:hyperlink>
          </w:p>
        </w:tc>
        <w:tc>
          <w:tcPr>
            <w:tcW w:w="20" w:type="dxa"/>
            <w:vAlign w:val="bottom"/>
          </w:tcPr>
          <w:p>
            <w:pPr>
              <w:spacing w:after="0"/>
              <w:rPr>
                <w:sz w:val="15"/>
                <w:szCs w:val="15"/>
                <w:color w:val="auto"/>
              </w:rPr>
            </w:pPr>
          </w:p>
        </w:tc>
      </w:tr>
      <w:tr>
        <w:trPr>
          <w:trHeight w:val="173"/>
        </w:trPr>
        <w:tc>
          <w:tcPr>
            <w:tcW w:w="1160" w:type="dxa"/>
            <w:vAlign w:val="bottom"/>
          </w:tcPr>
          <w:p>
            <w:pPr>
              <w:spacing w:after="0"/>
              <w:rPr>
                <w:sz w:val="20"/>
                <w:szCs w:val="20"/>
                <w:color w:val="auto"/>
              </w:rPr>
            </w:pPr>
            <w:r>
              <w:rPr>
                <w:rFonts w:ascii="Arial" w:cs="Arial" w:eastAsia="Arial" w:hAnsi="Arial"/>
                <w:sz w:val="13"/>
                <w:szCs w:val="13"/>
                <w:b w:val="1"/>
                <w:bCs w:val="1"/>
                <w:color w:val="auto"/>
              </w:rPr>
              <w:t>Item 3.</w:t>
            </w:r>
          </w:p>
        </w:tc>
        <w:tc>
          <w:tcPr>
            <w:tcW w:w="3300" w:type="dxa"/>
            <w:vAlign w:val="bottom"/>
            <w:tcBorders>
              <w:bottom w:val="single" w:sz="8" w:color="0000FF"/>
            </w:tcBorders>
            <w:gridSpan w:val="8"/>
          </w:tcPr>
          <w:p>
            <w:pPr>
              <w:spacing w:after="0"/>
              <w:rPr>
                <w:rFonts w:ascii="Arial" w:cs="Arial" w:eastAsia="Arial" w:hAnsi="Arial"/>
                <w:sz w:val="13"/>
                <w:szCs w:val="13"/>
                <w:b w:val="1"/>
                <w:bCs w:val="1"/>
                <w:color w:val="0000FF"/>
                <w:w w:val="89"/>
              </w:rPr>
            </w:pPr>
            <w:hyperlink w:anchor="page39">
              <w:r>
                <w:rPr>
                  <w:rFonts w:ascii="Arial" w:cs="Arial" w:eastAsia="Arial" w:hAnsi="Arial"/>
                  <w:sz w:val="13"/>
                  <w:szCs w:val="13"/>
                  <w:b w:val="1"/>
                  <w:bCs w:val="1"/>
                  <w:color w:val="0000FF"/>
                  <w:w w:val="89"/>
                </w:rPr>
                <w:t>Quantitative and Qualitative Disclosures about Market Risk</w:t>
              </w:r>
            </w:hyperlink>
          </w:p>
        </w:tc>
        <w:tc>
          <w:tcPr>
            <w:tcW w:w="1580" w:type="dxa"/>
            <w:vAlign w:val="bottom"/>
            <w:gridSpan w:val="5"/>
          </w:tcPr>
          <w:p>
            <w:pPr>
              <w:spacing w:after="0"/>
              <w:rPr>
                <w:sz w:val="15"/>
                <w:szCs w:val="15"/>
                <w:color w:val="auto"/>
              </w:rPr>
            </w:pPr>
          </w:p>
        </w:tc>
        <w:tc>
          <w:tcPr>
            <w:tcW w:w="5260" w:type="dxa"/>
            <w:vAlign w:val="bottom"/>
            <w:gridSpan w:val="2"/>
          </w:tcPr>
          <w:p>
            <w:pPr>
              <w:spacing w:after="0"/>
              <w:rPr>
                <w:sz w:val="15"/>
                <w:szCs w:val="15"/>
                <w:color w:val="auto"/>
              </w:rPr>
            </w:pPr>
          </w:p>
        </w:tc>
        <w:tc>
          <w:tcPr>
            <w:tcW w:w="140" w:type="dxa"/>
            <w:vAlign w:val="bottom"/>
            <w:tcBorders>
              <w:bottom w:val="single" w:sz="8" w:color="0000FF"/>
            </w:tcBorders>
            <w:gridSpan w:val="2"/>
          </w:tcPr>
          <w:p>
            <w:pPr>
              <w:jc w:val="right"/>
              <w:spacing w:after="0"/>
              <w:rPr>
                <w:rFonts w:ascii="Arial" w:cs="Arial" w:eastAsia="Arial" w:hAnsi="Arial"/>
                <w:sz w:val="13"/>
                <w:szCs w:val="13"/>
                <w:color w:val="0000FF"/>
                <w:w w:val="82"/>
              </w:rPr>
            </w:pPr>
            <w:hyperlink w:anchor="page39">
              <w:r>
                <w:rPr>
                  <w:rFonts w:ascii="Arial" w:cs="Arial" w:eastAsia="Arial" w:hAnsi="Arial"/>
                  <w:sz w:val="13"/>
                  <w:szCs w:val="13"/>
                  <w:color w:val="0000FF"/>
                  <w:w w:val="82"/>
                </w:rPr>
                <w:t>40</w:t>
              </w:r>
            </w:hyperlink>
          </w:p>
        </w:tc>
        <w:tc>
          <w:tcPr>
            <w:tcW w:w="20" w:type="dxa"/>
            <w:vAlign w:val="bottom"/>
          </w:tcPr>
          <w:p>
            <w:pPr>
              <w:spacing w:after="0"/>
              <w:rPr>
                <w:sz w:val="15"/>
                <w:szCs w:val="15"/>
                <w:color w:val="auto"/>
              </w:rPr>
            </w:pPr>
          </w:p>
        </w:tc>
      </w:tr>
      <w:tr>
        <w:trPr>
          <w:trHeight w:val="173"/>
        </w:trPr>
        <w:tc>
          <w:tcPr>
            <w:tcW w:w="1160" w:type="dxa"/>
            <w:vAlign w:val="bottom"/>
          </w:tcPr>
          <w:p>
            <w:pPr>
              <w:spacing w:after="0"/>
              <w:rPr>
                <w:sz w:val="20"/>
                <w:szCs w:val="20"/>
                <w:color w:val="auto"/>
              </w:rPr>
            </w:pPr>
            <w:r>
              <w:rPr>
                <w:rFonts w:ascii="Arial" w:cs="Arial" w:eastAsia="Arial" w:hAnsi="Arial"/>
                <w:sz w:val="13"/>
                <w:szCs w:val="13"/>
                <w:b w:val="1"/>
                <w:bCs w:val="1"/>
                <w:color w:val="auto"/>
              </w:rPr>
              <w:t>Item 4.</w:t>
            </w:r>
          </w:p>
        </w:tc>
        <w:tc>
          <w:tcPr>
            <w:tcW w:w="4880" w:type="dxa"/>
            <w:vAlign w:val="bottom"/>
            <w:gridSpan w:val="13"/>
          </w:tcPr>
          <w:p>
            <w:pPr>
              <w:spacing w:after="0"/>
              <w:rPr>
                <w:rFonts w:ascii="Arial" w:cs="Arial" w:eastAsia="Arial" w:hAnsi="Arial"/>
                <w:sz w:val="13"/>
                <w:szCs w:val="13"/>
                <w:b w:val="1"/>
                <w:bCs w:val="1"/>
                <w:color w:val="0000FF"/>
              </w:rPr>
            </w:pPr>
            <w:hyperlink w:anchor="page39">
              <w:r>
                <w:rPr>
                  <w:rFonts w:ascii="Arial" w:cs="Arial" w:eastAsia="Arial" w:hAnsi="Arial"/>
                  <w:sz w:val="13"/>
                  <w:szCs w:val="13"/>
                  <w:b w:val="1"/>
                  <w:bCs w:val="1"/>
                  <w:color w:val="0000FF"/>
                </w:rPr>
                <w:t>Controls and Procedures</w:t>
              </w:r>
            </w:hyperlink>
          </w:p>
        </w:tc>
        <w:tc>
          <w:tcPr>
            <w:tcW w:w="5420" w:type="dxa"/>
            <w:vAlign w:val="bottom"/>
            <w:gridSpan w:val="5"/>
          </w:tcPr>
          <w:p>
            <w:pPr>
              <w:jc w:val="right"/>
              <w:ind w:right="20"/>
              <w:spacing w:after="0"/>
              <w:rPr>
                <w:rFonts w:ascii="Arial" w:cs="Arial" w:eastAsia="Arial" w:hAnsi="Arial"/>
                <w:sz w:val="13"/>
                <w:szCs w:val="13"/>
                <w:color w:val="0000FF"/>
              </w:rPr>
            </w:pPr>
            <w:hyperlink w:anchor="page39">
              <w:r>
                <w:rPr>
                  <w:rFonts w:ascii="Arial" w:cs="Arial" w:eastAsia="Arial" w:hAnsi="Arial"/>
                  <w:sz w:val="13"/>
                  <w:szCs w:val="13"/>
                  <w:color w:val="0000FF"/>
                </w:rPr>
                <w:t>40</w:t>
              </w:r>
            </w:hyperlink>
          </w:p>
        </w:tc>
      </w:tr>
      <w:tr>
        <w:trPr>
          <w:trHeight w:val="173"/>
        </w:trPr>
        <w:tc>
          <w:tcPr>
            <w:tcW w:w="1160" w:type="dxa"/>
            <w:vAlign w:val="bottom"/>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gridSpan w:val="4"/>
          </w:tcPr>
          <w:p>
            <w:pPr>
              <w:jc w:val="center"/>
              <w:ind w:right="476"/>
              <w:spacing w:after="0"/>
              <w:rPr>
                <w:rFonts w:ascii="Arial" w:cs="Arial" w:eastAsia="Arial" w:hAnsi="Arial"/>
                <w:sz w:val="13"/>
                <w:szCs w:val="13"/>
                <w:b w:val="1"/>
                <w:bCs w:val="1"/>
                <w:color w:val="0000FF"/>
              </w:rPr>
            </w:pPr>
            <w:hyperlink w:anchor="page40">
              <w:r>
                <w:rPr>
                  <w:rFonts w:ascii="Arial" w:cs="Arial" w:eastAsia="Arial" w:hAnsi="Arial"/>
                  <w:sz w:val="13"/>
                  <w:szCs w:val="13"/>
                  <w:b w:val="1"/>
                  <w:bCs w:val="1"/>
                  <w:color w:val="0000FF"/>
                </w:rPr>
                <w:t>Part II</w:t>
              </w:r>
            </w:hyperlink>
          </w:p>
        </w:tc>
        <w:tc>
          <w:tcPr>
            <w:tcW w:w="5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116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1000" w:type="dxa"/>
            <w:vAlign w:val="bottom"/>
            <w:tcBorders>
              <w:bottom w:val="single" w:sz="8" w:color="0000FF"/>
            </w:tcBorders>
            <w:gridSpan w:val="4"/>
          </w:tcPr>
          <w:p>
            <w:pPr>
              <w:spacing w:after="0"/>
              <w:rPr>
                <w:rFonts w:ascii="Arial" w:cs="Arial" w:eastAsia="Arial" w:hAnsi="Arial"/>
                <w:sz w:val="13"/>
                <w:szCs w:val="13"/>
                <w:b w:val="1"/>
                <w:bCs w:val="1"/>
                <w:color w:val="0000FF"/>
                <w:w w:val="84"/>
              </w:rPr>
            </w:pPr>
            <w:hyperlink w:anchor="page40">
              <w:r>
                <w:rPr>
                  <w:rFonts w:ascii="Arial" w:cs="Arial" w:eastAsia="Arial" w:hAnsi="Arial"/>
                  <w:sz w:val="13"/>
                  <w:szCs w:val="13"/>
                  <w:b w:val="1"/>
                  <w:bCs w:val="1"/>
                  <w:color w:val="0000FF"/>
                  <w:w w:val="84"/>
                </w:rPr>
                <w:t>Legal Proceedings</w:t>
              </w:r>
            </w:hyperlink>
          </w:p>
        </w:tc>
        <w:tc>
          <w:tcPr>
            <w:tcW w:w="2960" w:type="dxa"/>
            <w:vAlign w:val="bottom"/>
            <w:gridSpan w:val="5"/>
          </w:tcPr>
          <w:p>
            <w:pPr>
              <w:spacing w:after="0"/>
              <w:rPr>
                <w:sz w:val="15"/>
                <w:szCs w:val="15"/>
                <w:color w:val="auto"/>
              </w:rPr>
            </w:pPr>
          </w:p>
        </w:tc>
        <w:tc>
          <w:tcPr>
            <w:tcW w:w="380" w:type="dxa"/>
            <w:vAlign w:val="bottom"/>
            <w:tcBorders>
              <w:top w:val="single" w:sz="8" w:color="0000FF"/>
            </w:tcBorders>
            <w:gridSpan w:val="3"/>
          </w:tcPr>
          <w:p>
            <w:pPr>
              <w:spacing w:after="0"/>
              <w:rPr>
                <w:sz w:val="15"/>
                <w:szCs w:val="15"/>
                <w:color w:val="auto"/>
              </w:rPr>
            </w:pPr>
          </w:p>
        </w:tc>
        <w:tc>
          <w:tcPr>
            <w:tcW w:w="540" w:type="dxa"/>
            <w:vAlign w:val="bottom"/>
          </w:tcPr>
          <w:p>
            <w:pPr>
              <w:spacing w:after="0"/>
              <w:rPr>
                <w:sz w:val="15"/>
                <w:szCs w:val="15"/>
                <w:color w:val="auto"/>
              </w:rPr>
            </w:pPr>
          </w:p>
        </w:tc>
        <w:tc>
          <w:tcPr>
            <w:tcW w:w="5260" w:type="dxa"/>
            <w:vAlign w:val="bottom"/>
            <w:gridSpan w:val="2"/>
          </w:tcPr>
          <w:p>
            <w:pPr>
              <w:spacing w:after="0"/>
              <w:rPr>
                <w:sz w:val="15"/>
                <w:szCs w:val="15"/>
                <w:color w:val="auto"/>
              </w:rPr>
            </w:pPr>
          </w:p>
        </w:tc>
        <w:tc>
          <w:tcPr>
            <w:tcW w:w="140" w:type="dxa"/>
            <w:vAlign w:val="bottom"/>
            <w:tcBorders>
              <w:bottom w:val="single" w:sz="8" w:color="0000FF"/>
            </w:tcBorders>
            <w:gridSpan w:val="2"/>
          </w:tcPr>
          <w:p>
            <w:pPr>
              <w:jc w:val="right"/>
              <w:spacing w:after="0"/>
              <w:rPr>
                <w:rFonts w:ascii="Arial" w:cs="Arial" w:eastAsia="Arial" w:hAnsi="Arial"/>
                <w:sz w:val="13"/>
                <w:szCs w:val="13"/>
                <w:color w:val="0000FF"/>
                <w:w w:val="82"/>
              </w:rPr>
            </w:pPr>
            <w:hyperlink w:anchor="page40">
              <w:r>
                <w:rPr>
                  <w:rFonts w:ascii="Arial" w:cs="Arial" w:eastAsia="Arial" w:hAnsi="Arial"/>
                  <w:sz w:val="13"/>
                  <w:szCs w:val="13"/>
                  <w:color w:val="0000FF"/>
                  <w:w w:val="82"/>
                </w:rPr>
                <w:t>41</w:t>
              </w:r>
            </w:hyperlink>
          </w:p>
        </w:tc>
        <w:tc>
          <w:tcPr>
            <w:tcW w:w="20" w:type="dxa"/>
            <w:vAlign w:val="bottom"/>
          </w:tcPr>
          <w:p>
            <w:pPr>
              <w:spacing w:after="0"/>
              <w:rPr>
                <w:sz w:val="15"/>
                <w:szCs w:val="15"/>
                <w:color w:val="auto"/>
              </w:rPr>
            </w:pPr>
          </w:p>
        </w:tc>
      </w:tr>
      <w:tr>
        <w:trPr>
          <w:trHeight w:val="173"/>
        </w:trPr>
        <w:tc>
          <w:tcPr>
            <w:tcW w:w="1160" w:type="dxa"/>
            <w:vAlign w:val="bottom"/>
          </w:tcPr>
          <w:p>
            <w:pPr>
              <w:spacing w:after="0"/>
              <w:rPr>
                <w:sz w:val="20"/>
                <w:szCs w:val="20"/>
                <w:color w:val="auto"/>
              </w:rPr>
            </w:pPr>
            <w:r>
              <w:rPr>
                <w:rFonts w:ascii="Arial" w:cs="Arial" w:eastAsia="Arial" w:hAnsi="Arial"/>
                <w:sz w:val="13"/>
                <w:szCs w:val="13"/>
                <w:b w:val="1"/>
                <w:bCs w:val="1"/>
                <w:color w:val="auto"/>
              </w:rPr>
              <w:t>Item 1A.</w:t>
            </w:r>
          </w:p>
        </w:tc>
        <w:tc>
          <w:tcPr>
            <w:tcW w:w="4880" w:type="dxa"/>
            <w:vAlign w:val="bottom"/>
            <w:gridSpan w:val="13"/>
          </w:tcPr>
          <w:p>
            <w:pPr>
              <w:spacing w:after="0"/>
              <w:rPr>
                <w:rFonts w:ascii="Arial" w:cs="Arial" w:eastAsia="Arial" w:hAnsi="Arial"/>
                <w:sz w:val="13"/>
                <w:szCs w:val="13"/>
                <w:b w:val="1"/>
                <w:bCs w:val="1"/>
                <w:color w:val="0000FF"/>
              </w:rPr>
            </w:pPr>
            <w:hyperlink w:anchor="page41">
              <w:r>
                <w:rPr>
                  <w:rFonts w:ascii="Arial" w:cs="Arial" w:eastAsia="Arial" w:hAnsi="Arial"/>
                  <w:sz w:val="13"/>
                  <w:szCs w:val="13"/>
                  <w:b w:val="1"/>
                  <w:bCs w:val="1"/>
                  <w:color w:val="0000FF"/>
                </w:rPr>
                <w:t>Risk Factors</w:t>
              </w:r>
            </w:hyperlink>
          </w:p>
        </w:tc>
        <w:tc>
          <w:tcPr>
            <w:tcW w:w="5420" w:type="dxa"/>
            <w:vAlign w:val="bottom"/>
            <w:gridSpan w:val="5"/>
          </w:tcPr>
          <w:p>
            <w:pPr>
              <w:jc w:val="right"/>
              <w:ind w:right="20"/>
              <w:spacing w:after="0"/>
              <w:rPr>
                <w:rFonts w:ascii="Arial" w:cs="Arial" w:eastAsia="Arial" w:hAnsi="Arial"/>
                <w:sz w:val="13"/>
                <w:szCs w:val="13"/>
                <w:color w:val="0000FF"/>
              </w:rPr>
            </w:pPr>
            <w:hyperlink w:anchor="page41">
              <w:r>
                <w:rPr>
                  <w:rFonts w:ascii="Arial" w:cs="Arial" w:eastAsia="Arial" w:hAnsi="Arial"/>
                  <w:sz w:val="13"/>
                  <w:szCs w:val="13"/>
                  <w:color w:val="0000FF"/>
                </w:rPr>
                <w:t>42</w:t>
              </w:r>
            </w:hyperlink>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60" w:type="dxa"/>
            <w:vAlign w:val="bottom"/>
          </w:tcPr>
          <w:p>
            <w:pPr>
              <w:spacing w:after="0"/>
              <w:rPr>
                <w:sz w:val="20"/>
                <w:szCs w:val="20"/>
                <w:color w:val="auto"/>
              </w:rPr>
            </w:pPr>
            <w:r>
              <w:rPr>
                <w:rFonts w:ascii="Arial" w:cs="Arial" w:eastAsia="Arial" w:hAnsi="Arial"/>
                <w:sz w:val="13"/>
                <w:szCs w:val="13"/>
                <w:b w:val="1"/>
                <w:bCs w:val="1"/>
                <w:color w:val="auto"/>
              </w:rPr>
              <w:t>Item 2.</w:t>
            </w:r>
          </w:p>
        </w:tc>
        <w:tc>
          <w:tcPr>
            <w:tcW w:w="3260" w:type="dxa"/>
            <w:vAlign w:val="bottom"/>
            <w:tcBorders>
              <w:bottom w:val="single" w:sz="8" w:color="0000FF"/>
            </w:tcBorders>
            <w:gridSpan w:val="7"/>
          </w:tcPr>
          <w:p>
            <w:pPr>
              <w:spacing w:after="0"/>
              <w:rPr>
                <w:rFonts w:ascii="Arial" w:cs="Arial" w:eastAsia="Arial" w:hAnsi="Arial"/>
                <w:sz w:val="13"/>
                <w:szCs w:val="13"/>
                <w:b w:val="1"/>
                <w:bCs w:val="1"/>
                <w:color w:val="0000FF"/>
                <w:w w:val="86"/>
              </w:rPr>
            </w:pPr>
            <w:hyperlink w:anchor="page61">
              <w:r>
                <w:rPr>
                  <w:rFonts w:ascii="Arial" w:cs="Arial" w:eastAsia="Arial" w:hAnsi="Arial"/>
                  <w:sz w:val="13"/>
                  <w:szCs w:val="13"/>
                  <w:b w:val="1"/>
                  <w:bCs w:val="1"/>
                  <w:color w:val="0000FF"/>
                  <w:w w:val="86"/>
                </w:rPr>
                <w:t>Unregistered Sales of Equity Securities and Use of Proceeds</w:t>
              </w:r>
            </w:hyperlink>
          </w:p>
        </w:tc>
        <w:tc>
          <w:tcPr>
            <w:tcW w:w="1620" w:type="dxa"/>
            <w:vAlign w:val="bottom"/>
            <w:gridSpan w:val="6"/>
          </w:tcPr>
          <w:p>
            <w:pPr>
              <w:spacing w:after="0"/>
              <w:rPr>
                <w:sz w:val="15"/>
                <w:szCs w:val="15"/>
                <w:color w:val="auto"/>
              </w:rPr>
            </w:pPr>
          </w:p>
        </w:tc>
        <w:tc>
          <w:tcPr>
            <w:tcW w:w="5260" w:type="dxa"/>
            <w:vAlign w:val="bottom"/>
            <w:gridSpan w:val="2"/>
          </w:tcPr>
          <w:p>
            <w:pPr>
              <w:spacing w:after="0"/>
              <w:rPr>
                <w:sz w:val="15"/>
                <w:szCs w:val="15"/>
                <w:color w:val="auto"/>
              </w:rPr>
            </w:pPr>
          </w:p>
        </w:tc>
        <w:tc>
          <w:tcPr>
            <w:tcW w:w="140" w:type="dxa"/>
            <w:vAlign w:val="bottom"/>
            <w:tcBorders>
              <w:bottom w:val="single" w:sz="8" w:color="0000FF"/>
            </w:tcBorders>
            <w:gridSpan w:val="2"/>
          </w:tcPr>
          <w:p>
            <w:pPr>
              <w:jc w:val="right"/>
              <w:spacing w:after="0"/>
              <w:rPr>
                <w:rFonts w:ascii="Arial" w:cs="Arial" w:eastAsia="Arial" w:hAnsi="Arial"/>
                <w:sz w:val="13"/>
                <w:szCs w:val="13"/>
                <w:color w:val="0000FF"/>
                <w:w w:val="82"/>
              </w:rPr>
            </w:pPr>
            <w:hyperlink w:anchor="page61">
              <w:r>
                <w:rPr>
                  <w:rFonts w:ascii="Arial" w:cs="Arial" w:eastAsia="Arial" w:hAnsi="Arial"/>
                  <w:sz w:val="13"/>
                  <w:szCs w:val="13"/>
                  <w:color w:val="0000FF"/>
                  <w:w w:val="82"/>
                </w:rPr>
                <w:t>62</w:t>
              </w:r>
            </w:hyperlink>
          </w:p>
        </w:tc>
        <w:tc>
          <w:tcPr>
            <w:tcW w:w="20" w:type="dxa"/>
            <w:vAlign w:val="bottom"/>
          </w:tcPr>
          <w:p>
            <w:pPr>
              <w:spacing w:after="0"/>
              <w:rPr>
                <w:sz w:val="15"/>
                <w:szCs w:val="15"/>
                <w:color w:val="auto"/>
              </w:rPr>
            </w:pPr>
          </w:p>
        </w:tc>
      </w:tr>
      <w:tr>
        <w:trPr>
          <w:trHeight w:val="173"/>
        </w:trPr>
        <w:tc>
          <w:tcPr>
            <w:tcW w:w="116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460" w:type="dxa"/>
            <w:vAlign w:val="bottom"/>
            <w:tcBorders>
              <w:bottom w:val="single" w:sz="8" w:color="0000FF"/>
            </w:tcBorders>
          </w:tcPr>
          <w:p>
            <w:pPr>
              <w:spacing w:after="0"/>
              <w:rPr>
                <w:rFonts w:ascii="Arial" w:cs="Arial" w:eastAsia="Arial" w:hAnsi="Arial"/>
                <w:sz w:val="13"/>
                <w:szCs w:val="13"/>
                <w:b w:val="1"/>
                <w:bCs w:val="1"/>
                <w:color w:val="0000FF"/>
                <w:w w:val="86"/>
              </w:rPr>
            </w:pPr>
            <w:hyperlink w:anchor="page61">
              <w:r>
                <w:rPr>
                  <w:rFonts w:ascii="Arial" w:cs="Arial" w:eastAsia="Arial" w:hAnsi="Arial"/>
                  <w:sz w:val="13"/>
                  <w:szCs w:val="13"/>
                  <w:b w:val="1"/>
                  <w:bCs w:val="1"/>
                  <w:color w:val="0000FF"/>
                  <w:w w:val="86"/>
                </w:rPr>
                <w:t>Exhibits</w:t>
              </w:r>
            </w:hyperlink>
          </w:p>
        </w:tc>
        <w:tc>
          <w:tcPr>
            <w:tcW w:w="4420" w:type="dxa"/>
            <w:vAlign w:val="bottom"/>
            <w:gridSpan w:val="12"/>
          </w:tcPr>
          <w:p>
            <w:pPr>
              <w:spacing w:after="0"/>
              <w:rPr>
                <w:sz w:val="15"/>
                <w:szCs w:val="15"/>
                <w:color w:val="auto"/>
              </w:rPr>
            </w:pPr>
          </w:p>
        </w:tc>
        <w:tc>
          <w:tcPr>
            <w:tcW w:w="5260" w:type="dxa"/>
            <w:vAlign w:val="bottom"/>
            <w:gridSpan w:val="2"/>
          </w:tcPr>
          <w:p>
            <w:pPr>
              <w:spacing w:after="0"/>
              <w:rPr>
                <w:sz w:val="15"/>
                <w:szCs w:val="15"/>
                <w:color w:val="auto"/>
              </w:rPr>
            </w:pPr>
          </w:p>
        </w:tc>
        <w:tc>
          <w:tcPr>
            <w:tcW w:w="140" w:type="dxa"/>
            <w:vAlign w:val="bottom"/>
            <w:tcBorders>
              <w:bottom w:val="single" w:sz="8" w:color="0000FF"/>
            </w:tcBorders>
            <w:gridSpan w:val="2"/>
          </w:tcPr>
          <w:p>
            <w:pPr>
              <w:jc w:val="right"/>
              <w:spacing w:after="0"/>
              <w:rPr>
                <w:rFonts w:ascii="Arial" w:cs="Arial" w:eastAsia="Arial" w:hAnsi="Arial"/>
                <w:sz w:val="13"/>
                <w:szCs w:val="13"/>
                <w:color w:val="0000FF"/>
                <w:w w:val="82"/>
              </w:rPr>
            </w:pPr>
            <w:hyperlink w:anchor="page61">
              <w:r>
                <w:rPr>
                  <w:rFonts w:ascii="Arial" w:cs="Arial" w:eastAsia="Arial" w:hAnsi="Arial"/>
                  <w:sz w:val="13"/>
                  <w:szCs w:val="13"/>
                  <w:color w:val="0000FF"/>
                  <w:w w:val="82"/>
                </w:rPr>
                <w:t>62</w:t>
              </w:r>
            </w:hyperlink>
          </w:p>
        </w:tc>
        <w:tc>
          <w:tcPr>
            <w:tcW w:w="20" w:type="dxa"/>
            <w:vAlign w:val="bottom"/>
          </w:tcPr>
          <w:p>
            <w:pPr>
              <w:spacing w:after="0"/>
              <w:rPr>
                <w:sz w:val="15"/>
                <w:szCs w:val="15"/>
                <w:color w:val="auto"/>
              </w:rPr>
            </w:pPr>
          </w:p>
        </w:tc>
      </w:tr>
      <w:tr>
        <w:trPr>
          <w:trHeight w:val="173"/>
        </w:trPr>
        <w:tc>
          <w:tcPr>
            <w:tcW w:w="1160" w:type="dxa"/>
            <w:vAlign w:val="bottom"/>
          </w:tcPr>
          <w:p>
            <w:pPr>
              <w:spacing w:after="0"/>
              <w:rPr>
                <w:sz w:val="15"/>
                <w:szCs w:val="15"/>
                <w:color w:val="auto"/>
              </w:rPr>
            </w:pPr>
          </w:p>
        </w:tc>
        <w:tc>
          <w:tcPr>
            <w:tcW w:w="580" w:type="dxa"/>
            <w:vAlign w:val="bottom"/>
            <w:tcBorders>
              <w:bottom w:val="single" w:sz="8" w:color="0000FF"/>
            </w:tcBorders>
            <w:gridSpan w:val="2"/>
          </w:tcPr>
          <w:p>
            <w:pPr>
              <w:spacing w:after="0"/>
              <w:rPr>
                <w:rFonts w:ascii="Arial" w:cs="Arial" w:eastAsia="Arial" w:hAnsi="Arial"/>
                <w:sz w:val="13"/>
                <w:szCs w:val="13"/>
                <w:b w:val="1"/>
                <w:bCs w:val="1"/>
                <w:color w:val="0000FF"/>
                <w:w w:val="83"/>
              </w:rPr>
            </w:pPr>
            <w:hyperlink w:anchor="page61">
              <w:r>
                <w:rPr>
                  <w:rFonts w:ascii="Arial" w:cs="Arial" w:eastAsia="Arial" w:hAnsi="Arial"/>
                  <w:sz w:val="13"/>
                  <w:szCs w:val="13"/>
                  <w:b w:val="1"/>
                  <w:bCs w:val="1"/>
                  <w:color w:val="0000FF"/>
                  <w:w w:val="83"/>
                </w:rPr>
                <w:t>Signatures</w:t>
              </w:r>
            </w:hyperlink>
          </w:p>
        </w:tc>
        <w:tc>
          <w:tcPr>
            <w:tcW w:w="4300" w:type="dxa"/>
            <w:vAlign w:val="bottom"/>
            <w:gridSpan w:val="11"/>
          </w:tcPr>
          <w:p>
            <w:pPr>
              <w:spacing w:after="0"/>
              <w:rPr>
                <w:sz w:val="15"/>
                <w:szCs w:val="15"/>
                <w:color w:val="auto"/>
              </w:rPr>
            </w:pPr>
          </w:p>
        </w:tc>
        <w:tc>
          <w:tcPr>
            <w:tcW w:w="5260" w:type="dxa"/>
            <w:vAlign w:val="bottom"/>
            <w:gridSpan w:val="2"/>
          </w:tcPr>
          <w:p>
            <w:pPr>
              <w:spacing w:after="0"/>
              <w:rPr>
                <w:sz w:val="15"/>
                <w:szCs w:val="15"/>
                <w:color w:val="auto"/>
              </w:rPr>
            </w:pPr>
          </w:p>
        </w:tc>
        <w:tc>
          <w:tcPr>
            <w:tcW w:w="140" w:type="dxa"/>
            <w:vAlign w:val="bottom"/>
            <w:tcBorders>
              <w:bottom w:val="single" w:sz="8" w:color="0000FF"/>
            </w:tcBorders>
            <w:gridSpan w:val="2"/>
          </w:tcPr>
          <w:p>
            <w:pPr>
              <w:jc w:val="right"/>
              <w:spacing w:after="0"/>
              <w:rPr>
                <w:rFonts w:ascii="Arial" w:cs="Arial" w:eastAsia="Arial" w:hAnsi="Arial"/>
                <w:sz w:val="13"/>
                <w:szCs w:val="13"/>
                <w:color w:val="0000FF"/>
                <w:w w:val="82"/>
              </w:rPr>
            </w:pPr>
            <w:hyperlink w:anchor="page61">
              <w:r>
                <w:rPr>
                  <w:rFonts w:ascii="Arial" w:cs="Arial" w:eastAsia="Arial" w:hAnsi="Arial"/>
                  <w:sz w:val="13"/>
                  <w:szCs w:val="13"/>
                  <w:color w:val="0000FF"/>
                  <w:w w:val="82"/>
                </w:rPr>
                <w:t>63</w:t>
              </w:r>
            </w:hyperlink>
          </w:p>
        </w:tc>
        <w:tc>
          <w:tcPr>
            <w:tcW w:w="20" w:type="dxa"/>
            <w:vAlign w:val="bottom"/>
          </w:tcPr>
          <w:p>
            <w:pPr>
              <w:spacing w:after="0"/>
              <w:rPr>
                <w:sz w:val="15"/>
                <w:szCs w:val="15"/>
                <w:color w:val="auto"/>
              </w:rPr>
            </w:pPr>
          </w:p>
        </w:tc>
      </w:tr>
    </w:tbl>
    <w:p>
      <w:pPr>
        <w:sectPr>
          <w:pgSz w:w="11900" w:h="16838" w:orient="portrait"/>
          <w:cols w:equalWidth="0" w:num="1">
            <w:col w:w="11460"/>
          </w:cols>
          <w:pgMar w:left="240" w:top="131" w:right="199" w:bottom="1440" w:gutter="0" w:footer="0" w:header="0"/>
        </w:sectPr>
      </w:pPr>
    </w:p>
    <w:bookmarkStart w:id="2" w:name="page3"/>
    <w:bookmarkEnd w:id="2"/>
    <w:p>
      <w:pPr>
        <w:jc w:val="center"/>
        <w:ind w:right="2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Part I</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ITEM 1. Financial Statements</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FORTINET, INC. AND SUBSIDIARIES</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 in thousands, except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316"/>
              <w:spacing w:after="0"/>
              <w:rPr>
                <w:sz w:val="20"/>
                <w:szCs w:val="20"/>
                <w:color w:val="auto"/>
              </w:rPr>
            </w:pPr>
            <w:r>
              <w:rPr>
                <w:rFonts w:ascii="Arial" w:cs="Arial" w:eastAsia="Arial" w:hAnsi="Arial"/>
                <w:sz w:val="12"/>
                <w:szCs w:val="12"/>
                <w:b w:val="1"/>
                <w:bCs w:val="1"/>
                <w:color w:val="auto"/>
                <w:w w:val="99"/>
              </w:rPr>
              <w:t>September 30,</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49"/>
        </w:trPr>
        <w:tc>
          <w:tcPr>
            <w:tcW w:w="8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536"/>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jc w:val="right"/>
              <w:ind w:right="596"/>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77,139</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212,458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40" w:type="dxa"/>
            <w:vAlign w:val="bottom"/>
          </w:tcPr>
          <w:p>
            <w:pPr>
              <w:ind w:left="200"/>
              <w:spacing w:after="0"/>
              <w:rPr>
                <w:sz w:val="20"/>
                <w:szCs w:val="20"/>
                <w:color w:val="auto"/>
              </w:rPr>
            </w:pPr>
            <w:r>
              <w:rPr>
                <w:rFonts w:ascii="Arial" w:cs="Arial" w:eastAsia="Arial" w:hAnsi="Arial"/>
                <w:sz w:val="13"/>
                <w:szCs w:val="13"/>
                <w:color w:val="auto"/>
              </w:rPr>
              <w:t>Short-term investments</w:t>
            </w:r>
          </w:p>
        </w:tc>
        <w:tc>
          <w:tcPr>
            <w:tcW w:w="22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215,151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47,856</w:t>
            </w:r>
          </w:p>
        </w:tc>
        <w:tc>
          <w:tcPr>
            <w:tcW w:w="0" w:type="dxa"/>
            <w:vAlign w:val="bottom"/>
          </w:tcPr>
          <w:p>
            <w:pPr>
              <w:spacing w:after="0"/>
              <w:rPr>
                <w:sz w:val="1"/>
                <w:szCs w:val="1"/>
                <w:color w:val="auto"/>
              </w:rPr>
            </w:pPr>
          </w:p>
        </w:tc>
      </w:tr>
      <w:tr>
        <w:trPr>
          <w:trHeight w:val="203"/>
        </w:trPr>
        <w:tc>
          <w:tcPr>
            <w:tcW w:w="8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w w:val="98"/>
              </w:rPr>
              <w:t>Accounts receivable, net of allowance for doubtful accounts of $303 and $367 at September 30, 2010 and December 31, 2009, respectively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59,562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54,551</w:t>
            </w:r>
          </w:p>
        </w:tc>
        <w:tc>
          <w:tcPr>
            <w:tcW w:w="0" w:type="dxa"/>
            <w:vAlign w:val="bottom"/>
          </w:tcPr>
          <w:p>
            <w:pPr>
              <w:spacing w:after="0"/>
              <w:rPr>
                <w:sz w:val="1"/>
                <w:szCs w:val="1"/>
                <w:color w:val="auto"/>
              </w:rPr>
            </w:pPr>
          </w:p>
        </w:tc>
      </w:tr>
      <w:tr>
        <w:trPr>
          <w:trHeight w:val="183"/>
        </w:trPr>
        <w:tc>
          <w:tcPr>
            <w:tcW w:w="8140" w:type="dxa"/>
            <w:vAlign w:val="bottom"/>
          </w:tcPr>
          <w:p>
            <w:pPr>
              <w:ind w:left="200"/>
              <w:spacing w:after="0"/>
              <w:rPr>
                <w:sz w:val="20"/>
                <w:szCs w:val="20"/>
                <w:color w:val="auto"/>
              </w:rPr>
            </w:pPr>
            <w:r>
              <w:rPr>
                <w:rFonts w:ascii="Arial" w:cs="Arial" w:eastAsia="Arial" w:hAnsi="Arial"/>
                <w:sz w:val="13"/>
                <w:szCs w:val="13"/>
                <w:color w:val="auto"/>
              </w:rPr>
              <w:t>Inventory—Net</w:t>
            </w:r>
          </w:p>
        </w:tc>
        <w:tc>
          <w:tcPr>
            <w:tcW w:w="22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11,284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10,649</w:t>
            </w:r>
          </w:p>
        </w:tc>
        <w:tc>
          <w:tcPr>
            <w:tcW w:w="0" w:type="dxa"/>
            <w:vAlign w:val="bottom"/>
          </w:tcPr>
          <w:p>
            <w:pPr>
              <w:spacing w:after="0"/>
              <w:rPr>
                <w:sz w:val="1"/>
                <w:szCs w:val="1"/>
                <w:color w:val="auto"/>
              </w:rPr>
            </w:pPr>
          </w:p>
        </w:tc>
      </w:tr>
      <w:tr>
        <w:trPr>
          <w:trHeight w:val="183"/>
        </w:trPr>
        <w:tc>
          <w:tcPr>
            <w:tcW w:w="8140" w:type="dxa"/>
            <w:vAlign w:val="bottom"/>
            <w:tcBorders>
              <w:right w:val="single" w:sz="8" w:color="CCEEFF"/>
            </w:tcBorders>
            <w:vMerge w:val="restart"/>
            <w:shd w:val="clear" w:color="auto" w:fill="CCEEFF"/>
          </w:tcPr>
          <w:p>
            <w:pPr>
              <w:ind w:left="200"/>
              <w:spacing w:after="0"/>
              <w:rPr>
                <w:sz w:val="20"/>
                <w:szCs w:val="20"/>
                <w:color w:val="auto"/>
              </w:rPr>
            </w:pPr>
            <w:r>
              <w:rPr>
                <w:rFonts w:ascii="Arial" w:cs="Arial" w:eastAsia="Arial" w:hAnsi="Arial"/>
                <w:sz w:val="13"/>
                <w:szCs w:val="13"/>
                <w:color w:val="auto"/>
              </w:rPr>
              <w:t>Deferred tax asset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9,876</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&lt; /td&gt;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40" w:type="dxa"/>
            <w:vAlign w:val="bottom"/>
            <w:tcBorders>
              <w:right w:val="single" w:sz="8" w:color="CCEEFF"/>
            </w:tcBorders>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40" w:type="dxa"/>
            <w:vAlign w:val="bottom"/>
          </w:tcPr>
          <w:p>
            <w:pPr>
              <w:ind w:left="20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5,705</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3,100</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Deferred cost of revenues</w:t>
            </w: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3,888</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3,951</w:t>
            </w:r>
          </w:p>
        </w:tc>
        <w:tc>
          <w:tcPr>
            <w:tcW w:w="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40" w:type="dxa"/>
            <w:vAlign w:val="bottom"/>
          </w:tcPr>
          <w:p>
            <w:pPr>
              <w:ind w:left="340"/>
              <w:spacing w:after="0"/>
              <w:rPr>
                <w:sz w:val="20"/>
                <w:szCs w:val="20"/>
                <w:color w:val="auto"/>
              </w:rPr>
            </w:pPr>
            <w:r>
              <w:rPr>
                <w:rFonts w:ascii="Arial" w:cs="Arial" w:eastAsia="Arial" w:hAnsi="Arial"/>
                <w:sz w:val="13"/>
                <w:szCs w:val="13"/>
                <w:color w:val="auto"/>
              </w:rPr>
              <w:t>Total current ass ets</w:t>
            </w:r>
          </w:p>
        </w:tc>
        <w:tc>
          <w:tcPr>
            <w:tcW w:w="22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382,605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342,217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3"/>
                <w:szCs w:val="13"/>
                <w:color w:val="auto"/>
              </w:rPr>
              <w:t>PROPERTY AND EQUIPMENT—Net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6,797</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6,387</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40" w:type="dxa"/>
            <w:vAlign w:val="bottom"/>
          </w:tcPr>
          <w:p>
            <w:pPr>
              <w:ind w:left="20"/>
              <w:spacing w:after="0"/>
              <w:rPr>
                <w:sz w:val="20"/>
                <w:szCs w:val="20"/>
                <w:color w:val="auto"/>
              </w:rPr>
            </w:pPr>
            <w:r>
              <w:rPr>
                <w:rFonts w:ascii="Arial" w:cs="Arial" w:eastAsia="Arial" w:hAnsi="Arial"/>
                <w:sz w:val="13"/>
                <w:szCs w:val="13"/>
                <w:color w:val="auto"/>
              </w:rPr>
              <w:t>DEFERRED COST OF REVENUES</w:t>
            </w:r>
          </w:p>
        </w:tc>
        <w:tc>
          <w:tcPr>
            <w:tcW w:w="22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6,081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5,743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TAX ASSET—Non-current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31,671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31,671</w:t>
            </w:r>
          </w:p>
        </w:tc>
        <w:tc>
          <w:tcPr>
            <w:tcW w:w="0" w:type="dxa"/>
            <w:vAlign w:val="bottom"/>
          </w:tcPr>
          <w:p>
            <w:pPr>
              <w:spacing w:after="0"/>
              <w:rPr>
                <w:sz w:val="1"/>
                <w:szCs w:val="1"/>
                <w:color w:val="auto"/>
              </w:rPr>
            </w:pPr>
          </w:p>
        </w:tc>
      </w:tr>
      <w:tr>
        <w:trPr>
          <w:trHeight w:val="183"/>
        </w:trPr>
        <w:tc>
          <w:tcPr>
            <w:tcW w:w="8140" w:type="dxa"/>
            <w:vAlign w:val="bottom"/>
          </w:tcPr>
          <w:p>
            <w:pPr>
              <w:ind w:left="20"/>
              <w:spacing w:after="0"/>
              <w:rPr>
                <w:sz w:val="20"/>
                <w:szCs w:val="20"/>
                <w:color w:val="auto"/>
              </w:rPr>
            </w:pPr>
            <w:r>
              <w:rPr>
                <w:rFonts w:ascii="Arial" w:cs="Arial" w:eastAsia="Arial" w:hAnsi="Arial"/>
                <w:sz w:val="13"/>
                <w:szCs w:val="13"/>
                <w:color w:val="auto"/>
              </w:rPr>
              <w:t>LONG-TERM INVESTMENTS</w:t>
            </w:r>
          </w:p>
        </w:tc>
        <w:tc>
          <w:tcPr>
            <w:tcW w:w="22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60,054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8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1,239</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1,195</w:t>
            </w:r>
          </w:p>
        </w:tc>
        <w:tc>
          <w:tcPr>
            <w:tcW w:w="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220" w:type="dxa"/>
            <w:vAlign w:val="bottom"/>
          </w:tcPr>
          <w:p>
            <w:pPr>
              <w:jc w:val="right"/>
              <w:ind w:right="80"/>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488,447</w:t>
            </w:r>
          </w:p>
        </w:tc>
        <w:tc>
          <w:tcPr>
            <w:tcW w:w="6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387,213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4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9,766</w:t>
            </w:r>
          </w:p>
        </w:tc>
        <w:tc>
          <w:tcPr>
            <w:tcW w:w="100" w:type="dxa"/>
            <w:vAlign w:val="bottom"/>
          </w:tcPr>
          <w:p>
            <w:pPr>
              <w:spacing w:after="0"/>
              <w:rPr>
                <w:sz w:val="17"/>
                <w:szCs w:val="17"/>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10,987</w:t>
            </w:r>
          </w:p>
        </w:tc>
        <w:tc>
          <w:tcPr>
            <w:tcW w:w="0" w:type="dxa"/>
            <w:vAlign w:val="bottom"/>
          </w:tcPr>
          <w:p>
            <w:pPr>
              <w:spacing w:after="0"/>
              <w:rPr>
                <w:sz w:val="1"/>
                <w:szCs w:val="1"/>
                <w:color w:val="auto"/>
              </w:rPr>
            </w:pPr>
          </w:p>
        </w:tc>
      </w:tr>
      <w:tr>
        <w:trPr>
          <w:trHeight w:val="183"/>
        </w:trPr>
        <w:tc>
          <w:tcPr>
            <w:tcW w:w="8140" w:type="dxa"/>
            <w:vAlign w:val="bottom"/>
          </w:tcPr>
          <w:p>
            <w:pPr>
              <w:ind w:left="200"/>
              <w:spacing w:after="0"/>
              <w:rPr>
                <w:sz w:val="20"/>
                <w:szCs w:val="20"/>
                <w:color w:val="auto"/>
              </w:rPr>
            </w:pPr>
            <w:r>
              <w:rPr>
                <w:rFonts w:ascii="Arial" w:cs="Arial" w:eastAsia="Arial" w:hAnsi="Arial"/>
                <w:sz w:val="13"/>
                <w:szCs w:val="13"/>
                <w:color w:val="auto"/>
              </w:rPr>
              <w:t>Acc rued liabilities</w:t>
            </w:r>
          </w:p>
        </w:tc>
        <w:tc>
          <w:tcPr>
            <w:tcW w:w="22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15,638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15,050</w:t>
            </w:r>
          </w:p>
        </w:tc>
        <w:tc>
          <w:tcPr>
            <w:tcW w:w="0" w:type="dxa"/>
            <w:vAlign w:val="bottom"/>
          </w:tcPr>
          <w:p>
            <w:pPr>
              <w:spacing w:after="0"/>
              <w:rPr>
                <w:sz w:val="1"/>
                <w:szCs w:val="1"/>
                <w:color w:val="auto"/>
              </w:rPr>
            </w:pPr>
          </w:p>
        </w:tc>
      </w:tr>
      <w:tr>
        <w:trPr>
          <w:trHeight w:val="203"/>
        </w:trPr>
        <w:tc>
          <w:tcPr>
            <w:tcW w:w="8140" w:type="dxa"/>
            <w:vAlign w:val="bottom"/>
          </w:tcPr>
          <w:p>
            <w:pPr>
              <w:ind w:left="200"/>
              <w:spacing w:after="0"/>
              <w:rPr>
                <w:sz w:val="20"/>
                <w:szCs w:val="20"/>
                <w:color w:val="auto"/>
              </w:rPr>
            </w:pPr>
            <w:r>
              <w:rPr>
                <w:rFonts w:ascii="Arial" w:cs="Arial" w:eastAsia="Arial" w:hAnsi="Arial"/>
                <w:sz w:val="13"/>
                <w:szCs w:val="13"/>
                <w:color w:val="auto"/>
              </w:rPr>
              <w:t>Accrued payroll and compensation</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18,398</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13,991</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Deferred revenue</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158,430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140,537</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1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current liabilities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202,232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180,565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40" w:type="dxa"/>
            <w:vAlign w:val="bottom"/>
          </w:tcPr>
          <w:p>
            <w:pPr>
              <w:ind w:left="20"/>
              <w:spacing w:after="0"/>
              <w:rPr>
                <w:sz w:val="20"/>
                <w:szCs w:val="20"/>
                <w:color w:val="auto"/>
              </w:rPr>
            </w:pPr>
            <w:r>
              <w:rPr>
                <w:rFonts w:ascii="Arial" w:cs="Arial" w:eastAsia="Arial" w:hAnsi="Arial"/>
                <w:sz w:val="13"/>
                <w:szCs w:val="13"/>
                <w:color w:val="auto"/>
              </w:rPr>
              <w:t>DEFERRED REVENUE—Non-current</w:t>
            </w:r>
          </w:p>
        </w:tc>
        <w:tc>
          <w:tcPr>
            <w:tcW w:w="22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76,820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61,393</w:t>
            </w:r>
          </w:p>
        </w:tc>
        <w:tc>
          <w:tcPr>
            <w:tcW w:w="0" w:type="dxa"/>
            <w:vAlign w:val="bottom"/>
          </w:tcPr>
          <w:p>
            <w:pPr>
              <w:spacing w:after="0"/>
              <w:rPr>
                <w:sz w:val="1"/>
                <w:szCs w:val="1"/>
                <w:color w:val="auto"/>
              </w:rPr>
            </w:pPr>
          </w:p>
        </w:tc>
      </w:tr>
      <w:tr>
        <w:trPr>
          <w:trHeight w:val="193"/>
        </w:trPr>
        <w:tc>
          <w:tcPr>
            <w:tcW w:w="8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NON-CURRENT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2,944</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2,803</w:t>
            </w:r>
          </w:p>
        </w:tc>
        <w:tc>
          <w:tcPr>
            <w:tcW w:w="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4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281,996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244,761</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COMMITMENTS AND CONTI NGENCIES (Note 7)</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40" w:type="dxa"/>
            <w:vAlign w:val="bottom"/>
          </w:tcPr>
          <w:p>
            <w:pPr>
              <w:ind w:left="20"/>
              <w:spacing w:after="0"/>
              <w:rPr>
                <w:sz w:val="20"/>
                <w:szCs w:val="20"/>
                <w:color w:val="auto"/>
              </w:rPr>
            </w:pPr>
            <w:r>
              <w:rPr>
                <w:rFonts w:ascii="Arial" w:cs="Arial" w:eastAsia="Arial" w:hAnsi="Arial"/>
                <w:sz w:val="13"/>
                <w:szCs w:val="13"/>
                <w:color w:val="auto"/>
              </w:rPr>
              <w:t>STOCKHOLD ERS' EQUITY:</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8"/>
              </w:rPr>
              <w:t>Common stock, $0.001 par value - 300,000 shares authorized; 73,8 58 and 67,517 shares issued and 73,154 and 66,813 shares outstanding at September 30,</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2010 and December 31, 2009, respectively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40" w:type="dxa"/>
            <w:vAlign w:val="bottom"/>
          </w:tcPr>
          <w:p>
            <w:pPr>
              <w:ind w:left="200"/>
              <w:spacing w:after="0"/>
              <w:rPr>
                <w:sz w:val="20"/>
                <w:szCs w:val="20"/>
                <w:color w:val="auto"/>
              </w:rPr>
            </w:pPr>
            <w:r>
              <w:rPr>
                <w:rFonts w:ascii="Arial" w:cs="Arial" w:eastAsia="Arial" w:hAnsi="Arial"/>
                <w:sz w:val="13"/>
                <w:szCs w:val="13"/>
                <w:color w:val="auto"/>
              </w:rPr>
              <w:t>Additional paid-in-capital</w:t>
            </w:r>
          </w:p>
        </w:tc>
        <w:tc>
          <w:tcPr>
            <w:tcW w:w="22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242,165</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93"/>
              </w:rPr>
              <w:t>204,268</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Treasury stock</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(2,995)</w:t>
            </w:r>
          </w:p>
        </w:tc>
        <w:tc>
          <w:tcPr>
            <w:tcW w:w="0" w:type="dxa"/>
            <w:vAlign w:val="bottom"/>
          </w:tcPr>
          <w:p>
            <w:pPr>
              <w:spacing w:after="0"/>
              <w:rPr>
                <w:sz w:val="1"/>
                <w:szCs w:val="1"/>
                <w:color w:val="auto"/>
              </w:rPr>
            </w:pPr>
          </w:p>
        </w:tc>
      </w:tr>
      <w:tr>
        <w:trPr>
          <w:trHeight w:val="183"/>
        </w:trPr>
        <w:tc>
          <w:tcPr>
            <w:tcW w:w="8140" w:type="dxa"/>
            <w:vAlign w:val="bottom"/>
          </w:tcPr>
          <w:p>
            <w:pPr>
              <w:ind w:left="200"/>
              <w:spacing w:after="0"/>
              <w:rPr>
                <w:sz w:val="20"/>
                <w:szCs w:val="20"/>
                <w:color w:val="auto"/>
              </w:rPr>
            </w:pPr>
            <w:r>
              <w:rPr>
                <w:rFonts w:ascii="Arial" w:cs="Arial" w:eastAsia="Arial" w:hAnsi="Arial"/>
                <w:sz w:val="13"/>
                <w:szCs w:val="13"/>
                <w:color w:val="auto"/>
              </w:rPr>
              <w:t>Accumulated other comprehensiv e income</w:t>
            </w:r>
          </w:p>
        </w:tc>
        <w:tc>
          <w:tcPr>
            <w:tcW w:w="22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2,075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1,084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40" w:type="dxa"/>
            <w:vAlign w:val="bottom"/>
          </w:tcPr>
          <w:p>
            <w:pPr>
              <w:ind w:left="200"/>
              <w:spacing w:after="0"/>
              <w:rPr>
                <w:sz w:val="20"/>
                <w:szCs w:val="20"/>
                <w:color w:val="auto"/>
              </w:rPr>
            </w:pPr>
            <w:r>
              <w:rPr>
                <w:rFonts w:ascii="Arial" w:cs="Arial" w:eastAsia="Arial" w:hAnsi="Arial"/>
                <w:sz w:val="13"/>
                <w:szCs w:val="13"/>
                <w:color w:val="auto"/>
              </w:rPr>
              <w:t>Accumulated deficit</w:t>
            </w: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(34,868)</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(59,972)</w:t>
            </w:r>
          </w:p>
        </w:tc>
        <w:tc>
          <w:tcPr>
            <w:tcW w:w="0" w:type="dxa"/>
            <w:vAlign w:val="bottom"/>
          </w:tcPr>
          <w:p>
            <w:pPr>
              <w:spacing w:after="0"/>
              <w:rPr>
                <w:sz w:val="1"/>
                <w:szCs w:val="1"/>
                <w:color w:val="auto"/>
              </w:rPr>
            </w:pPr>
          </w:p>
        </w:tc>
      </w:tr>
      <w:tr>
        <w:trPr>
          <w:trHeight w:val="182"/>
        </w:trPr>
        <w:tc>
          <w:tcPr>
            <w:tcW w:w="814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stockholders' equity</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206,451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142,452</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220" w:type="dxa"/>
            <w:vAlign w:val="bottom"/>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488,447</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387,213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See n otes to condensed consolidated financial statements.</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80"/>
          </w:cols>
          <w:pgMar w:left="220" w:top="131" w:right="199" w:bottom="1440" w:gutter="0" w:footer="0" w:header="0"/>
        </w:sectPr>
      </w:pPr>
    </w:p>
    <w:bookmarkStart w:id="3" w:name="page4"/>
    <w:bookmarkEnd w:id="3"/>
    <w:p>
      <w:pPr>
        <w:jc w:val="center"/>
        <w:ind w:right="2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FORTINET, INC. AND SUBSIDIARIES</w:t>
      </w:r>
    </w:p>
    <w:p>
      <w:pPr>
        <w:spacing w:after="0" w:line="4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CONDENSED CONSOLIDATED STATEMENT S OF OPERATIONS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 in thousands, except per share amounts)</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&lt; tr&gt;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60" w:type="dxa"/>
            <w:vAlign w:val="bottom"/>
            <w:gridSpan w:val="5"/>
          </w:tcPr>
          <w:p>
            <w:pPr>
              <w:jc w:val="right"/>
              <w:ind w:right="1080"/>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5"/>
          </w:tcPr>
          <w:p>
            <w:pPr>
              <w:ind w:left="700"/>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4"/>
        </w:trPr>
        <w:tc>
          <w:tcPr>
            <w:tcW w:w="5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45"/>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September 30,</w:t>
            </w:r>
          </w:p>
        </w:tc>
        <w:tc>
          <w:tcPr>
            <w:tcW w:w="480" w:type="dxa"/>
            <w:vAlign w:val="bottom"/>
          </w:tcPr>
          <w:p>
            <w:pPr>
              <w:spacing w:after="0"/>
              <w:rPr>
                <w:sz w:val="12"/>
                <w:szCs w:val="12"/>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w w:val="92"/>
              </w:rPr>
              <w:t>September 30,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5"/>
              </w:rPr>
              <w:t>September 30,</w:t>
            </w:r>
          </w:p>
        </w:tc>
        <w:tc>
          <w:tcPr>
            <w:tcW w:w="100" w:type="dxa"/>
            <w:vAlign w:val="bottom"/>
          </w:tcPr>
          <w:p>
            <w:pPr>
              <w:spacing w:after="0"/>
              <w:rPr>
                <w:sz w:val="12"/>
                <w:szCs w:val="12"/>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September 30,</w:t>
            </w:r>
          </w:p>
        </w:tc>
      </w:tr>
      <w:tr>
        <w:trPr>
          <w:trHeight w:val="149"/>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76"/>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ind w:left="320"/>
              <w:spacing w:after="0"/>
              <w:rPr>
                <w:sz w:val="20"/>
                <w:szCs w:val="20"/>
                <w:color w:val="auto"/>
              </w:rPr>
            </w:pPr>
            <w:r>
              <w:rPr>
                <w:rFonts w:ascii="Arial" w:cs="Arial" w:eastAsia="Arial" w:hAnsi="Arial"/>
                <w:sz w:val="12"/>
                <w:szCs w:val="12"/>
                <w:b w:val="1"/>
                <w:bCs w:val="1"/>
                <w:color w:val="auto"/>
              </w:rPr>
              <w:t>2009</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356"/>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ind w:right="356"/>
              <w:spacing w:after="0"/>
              <w:rPr>
                <w:sz w:val="20"/>
                <w:szCs w:val="20"/>
                <w:color w:val="auto"/>
              </w:rPr>
            </w:pPr>
            <w:r>
              <w:rPr>
                <w:rFonts w:ascii="Arial" w:cs="Arial" w:eastAsia="Arial" w:hAnsi="Arial"/>
                <w:sz w:val="12"/>
                <w:szCs w:val="12"/>
                <w:b w:val="1"/>
                <w:bCs w:val="1"/>
                <w:color w:val="auto"/>
                <w:w w:val="97"/>
              </w:rPr>
              <w:t>2009</w:t>
            </w:r>
          </w:p>
        </w:tc>
        <w:tc>
          <w:tcPr>
            <w:tcW w:w="120" w:type="dxa"/>
            <w:vAlign w:val="bottom"/>
          </w:tcPr>
          <w:p>
            <w:pPr>
              <w:spacing w:after="0"/>
              <w:rPr>
                <w:sz w:val="12"/>
                <w:szCs w:val="12"/>
                <w:color w:val="auto"/>
              </w:rPr>
            </w:pPr>
          </w:p>
        </w:tc>
      </w:tr>
      <w:tr>
        <w:trPr>
          <w:trHeight w:val="24"/>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62"/>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83"/>
        </w:trPr>
        <w:tc>
          <w:tcPr>
            <w:tcW w:w="5120" w:type="dxa"/>
            <w:vAlign w:val="bottom"/>
          </w:tcPr>
          <w:p>
            <w:pPr>
              <w:ind w:left="260"/>
              <w:spacing w:after="0"/>
              <w:rPr>
                <w:sz w:val="20"/>
                <w:szCs w:val="20"/>
                <w:color w:val="auto"/>
              </w:rPr>
            </w:pPr>
            <w:r>
              <w:rPr>
                <w:rFonts w:ascii="Arial" w:cs="Arial" w:eastAsia="Arial" w:hAnsi="Arial"/>
                <w:sz w:val="13"/>
                <w:szCs w:val="13"/>
                <w:color w:val="auto"/>
              </w:rPr>
              <w:t>Product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35,913</w:t>
            </w: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25,550</w:t>
            </w:r>
          </w:p>
        </w:tc>
        <w:tc>
          <w:tcPr>
            <w:tcW w:w="5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94,060</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69,327</w:t>
            </w:r>
          </w:p>
        </w:tc>
      </w:tr>
      <w:tr>
        <w:trPr>
          <w:trHeight w:val="203"/>
        </w:trPr>
        <w:tc>
          <w:tcPr>
            <w:tcW w:w="51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Services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44,527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36,712</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124,116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101,758</w:t>
            </w:r>
          </w:p>
        </w:tc>
        <w:tc>
          <w:tcPr>
            <w:tcW w:w="120" w:type="dxa"/>
            <w:vAlign w:val="bottom"/>
            <w:shd w:val="clear" w:color="auto" w:fill="CCEEFF"/>
          </w:tcPr>
          <w:p>
            <w:pPr>
              <w:spacing w:after="0"/>
              <w:rPr>
                <w:sz w:val="17"/>
                <w:szCs w:val="17"/>
                <w:color w:val="auto"/>
              </w:rPr>
            </w:pPr>
          </w:p>
        </w:tc>
      </w:tr>
      <w:tr>
        <w:trPr>
          <w:trHeight w:val="165"/>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jc w:val="right"/>
              <w:ind w:right="176"/>
              <w:spacing w:after="0"/>
              <w:rPr>
                <w:sz w:val="20"/>
                <w:szCs w:val="20"/>
                <w:color w:val="auto"/>
              </w:rPr>
            </w:pPr>
            <w:r>
              <w:rPr>
                <w:rFonts w:ascii="Arial" w:cs="Arial" w:eastAsia="Arial" w:hAnsi="Arial"/>
                <w:sz w:val="13"/>
                <w:szCs w:val="13"/>
                <w:color w:val="auto"/>
              </w:rPr>
              <w:t>&lt;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5120" w:type="dxa"/>
            <w:vAlign w:val="bottom"/>
          </w:tcPr>
          <w:p>
            <w:pPr>
              <w:ind w:left="260"/>
              <w:spacing w:after="0"/>
              <w:rPr>
                <w:sz w:val="20"/>
                <w:szCs w:val="20"/>
                <w:color w:val="auto"/>
              </w:rPr>
            </w:pPr>
            <w:r>
              <w:rPr>
                <w:rFonts w:ascii="Arial" w:cs="Arial" w:eastAsia="Arial" w:hAnsi="Arial"/>
                <w:sz w:val="13"/>
                <w:szCs w:val="13"/>
                <w:color w:val="auto"/>
              </w:rPr>
              <w:t>Ratable product and services</w:t>
            </w:r>
          </w:p>
        </w:tc>
        <w:tc>
          <w:tcPr>
            <w:tcW w:w="200" w:type="dxa"/>
            <w:vAlign w:val="bottom"/>
          </w:tcPr>
          <w:p>
            <w:pPr>
              <w:spacing w:after="0"/>
              <w:rPr>
                <w:sz w:val="14"/>
                <w:szCs w:val="14"/>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4,531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3,602</w:t>
            </w:r>
          </w:p>
        </w:tc>
        <w:tc>
          <w:tcPr>
            <w:tcW w:w="660" w:type="dxa"/>
            <w:vAlign w:val="bottom"/>
          </w:tcPr>
          <w:p>
            <w:pPr>
              <w:spacing w:after="0"/>
              <w:rPr>
                <w:sz w:val="14"/>
                <w:szCs w:val="14"/>
                <w:color w:val="auto"/>
              </w:rPr>
            </w:pPr>
          </w:p>
        </w:tc>
        <w:tc>
          <w:tcPr>
            <w:tcW w:w="540" w:type="dxa"/>
            <w:vAlign w:val="bottom"/>
            <w:gridSpan w:val="2"/>
          </w:tcPr>
          <w:p>
            <w:pPr>
              <w:jc w:val="right"/>
              <w:ind w:right="136"/>
              <w:spacing w:after="0"/>
              <w:rPr>
                <w:sz w:val="20"/>
                <w:szCs w:val="20"/>
                <w:color w:val="auto"/>
              </w:rPr>
            </w:pPr>
            <w:r>
              <w:rPr>
                <w:rFonts w:ascii="Arial" w:cs="Arial" w:eastAsia="Arial" w:hAnsi="Arial"/>
                <w:sz w:val="13"/>
                <w:szCs w:val="13"/>
                <w:color w:val="auto"/>
                <w:w w:val="97"/>
              </w:rPr>
              <w:t>/font&gt;</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12,921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10,318</w:t>
            </w:r>
          </w:p>
        </w:tc>
      </w:tr>
      <w:tr>
        <w:trPr>
          <w:trHeight w:val="192"/>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revenue</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84,971</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65,864</w:t>
            </w: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231,097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181,403</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r>
      <w:tr>
        <w:trPr>
          <w:trHeight w:val="173"/>
        </w:trPr>
        <w:tc>
          <w:tcPr>
            <w:tcW w:w="512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&lt; div</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35"/>
        </w:trPr>
        <w:tc>
          <w:tcPr>
            <w:tcW w:w="5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ind w:left="700"/>
              <w:spacing w:after="0" w:line="135" w:lineRule="exact"/>
              <w:rPr>
                <w:sz w:val="20"/>
                <w:szCs w:val="20"/>
                <w:color w:val="auto"/>
              </w:rPr>
            </w:pPr>
            <w:r>
              <w:rPr>
                <w:rFonts w:ascii="Arial" w:cs="Arial" w:eastAsia="Arial" w:hAnsi="Arial"/>
                <w:sz w:val="13"/>
                <w:szCs w:val="13"/>
                <w:color w:val="auto"/>
                <w:w w:val="99"/>
              </w:rPr>
              <w:t>style="text-</w:t>
            </w: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82"/>
        </w:trPr>
        <w:tc>
          <w:tcPr>
            <w:tcW w:w="51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Product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13,263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w w:val="96"/>
              </w:rPr>
              <w:t>10,428align:left;"&gt;</w:t>
            </w: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36,399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29,049</w:t>
            </w:r>
          </w:p>
        </w:tc>
      </w:tr>
      <w:tr>
        <w:trPr>
          <w:trHeight w:val="183"/>
        </w:trPr>
        <w:tc>
          <w:tcPr>
            <w:tcW w:w="5120" w:type="dxa"/>
            <w:vAlign w:val="bottom"/>
          </w:tcPr>
          <w:p>
            <w:pPr>
              <w:ind w:left="260"/>
              <w:spacing w:after="0"/>
              <w:rPr>
                <w:sz w:val="20"/>
                <w:szCs w:val="20"/>
                <w:color w:val="auto"/>
              </w:rPr>
            </w:pPr>
            <w:r>
              <w:rPr>
                <w:rFonts w:ascii="Arial" w:cs="Arial" w:eastAsia="Arial" w:hAnsi="Arial"/>
                <w:sz w:val="13"/>
                <w:szCs w:val="13"/>
                <w:color w:val="auto"/>
              </w:rPr>
              <w:t>Services</w:t>
            </w:r>
          </w:p>
        </w:tc>
        <w:tc>
          <w:tcPr>
            <w:tcW w:w="2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6,565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5,550</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19,851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15,955</w:t>
            </w:r>
          </w:p>
        </w:tc>
      </w:tr>
      <w:tr>
        <w:trPr>
          <w:trHeight w:val="193"/>
        </w:trPr>
        <w:tc>
          <w:tcPr>
            <w:tcW w:w="51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Ratable product and services</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1,615</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1,455</w:t>
            </w:r>
          </w:p>
        </w:tc>
        <w:tc>
          <w:tcPr>
            <w:tcW w:w="66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4,733</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4,062</w:t>
            </w:r>
          </w:p>
        </w:tc>
        <w:tc>
          <w:tcPr>
            <w:tcW w:w="7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r>
      <w:tr>
        <w:trPr>
          <w:trHeight w:val="182"/>
        </w:trPr>
        <w:tc>
          <w:tcPr>
            <w:tcW w:w="5120" w:type="dxa"/>
            <w:vAlign w:val="bottom"/>
          </w:tcPr>
          <w:p>
            <w:pPr>
              <w:ind w:left="420"/>
              <w:spacing w:after="0"/>
              <w:rPr>
                <w:sz w:val="20"/>
                <w:szCs w:val="20"/>
                <w:color w:val="auto"/>
              </w:rPr>
            </w:pPr>
            <w:r>
              <w:rPr>
                <w:rFonts w:ascii="Arial" w:cs="Arial" w:eastAsia="Arial" w:hAnsi="Arial"/>
                <w:sz w:val="13"/>
                <w:szCs w:val="13"/>
                <w:color w:val="auto"/>
              </w:rPr>
              <w:t>Total cost of revenue</w:t>
            </w:r>
          </w:p>
        </w:tc>
        <w:tc>
          <w:tcPr>
            <w:tcW w:w="2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21,443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17,433</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60,983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49,066</w:t>
            </w:r>
          </w:p>
        </w:tc>
      </w:tr>
      <w:tr>
        <w:trPr>
          <w:trHeight w:val="192"/>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r>
      <w:tr>
        <w:trPr>
          <w:trHeight w:val="183"/>
        </w:trPr>
        <w:tc>
          <w:tcPr>
            <w:tcW w:w="5120" w:type="dxa"/>
            <w:vAlign w:val="bottom"/>
          </w:tcPr>
          <w:p>
            <w:pPr>
              <w:ind w:left="260"/>
              <w:spacing w:after="0"/>
              <w:rPr>
                <w:sz w:val="20"/>
                <w:szCs w:val="20"/>
                <w:color w:val="auto"/>
              </w:rPr>
            </w:pPr>
            <w:r>
              <w:rPr>
                <w:rFonts w:ascii="Arial" w:cs="Arial" w:eastAsia="Arial" w:hAnsi="Arial"/>
                <w:sz w:val="13"/>
                <w:szCs w:val="13"/>
                <w:color w:val="auto"/>
              </w:rPr>
              <w:t>Product</w:t>
            </w:r>
          </w:p>
        </w:tc>
        <w:tc>
          <w:tcPr>
            <w:tcW w:w="2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22,650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15,122</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57,661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40,278</w:t>
            </w:r>
          </w:p>
        </w:tc>
      </w:tr>
      <w:tr>
        <w:trPr>
          <w:trHeight w:val="203"/>
        </w:trPr>
        <w:tc>
          <w:tcPr>
            <w:tcW w:w="51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Services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37,962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31,162</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104,265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85,803</w:t>
            </w:r>
          </w:p>
        </w:tc>
      </w:tr>
      <w:tr>
        <w:trPr>
          <w:trHeight w:val="182"/>
        </w:trPr>
        <w:tc>
          <w:tcPr>
            <w:tcW w:w="5120" w:type="dxa"/>
            <w:vAlign w:val="bottom"/>
          </w:tcPr>
          <w:p>
            <w:pPr>
              <w:ind w:left="260"/>
              <w:spacing w:after="0"/>
              <w:rPr>
                <w:sz w:val="20"/>
                <w:szCs w:val="20"/>
                <w:color w:val="auto"/>
              </w:rPr>
            </w:pPr>
            <w:r>
              <w:rPr>
                <w:rFonts w:ascii="Arial" w:cs="Arial" w:eastAsia="Arial" w:hAnsi="Arial"/>
                <w:sz w:val="13"/>
                <w:szCs w:val="13"/>
                <w:color w:val="auto"/>
              </w:rPr>
              <w:t>Ratable product and services</w:t>
            </w:r>
          </w:p>
        </w:tc>
        <w:tc>
          <w:tcPr>
            <w:tcW w:w="2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2,916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2,147</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8,188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6,256</w:t>
            </w:r>
          </w:p>
        </w:tc>
        <w:tc>
          <w:tcPr>
            <w:tcW w:w="120" w:type="dxa"/>
            <w:vAlign w:val="bottom"/>
          </w:tcPr>
          <w:p>
            <w:pPr>
              <w:spacing w:after="0"/>
              <w:rPr>
                <w:sz w:val="15"/>
                <w:szCs w:val="15"/>
                <w:color w:val="auto"/>
              </w:rPr>
            </w:pPr>
          </w:p>
        </w:tc>
      </w:tr>
      <w:tr>
        <w:trPr>
          <w:trHeight w:val="193"/>
        </w:trPr>
        <w:tc>
          <w:tcPr>
            <w:tcW w:w="51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Total gross profit</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63,528</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48,431</w:t>
            </w: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170,114</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132,337</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r>
      <w:tr>
        <w:trPr>
          <w:trHeight w:val="173"/>
        </w:trPr>
        <w:tc>
          <w:tcPr>
            <w:tcW w:w="512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1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Research and development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12,389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10,797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36,999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31,207</w:t>
            </w:r>
          </w:p>
        </w:tc>
      </w:tr>
      <w:tr>
        <w:trPr>
          <w:trHeight w:val="193"/>
        </w:trPr>
        <w:tc>
          <w:tcPr>
            <w:tcW w:w="5120" w:type="dxa"/>
            <w:vAlign w:val="bottom"/>
          </w:tcPr>
          <w:p>
            <w:pPr>
              <w:ind w:left="260"/>
              <w:spacing w:after="0"/>
              <w:rPr>
                <w:sz w:val="20"/>
                <w:szCs w:val="20"/>
                <w:color w:val="auto"/>
              </w:rPr>
            </w:pPr>
            <w:r>
              <w:rPr>
                <w:rFonts w:ascii="Arial" w:cs="Arial" w:eastAsia="Arial" w:hAnsi="Arial"/>
                <w:sz w:val="13"/>
                <w:szCs w:val="13"/>
                <w:color w:val="auto"/>
              </w:rPr>
              <w:t>Sales and marketing</w:t>
            </w:r>
          </w:p>
        </w:tc>
        <w:tc>
          <w:tcPr>
            <w:tcW w:w="20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26,987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23,468</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81,487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69,572</w:t>
            </w:r>
          </w:p>
        </w:tc>
      </w:tr>
      <w:tr>
        <w:trPr>
          <w:trHeight w:val="183"/>
        </w:trPr>
        <w:tc>
          <w:tcPr>
            <w:tcW w:w="51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General and administrative</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5,993</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4,490</w:t>
            </w:r>
          </w:p>
        </w:tc>
        <w:tc>
          <w:tcPr>
            <w:tcW w:w="7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16,985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13,678</w:t>
            </w:r>
          </w:p>
        </w:tc>
      </w:tr>
      <w:tr>
        <w:trPr>
          <w:trHeight w:val="192"/>
        </w:trPr>
        <w:tc>
          <w:tcPr>
            <w:tcW w:w="512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Total operating expenses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45,369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color w:val="auto"/>
              </w:rPr>
              <w:t>38,755&amp;nb sp;</w:t>
            </w:r>
          </w:p>
        </w:tc>
        <w:tc>
          <w:tcPr>
            <w:tcW w:w="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135,471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114,457</w:t>
            </w:r>
          </w:p>
        </w:tc>
      </w:tr>
      <w:tr>
        <w:trPr>
          <w:trHeight w:val="183"/>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18,159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9,676</w:t>
            </w: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34,643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17,880</w:t>
            </w:r>
          </w:p>
        </w:tc>
      </w:tr>
      <w:tr>
        <w:trPr>
          <w:trHeight w:val="183"/>
        </w:trPr>
        <w:tc>
          <w:tcPr>
            <w:tcW w:w="512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2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428</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1,181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1,677</w:t>
            </w:r>
          </w:p>
        </w:tc>
        <w:tc>
          <w:tcPr>
            <w:tcW w:w="120" w:type="dxa"/>
            <w:vAlign w:val="bottom"/>
          </w:tcPr>
          <w:p>
            <w:pPr>
              <w:spacing w:after="0"/>
              <w:rPr>
                <w:sz w:val="15"/>
                <w:szCs w:val="15"/>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(EXPENSE)—Net</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(64)</w:t>
            </w: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20" w:type="dxa"/>
            <w:vAlign w:val="bottom"/>
            <w:tcBorders>
              <w:bottom w:val="single" w:sz="8" w:color="auto"/>
            </w:tcBorders>
            <w:shd w:val="clear" w:color="auto" w:fill="CCEEFF"/>
          </w:tcPr>
          <w:p>
            <w:pPr>
              <w:spacing w:after="0"/>
              <w:rPr>
                <w:sz w:val="17"/>
                <w:szCs w:val="17"/>
                <w:color w:val="auto"/>
              </w:rPr>
            </w:pPr>
          </w:p>
        </w:tc>
      </w:tr>
      <w:tr>
        <w:trPr>
          <w:trHeight w:val="173"/>
        </w:trPr>
        <w:tc>
          <w:tcPr>
            <w:tcW w:w="512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2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18,271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10,040</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35,259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19,705</w:t>
            </w:r>
          </w:p>
        </w:tc>
      </w:tr>
      <w:tr>
        <w:trPr>
          <w:trHeight w:val="193"/>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4,254</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2,151</w:t>
            </w:r>
          </w:p>
        </w:tc>
        <w:tc>
          <w:tcPr>
            <w:tcW w:w="66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10,155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3,466</w:t>
            </w:r>
          </w:p>
        </w:tc>
        <w:tc>
          <w:tcPr>
            <w:tcW w:w="120" w:type="dxa"/>
            <w:vAlign w:val="bottom"/>
            <w:tcBorders>
              <w:bottom w:val="single" w:sz="8" w:color="auto"/>
            </w:tcBorders>
            <w:shd w:val="clear" w:color="auto" w:fill="CCEEFF"/>
          </w:tcPr>
          <w:p>
            <w:pPr>
              <w:spacing w:after="0"/>
              <w:rPr>
                <w:sz w:val="16"/>
                <w:szCs w:val="16"/>
                <w:color w:val="auto"/>
              </w:rPr>
            </w:pPr>
          </w:p>
        </w:tc>
      </w:tr>
      <w:tr>
        <w:trPr>
          <w:trHeight w:val="201"/>
        </w:trPr>
        <w:tc>
          <w:tcPr>
            <w:tcW w:w="51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14,017</w:t>
            </w:r>
          </w:p>
        </w:tc>
        <w:tc>
          <w:tcPr>
            <w:tcW w:w="10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3"/>
                <w:szCs w:val="13"/>
                <w:color w:val="auto"/>
              </w:rPr>
              <w:t>$ 7,889</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25,104</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16,239</w:t>
            </w:r>
          </w:p>
        </w:tc>
      </w:tr>
      <w:tr>
        <w:trPr>
          <w:trHeight w:val="19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per share attributable to common stockholders (Note 5):</w:t>
            </w: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r>
      <w:tr>
        <w:trPr>
          <w:trHeight w:val="192"/>
        </w:trPr>
        <w:tc>
          <w:tcPr>
            <w:tcW w:w="51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Basic</w:t>
            </w: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0.11</w:t>
            </w: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0.36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3"/>
                <w:szCs w:val="13"/>
                <w:color w:val="auto"/>
              </w:rPr>
              <w:t>0.04</w:t>
            </w:r>
          </w:p>
        </w:tc>
      </w:tr>
      <w:tr>
        <w:trPr>
          <w:trHeight w:val="20"/>
        </w:trPr>
        <w:tc>
          <w:tcPr>
            <w:tcW w:w="5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97"/>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Diluted</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0.18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0.10</w:t>
            </w: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0.04</w:t>
            </w:r>
          </w:p>
        </w:tc>
      </w:tr>
      <w:tr>
        <w:trPr>
          <w:trHeight w:val="177"/>
        </w:trPr>
        <w:tc>
          <w:tcPr>
            <w:tcW w:w="5120" w:type="dxa"/>
            <w:vAlign w:val="bottom"/>
          </w:tcPr>
          <w:p>
            <w:pPr>
              <w:ind w:left="20"/>
              <w:spacing w:after="0"/>
              <w:rPr>
                <w:sz w:val="20"/>
                <w:szCs w:val="20"/>
                <w:color w:val="auto"/>
              </w:rPr>
            </w:pPr>
            <w:r>
              <w:rPr>
                <w:rFonts w:ascii="Arial" w:cs="Arial" w:eastAsia="Arial" w:hAnsi="Arial"/>
                <w:sz w:val="13"/>
                <w:szCs w:val="13"/>
                <w:color w:val="auto"/>
              </w:rPr>
              <w:t>Weighted-average shares outstanding:</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5120" w:type="dxa"/>
            <w:vAlign w:val="bottom"/>
          </w:tcPr>
          <w:p>
            <w:pPr>
              <w:ind w:left="260"/>
              <w:spacing w:after="0"/>
              <w:rPr>
                <w:sz w:val="20"/>
                <w:szCs w:val="20"/>
                <w:color w:val="auto"/>
              </w:rPr>
            </w:pPr>
            <w:r>
              <w:rPr>
                <w:rFonts w:ascii="Arial" w:cs="Arial" w:eastAsia="Arial" w:hAnsi="Arial"/>
                <w:sz w:val="13"/>
                <w:szCs w:val="13"/>
                <w:color w:val="auto"/>
              </w:rPr>
              <w:t>Basic</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71,836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58,288</w:t>
            </w:r>
          </w:p>
        </w:tc>
        <w:tc>
          <w:tcPr>
            <w:tcW w:w="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69,188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58,258</w:t>
            </w:r>
          </w:p>
        </w:tc>
      </w:tr>
      <w:tr>
        <w:trPr>
          <w:trHeight w:val="188"/>
        </w:trPr>
        <w:tc>
          <w:tcPr>
            <w:tcW w:w="5120" w:type="dxa"/>
            <w:vAlign w:val="bottom"/>
          </w:tcPr>
          <w:p>
            <w:pPr>
              <w:ind w:left="260"/>
              <w:spacing w:after="0"/>
              <w:rPr>
                <w:sz w:val="20"/>
                <w:szCs w:val="20"/>
                <w:color w:val="auto"/>
              </w:rPr>
            </w:pPr>
            <w:r>
              <w:rPr>
                <w:rFonts w:ascii="Arial" w:cs="Arial" w:eastAsia="Arial" w:hAnsi="Arial"/>
                <w:sz w:val="13"/>
                <w:szCs w:val="13"/>
                <w:color w:val="auto"/>
              </w:rPr>
              <w:t>Dilu ted</w:t>
            </w:r>
          </w:p>
        </w:tc>
        <w:tc>
          <w:tcPr>
            <w:tcW w:w="20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77,921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color w:val="auto"/>
              </w:rPr>
              <w:t>64,167</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76,645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64,181</w:t>
            </w:r>
          </w:p>
        </w:tc>
      </w:tr>
      <w:tr>
        <w:trPr>
          <w:trHeight w:val="34"/>
        </w:trPr>
        <w:tc>
          <w:tcPr>
            <w:tcW w:w="5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r>
    </w:tbl>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See notes to condensed consolidated financial statements</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80"/>
          </w:cols>
          <w:pgMar w:left="220" w:top="131" w:right="199" w:bottom="1440" w:gutter="0" w:footer="0" w:header="0"/>
        </w:sectPr>
      </w:pPr>
    </w:p>
    <w:bookmarkStart w:id="4" w:name="page5"/>
    <w:bookmarkEnd w:id="4"/>
    <w:p>
      <w:pPr>
        <w:jc w:val="center"/>
        <w:ind w:right="2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FORTINET, INC. AND SUBSIDIARIES</w:t>
      </w:r>
    </w:p>
    <w:p>
      <w:pPr>
        <w:spacing w:after="0" w:line="4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ind w:left="400"/>
              <w:spacing w:after="0"/>
              <w:rPr>
                <w:sz w:val="20"/>
                <w:szCs w:val="20"/>
                <w:color w:val="auto"/>
              </w:rPr>
            </w:pPr>
            <w:r>
              <w:rPr>
                <w:rFonts w:ascii="Arial" w:cs="Arial" w:eastAsia="Arial" w:hAnsi="Arial"/>
                <w:sz w:val="12"/>
                <w:szCs w:val="12"/>
                <w:b w:val="1"/>
                <w:bCs w:val="1"/>
                <w:color w:val="auto"/>
                <w:w w:val="99"/>
              </w:rPr>
              <w:t>Nine Months Ended</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4"/>
        </w:trPr>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145"/>
        </w:trPr>
        <w:tc>
          <w:tcPr>
            <w:tcW w:w="7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5"/>
              </w:rPr>
              <w:t>September 30,</w:t>
            </w: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2"/>
          </w:tcPr>
          <w:p>
            <w:pPr>
              <w:jc w:val="right"/>
              <w:ind w:right="636"/>
              <w:spacing w:after="0"/>
              <w:rPr>
                <w:sz w:val="20"/>
                <w:szCs w:val="20"/>
                <w:color w:val="auto"/>
              </w:rPr>
            </w:pPr>
            <w:r>
              <w:rPr>
                <w:rFonts w:ascii="Arial" w:cs="Arial" w:eastAsia="Arial" w:hAnsi="Arial"/>
                <w:sz w:val="12"/>
                <w:szCs w:val="12"/>
                <w:b w:val="1"/>
                <w:bCs w:val="1"/>
                <w:color w:val="auto"/>
              </w:rPr>
              <w:t>September 30,</w:t>
            </w:r>
          </w:p>
        </w:tc>
      </w:tr>
      <w:tr>
        <w:trPr>
          <w:trHeight w:val="149"/>
        </w:trPr>
        <w:tc>
          <w:tcPr>
            <w:tcW w:w="7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396"/>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ind w:right="76"/>
              <w:spacing w:after="0"/>
              <w:rPr>
                <w:sz w:val="20"/>
                <w:szCs w:val="20"/>
                <w:color w:val="auto"/>
              </w:rPr>
            </w:pPr>
            <w:r>
              <w:rPr>
                <w:rFonts w:ascii="Arial" w:cs="Arial" w:eastAsia="Arial" w:hAnsi="Arial"/>
                <w:sz w:val="12"/>
                <w:szCs w:val="12"/>
                <w:b w:val="1"/>
                <w:bCs w:val="1"/>
                <w:color w:val="auto"/>
              </w:rPr>
              <w:t>2009</w:t>
            </w:r>
          </w:p>
        </w:tc>
        <w:tc>
          <w:tcPr>
            <w:tcW w:w="780" w:type="dxa"/>
            <w:vAlign w:val="bottom"/>
          </w:tcPr>
          <w:p>
            <w:pPr>
              <w:spacing w:after="0"/>
              <w:rPr>
                <w:sz w:val="12"/>
                <w:szCs w:val="12"/>
                <w:color w:val="auto"/>
              </w:rPr>
            </w:pPr>
          </w:p>
        </w:tc>
      </w:tr>
      <w:tr>
        <w:trPr>
          <w:trHeight w:val="24"/>
        </w:trPr>
        <w:tc>
          <w:tcPr>
            <w:tcW w:w="7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3"/>
        </w:trPr>
        <w:tc>
          <w:tcPr>
            <w:tcW w:w="7020" w:type="dxa"/>
            <w:vAlign w:val="bottom"/>
          </w:tcPr>
          <w:p>
            <w:pPr>
              <w:ind w:left="260"/>
              <w:spacing w:after="0"/>
              <w:rPr>
                <w:sz w:val="20"/>
                <w:szCs w:val="20"/>
                <w:color w:val="auto"/>
              </w:rPr>
            </w:pPr>
            <w:r>
              <w:rPr>
                <w:rFonts w:ascii="Arial" w:cs="Arial" w:eastAsia="Arial" w:hAnsi="Arial"/>
                <w:sz w:val="13"/>
                <w:szCs w:val="13"/>
                <w:color w:val="auto"/>
              </w:rPr>
              <w:t>Net income</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25,104</w:t>
            </w:r>
          </w:p>
        </w:tc>
        <w:tc>
          <w:tcPr>
            <w:tcW w:w="15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716"/>
              <w:spacing w:after="0"/>
              <w:rPr>
                <w:sz w:val="20"/>
                <w:szCs w:val="20"/>
                <w:color w:val="auto"/>
              </w:rPr>
            </w:pPr>
            <w:r>
              <w:rPr>
                <w:rFonts w:ascii="Arial" w:cs="Arial" w:eastAsia="Arial" w:hAnsi="Arial"/>
                <w:sz w:val="13"/>
                <w:szCs w:val="13"/>
                <w:color w:val="auto"/>
              </w:rPr>
              <w:t>16,239</w:t>
            </w:r>
          </w:p>
        </w:tc>
      </w:tr>
      <w:tr>
        <w:trPr>
          <w:trHeight w:val="203"/>
        </w:trPr>
        <w:tc>
          <w:tcPr>
            <w:tcW w:w="7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83"/>
        </w:trPr>
        <w:tc>
          <w:tcPr>
            <w:tcW w:w="7020" w:type="dxa"/>
            <w:vAlign w:val="bottom"/>
          </w:tcPr>
          <w:p>
            <w:pPr>
              <w:ind w:left="580"/>
              <w:spacing w:after="0"/>
              <w:rPr>
                <w:sz w:val="20"/>
                <w:szCs w:val="20"/>
                <w:color w:val="auto"/>
              </w:rPr>
            </w:pPr>
            <w:r>
              <w:rPr>
                <w:rFonts w:ascii="Arial" w:cs="Arial" w:eastAsia="Arial" w:hAnsi="Arial"/>
                <w:sz w:val="13"/>
                <w:szCs w:val="13"/>
                <w:color w:val="auto"/>
              </w:rPr>
              <w:t>Depreciation and amortization&lt; /div&gt;</w:t>
            </w: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4,233</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716"/>
              <w:spacing w:after="0"/>
              <w:rPr>
                <w:sz w:val="20"/>
                <w:szCs w:val="20"/>
                <w:color w:val="auto"/>
              </w:rPr>
            </w:pPr>
            <w:r>
              <w:rPr>
                <w:rFonts w:ascii="Arial" w:cs="Arial" w:eastAsia="Arial" w:hAnsi="Arial"/>
                <w:sz w:val="13"/>
                <w:szCs w:val="13"/>
                <w:color w:val="auto"/>
              </w:rPr>
              <w:t>4,322</w:t>
            </w: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3"/>
                <w:szCs w:val="13"/>
                <w:color w:val="auto"/>
              </w:rPr>
              <w:t>Write-off of intangible assets</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1,075</w:t>
            </w:r>
          </w:p>
        </w:tc>
      </w:tr>
      <w:tr>
        <w:trPr>
          <w:trHeight w:val="183"/>
        </w:trPr>
        <w:tc>
          <w:tcPr>
            <w:tcW w:w="7020" w:type="dxa"/>
            <w:vAlign w:val="bottom"/>
          </w:tcPr>
          <w:p>
            <w:pPr>
              <w:ind w:left="580"/>
              <w:spacing w:after="0"/>
              <w:rPr>
                <w:sz w:val="20"/>
                <w:szCs w:val="20"/>
                <w:color w:val="auto"/>
              </w:rPr>
            </w:pPr>
            <w:r>
              <w:rPr>
                <w:rFonts w:ascii="Arial" w:cs="Arial" w:eastAsia="Arial" w:hAnsi="Arial"/>
                <w:sz w:val="13"/>
                <w:szCs w:val="13"/>
                <w:color w:val="auto"/>
              </w:rPr>
              <w:t>Gain on disposal of fixed assets</w:t>
            </w: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r>
      <w:tr>
        <w:trPr>
          <w:trHeight w:val="203"/>
        </w:trPr>
        <w:tc>
          <w:tcPr>
            <w:tcW w:w="70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Amortization of investment premiums</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4,934</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853</w:t>
            </w:r>
          </w:p>
        </w:tc>
      </w:tr>
      <w:tr>
        <w:trPr>
          <w:trHeight w:val="183"/>
        </w:trPr>
        <w:tc>
          <w:tcPr>
            <w:tcW w:w="7020" w:type="dxa"/>
            <w:vAlign w:val="bottom"/>
          </w:tcPr>
          <w:p>
            <w:pPr>
              <w:ind w:left="580"/>
              <w:spacing w:after="0"/>
              <w:rPr>
                <w:sz w:val="20"/>
                <w:szCs w:val="20"/>
                <w:color w:val="auto"/>
              </w:rPr>
            </w:pPr>
            <w:r>
              <w:rPr>
                <w:rFonts w:ascii="Arial" w:cs="Arial" w:eastAsia="Arial" w:hAnsi="Arial"/>
                <w:sz w:val="13"/>
                <w:szCs w:val="13"/>
                <w:color w:val="auto"/>
              </w:rPr>
              <w:t>Stock-based compensation</w:t>
            </w: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6,846</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716"/>
              <w:spacing w:after="0"/>
              <w:rPr>
                <w:sz w:val="20"/>
                <w:szCs w:val="20"/>
                <w:color w:val="auto"/>
              </w:rPr>
            </w:pPr>
            <w:r>
              <w:rPr>
                <w:rFonts w:ascii="Arial" w:cs="Arial" w:eastAsia="Arial" w:hAnsi="Arial"/>
                <w:sz w:val="13"/>
                <w:szCs w:val="13"/>
                <w:color w:val="auto"/>
              </w:rPr>
              <w:t>5,279</w:t>
            </w:r>
          </w:p>
        </w:tc>
      </w:tr>
      <w:tr>
        <w:trPr>
          <w:trHeight w:val="203"/>
        </w:trPr>
        <w:tc>
          <w:tcPr>
            <w:tcW w:w="70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Excess tax benefit from employee stock option plans</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(4,191)</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76"/>
              <w:spacing w:after="0"/>
              <w:rPr>
                <w:sz w:val="20"/>
                <w:szCs w:val="20"/>
                <w:color w:val="auto"/>
              </w:rPr>
            </w:pPr>
            <w:r>
              <w:rPr>
                <w:rFonts w:ascii="Arial" w:cs="Arial" w:eastAsia="Arial" w:hAnsi="Arial"/>
                <w:sz w:val="13"/>
                <w:szCs w:val="13"/>
                <w:color w:val="auto"/>
              </w:rPr>
              <w:t>(113)</w:t>
            </w:r>
          </w:p>
        </w:tc>
      </w:tr>
      <w:tr>
        <w:trPr>
          <w:trHeight w:val="165"/>
        </w:trPr>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3"/>
                <w:szCs w:val="13"/>
                <w:color w:val="auto"/>
              </w:rPr>
              <w:t>&lt; font style="font-</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4"/>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3"/>
                <w:szCs w:val="13"/>
                <w:color w:val="auto"/>
              </w:rPr>
              <w:t>family:inherit;font-</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2"/>
        </w:trPr>
        <w:tc>
          <w:tcPr>
            <w:tcW w:w="7020" w:type="dxa"/>
            <w:vAlign w:val="bottom"/>
          </w:tcPr>
          <w:p>
            <w:pPr>
              <w:ind w:left="580"/>
              <w:spacing w:after="0"/>
              <w:rPr>
                <w:sz w:val="20"/>
                <w:szCs w:val="20"/>
                <w:color w:val="auto"/>
              </w:rPr>
            </w:pPr>
            <w:r>
              <w:rPr>
                <w:rFonts w:ascii="Arial" w:cs="Arial" w:eastAsia="Arial" w:hAnsi="Arial"/>
                <w:sz w:val="13"/>
                <w:szCs w:val="13"/>
                <w:color w:val="auto"/>
              </w:rPr>
              <w:t>Changes in operating assets and liabilities: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3"/>
                <w:szCs w:val="13"/>
                <w:color w:val="auto"/>
              </w:rPr>
              <w:t>size:10pt;"&gt;</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3"/>
        </w:trPr>
        <w:tc>
          <w:tcPr>
            <w:tcW w:w="7020" w:type="dxa"/>
            <w:vAlign w:val="bottom"/>
            <w:shd w:val="clear" w:color="auto" w:fill="CCEEFF"/>
          </w:tcPr>
          <w:p>
            <w:pPr>
              <w:ind w:left="800"/>
              <w:spacing w:after="0"/>
              <w:rPr>
                <w:sz w:val="20"/>
                <w:szCs w:val="20"/>
                <w:color w:val="auto"/>
              </w:rPr>
            </w:pPr>
            <w:r>
              <w:rPr>
                <w:rFonts w:ascii="Arial" w:cs="Arial" w:eastAsia="Arial" w:hAnsi="Arial"/>
                <w:sz w:val="13"/>
                <w:szCs w:val="13"/>
                <w:color w:val="auto"/>
              </w:rPr>
              <w:t>Accounts receivable—net</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(5,011)</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1,932</w:t>
            </w:r>
          </w:p>
        </w:tc>
      </w:tr>
      <w:tr>
        <w:trPr>
          <w:trHeight w:val="193"/>
        </w:trPr>
        <w:tc>
          <w:tcPr>
            <w:tcW w:w="7020" w:type="dxa"/>
            <w:vAlign w:val="bottom"/>
          </w:tcPr>
          <w:p>
            <w:pPr>
              <w:ind w:left="800"/>
              <w:spacing w:after="0"/>
              <w:rPr>
                <w:sz w:val="20"/>
                <w:szCs w:val="20"/>
                <w:color w:val="auto"/>
              </w:rPr>
            </w:pPr>
            <w:r>
              <w:rPr>
                <w:rFonts w:ascii="Arial" w:cs="Arial" w:eastAsia="Arial" w:hAnsi="Arial"/>
                <w:sz w:val="13"/>
                <w:szCs w:val="13"/>
                <w:color w:val="auto"/>
              </w:rPr>
              <w:t>Inventory</w:t>
            </w:r>
          </w:p>
        </w:tc>
        <w:tc>
          <w:tcPr>
            <w:tcW w:w="2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(2,815)</w:t>
            </w: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gridSpan w:val="2"/>
          </w:tcPr>
          <w:p>
            <w:pPr>
              <w:jc w:val="right"/>
              <w:ind w:right="676"/>
              <w:spacing w:after="0"/>
              <w:rPr>
                <w:sz w:val="20"/>
                <w:szCs w:val="20"/>
                <w:color w:val="auto"/>
              </w:rPr>
            </w:pPr>
            <w:r>
              <w:rPr>
                <w:rFonts w:ascii="Arial" w:cs="Arial" w:eastAsia="Arial" w:hAnsi="Arial"/>
                <w:sz w:val="13"/>
                <w:szCs w:val="13"/>
                <w:color w:val="auto"/>
              </w:rPr>
              <w:t>(1,552)</w:t>
            </w:r>
          </w:p>
        </w:tc>
      </w:tr>
      <w:tr>
        <w:trPr>
          <w:trHeight w:val="193"/>
        </w:trPr>
        <w:tc>
          <w:tcPr>
            <w:tcW w:w="7020" w:type="dxa"/>
            <w:vAlign w:val="bottom"/>
          </w:tcPr>
          <w:p>
            <w:pPr>
              <w:ind w:left="800"/>
              <w:spacing w:after="0"/>
              <w:rPr>
                <w:sz w:val="20"/>
                <w:szCs w:val="20"/>
                <w:color w:val="auto"/>
              </w:rPr>
            </w:pPr>
            <w:r>
              <w:rPr>
                <w:rFonts w:ascii="Arial" w:cs="Arial" w:eastAsia="Arial" w:hAnsi="Arial"/>
                <w:sz w:val="13"/>
                <w:szCs w:val="13"/>
                <w:color w:val="auto"/>
              </w:rPr>
              <w:t>Deferred tax assets</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w:t>
            </w: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76"/>
              <w:spacing w:after="0"/>
              <w:rPr>
                <w:sz w:val="20"/>
                <w:szCs w:val="20"/>
                <w:color w:val="auto"/>
              </w:rPr>
            </w:pPr>
            <w:r>
              <w:rPr>
                <w:rFonts w:ascii="Arial" w:cs="Arial" w:eastAsia="Arial" w:hAnsi="Arial"/>
                <w:sz w:val="13"/>
                <w:szCs w:val="13"/>
                <w:color w:val="auto"/>
              </w:rPr>
              <w:t>(6)</w:t>
            </w:r>
          </w:p>
        </w:tc>
      </w:tr>
      <w:tr>
        <w:trPr>
          <w:trHeight w:val="183"/>
        </w:trPr>
        <w:tc>
          <w:tcPr>
            <w:tcW w:w="7020" w:type="dxa"/>
            <w:vAlign w:val="bottom"/>
          </w:tcPr>
          <w:p>
            <w:pPr>
              <w:ind w:left="80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(2,905)</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676"/>
              <w:spacing w:after="0"/>
              <w:rPr>
                <w:sz w:val="20"/>
                <w:szCs w:val="20"/>
                <w:color w:val="auto"/>
              </w:rPr>
            </w:pPr>
            <w:r>
              <w:rPr>
                <w:rFonts w:ascii="Arial" w:cs="Arial" w:eastAsia="Arial" w:hAnsi="Arial"/>
                <w:sz w:val="13"/>
                <w:szCs w:val="13"/>
                <w:color w:val="auto"/>
              </w:rPr>
              <w:t>(357)</w:t>
            </w:r>
          </w:p>
        </w:tc>
      </w:tr>
      <w:tr>
        <w:trPr>
          <w:trHeight w:val="175"/>
        </w:trPr>
        <w:tc>
          <w:tcPr>
            <w:tcW w:w="702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&lt; div</w:t>
            </w:r>
          </w:p>
        </w:tc>
      </w:tr>
      <w:tr>
        <w:trPr>
          <w:trHeight w:val="154"/>
        </w:trPr>
        <w:tc>
          <w:tcPr>
            <w:tcW w:w="702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rPr>
              <w:t>style="text-</w:t>
            </w:r>
          </w:p>
        </w:tc>
      </w:tr>
      <w:tr>
        <w:trPr>
          <w:trHeight w:val="154"/>
        </w:trPr>
        <w:tc>
          <w:tcPr>
            <w:tcW w:w="702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3"/>
                <w:szCs w:val="13"/>
                <w:color w:val="auto"/>
                <w:w w:val="97"/>
              </w:rPr>
              <w:t>align:left;font-</w:t>
            </w:r>
          </w:p>
        </w:tc>
      </w:tr>
      <w:tr>
        <w:trPr>
          <w:trHeight w:val="182"/>
        </w:trPr>
        <w:tc>
          <w:tcPr>
            <w:tcW w:w="7020" w:type="dxa"/>
            <w:vAlign w:val="bottom"/>
            <w:shd w:val="clear" w:color="auto" w:fill="CCEEFF"/>
          </w:tcPr>
          <w:p>
            <w:pPr>
              <w:ind w:left="800"/>
              <w:spacing w:after="0"/>
              <w:rPr>
                <w:sz w:val="20"/>
                <w:szCs w:val="20"/>
                <w:color w:val="auto"/>
              </w:rPr>
            </w:pPr>
            <w:r>
              <w:rPr>
                <w:rFonts w:ascii="Arial" w:cs="Arial" w:eastAsia="Arial" w:hAnsi="Arial"/>
                <w:sz w:val="13"/>
                <w:szCs w:val="13"/>
                <w:color w:val="auto"/>
              </w:rPr>
              <w:t>Deferred cost of revenues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(926size:10pt;"&gt;)</w:t>
            </w:r>
          </w:p>
        </w:tc>
      </w:tr>
      <w:tr>
        <w:trPr>
          <w:trHeight w:val="183"/>
        </w:trPr>
        <w:tc>
          <w:tcPr>
            <w:tcW w:w="7020" w:type="dxa"/>
            <w:vAlign w:val="bottom"/>
          </w:tcPr>
          <w:p>
            <w:pPr>
              <w:ind w:left="800"/>
              <w:spacing w:after="0"/>
              <w:rPr>
                <w:sz w:val="20"/>
                <w:szCs w:val="20"/>
                <w:color w:val="auto"/>
              </w:rPr>
            </w:pPr>
            <w:r>
              <w:rPr>
                <w:rFonts w:ascii="Arial" w:cs="Arial" w:eastAsia="Arial" w:hAnsi="Arial"/>
                <w:sz w:val="13"/>
                <w:szCs w:val="13"/>
                <w:color w:val="auto"/>
              </w:rPr>
              <w:t>Other assets</w:t>
            </w: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50</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716"/>
              <w:spacing w:after="0"/>
              <w:rPr>
                <w:sz w:val="20"/>
                <w:szCs w:val="20"/>
                <w:color w:val="auto"/>
              </w:rPr>
            </w:pPr>
            <w:r>
              <w:rPr>
                <w:rFonts w:ascii="Arial" w:cs="Arial" w:eastAsia="Arial" w:hAnsi="Arial"/>
                <w:sz w:val="13"/>
                <w:szCs w:val="13"/>
                <w:color w:val="auto"/>
              </w:rPr>
              <w:t>200</w:t>
            </w:r>
          </w:p>
        </w:tc>
      </w:tr>
      <w:tr>
        <w:trPr>
          <w:trHeight w:val="203"/>
        </w:trPr>
        <w:tc>
          <w:tcPr>
            <w:tcW w:w="7020" w:type="dxa"/>
            <w:vAlign w:val="bottom"/>
            <w:shd w:val="clear" w:color="auto" w:fill="CCEEFF"/>
          </w:tcPr>
          <w:p>
            <w:pPr>
              <w:ind w:left="800"/>
              <w:spacing w:after="0"/>
              <w:rPr>
                <w:sz w:val="20"/>
                <w:szCs w:val="20"/>
                <w:color w:val="auto"/>
              </w:rPr>
            </w:pPr>
            <w:r>
              <w:rPr>
                <w:rFonts w:ascii="Arial" w:cs="Arial" w:eastAsia="Arial" w:hAnsi="Arial"/>
                <w:sz w:val="13"/>
                <w:szCs w:val="13"/>
                <w:color w:val="auto"/>
              </w:rPr>
              <w:t>Accounts payable</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(689)</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1,083</w:t>
            </w:r>
          </w:p>
        </w:tc>
      </w:tr>
      <w:tr>
        <w:trPr>
          <w:trHeight w:val="183"/>
        </w:trPr>
        <w:tc>
          <w:tcPr>
            <w:tcW w:w="7020" w:type="dxa"/>
            <w:vAlign w:val="bottom"/>
          </w:tcPr>
          <w:p>
            <w:pPr>
              <w:ind w:left="800"/>
              <w:spacing w:after="0"/>
              <w:rPr>
                <w:sz w:val="20"/>
                <w:szCs w:val="20"/>
                <w:color w:val="auto"/>
              </w:rPr>
            </w:pPr>
            <w:r>
              <w:rPr>
                <w:rFonts w:ascii="Arial" w:cs="Arial" w:eastAsia="Arial" w:hAnsi="Arial"/>
                <w:sz w:val="13"/>
                <w:szCs w:val="13"/>
                <w:color w:val="auto"/>
              </w:rPr>
              <w:t>Accrued liabilities</w:t>
            </w: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1,711</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716"/>
              <w:spacing w:after="0"/>
              <w:rPr>
                <w:sz w:val="20"/>
                <w:szCs w:val="20"/>
                <w:color w:val="auto"/>
              </w:rPr>
            </w:pPr>
            <w:r>
              <w:rPr>
                <w:rFonts w:ascii="Arial" w:cs="Arial" w:eastAsia="Arial" w:hAnsi="Arial"/>
                <w:sz w:val="13"/>
                <w:szCs w:val="13"/>
                <w:color w:val="auto"/>
              </w:rPr>
              <w:t>159</w:t>
            </w:r>
          </w:p>
        </w:tc>
      </w:tr>
      <w:tr>
        <w:trPr>
          <w:trHeight w:val="203"/>
        </w:trPr>
        <w:tc>
          <w:tcPr>
            <w:tcW w:w="7020" w:type="dxa"/>
            <w:vAlign w:val="bottom"/>
            <w:shd w:val="clear" w:color="auto" w:fill="CCEEFF"/>
          </w:tcPr>
          <w:p>
            <w:pPr>
              <w:ind w:left="800"/>
              <w:spacing w:after="0"/>
              <w:rPr>
                <w:sz w:val="20"/>
                <w:szCs w:val="20"/>
                <w:color w:val="auto"/>
              </w:rPr>
            </w:pPr>
            <w:r>
              <w:rPr>
                <w:rFonts w:ascii="Arial" w:cs="Arial" w:eastAsia="Arial" w:hAnsi="Arial"/>
                <w:sz w:val="13"/>
                <w:szCs w:val="13"/>
                <w:color w:val="auto"/>
              </w:rPr>
              <w:t>Accrued payroll and compensation</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4,312</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76"/>
              <w:spacing w:after="0"/>
              <w:rPr>
                <w:sz w:val="20"/>
                <w:szCs w:val="20"/>
                <w:color w:val="auto"/>
              </w:rPr>
            </w:pPr>
            <w:r>
              <w:rPr>
                <w:rFonts w:ascii="Arial" w:cs="Arial" w:eastAsia="Arial" w:hAnsi="Arial"/>
                <w:sz w:val="13"/>
                <w:szCs w:val="13"/>
                <w:color w:val="auto"/>
              </w:rPr>
              <w:t>(689)</w:t>
            </w:r>
          </w:p>
        </w:tc>
      </w:tr>
      <w:tr>
        <w:trPr>
          <w:trHeight w:val="183"/>
        </w:trPr>
        <w:tc>
          <w:tcPr>
            <w:tcW w:w="7020" w:type="dxa"/>
            <w:vAlign w:val="bottom"/>
          </w:tcPr>
          <w:p>
            <w:pPr>
              <w:ind w:left="800"/>
              <w:spacing w:after="0"/>
              <w:rPr>
                <w:sz w:val="20"/>
                <w:szCs w:val="20"/>
                <w:color w:val="auto"/>
              </w:rPr>
            </w:pPr>
            <w:r>
              <w:rPr>
                <w:rFonts w:ascii="Arial" w:cs="Arial" w:eastAsia="Arial" w:hAnsi="Arial"/>
                <w:sz w:val="13"/>
                <w:szCs w:val="13"/>
                <w:color w:val="auto"/>
              </w:rPr>
              <w:t>Deferred revenue</w:t>
            </w: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33,321</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716"/>
              <w:spacing w:after="0"/>
              <w:rPr>
                <w:sz w:val="20"/>
                <w:szCs w:val="20"/>
                <w:color w:val="auto"/>
              </w:rPr>
            </w:pPr>
            <w:r>
              <w:rPr>
                <w:rFonts w:ascii="Arial" w:cs="Arial" w:eastAsia="Arial" w:hAnsi="Arial"/>
                <w:sz w:val="13"/>
                <w:szCs w:val="13"/>
                <w:color w:val="auto"/>
              </w:rPr>
              <w:t>18,758</w:t>
            </w:r>
          </w:p>
        </w:tc>
      </w:tr>
      <w:tr>
        <w:trPr>
          <w:trHeight w:val="193"/>
        </w:trPr>
        <w:tc>
          <w:tcPr>
            <w:tcW w:w="7020" w:type="dxa"/>
            <w:vAlign w:val="bottom"/>
            <w:shd w:val="clear" w:color="auto" w:fill="CCEEFF"/>
          </w:tcPr>
          <w:p>
            <w:pPr>
              <w:ind w:left="800"/>
              <w:spacing w:after="0"/>
              <w:rPr>
                <w:sz w:val="20"/>
                <w:szCs w:val="20"/>
                <w:color w:val="auto"/>
              </w:rPr>
            </w:pPr>
            <w:r>
              <w:rPr>
                <w:rFonts w:ascii="Arial" w:cs="Arial" w:eastAsia="Arial" w:hAnsi="Arial"/>
                <w:sz w:val="13"/>
                <w:szCs w:val="13"/>
                <w:color w:val="auto"/>
              </w:rPr>
              <w:t>Income taxes payable</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7,327</w:t>
            </w: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76"/>
              <w:spacing w:after="0"/>
              <w:rPr>
                <w:sz w:val="20"/>
                <w:szCs w:val="20"/>
                <w:color w:val="auto"/>
              </w:rPr>
            </w:pPr>
            <w:r>
              <w:rPr>
                <w:rFonts w:ascii="Arial" w:cs="Arial" w:eastAsia="Arial" w:hAnsi="Arial"/>
                <w:sz w:val="13"/>
                <w:szCs w:val="13"/>
                <w:color w:val="auto"/>
              </w:rPr>
              <w:t>(501)</w:t>
            </w:r>
          </w:p>
        </w:tc>
      </w:tr>
      <w:tr>
        <w:trPr>
          <w:trHeight w:val="182"/>
        </w:trPr>
        <w:tc>
          <w:tcPr>
            <w:tcW w:w="702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Net cash provided by operating activities</w:t>
            </w:r>
          </w:p>
        </w:tc>
        <w:tc>
          <w:tcPr>
            <w:tcW w:w="2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71,959</w:t>
            </w:r>
          </w:p>
        </w:tc>
        <w:tc>
          <w:tcPr>
            <w:tcW w:w="104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45,756</w:t>
            </w:r>
          </w:p>
        </w:tc>
        <w:tc>
          <w:tcPr>
            <w:tcW w:w="780" w:type="dxa"/>
            <w:vAlign w:val="bottom"/>
            <w:tcBorders>
              <w:bottom w:val="single" w:sz="8" w:color="auto"/>
            </w:tcBorders>
          </w:tcPr>
          <w:p>
            <w:pPr>
              <w:spacing w:after="0"/>
              <w:rPr>
                <w:sz w:val="15"/>
                <w:szCs w:val="15"/>
                <w:color w:val="auto"/>
              </w:rPr>
            </w:pP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3"/>
        </w:trPr>
        <w:tc>
          <w:tcPr>
            <w:tcW w:w="7020" w:type="dxa"/>
            <w:vAlign w:val="bottom"/>
          </w:tcPr>
          <w:p>
            <w:pPr>
              <w:ind w:left="260"/>
              <w:spacing w:after="0"/>
              <w:rPr>
                <w:sz w:val="20"/>
                <w:szCs w:val="20"/>
                <w:color w:val="auto"/>
              </w:rPr>
            </w:pPr>
            <w:r>
              <w:rPr>
                <w:rFonts w:ascii="Arial" w:cs="Arial" w:eastAsia="Arial" w:hAnsi="Arial"/>
                <w:sz w:val="13"/>
                <w:szCs w:val="13"/>
                <w:color w:val="auto"/>
              </w:rPr>
              <w:t>Purchase of investments</w:t>
            </w:r>
          </w:p>
        </w:tc>
        <w:tc>
          <w:tcPr>
            <w:tcW w:w="2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(311,995)</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676"/>
              <w:spacing w:after="0"/>
              <w:rPr>
                <w:sz w:val="20"/>
                <w:szCs w:val="20"/>
                <w:color w:val="auto"/>
              </w:rPr>
            </w:pPr>
            <w:r>
              <w:rPr>
                <w:rFonts w:ascii="Arial" w:cs="Arial" w:eastAsia="Arial" w:hAnsi="Arial"/>
                <w:sz w:val="13"/>
                <w:szCs w:val="13"/>
                <w:color w:val="auto"/>
              </w:rPr>
              <w:t>(118,662)</w:t>
            </w:r>
          </w:p>
        </w:tc>
      </w:tr>
      <w:tr>
        <w:trPr>
          <w:trHeight w:val="203"/>
        </w:trPr>
        <w:tc>
          <w:tcPr>
            <w:tcW w:w="7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Maturities and sales of investments</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80,097&lt; /div&gt;</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107,283</w:t>
            </w:r>
          </w:p>
        </w:tc>
      </w:tr>
      <w:tr>
        <w:trPr>
          <w:trHeight w:val="183"/>
        </w:trPr>
        <w:tc>
          <w:tcPr>
            <w:tcW w:w="7020" w:type="dxa"/>
            <w:vAlign w:val="bottom"/>
          </w:tcPr>
          <w:p>
            <w:pPr>
              <w:ind w:left="260"/>
              <w:spacing w:after="0"/>
              <w:rPr>
                <w:sz w:val="20"/>
                <w:szCs w:val="20"/>
                <w:color w:val="auto"/>
              </w:rPr>
            </w:pPr>
            <w:r>
              <w:rPr>
                <w:rFonts w:ascii="Arial" w:cs="Arial" w:eastAsia="Arial" w:hAnsi="Arial"/>
                <w:sz w:val="13"/>
                <w:szCs w:val="13"/>
                <w:color w:val="auto"/>
              </w:rPr>
              <w:t>Purchases of property and equipment</w:t>
            </w:r>
          </w:p>
        </w:tc>
        <w:tc>
          <w:tcPr>
            <w:tcW w:w="2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(2,900)</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676"/>
              <w:spacing w:after="0"/>
              <w:rPr>
                <w:sz w:val="20"/>
                <w:szCs w:val="20"/>
                <w:color w:val="auto"/>
              </w:rPr>
            </w:pPr>
            <w:r>
              <w:rPr>
                <w:rFonts w:ascii="Arial" w:cs="Arial" w:eastAsia="Arial" w:hAnsi="Arial"/>
                <w:sz w:val="13"/>
                <w:szCs w:val="13"/>
                <w:color w:val="auto"/>
              </w:rPr>
              <w:t>(4,253)</w:t>
            </w:r>
          </w:p>
        </w:tc>
      </w:tr>
      <w:tr>
        <w:trPr>
          <w:trHeight w:val="203"/>
        </w:trPr>
        <w:tc>
          <w:tcPr>
            <w:tcW w:w="7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Payments made in connection with asset acquisition, net</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76"/>
              <w:spacing w:after="0"/>
              <w:rPr>
                <w:sz w:val="20"/>
                <w:szCs w:val="20"/>
                <w:color w:val="auto"/>
              </w:rPr>
            </w:pPr>
            <w:r>
              <w:rPr>
                <w:rFonts w:ascii="Arial" w:cs="Arial" w:eastAsia="Arial" w:hAnsi="Arial"/>
                <w:sz w:val="13"/>
                <w:szCs w:val="13"/>
                <w:color w:val="auto"/>
              </w:rPr>
              <w:t>(900)</w:t>
            </w:r>
          </w:p>
        </w:tc>
      </w:tr>
      <w:tr>
        <w:trPr>
          <w:trHeight w:val="183"/>
        </w:trPr>
        <w:tc>
          <w:tcPr>
            <w:tcW w:w="70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Deposits of restricted cash</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(4)</w:t>
            </w:r>
          </w:p>
        </w:tc>
        <w:tc>
          <w:tcPr>
            <w:tcW w:w="10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716"/>
              <w:spacing w:after="0"/>
              <w:rPr>
                <w:sz w:val="20"/>
                <w:szCs w:val="20"/>
                <w:color w:val="auto"/>
              </w:rPr>
            </w:pPr>
            <w:r>
              <w:rPr>
                <w:rFonts w:ascii="Arial" w:cs="Arial" w:eastAsia="Arial" w:hAnsi="Arial"/>
                <w:sz w:val="13"/>
                <w:szCs w:val="13"/>
                <w:color w:val="auto"/>
              </w:rPr>
              <w:t>—</w:t>
            </w:r>
          </w:p>
        </w:tc>
      </w:tr>
      <w:tr>
        <w:trPr>
          <w:trHeight w:val="192"/>
        </w:trPr>
        <w:tc>
          <w:tcPr>
            <w:tcW w:w="70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Net cash used in investing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(234,802)</w:t>
            </w:r>
          </w:p>
        </w:tc>
        <w:tc>
          <w:tcPr>
            <w:tcW w:w="10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gridSpan w:val="2"/>
            <w:shd w:val="clear" w:color="auto" w:fill="CCEEFF"/>
          </w:tcPr>
          <w:p>
            <w:pPr>
              <w:jc w:val="right"/>
              <w:ind w:right="676"/>
              <w:spacing w:after="0"/>
              <w:rPr>
                <w:sz w:val="20"/>
                <w:szCs w:val="20"/>
                <w:color w:val="auto"/>
              </w:rPr>
            </w:pPr>
            <w:r>
              <w:rPr>
                <w:rFonts w:ascii="Arial" w:cs="Arial" w:eastAsia="Arial" w:hAnsi="Arial"/>
                <w:sz w:val="13"/>
                <w:szCs w:val="13"/>
                <w:color w:val="auto"/>
              </w:rPr>
              <w:t>(16,532)</w:t>
            </w:r>
          </w:p>
        </w:tc>
      </w:tr>
      <w:tr>
        <w:trPr>
          <w:trHeight w:val="173"/>
        </w:trPr>
        <w:tc>
          <w:tcPr>
            <w:tcW w:w="702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7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exercise of stock options and warrants</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23,892</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1,908</w:t>
            </w:r>
          </w:p>
        </w:tc>
      </w:tr>
      <w:tr>
        <w:trPr>
          <w:trHeight w:val="183"/>
        </w:trPr>
        <w:tc>
          <w:tcPr>
            <w:tcW w:w="7020" w:type="dxa"/>
            <w:vAlign w:val="bottom"/>
          </w:tcPr>
          <w:p>
            <w:pPr>
              <w:ind w:left="260"/>
              <w:spacing w:after="0"/>
              <w:rPr>
                <w:sz w:val="20"/>
                <w:szCs w:val="20"/>
                <w:color w:val="auto"/>
              </w:rPr>
            </w:pPr>
            <w:r>
              <w:rPr>
                <w:rFonts w:ascii="Arial" w:cs="Arial" w:eastAsia="Arial" w:hAnsi="Arial"/>
                <w:sz w:val="13"/>
                <w:szCs w:val="13"/>
                <w:color w:val="auto"/>
              </w:rPr>
              <w:t>Offering costs paid in c onnection with Initial Public Offering</w:t>
            </w:r>
          </w:p>
        </w:tc>
        <w:tc>
          <w:tcPr>
            <w:tcW w:w="2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(872)</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r>
      <w:tr>
        <w:trPr>
          <w:trHeight w:val="203"/>
        </w:trPr>
        <w:tc>
          <w:tcPr>
            <w:tcW w:w="7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Repurchase of convertible preferred shares</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76"/>
              <w:spacing w:after="0"/>
              <w:rPr>
                <w:sz w:val="20"/>
                <w:szCs w:val="20"/>
                <w:color w:val="auto"/>
              </w:rPr>
            </w:pPr>
            <w:r>
              <w:rPr>
                <w:rFonts w:ascii="Arial" w:cs="Arial" w:eastAsia="Arial" w:hAnsi="Arial"/>
                <w:sz w:val="13"/>
                <w:szCs w:val="13"/>
                <w:color w:val="auto"/>
              </w:rPr>
              <w:t>(12,768)</w:t>
            </w:r>
          </w:p>
        </w:tc>
      </w:tr>
      <w:tr>
        <w:trPr>
          <w:trHeight w:val="183"/>
        </w:trPr>
        <w:tc>
          <w:tcPr>
            <w:tcW w:w="7020" w:type="dxa"/>
            <w:vAlign w:val="bottom"/>
          </w:tcPr>
          <w:p>
            <w:pPr>
              <w:ind w:left="260"/>
              <w:spacing w:after="0"/>
              <w:rPr>
                <w:sz w:val="20"/>
                <w:szCs w:val="20"/>
                <w:color w:val="auto"/>
              </w:rPr>
            </w:pPr>
            <w:r>
              <w:rPr>
                <w:rFonts w:ascii="Arial" w:cs="Arial" w:eastAsia="Arial" w:hAnsi="Arial"/>
                <w:sz w:val="13"/>
                <w:szCs w:val="13"/>
                <w:color w:val="auto"/>
              </w:rPr>
              <w:t>Repurchase of common shares</w:t>
            </w: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gridSpan w:val="2"/>
          </w:tcPr>
          <w:p>
            <w:pPr>
              <w:jc w:val="right"/>
              <w:ind w:right="676"/>
              <w:spacing w:after="0"/>
              <w:rPr>
                <w:sz w:val="20"/>
                <w:szCs w:val="20"/>
                <w:color w:val="auto"/>
              </w:rPr>
            </w:pPr>
            <w:r>
              <w:rPr>
                <w:rFonts w:ascii="Arial" w:cs="Arial" w:eastAsia="Arial" w:hAnsi="Arial"/>
                <w:sz w:val="13"/>
                <w:szCs w:val="13"/>
                <w:color w:val="auto"/>
              </w:rPr>
              <w:t>(2,995)</w:t>
            </w:r>
          </w:p>
        </w:tc>
      </w:tr>
      <w:tr>
        <w:trPr>
          <w:trHeight w:val="193"/>
        </w:trPr>
        <w:tc>
          <w:tcPr>
            <w:tcW w:w="7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Excess tax benefit from employee stock option plans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4,191</w:t>
            </w: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113</w:t>
            </w:r>
          </w:p>
        </w:tc>
      </w:tr>
      <w:tr>
        <w:trPr>
          <w:trHeight w:val="182"/>
        </w:trPr>
        <w:tc>
          <w:tcPr>
            <w:tcW w:w="702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Net cash provided by (used in) financing activities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27,211</w:t>
            </w:r>
          </w:p>
        </w:tc>
        <w:tc>
          <w:tcPr>
            <w:tcW w:w="10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3"/>
                <w:szCs w:val="13"/>
                <w:color w:val="auto"/>
              </w:rPr>
              <w:t>(13,742)</w:t>
            </w:r>
          </w:p>
        </w:tc>
      </w:tr>
      <w:tr>
        <w:trPr>
          <w:trHeight w:val="18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RATES ON CASH AND CASH EQUIVALENTS</w:t>
            </w: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313&lt; /font&gt;</w:t>
            </w:r>
          </w:p>
        </w:tc>
        <w:tc>
          <w:tcPr>
            <w:tcW w:w="104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2,180</w:t>
            </w:r>
          </w:p>
        </w:tc>
      </w:tr>
      <w:tr>
        <w:trPr>
          <w:trHeight w:val="164"/>
        </w:trPr>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Arial" w:cs="Arial" w:eastAsia="Arial" w:hAnsi="Arial"/>
                <w:sz w:val="13"/>
                <w:szCs w:val="13"/>
                <w:color w:val="auto"/>
              </w:rPr>
              <w:t>&lt; div style="text-</w:t>
            </w:r>
          </w:p>
        </w:tc>
      </w:tr>
      <w:tr>
        <w:trPr>
          <w:trHeight w:val="154"/>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80" w:type="dxa"/>
            <w:vAlign w:val="bottom"/>
            <w:gridSpan w:val="3"/>
          </w:tcPr>
          <w:p>
            <w:pPr>
              <w:ind w:left="20"/>
              <w:spacing w:after="0"/>
              <w:rPr>
                <w:sz w:val="20"/>
                <w:szCs w:val="20"/>
                <w:color w:val="auto"/>
              </w:rPr>
            </w:pPr>
            <w:r>
              <w:rPr>
                <w:rFonts w:ascii="Arial" w:cs="Arial" w:eastAsia="Arial" w:hAnsi="Arial"/>
                <w:sz w:val="13"/>
                <w:szCs w:val="13"/>
                <w:color w:val="auto"/>
              </w:rPr>
              <w:t>align:right;font-</w:t>
            </w:r>
          </w:p>
        </w:tc>
      </w:tr>
      <w:tr>
        <w:trPr>
          <w:trHeight w:val="172"/>
        </w:trPr>
        <w:tc>
          <w:tcPr>
            <w:tcW w:w="7020" w:type="dxa"/>
            <w:vAlign w:val="bottom"/>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2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(135,319)</w:t>
            </w:r>
          </w:p>
        </w:tc>
        <w:tc>
          <w:tcPr>
            <w:tcW w:w="104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Arial" w:cs="Arial" w:eastAsia="Arial" w:hAnsi="Arial"/>
                <w:sz w:val="13"/>
                <w:szCs w:val="13"/>
                <w:color w:val="auto"/>
              </w:rPr>
              <w:t>size:10pt;"&gt;17,662</w:t>
            </w:r>
          </w:p>
        </w:tc>
      </w:tr>
      <w:tr>
        <w:trPr>
          <w:trHeight w:val="193"/>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EQUIVALENTS—Beginning of period</w:t>
            </w: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212,458</w:t>
            </w:r>
          </w:p>
        </w:tc>
        <w:tc>
          <w:tcPr>
            <w:tcW w:w="1040" w:type="dxa"/>
            <w:vAlign w:val="bottom"/>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56,571</w:t>
            </w:r>
          </w:p>
        </w:tc>
      </w:tr>
      <w:tr>
        <w:trPr>
          <w:trHeight w:val="201"/>
        </w:trPr>
        <w:tc>
          <w:tcPr>
            <w:tcW w:w="7020" w:type="dxa"/>
            <w:vAlign w:val="bottom"/>
          </w:tcPr>
          <w:p>
            <w:pPr>
              <w:ind w:left="20"/>
              <w:spacing w:after="0"/>
              <w:rPr>
                <w:sz w:val="20"/>
                <w:szCs w:val="20"/>
                <w:color w:val="auto"/>
              </w:rPr>
            </w:pPr>
            <w:r>
              <w:rPr>
                <w:rFonts w:ascii="Arial" w:cs="Arial" w:eastAsia="Arial" w:hAnsi="Arial"/>
                <w:sz w:val="13"/>
                <w:szCs w:val="13"/>
                <w:color w:val="auto"/>
              </w:rPr>
              <w:t>CASH AND CASH EQUIVALENTS—End of period</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77,139</w:t>
            </w:r>
          </w:p>
        </w:tc>
        <w:tc>
          <w:tcPr>
            <w:tcW w:w="15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716"/>
              <w:spacing w:after="0"/>
              <w:rPr>
                <w:sz w:val="20"/>
                <w:szCs w:val="20"/>
                <w:color w:val="auto"/>
              </w:rPr>
            </w:pPr>
            <w:r>
              <w:rPr>
                <w:rFonts w:ascii="Arial" w:cs="Arial" w:eastAsia="Arial" w:hAnsi="Arial"/>
                <w:sz w:val="13"/>
                <w:szCs w:val="13"/>
                <w:color w:val="auto"/>
              </w:rPr>
              <w:t>74,233</w:t>
            </w:r>
          </w:p>
        </w:tc>
      </w:tr>
      <w:tr>
        <w:trPr>
          <w:trHeight w:val="19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02"/>
        </w:trPr>
        <w:tc>
          <w:tcPr>
            <w:tcW w:w="7020" w:type="dxa"/>
            <w:vAlign w:val="bottom"/>
          </w:tcPr>
          <w:p>
            <w:pPr>
              <w:ind w:left="260"/>
              <w:spacing w:after="0"/>
              <w:rPr>
                <w:sz w:val="20"/>
                <w:szCs w:val="20"/>
                <w:color w:val="auto"/>
              </w:rPr>
            </w:pPr>
            <w:r>
              <w:rPr>
                <w:rFonts w:ascii="Arial" w:cs="Arial" w:eastAsia="Arial" w:hAnsi="Arial"/>
                <w:sz w:val="13"/>
                <w:szCs w:val="13"/>
                <w:color w:val="auto"/>
              </w:rPr>
              <w:t>Cash paid for income taxes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1,536</w:t>
            </w:r>
          </w:p>
        </w:tc>
        <w:tc>
          <w:tcPr>
            <w:tcW w:w="15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716"/>
              <w:spacing w:after="0"/>
              <w:rPr>
                <w:sz w:val="20"/>
                <w:szCs w:val="20"/>
                <w:color w:val="auto"/>
              </w:rPr>
            </w:pPr>
            <w:r>
              <w:rPr>
                <w:rFonts w:ascii="Arial" w:cs="Arial" w:eastAsia="Arial" w:hAnsi="Arial"/>
                <w:sz w:val="13"/>
                <w:szCs w:val="13"/>
                <w:color w:val="auto"/>
              </w:rPr>
              <w:t>4,522</w:t>
            </w:r>
          </w:p>
        </w:tc>
      </w:tr>
      <w:tr>
        <w:trPr>
          <w:trHeight w:val="19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02"/>
        </w:trPr>
        <w:tc>
          <w:tcPr>
            <w:tcW w:w="7020" w:type="dxa"/>
            <w:vAlign w:val="bottom"/>
          </w:tcPr>
          <w:p>
            <w:pPr>
              <w:ind w:left="260"/>
              <w:spacing w:after="0"/>
              <w:rPr>
                <w:sz w:val="20"/>
                <w:szCs w:val="20"/>
                <w:color w:val="auto"/>
              </w:rPr>
            </w:pPr>
            <w:r>
              <w:rPr>
                <w:rFonts w:ascii="Arial" w:cs="Arial" w:eastAsia="Arial" w:hAnsi="Arial"/>
                <w:sz w:val="13"/>
                <w:szCs w:val="13"/>
                <w:color w:val="auto"/>
              </w:rPr>
              <w:t>Purchase of property and equipment not yet paid</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317</w:t>
            </w:r>
          </w:p>
        </w:tc>
        <w:tc>
          <w:tcPr>
            <w:tcW w:w="1040" w:type="dxa"/>
            <w:vAlign w:val="bottom"/>
          </w:tcPr>
          <w:p>
            <w:pPr>
              <w:spacing w:after="0"/>
              <w:rPr>
                <w:sz w:val="17"/>
                <w:szCs w:val="17"/>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gridSpan w:val="2"/>
          </w:tcPr>
          <w:p>
            <w:pPr>
              <w:jc w:val="right"/>
              <w:ind w:right="716"/>
              <w:spacing w:after="0"/>
              <w:rPr>
                <w:sz w:val="20"/>
                <w:szCs w:val="20"/>
                <w:color w:val="auto"/>
              </w:rPr>
            </w:pPr>
            <w:r>
              <w:rPr>
                <w:rFonts w:ascii="Arial" w:cs="Arial" w:eastAsia="Arial" w:hAnsi="Arial"/>
                <w:sz w:val="13"/>
                <w:szCs w:val="13"/>
                <w:color w:val="auto"/>
              </w:rPr>
              <w:t>167</w:t>
            </w:r>
          </w:p>
        </w:tc>
      </w:tr>
    </w:tbl>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auto"/>
        </w:rPr>
        <w:t>5</w:t>
      </w:r>
    </w:p>
    <w:p>
      <w:pPr>
        <w:sectPr>
          <w:pgSz w:w="11900" w:h="16838" w:orient="portrait"/>
          <w:cols w:equalWidth="0" w:num="1">
            <w:col w:w="11480"/>
          </w:cols>
          <w:pgMar w:left="220" w:top="131" w:right="199" w:bottom="1440" w:gutter="0" w:footer="0" w:header="0"/>
        </w:sectPr>
      </w:pPr>
    </w:p>
    <w:bookmarkStart w:id="5" w:name="page6"/>
    <w:bookmarkEnd w:id="5"/>
    <w:p>
      <w:pPr>
        <w:jc w:val="center"/>
        <w:ind w:right="-19"/>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329"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FORTINET, INC. AND SUBSIDIARIES</w:t>
      </w:r>
    </w:p>
    <w:p>
      <w:pPr>
        <w:spacing w:after="0" w:line="43"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SUMMARY OF SIGNIFICANT ACCOUNTING POLICIES</w:t>
      </w:r>
    </w:p>
    <w:p>
      <w:pPr>
        <w:spacing w:after="0" w:line="275" w:lineRule="exact"/>
        <w:rPr>
          <w:sz w:val="20"/>
          <w:szCs w:val="20"/>
          <w:color w:val="auto"/>
        </w:rPr>
      </w:pPr>
    </w:p>
    <w:p>
      <w:pPr>
        <w:ind w:right="100" w:firstLine="347"/>
        <w:spacing w:after="0" w:line="261" w:lineRule="auto"/>
        <w:rPr>
          <w:sz w:val="20"/>
          <w:szCs w:val="20"/>
          <w:color w:val="auto"/>
        </w:rPr>
      </w:pPr>
      <w:r>
        <w:rPr>
          <w:rFonts w:ascii="Arial" w:cs="Arial" w:eastAsia="Arial" w:hAnsi="Arial"/>
          <w:sz w:val="13"/>
          <w:szCs w:val="13"/>
          <w:b w:val="1"/>
          <w:bCs w:val="1"/>
          <w:color w:val="auto"/>
        </w:rPr>
        <w:t>Business</w:t>
      </w:r>
      <w:r>
        <w:rPr>
          <w:rFonts w:ascii="Arial" w:cs="Arial" w:eastAsia="Arial" w:hAnsi="Arial"/>
          <w:sz w:val="13"/>
          <w:szCs w:val="13"/>
          <w:color w:val="auto"/>
        </w:rPr>
        <w:t>—Fortinet, Inc. (“Fortinet”) was incorporated in Delaware in November 2000 and is a leading provider of network security appliances and Unified Threat Management (UTM) network security solutions to</w:t>
      </w:r>
      <w:r>
        <w:rPr>
          <w:rFonts w:ascii="Arial" w:cs="Arial" w:eastAsia="Arial" w:hAnsi="Arial"/>
          <w:sz w:val="13"/>
          <w:szCs w:val="13"/>
          <w:b w:val="1"/>
          <w:bCs w:val="1"/>
          <w:color w:val="auto"/>
        </w:rPr>
        <w:t xml:space="preserve"> </w:t>
      </w:r>
      <w:r>
        <w:rPr>
          <w:rFonts w:ascii="Arial" w:cs="Arial" w:eastAsia="Arial" w:hAnsi="Arial"/>
          <w:sz w:val="13"/>
          <w:szCs w:val="13"/>
          <w:color w:val="auto"/>
        </w:rPr>
        <w:t>enterprises, service providers and government entities worldwide. Fortinet's solutions are designed to integrate multiple levels of security protection, including firewall, virtual private networking, antivirus, intrusion prevention, web filtering, antispam and WAN acceleration.</w:t>
      </w:r>
    </w:p>
    <w:p>
      <w:pPr>
        <w:spacing w:after="0" w:line="245" w:lineRule="exact"/>
        <w:rPr>
          <w:sz w:val="20"/>
          <w:szCs w:val="20"/>
          <w:color w:val="auto"/>
        </w:rPr>
      </w:pPr>
    </w:p>
    <w:p>
      <w:pPr>
        <w:ind w:right="60" w:firstLine="347"/>
        <w:spacing w:after="0" w:line="280" w:lineRule="auto"/>
        <w:rPr>
          <w:sz w:val="20"/>
          <w:szCs w:val="20"/>
          <w:color w:val="auto"/>
        </w:rPr>
      </w:pPr>
      <w:r>
        <w:rPr>
          <w:rFonts w:ascii="Arial" w:cs="Arial" w:eastAsia="Arial" w:hAnsi="Arial"/>
          <w:sz w:val="12"/>
          <w:szCs w:val="12"/>
          <w:b w:val="1"/>
          <w:bCs w:val="1"/>
          <w:color w:val="auto"/>
        </w:rPr>
        <w:t>Basis of Presentation and Preparation</w:t>
      </w:r>
      <w:r>
        <w:rPr>
          <w:rFonts w:ascii="Arial" w:cs="Arial" w:eastAsia="Arial" w:hAnsi="Arial"/>
          <w:sz w:val="12"/>
          <w:szCs w:val="12"/>
          <w:color w:val="auto"/>
        </w:rPr>
        <w:t>—The condensed consolidated financial statements include the accounts of Fortinet and its wholly owned subsidiaries (collectively, the “Company,” “we,” “us,” or “our”). All</w:t>
      </w:r>
      <w:r>
        <w:rPr>
          <w:rFonts w:ascii="Arial" w:cs="Arial" w:eastAsia="Arial" w:hAnsi="Arial"/>
          <w:sz w:val="12"/>
          <w:szCs w:val="12"/>
          <w:b w:val="1"/>
          <w:bCs w:val="1"/>
          <w:color w:val="auto"/>
        </w:rPr>
        <w:t xml:space="preserve"> </w:t>
      </w:r>
      <w:r>
        <w:rPr>
          <w:rFonts w:ascii="Arial" w:cs="Arial" w:eastAsia="Arial" w:hAnsi="Arial"/>
          <w:sz w:val="12"/>
          <w:szCs w:val="12"/>
          <w:color w:val="auto"/>
        </w:rPr>
        <w:t>intercompany transactions and balances have been eliminated in consolidation. The accompanying condensed consolidated balance sheet as of September 30, 2010, the condensed consolidated statements of operations for the three and nine months ended September 30, 2010 and September 30, 2009, and the condensed consolidated statements of cash flows for the nine months ended September 30, 2010 and September 30, 2009 are unaudited. The condensed consolidated balance sheet data as of December 31, 2009 was derived from the audited consolidated financial statements which are included in our Annual Report on Form 10-K (“Form 10-K”). The accompanying statements should be read in conjunction with the audited consolidated financial statements and relate d notes contained in our Form 10-K.</w:t>
      </w:r>
    </w:p>
    <w:p>
      <w:pPr>
        <w:spacing w:after="0" w:line="240" w:lineRule="exact"/>
        <w:rPr>
          <w:sz w:val="20"/>
          <w:szCs w:val="20"/>
          <w:color w:val="auto"/>
        </w:rPr>
      </w:pPr>
    </w:p>
    <w:p>
      <w:pPr>
        <w:ind w:right="140" w:firstLine="347"/>
        <w:spacing w:after="0" w:line="276" w:lineRule="auto"/>
        <w:rPr>
          <w:sz w:val="20"/>
          <w:szCs w:val="20"/>
          <w:color w:val="auto"/>
        </w:rPr>
      </w:pPr>
      <w:r>
        <w:rPr>
          <w:rFonts w:ascii="Arial" w:cs="Arial" w:eastAsia="Arial" w:hAnsi="Arial"/>
          <w:sz w:val="12"/>
          <w:szCs w:val="12"/>
          <w:color w:val="auto"/>
        </w:rPr>
        <w:t>The accompanying unaudited interim condensed consolidated financial statements for the three and nine months ended September 30, 2010 and September 30, 2009 have been prepared on the same basis as the audited consolidated statements and reflect all adjustm ents, consisting of normal recurring adjustments which are, in the opinion of management, necessary for a fair presentation of our financial position, results of operations, and cash flows for the interim period presented. The statements have been prepared in accordance with accounting principles generally accepted in the United States of America (“U.S. GAAP” or “GAAP”) pursuant to the rules and regulations of the Securities and Exchange Commission (“SEC”). Accordingly, certain information and footnote disclosures normally included in financial statements prepared in accordance with U.S. GAAP have been condensed or omitted pursuant to such rules and regulations. The results of operations for the three and nine months ended September&amp;nbs p;30, 2010 are not necessarily indicative of the operating results for any subsequent quarter, for the full fiscal year or any future periods.</w:t>
      </w:r>
    </w:p>
    <w:p>
      <w:pPr>
        <w:spacing w:after="0" w:line="243" w:lineRule="exact"/>
        <w:rPr>
          <w:sz w:val="20"/>
          <w:szCs w:val="20"/>
          <w:color w:val="auto"/>
        </w:rPr>
      </w:pPr>
    </w:p>
    <w:p>
      <w:pPr>
        <w:jc w:val="both"/>
        <w:ind w:right="220" w:firstLine="347"/>
        <w:spacing w:after="0" w:line="258" w:lineRule="auto"/>
        <w:rPr>
          <w:sz w:val="20"/>
          <w:szCs w:val="20"/>
          <w:color w:val="auto"/>
        </w:rPr>
      </w:pPr>
      <w:r>
        <w:rPr>
          <w:rFonts w:ascii="Arial" w:cs="Arial" w:eastAsia="Arial" w:hAnsi="Arial"/>
          <w:sz w:val="13"/>
          <w:szCs w:val="13"/>
          <w:color w:val="auto"/>
        </w:rPr>
        <w:t>Until the second quarter of fiscal 2009, we had a 52- to 53-week year ending on the Sunday closest to December 31 of each year. Commencing in the third quarter of fiscal 2009, we began operating and reporting financial results on a calendar quarter and year basis. Our third quarter of fiscal 2009 ended on September 30, 2009. The third quarters of 2010 and 2009 were comprised of 92 and 94 days, respectively. The nine months ended September 30, 2010 and September 30, 2009 were comprised of 273 days and 276 days, respectively.</w:t>
      </w:r>
    </w:p>
    <w:p>
      <w:pPr>
        <w:spacing w:after="0" w:line="247" w:lineRule="exact"/>
        <w:rPr>
          <w:sz w:val="20"/>
          <w:szCs w:val="20"/>
          <w:color w:val="auto"/>
        </w:rPr>
      </w:pPr>
    </w:p>
    <w:p>
      <w:pPr>
        <w:ind w:right="60" w:firstLine="347"/>
        <w:spacing w:after="0" w:line="284" w:lineRule="auto"/>
        <w:rPr>
          <w:sz w:val="20"/>
          <w:szCs w:val="20"/>
          <w:color w:val="auto"/>
        </w:rPr>
      </w:pPr>
      <w:r>
        <w:rPr>
          <w:rFonts w:ascii="Arial" w:cs="Arial" w:eastAsia="Arial" w:hAnsi="Arial"/>
          <w:sz w:val="12"/>
          <w:szCs w:val="12"/>
          <w:b w:val="1"/>
          <w:bCs w:val="1"/>
          <w:color w:val="auto"/>
        </w:rPr>
        <w:t>Use of Estimates</w:t>
      </w:r>
      <w:r>
        <w:rPr>
          <w:rFonts w:ascii="Arial" w:cs="Arial" w:eastAsia="Arial" w:hAnsi="Arial"/>
          <w:sz w:val="12"/>
          <w:szCs w:val="12"/>
          <w:color w:val="auto"/>
        </w:rPr>
        <w:t>—The preparation of condensed consolidated financial statements in conformity with U.S. GAAP requires management to make estimates and assumptions that affect the reported amounts of assets</w:t>
      </w:r>
      <w:r>
        <w:rPr>
          <w:rFonts w:ascii="Arial" w:cs="Arial" w:eastAsia="Arial" w:hAnsi="Arial"/>
          <w:sz w:val="12"/>
          <w:szCs w:val="12"/>
          <w:b w:val="1"/>
          <w:bCs w:val="1"/>
          <w:color w:val="auto"/>
        </w:rPr>
        <w:t xml:space="preserve"> </w:t>
      </w:r>
      <w:r>
        <w:rPr>
          <w:rFonts w:ascii="Arial" w:cs="Arial" w:eastAsia="Arial" w:hAnsi="Arial"/>
          <w:sz w:val="12"/>
          <w:szCs w:val="12"/>
          <w:color w:val="auto"/>
        </w:rPr>
        <w:t>and liabilities at the date of the condensed consolidated financial statements and the reported amounts of revenues and expenses during the reporting period. Such management estimates include implicit service periods for revenue recognition, litigation and settlement costs and other loss contingencies, sales returns and allowances, reserve for bad debt, inventory write-offs, reserve for warranty costs, valuation of deferred tax assets, and tangible and intangible assets. We base our estimates on historical experience and also on assumptions that we believe are reasonable. Actual results could differ from those estimates.</w:t>
      </w:r>
    </w:p>
    <w:p>
      <w:pPr>
        <w:spacing w:after="0" w:line="234" w:lineRule="exact"/>
        <w:rPr>
          <w:sz w:val="20"/>
          <w:szCs w:val="20"/>
          <w:color w:val="auto"/>
        </w:rPr>
      </w:pPr>
    </w:p>
    <w:p>
      <w:pPr>
        <w:ind w:firstLine="347"/>
        <w:spacing w:after="0" w:line="253" w:lineRule="auto"/>
        <w:rPr>
          <w:sz w:val="20"/>
          <w:szCs w:val="20"/>
          <w:color w:val="auto"/>
        </w:rPr>
      </w:pPr>
      <w:r>
        <w:rPr>
          <w:rFonts w:ascii="Arial" w:cs="Arial" w:eastAsia="Arial" w:hAnsi="Arial"/>
          <w:sz w:val="13"/>
          <w:szCs w:val="13"/>
          <w:b w:val="1"/>
          <w:bCs w:val="1"/>
          <w:color w:val="auto"/>
        </w:rPr>
        <w:t>Certain Significant Risks and Uncertainties</w:t>
      </w:r>
      <w:r>
        <w:rPr>
          <w:rFonts w:ascii="Arial" w:cs="Arial" w:eastAsia="Arial" w:hAnsi="Arial"/>
          <w:sz w:val="13"/>
          <w:szCs w:val="13"/>
          <w:color w:val="auto"/>
        </w:rPr>
        <w:t>—We are subject to certain risks and uncertainties that could have a material adverse effect on our future financial position or results of operations, such as the following:</w:t>
      </w:r>
      <w:r>
        <w:rPr>
          <w:rFonts w:ascii="Arial" w:cs="Arial" w:eastAsia="Arial" w:hAnsi="Arial"/>
          <w:sz w:val="13"/>
          <w:szCs w:val="13"/>
          <w:b w:val="1"/>
          <w:bCs w:val="1"/>
          <w:color w:val="auto"/>
        </w:rPr>
        <w:t xml:space="preserve"> </w:t>
      </w:r>
      <w:r>
        <w:rPr>
          <w:rFonts w:ascii="Arial" w:cs="Arial" w:eastAsia="Arial" w:hAnsi="Arial"/>
          <w:sz w:val="13"/>
          <w:szCs w:val="13"/>
          <w:color w:val="auto"/>
        </w:rPr>
        <w:t>changes in level of demand for our products and services, seasonality, the timing of new product introductions, price and sales competition and our ability to adapt to changing market conditions and dynamics, changes in the expenses caused, for example, by fluctuations in foreign currency exchange rates, management of inventory, internal control over financial reporting, market acceptance of our new products and services, demand for UTM products and services in general, failure of our channel partners to perform, the quality of our products and servi ces, general economic conditions, challenges in doing business outside of the United States of America, changes in customer relationships, litigation, or claims against us based on intellectual property, patent, product regulatory or other factors (Note 7), product obsolescence, and our ability to attract and retain qualified employees.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rely on sole suppliers and independent contract manufacturers for certain of our components and one third-party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6</w:t>
      </w:r>
    </w:p>
    <w:p>
      <w:pPr>
        <w:sectPr>
          <w:pgSz w:w="11900" w:h="16838" w:orient="portrait"/>
          <w:cols w:equalWidth="0" w:num="1">
            <w:col w:w="11460"/>
          </w:cols>
          <w:pgMar w:left="220" w:top="189" w:right="219" w:bottom="1440" w:gutter="0" w:footer="0" w:header="0"/>
        </w:sectPr>
      </w:pPr>
    </w:p>
    <w:bookmarkStart w:id="6" w:name="page7"/>
    <w:bookmarkEnd w:id="6"/>
    <w:p>
      <w:pPr>
        <w:jc w:val="center"/>
        <w:ind w:right="-79"/>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logistics company for distribution of some of our products. The inability of any of these par ties to fulfill our supply and logistics requirements could negatively impact our future operating results.</w:t>
      </w:r>
    </w:p>
    <w:p>
      <w:pPr>
        <w:spacing w:after="0" w:line="271" w:lineRule="exact"/>
        <w:rPr>
          <w:sz w:val="20"/>
          <w:szCs w:val="20"/>
          <w:color w:val="auto"/>
        </w:rPr>
      </w:pPr>
    </w:p>
    <w:p>
      <w:pPr>
        <w:ind w:right="20" w:firstLine="347"/>
        <w:spacing w:after="0" w:line="261" w:lineRule="auto"/>
        <w:rPr>
          <w:sz w:val="20"/>
          <w:szCs w:val="20"/>
          <w:color w:val="auto"/>
        </w:rPr>
      </w:pPr>
      <w:r>
        <w:rPr>
          <w:rFonts w:ascii="Arial" w:cs="Arial" w:eastAsia="Arial" w:hAnsi="Arial"/>
          <w:sz w:val="13"/>
          <w:szCs w:val="13"/>
          <w:b w:val="1"/>
          <w:bCs w:val="1"/>
          <w:color w:val="auto"/>
        </w:rPr>
        <w:t>Concentration of Credit Risk</w:t>
      </w:r>
      <w:r>
        <w:rPr>
          <w:rFonts w:ascii="Arial" w:cs="Arial" w:eastAsia="Arial" w:hAnsi="Arial"/>
          <w:sz w:val="13"/>
          <w:szCs w:val="13"/>
          <w:color w:val="auto"/>
        </w:rPr>
        <w:t>—Financial instruments that subject us to concentrations of credit risk consist primarily of cash, cash equivalents, investments, and accounts receivable. We maintain our cash and cash</w:t>
      </w:r>
      <w:r>
        <w:rPr>
          <w:rFonts w:ascii="Arial" w:cs="Arial" w:eastAsia="Arial" w:hAnsi="Arial"/>
          <w:sz w:val="13"/>
          <w:szCs w:val="13"/>
          <w:b w:val="1"/>
          <w:bCs w:val="1"/>
          <w:color w:val="auto"/>
        </w:rPr>
        <w:t xml:space="preserve"> </w:t>
      </w:r>
      <w:r>
        <w:rPr>
          <w:rFonts w:ascii="Arial" w:cs="Arial" w:eastAsia="Arial" w:hAnsi="Arial"/>
          <w:sz w:val="13"/>
          <w:szCs w:val="13"/>
          <w:color w:val="auto"/>
        </w:rPr>
        <w:t>equivalents in fixed income securities with major financial institutions, which our management assesses to be of high credit quality, in order to limit the exposure of each investment. Deposits held with banks may exceed the amount of insurance provided on such deposits.</w:t>
      </w:r>
    </w:p>
    <w:p>
      <w:pPr>
        <w:spacing w:after="0" w:line="249" w:lineRule="exact"/>
        <w:rPr>
          <w:sz w:val="20"/>
          <w:szCs w:val="20"/>
          <w:color w:val="auto"/>
        </w:rPr>
      </w:pPr>
    </w:p>
    <w:p>
      <w:pPr>
        <w:ind w:right="380" w:firstLine="347"/>
        <w:spacing w:after="0" w:line="268" w:lineRule="auto"/>
        <w:rPr>
          <w:sz w:val="20"/>
          <w:szCs w:val="20"/>
          <w:color w:val="auto"/>
        </w:rPr>
      </w:pPr>
      <w:r>
        <w:rPr>
          <w:rFonts w:ascii="Arial" w:cs="Arial" w:eastAsia="Arial" w:hAnsi="Arial"/>
          <w:sz w:val="13"/>
          <w:szCs w:val="13"/>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245" w:lineRule="exact"/>
        <w:rPr>
          <w:sz w:val="20"/>
          <w:szCs w:val="20"/>
          <w:color w:val="auto"/>
        </w:rPr>
      </w:pPr>
    </w:p>
    <w:p>
      <w:pPr>
        <w:ind w:right="300" w:firstLine="347"/>
        <w:spacing w:after="0" w:line="268" w:lineRule="auto"/>
        <w:rPr>
          <w:sz w:val="20"/>
          <w:szCs w:val="20"/>
          <w:color w:val="auto"/>
        </w:rPr>
      </w:pPr>
      <w:r>
        <w:rPr>
          <w:rFonts w:ascii="Arial" w:cs="Arial" w:eastAsia="Arial" w:hAnsi="Arial"/>
          <w:sz w:val="13"/>
          <w:szCs w:val="13"/>
          <w:color w:val="auto"/>
        </w:rPr>
        <w:t>During the three and nine months ended September 30, 2010, no single customer accounted for more than 10% of total net revenue. During the three and nine months ended September 30, 2009, one distributor customer accounted for 11% and 12%, respectively, of total net revenue.</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At September 30, 2010, no single customer accounted for more than 10% of net accounts receivable. At December 31, 2009, one distributor customer accounted for 15% of net accounts receivable.</w:t>
      </w:r>
    </w:p>
    <w:p>
      <w:pPr>
        <w:spacing w:after="0" w:line="286" w:lineRule="exact"/>
        <w:rPr>
          <w:sz w:val="20"/>
          <w:szCs w:val="20"/>
          <w:color w:val="auto"/>
        </w:rPr>
      </w:pPr>
    </w:p>
    <w:p>
      <w:pPr>
        <w:ind w:firstLine="347"/>
        <w:spacing w:after="0" w:line="289" w:lineRule="auto"/>
        <w:rPr>
          <w:sz w:val="20"/>
          <w:szCs w:val="20"/>
          <w:color w:val="auto"/>
        </w:rPr>
      </w:pPr>
      <w:r>
        <w:rPr>
          <w:rFonts w:ascii="Arial" w:cs="Arial" w:eastAsia="Arial" w:hAnsi="Arial"/>
          <w:sz w:val="12"/>
          <w:szCs w:val="12"/>
          <w:color w:val="auto"/>
        </w:rPr>
        <w:t xml:space="preserve">Fair Value of Financial Instruments—Accounting Standards Codification (ASC) 825 (formerly referred to as Statement of Financial Accounting Standards (SFAS) No. 107, </w:t>
      </w:r>
      <w:r>
        <w:rPr>
          <w:rFonts w:ascii="Arial" w:cs="Arial" w:eastAsia="Arial" w:hAnsi="Arial"/>
          <w:sz w:val="12"/>
          <w:szCs w:val="12"/>
          <w:i w:val="1"/>
          <w:iCs w:val="1"/>
          <w:color w:val="auto"/>
        </w:rPr>
        <w:t>Disclosures about Fair Value of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Instruments</w:t>
      </w:r>
      <w:r>
        <w:rPr>
          <w:rFonts w:ascii="Arial" w:cs="Arial" w:eastAsia="Arial" w:hAnsi="Arial"/>
          <w:sz w:val="12"/>
          <w:szCs w:val="12"/>
          <w:color w:val="auto"/>
        </w:rPr>
        <w:t>) requires disclosure of fair value information about financial instruments, whether or not recognized in the balance sheet, for which it is practicable to estimate that value. Due to their short-term nature, the</w:t>
      </w:r>
      <w:r>
        <w:rPr>
          <w:rFonts w:ascii="Arial" w:cs="Arial" w:eastAsia="Arial" w:hAnsi="Arial"/>
          <w:sz w:val="12"/>
          <w:szCs w:val="12"/>
          <w:i w:val="1"/>
          <w:iCs w:val="1"/>
          <w:color w:val="auto"/>
        </w:rPr>
        <w:t xml:space="preserve"> </w:t>
      </w:r>
      <w:r>
        <w:rPr>
          <w:rFonts w:ascii="Arial" w:cs="Arial" w:eastAsia="Arial" w:hAnsi="Arial"/>
          <w:sz w:val="12"/>
          <w:szCs w:val="12"/>
          <w:color w:val="auto"/>
        </w:rPr>
        <w:t>carrying amounts reported in the condensed consolidated financial statements approximate the fair value for cash and cash equivalents, accounts receivable, and accounts payable.</w:t>
      </w:r>
    </w:p>
    <w:p>
      <w:pPr>
        <w:spacing w:after="0" w:line="230"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b w:val="1"/>
          <w:bCs w:val="1"/>
          <w:color w:val="auto"/>
        </w:rPr>
        <w:t>Comprehensive Income</w:t>
      </w:r>
      <w:r>
        <w:rPr>
          <w:rFonts w:ascii="Arial" w:cs="Arial" w:eastAsia="Arial" w:hAnsi="Arial"/>
          <w:sz w:val="13"/>
          <w:szCs w:val="13"/>
          <w:color w:val="auto"/>
        </w:rPr>
        <w:t>—ASC 220 (formerly referred to as SFAS No. 130,</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Reporting Comprehensive Income</w:t>
      </w:r>
      <w:r>
        <w:rPr>
          <w:rFonts w:ascii="Arial" w:cs="Arial" w:eastAsia="Arial" w:hAnsi="Arial"/>
          <w:sz w:val="13"/>
          <w:szCs w:val="13"/>
          <w:color w:val="auto"/>
        </w:rPr>
        <w:t>) establishes standards for the reporting and displaying of comprehensive income and its components.</w:t>
      </w:r>
      <w:r>
        <w:rPr>
          <w:rFonts w:ascii="Arial" w:cs="Arial" w:eastAsia="Arial" w:hAnsi="Arial"/>
          <w:sz w:val="13"/>
          <w:szCs w:val="13"/>
          <w:b w:val="1"/>
          <w:bCs w:val="1"/>
          <w:color w:val="auto"/>
        </w:rPr>
        <w:t xml:space="preserve"> </w:t>
      </w:r>
      <w:r>
        <w:rPr>
          <w:rFonts w:ascii="Arial" w:cs="Arial" w:eastAsia="Arial" w:hAnsi="Arial"/>
          <w:sz w:val="13"/>
          <w:szCs w:val="13"/>
          <w:color w:val="auto"/>
        </w:rPr>
        <w:t>Comprehensive income includes certain changes in equity from non-owner sources that are excluded from net income. Specifically, cumulative foreign currency translation adjustments and unrealized gains and losses on available-for-sale investments are included in comprehensive income in stockholders' equity.</w:t>
      </w:r>
    </w:p>
    <w:p>
      <w:pPr>
        <w:spacing w:after="0" w:line="245" w:lineRule="exact"/>
        <w:rPr>
          <w:sz w:val="20"/>
          <w:szCs w:val="20"/>
          <w:color w:val="auto"/>
        </w:rPr>
      </w:pPr>
    </w:p>
    <w:p>
      <w:pPr>
        <w:ind w:right="60" w:firstLine="347"/>
        <w:spacing w:after="0" w:line="284" w:lineRule="auto"/>
        <w:rPr>
          <w:sz w:val="20"/>
          <w:szCs w:val="20"/>
          <w:color w:val="auto"/>
        </w:rPr>
      </w:pPr>
      <w:r>
        <w:rPr>
          <w:rFonts w:ascii="Arial" w:cs="Arial" w:eastAsia="Arial" w:hAnsi="Arial"/>
          <w:sz w:val="12"/>
          <w:szCs w:val="12"/>
          <w:b w:val="1"/>
          <w:bCs w:val="1"/>
          <w:color w:val="auto"/>
        </w:rPr>
        <w:t>Foreign Currency Translation—Assets and liabilities of foreign subsidiaries are translated into U.S. dollars using the exchange rates in effect at the balance sheet dates and revenue and expenses are translated using average exchange rates during the period. The resulting foreign translation adjustments are recorded in accumulated other comprehensive income. Foreign currency transaction losses of $0.4 million and $0.1 million, are included in other income (expense), net for the three months ended September 30, 2010 and September 30, 2009, respectively. Foreign currency transaction gains (losses) of $(0.6) million and $0.1 million, are included in other income (expense), net for the nine months ended September 30, 2010 and September 30, 2009, respectively.</w:t>
      </w:r>
    </w:p>
    <w:p>
      <w:pPr>
        <w:spacing w:after="0" w:line="234" w:lineRule="exact"/>
        <w:rPr>
          <w:sz w:val="20"/>
          <w:szCs w:val="20"/>
          <w:color w:val="auto"/>
        </w:rPr>
      </w:pPr>
    </w:p>
    <w:p>
      <w:pPr>
        <w:ind w:right="20" w:firstLine="347"/>
        <w:spacing w:after="0" w:line="317" w:lineRule="auto"/>
        <w:rPr>
          <w:sz w:val="20"/>
          <w:szCs w:val="20"/>
          <w:color w:val="auto"/>
        </w:rPr>
      </w:pPr>
      <w:r>
        <w:rPr>
          <w:rFonts w:ascii="Arial" w:cs="Arial" w:eastAsia="Arial" w:hAnsi="Arial"/>
          <w:sz w:val="12"/>
          <w:szCs w:val="12"/>
          <w:b w:val="1"/>
          <w:bCs w:val="1"/>
          <w:color w:val="auto"/>
        </w:rPr>
        <w:t>Cash, Cash Equivalents and Investments</w:t>
      </w:r>
      <w:r>
        <w:rPr>
          <w:rFonts w:ascii="Arial" w:cs="Arial" w:eastAsia="Arial" w:hAnsi="Arial"/>
          <w:sz w:val="12"/>
          <w:szCs w:val="12"/>
          <w:color w:val="auto"/>
        </w:rPr>
        <w:t>&amp;m dash;We consider all highly liquid investments, purchased with original maturities of three months or less, to be cash equivalents. Cash and cash equivalents consist of</w:t>
      </w:r>
      <w:r>
        <w:rPr>
          <w:rFonts w:ascii="Arial" w:cs="Arial" w:eastAsia="Arial" w:hAnsi="Arial"/>
          <w:sz w:val="12"/>
          <w:szCs w:val="12"/>
          <w:b w:val="1"/>
          <w:bCs w:val="1"/>
          <w:color w:val="auto"/>
        </w:rPr>
        <w:t xml:space="preserve"> </w:t>
      </w:r>
      <w:r>
        <w:rPr>
          <w:rFonts w:ascii="Arial" w:cs="Arial" w:eastAsia="Arial" w:hAnsi="Arial"/>
          <w:sz w:val="12"/>
          <w:szCs w:val="12"/>
          <w:color w:val="auto"/>
        </w:rPr>
        <w:t>cash on-hand, balances with banks, and highly liquid investments in money market funds, commercial paper, government securities, certificates of deposit, and corporate debt securities.</w:t>
      </w:r>
    </w:p>
    <w:p>
      <w:pPr>
        <w:spacing w:after="0" w:line="218" w:lineRule="exact"/>
        <w:rPr>
          <w:sz w:val="20"/>
          <w:szCs w:val="20"/>
          <w:color w:val="auto"/>
        </w:rPr>
      </w:pPr>
    </w:p>
    <w:p>
      <w:pPr>
        <w:ind w:right="140" w:firstLine="347"/>
        <w:spacing w:after="0" w:line="326" w:lineRule="auto"/>
        <w:rPr>
          <w:sz w:val="20"/>
          <w:szCs w:val="20"/>
          <w:color w:val="auto"/>
        </w:rPr>
      </w:pPr>
      <w:r>
        <w:rPr>
          <w:rFonts w:ascii="Arial" w:cs="Arial" w:eastAsia="Arial" w:hAnsi="Arial"/>
          <w:sz w:val="11"/>
          <w:szCs w:val="11"/>
          <w:color w:val="auto"/>
        </w:rPr>
        <w:t>We classify our investments as available-for-sale at the time of purchase since it is our intent that these investments are available for current operations, and include these investments on our balance sheet as either short-term or long-term investments depending on their maturity at the time of purchase. Investments with original maturities greater than three months that mature less than on e year from the condensed consolidated balance sheet date are classified as short-term investments. Investments with maturities greater than one year from the condensed consolidated balance sheet date are classified as long-term investments.</w:t>
      </w:r>
    </w:p>
    <w:p>
      <w:pPr>
        <w:spacing w:after="0" w:line="217" w:lineRule="exact"/>
        <w:rPr>
          <w:sz w:val="20"/>
          <w:szCs w:val="20"/>
          <w:color w:val="auto"/>
        </w:rPr>
      </w:pPr>
    </w:p>
    <w:p>
      <w:pPr>
        <w:jc w:val="both"/>
        <w:ind w:right="60" w:firstLine="347"/>
        <w:spacing w:after="0" w:line="289" w:lineRule="auto"/>
        <w:rPr>
          <w:sz w:val="20"/>
          <w:szCs w:val="20"/>
          <w:color w:val="auto"/>
        </w:rPr>
      </w:pPr>
      <w:r>
        <w:rPr>
          <w:rFonts w:ascii="Arial" w:cs="Arial" w:eastAsia="Arial" w:hAnsi="Arial"/>
          <w:sz w:val="12"/>
          <w:szCs w:val="12"/>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investment exceeds its fair value, we evaluate, among other factors, general market conditions, the duration and extent to which the fair value is less than cost, and our intent and ability to hold the i nvestment. Once a decline in fair value is determined to be other-than-temporary, an impairment charge is recorded and a new</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auto"/>
        </w:rPr>
        <w:t>7</w:t>
      </w:r>
    </w:p>
    <w:p>
      <w:pPr>
        <w:sectPr>
          <w:pgSz w:w="11900" w:h="16838" w:orient="portrait"/>
          <w:cols w:equalWidth="0" w:num="1">
            <w:col w:w="11400"/>
          </w:cols>
          <w:pgMar w:left="220" w:top="189" w:right="279" w:bottom="1440" w:gutter="0" w:footer="0" w:header="0"/>
        </w:sectPr>
      </w:pPr>
    </w:p>
    <w:bookmarkStart w:id="7" w:name="page8"/>
    <w:bookmarkEnd w:id="7"/>
    <w:p>
      <w:pPr>
        <w:jc w:val="cente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STATEMENTS&amp; mdash;(Continued)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cost basis in the investment is established.</w:t>
      </w:r>
    </w:p>
    <w:p>
      <w:pPr>
        <w:spacing w:after="0" w:line="271" w:lineRule="exact"/>
        <w:rPr>
          <w:sz w:val="20"/>
          <w:szCs w:val="20"/>
          <w:color w:val="auto"/>
        </w:rPr>
      </w:pPr>
    </w:p>
    <w:p>
      <w:pPr>
        <w:ind w:firstLine="347"/>
        <w:spacing w:after="0" w:line="293" w:lineRule="auto"/>
        <w:rPr>
          <w:sz w:val="20"/>
          <w:szCs w:val="20"/>
          <w:color w:val="auto"/>
        </w:rPr>
      </w:pPr>
      <w:r>
        <w:rPr>
          <w:rFonts w:ascii="Arial" w:cs="Arial" w:eastAsia="Arial" w:hAnsi="Arial"/>
          <w:sz w:val="12"/>
          <w:szCs w:val="12"/>
          <w:b w:val="1"/>
          <w:bCs w:val="1"/>
          <w:color w:val="auto"/>
        </w:rPr>
        <w:t>Inventory</w:t>
      </w:r>
      <w:r>
        <w:rPr>
          <w:rFonts w:ascii="Arial" w:cs="Arial" w:eastAsia="Arial" w:hAnsi="Arial"/>
          <w:sz w:val="12"/>
          <w:szCs w:val="12"/>
          <w:color w:val="auto"/>
        </w:rPr>
        <w:t>—Inventory is recorded at the lower of cost (using the first-in, first-out method) or market, after we give appropriate consideration to obsolescence and inventory in excess of anticipated future demand. In</w:t>
      </w:r>
      <w:r>
        <w:rPr>
          <w:rFonts w:ascii="Arial" w:cs="Arial" w:eastAsia="Arial" w:hAnsi="Arial"/>
          <w:sz w:val="12"/>
          <w:szCs w:val="12"/>
          <w:b w:val="1"/>
          <w:bCs w:val="1"/>
          <w:color w:val="auto"/>
        </w:rPr>
        <w:t xml:space="preserve"> </w:t>
      </w:r>
      <w:r>
        <w:rPr>
          <w:rFonts w:ascii="Arial" w:cs="Arial" w:eastAsia="Arial" w:hAnsi="Arial"/>
          <w:sz w:val="12"/>
          <w:szCs w:val="12"/>
          <w:color w:val="auto"/>
        </w:rPr>
        <w:t>assessing the ultimate recoverability of inventory, we are required to make estimates regarding futur 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227" w:lineRule="exact"/>
        <w:rPr>
          <w:sz w:val="20"/>
          <w:szCs w:val="20"/>
          <w:color w:val="auto"/>
        </w:rPr>
      </w:pPr>
    </w:p>
    <w:p>
      <w:pPr>
        <w:ind w:firstLine="347"/>
        <w:spacing w:after="0" w:line="261" w:lineRule="auto"/>
        <w:rPr>
          <w:sz w:val="20"/>
          <w:szCs w:val="20"/>
          <w:color w:val="auto"/>
        </w:rPr>
      </w:pPr>
      <w:r>
        <w:rPr>
          <w:rFonts w:ascii="Arial" w:cs="Arial" w:eastAsia="Arial" w:hAnsi="Arial"/>
          <w:sz w:val="13"/>
          <w:szCs w:val="13"/>
          <w:b w:val="1"/>
          <w:bCs w:val="1"/>
          <w:color w:val="auto"/>
        </w:rPr>
        <w:t>Deferred Cost of Revenues</w:t>
      </w:r>
      <w:r>
        <w:rPr>
          <w:rFonts w:ascii="Arial" w:cs="Arial" w:eastAsia="Arial" w:hAnsi="Arial"/>
          <w:sz w:val="13"/>
          <w:szCs w:val="13"/>
          <w:color w:val="auto"/>
        </w:rPr>
        <w:t>—Deferred cost of revenues represent the unamortized cost of products associated with ratable product and services revenue, which is based upon the actual cost of the hardware sold and</w:t>
      </w:r>
      <w:r>
        <w:rPr>
          <w:rFonts w:ascii="Arial" w:cs="Arial" w:eastAsia="Arial" w:hAnsi="Arial"/>
          <w:sz w:val="13"/>
          <w:szCs w:val="13"/>
          <w:b w:val="1"/>
          <w:bCs w:val="1"/>
          <w:color w:val="auto"/>
        </w:rPr>
        <w:t xml:space="preserve"> </w:t>
      </w:r>
      <w:r>
        <w:rPr>
          <w:rFonts w:ascii="Arial" w:cs="Arial" w:eastAsia="Arial" w:hAnsi="Arial"/>
          <w:sz w:val="13"/>
          <w:szCs w:val="13"/>
          <w:color w:val="auto"/>
        </w:rPr>
        <w:t>is recognized over the service periods of the arrangements. Deferred cost of revenue associated with deferred revenue expected to be recognized within the next twelve months is classified as a current asset and deferred cost of revenue associated with deferred revenue not expected to be recognized within the next twelve months is classified as a non-current asset.</w:t>
      </w:r>
    </w:p>
    <w:p>
      <w:pPr>
        <w:spacing w:after="0" w:line="245" w:lineRule="exact"/>
        <w:rPr>
          <w:sz w:val="20"/>
          <w:szCs w:val="20"/>
          <w:color w:val="auto"/>
        </w:rPr>
      </w:pPr>
    </w:p>
    <w:p>
      <w:pPr>
        <w:jc w:val="both"/>
        <w:ind w:right="180" w:firstLine="347"/>
        <w:spacing w:after="0" w:line="261" w:lineRule="auto"/>
        <w:rPr>
          <w:sz w:val="20"/>
          <w:szCs w:val="20"/>
          <w:color w:val="auto"/>
        </w:rPr>
      </w:pPr>
      <w:r>
        <w:rPr>
          <w:rFonts w:ascii="Arial" w:cs="Arial" w:eastAsia="Arial" w:hAnsi="Arial"/>
          <w:sz w:val="13"/>
          <w:szCs w:val="13"/>
          <w:b w:val="1"/>
          <w:bCs w:val="1"/>
          <w:color w:val="auto"/>
        </w:rPr>
        <w:t>Property and Equipment</w:t>
      </w:r>
      <w:r>
        <w:rPr>
          <w:rFonts w:ascii="Arial" w:cs="Arial" w:eastAsia="Arial" w:hAnsi="Arial"/>
          <w:sz w:val="13"/>
          <w:szCs w:val="13"/>
          <w:color w:val="auto"/>
        </w:rPr>
        <w:t>—Property and equipment are stated at cost. Depreciation is computed using the straight-line method over the estimated useful lives of the assets, generally one to three years. Evaluation</w:t>
      </w:r>
      <w:r>
        <w:rPr>
          <w:rFonts w:ascii="Arial" w:cs="Arial" w:eastAsia="Arial" w:hAnsi="Arial"/>
          <w:sz w:val="13"/>
          <w:szCs w:val="13"/>
          <w:b w:val="1"/>
          <w:bCs w:val="1"/>
          <w:color w:val="auto"/>
        </w:rPr>
        <w:t xml:space="preserve"> </w:t>
      </w:r>
      <w:r>
        <w:rPr>
          <w:rFonts w:ascii="Arial" w:cs="Arial" w:eastAsia="Arial" w:hAnsi="Arial"/>
          <w:sz w:val="13"/>
          <w:szCs w:val="13"/>
          <w:color w:val="auto"/>
        </w:rPr>
        <w:t>units are transferred from inventory at cost and are amortized over one year from the date of transfer. Leasehold improvements are amortized over the shorter of the estimated useful lives of the improvements or the lease term.</w:t>
      </w:r>
    </w:p>
    <w:p>
      <w:pPr>
        <w:spacing w:after="0" w:line="245" w:lineRule="exact"/>
        <w:rPr>
          <w:sz w:val="20"/>
          <w:szCs w:val="20"/>
          <w:color w:val="auto"/>
        </w:rPr>
      </w:pPr>
    </w:p>
    <w:p>
      <w:pPr>
        <w:ind w:firstLine="347"/>
        <w:spacing w:after="0" w:line="284" w:lineRule="auto"/>
        <w:rPr>
          <w:sz w:val="20"/>
          <w:szCs w:val="20"/>
          <w:color w:val="auto"/>
        </w:rPr>
      </w:pPr>
      <w:r>
        <w:rPr>
          <w:rFonts w:ascii="Arial" w:cs="Arial" w:eastAsia="Arial" w:hAnsi="Arial"/>
          <w:sz w:val="12"/>
          <w:szCs w:val="12"/>
          <w:b w:val="1"/>
          <w:bCs w:val="1"/>
          <w:color w:val="auto"/>
        </w:rPr>
        <w:t>Impairment of Long-Lived Assets</w:t>
      </w:r>
      <w:r>
        <w:rPr>
          <w:rFonts w:ascii="Arial" w:cs="Arial" w:eastAsia="Arial" w:hAnsi="Arial"/>
          <w:sz w:val="12"/>
          <w:szCs w:val="12"/>
          <w:color w:val="auto"/>
        </w:rPr>
        <w:t>—We evaluate events and changes in circumstances that could indicate carrying amounts of long-lived assets, including intangible assets, may not be recoverable. When such</w:t>
      </w:r>
      <w:r>
        <w:rPr>
          <w:rFonts w:ascii="Arial" w:cs="Arial" w:eastAsia="Arial" w:hAnsi="Arial"/>
          <w:sz w:val="12"/>
          <w:szCs w:val="12"/>
          <w:b w:val="1"/>
          <w:bCs w:val="1"/>
          <w:color w:val="auto"/>
        </w:rPr>
        <w:t xml:space="preserve"> </w:t>
      </w:r>
      <w:r>
        <w:rPr>
          <w:rFonts w:ascii="Arial" w:cs="Arial" w:eastAsia="Arial" w:hAnsi="Arial"/>
          <w:sz w:val="12"/>
          <w:szCs w:val="12"/>
          <w:color w:val="auto"/>
        </w:rPr>
        <w:t>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 ured by the amount by which the carrying amount of the assets exceeds the fair value of the assets.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Deferred Revenue</w:t>
      </w:r>
      <w:r>
        <w:rPr>
          <w:rFonts w:ascii="Arial" w:cs="Arial" w:eastAsia="Arial" w:hAnsi="Arial"/>
          <w:sz w:val="13"/>
          <w:szCs w:val="13"/>
          <w:color w:val="auto"/>
        </w:rPr>
        <w:t>—Deferred revenue consists of amounts that have been invoiced but that have not yet been recognized as revenue.</w:t>
      </w:r>
    </w:p>
    <w:p>
      <w:pPr>
        <w:spacing w:after="0" w:line="275" w:lineRule="exact"/>
        <w:rPr>
          <w:sz w:val="20"/>
          <w:szCs w:val="20"/>
          <w:color w:val="auto"/>
        </w:rPr>
      </w:pPr>
    </w:p>
    <w:p>
      <w:pPr>
        <w:ind w:right="20" w:firstLine="347"/>
        <w:spacing w:after="0" w:line="254" w:lineRule="auto"/>
        <w:rPr>
          <w:sz w:val="20"/>
          <w:szCs w:val="20"/>
          <w:color w:val="auto"/>
        </w:rPr>
      </w:pPr>
      <w:r>
        <w:rPr>
          <w:rFonts w:ascii="Arial" w:cs="Arial" w:eastAsia="Arial" w:hAnsi="Arial"/>
          <w:sz w:val="13"/>
          <w:szCs w:val="13"/>
          <w:b w:val="1"/>
          <w:bCs w:val="1"/>
          <w:color w:val="auto"/>
        </w:rPr>
        <w:t>Income Taxes</w:t>
      </w:r>
      <w:r>
        <w:rPr>
          <w:rFonts w:ascii="Arial" w:cs="Arial" w:eastAsia="Arial" w:hAnsi="Arial"/>
          <w:sz w:val="13"/>
          <w:szCs w:val="13"/>
          <w:color w:val="auto"/>
        </w:rPr>
        <w:t>—We record income taxes using the asset and liability method, which require s the recognition of deferred tax assets and liabilities for the expected future tax consequences of events that have been</w:t>
      </w:r>
      <w:r>
        <w:rPr>
          <w:rFonts w:ascii="Arial" w:cs="Arial" w:eastAsia="Arial" w:hAnsi="Arial"/>
          <w:sz w:val="13"/>
          <w:szCs w:val="13"/>
          <w:b w:val="1"/>
          <w:bCs w:val="1"/>
          <w:color w:val="auto"/>
        </w:rPr>
        <w:t xml:space="preserve"> </w:t>
      </w:r>
      <w:r>
        <w:rPr>
          <w:rFonts w:ascii="Arial" w:cs="Arial" w:eastAsia="Arial" w:hAnsi="Arial"/>
          <w:sz w:val="13"/>
          <w:szCs w:val="13"/>
          <w:color w:val="auto"/>
        </w:rPr>
        <w:t>recognized in our financial statements or tax returns. In estimating future tax consequences, generally all expected future events other than enactments or changes in the tax law or rates are considered. 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 We consider many factors when evaluating and estimating our tax positions and tax benefits, which may require periodic adjustments and which may not accurately anticipate actual outcomes.</w:t>
      </w:r>
    </w:p>
    <w:p>
      <w:pPr>
        <w:spacing w:after="0" w:line="254" w:lineRule="exact"/>
        <w:rPr>
          <w:sz w:val="20"/>
          <w:szCs w:val="20"/>
          <w:color w:val="auto"/>
        </w:rPr>
      </w:pPr>
    </w:p>
    <w:p>
      <w:pPr>
        <w:ind w:right="120" w:firstLine="347"/>
        <w:spacing w:after="0" w:line="258" w:lineRule="auto"/>
        <w:rPr>
          <w:sz w:val="20"/>
          <w:szCs w:val="20"/>
          <w:color w:val="auto"/>
        </w:rPr>
      </w:pPr>
      <w:r>
        <w:rPr>
          <w:rFonts w:ascii="Arial" w:cs="Arial" w:eastAsia="Arial" w:hAnsi="Arial"/>
          <w:sz w:val="13"/>
          <w:szCs w:val="13"/>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247" w:lineRule="exact"/>
        <w:rPr>
          <w:sz w:val="20"/>
          <w:szCs w:val="20"/>
          <w:color w:val="auto"/>
        </w:rPr>
      </w:pPr>
    </w:p>
    <w:p>
      <w:pPr>
        <w:ind w:right="40" w:firstLine="347"/>
        <w:spacing w:after="0" w:line="368" w:lineRule="auto"/>
        <w:rPr>
          <w:sz w:val="20"/>
          <w:szCs w:val="20"/>
          <w:color w:val="auto"/>
        </w:rPr>
      </w:pPr>
      <w:r>
        <w:rPr>
          <w:rFonts w:ascii="Arial" w:cs="Arial" w:eastAsia="Arial" w:hAnsi="Arial"/>
          <w:sz w:val="11"/>
          <w:szCs w:val="11"/>
          <w:b w:val="1"/>
          <w:bCs w:val="1"/>
          <w:color w:val="auto"/>
        </w:rPr>
        <w:t>Stock-Based Compensation</w:t>
      </w:r>
      <w:r>
        <w:rPr>
          <w:rFonts w:ascii="Arial" w:cs="Arial" w:eastAsia="Arial" w:hAnsi="Arial"/>
          <w:sz w:val="11"/>
          <w:szCs w:val="11"/>
          <w:color w:val="auto"/>
        </w:rPr>
        <w:t>—We apply ASC 718 (formerly referred to as SFAS No. 123R) to our stock option grants, which requires compensation expense related to share-based transactions, including employee</w:t>
      </w:r>
      <w:r>
        <w:rPr>
          <w:rFonts w:ascii="Arial" w:cs="Arial" w:eastAsia="Arial" w:hAnsi="Arial"/>
          <w:sz w:val="11"/>
          <w:szCs w:val="11"/>
          <w:b w:val="1"/>
          <w:bCs w:val="1"/>
          <w:color w:val="auto"/>
        </w:rPr>
        <w:t xml:space="preserve"> </w:t>
      </w:r>
      <w:r>
        <w:rPr>
          <w:rFonts w:ascii="Arial" w:cs="Arial" w:eastAsia="Arial" w:hAnsi="Arial"/>
          <w:sz w:val="11"/>
          <w:szCs w:val="11"/>
          <w:color w:val="auto"/>
        </w:rPr>
        <w:t>stock options, to be measured and recognized in the financial statements based on fair value. Under ASC 718, the fair value of each option award is estimated on the grant date using the Black-Scholes option pricing model.</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Research and Development Costs</w:t>
      </w:r>
      <w:r>
        <w:rPr>
          <w:rFonts w:ascii="Arial" w:cs="Arial" w:eastAsia="Arial" w:hAnsi="Arial"/>
          <w:sz w:val="13"/>
          <w:szCs w:val="13"/>
          <w:color w:val="auto"/>
        </w:rPr>
        <w:t>—Research and development costs are expensed as incurred.</w:t>
      </w:r>
    </w:p>
    <w:p>
      <w:pPr>
        <w:spacing w:after="0" w:line="275" w:lineRule="exact"/>
        <w:rPr>
          <w:sz w:val="20"/>
          <w:szCs w:val="20"/>
          <w:color w:val="auto"/>
        </w:rPr>
      </w:pPr>
    </w:p>
    <w:p>
      <w:pPr>
        <w:ind w:right="460" w:firstLine="347"/>
        <w:spacing w:after="0" w:line="274" w:lineRule="auto"/>
        <w:rPr>
          <w:sz w:val="20"/>
          <w:szCs w:val="20"/>
          <w:color w:val="auto"/>
        </w:rPr>
      </w:pPr>
      <w:r>
        <w:rPr>
          <w:rFonts w:ascii="Arial" w:cs="Arial" w:eastAsia="Arial" w:hAnsi="Arial"/>
          <w:sz w:val="13"/>
          <w:szCs w:val="13"/>
          <w:b w:val="1"/>
          <w:bCs w:val="1"/>
          <w:color w:val="auto"/>
        </w:rPr>
        <w:t>Software Development Costs</w:t>
      </w:r>
      <w:r>
        <w:rPr>
          <w:rFonts w:ascii="Arial" w:cs="Arial" w:eastAsia="Arial" w:hAnsi="Arial"/>
          <w:sz w:val="13"/>
          <w:szCs w:val="13"/>
          <w:color w:val="auto"/>
        </w:rPr>
        <w:t>—The costs to develop software have not been capitalized as we believe our current software development process is essentially completed concurrent with the establishment of</w:t>
      </w:r>
      <w:r>
        <w:rPr>
          <w:rFonts w:ascii="Arial" w:cs="Arial" w:eastAsia="Arial" w:hAnsi="Arial"/>
          <w:sz w:val="13"/>
          <w:szCs w:val="13"/>
          <w:b w:val="1"/>
          <w:bCs w:val="1"/>
          <w:color w:val="auto"/>
        </w:rPr>
        <w:t xml:space="preserve"> </w:t>
      </w:r>
      <w:r>
        <w:rPr>
          <w:rFonts w:ascii="Arial" w:cs="Arial" w:eastAsia="Arial" w:hAnsi="Arial"/>
          <w:sz w:val="13"/>
          <w:szCs w:val="13"/>
          <w:color w:val="auto"/>
        </w:rPr>
        <w:t>technological feasibility.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8</w:t>
      </w:r>
    </w:p>
    <w:p>
      <w:pPr>
        <w:sectPr>
          <w:pgSz w:w="11900" w:h="16838" w:orient="portrait"/>
          <w:cols w:equalWidth="0" w:num="1">
            <w:col w:w="11460"/>
          </w:cols>
          <w:pgMar w:left="220" w:top="189" w:right="219" w:bottom="1440" w:gutter="0" w:footer="0" w:header="0"/>
        </w:sectPr>
      </w:pPr>
    </w:p>
    <w:bookmarkStart w:id="8" w:name="page9"/>
    <w:bookmarkEnd w:id="8"/>
    <w:p>
      <w:pPr>
        <w:jc w:val="cente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62" w:lineRule="exact"/>
        <w:rPr>
          <w:sz w:val="20"/>
          <w:szCs w:val="20"/>
          <w:color w:val="auto"/>
        </w:rPr>
      </w:pPr>
    </w:p>
    <w:p>
      <w:pPr>
        <w:ind w:right="200" w:firstLine="347"/>
        <w:spacing w:after="0" w:line="261" w:lineRule="auto"/>
        <w:rPr>
          <w:sz w:val="20"/>
          <w:szCs w:val="20"/>
          <w:color w:val="auto"/>
        </w:rPr>
      </w:pPr>
      <w:r>
        <w:rPr>
          <w:rFonts w:ascii="Arial" w:cs="Arial" w:eastAsia="Arial" w:hAnsi="Arial"/>
          <w:sz w:val="13"/>
          <w:szCs w:val="13"/>
          <w:b w:val="1"/>
          <w:bCs w:val="1"/>
          <w:color w:val="auto"/>
        </w:rPr>
        <w:t>Revenue Recognition</w:t>
      </w:r>
      <w:r>
        <w:rPr>
          <w:rFonts w:ascii="Arial" w:cs="Arial" w:eastAsia="Arial" w:hAnsi="Arial"/>
          <w:sz w:val="13"/>
          <w:szCs w:val="13"/>
          <w:color w:val="auto"/>
        </w:rPr>
        <w:t>—We derive revenue from sales of products, including appliances and software, and services, including subscription, support and o ther services. Our appliances include operating system</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software that is integrated into the appliance hardware and is deemed essential to its functionality. As a result, we account for revenue in accordance with ASC 985-605 (formerly referred to as Statement of Position 97-2 (SOP 97-2) </w:t>
      </w:r>
      <w:r>
        <w:rPr>
          <w:rFonts w:ascii="Arial" w:cs="Arial" w:eastAsia="Arial" w:hAnsi="Arial"/>
          <w:sz w:val="13"/>
          <w:szCs w:val="13"/>
          <w:i w:val="1"/>
          <w:iCs w:val="1"/>
          <w:color w:val="auto"/>
        </w:rPr>
        <w:t>Software Revenue Recognition</w:t>
      </w:r>
      <w:r>
        <w:rPr>
          <w:rFonts w:ascii="Arial" w:cs="Arial" w:eastAsia="Arial" w:hAnsi="Arial"/>
          <w:sz w:val="13"/>
          <w:szCs w:val="13"/>
          <w:color w:val="auto"/>
        </w:rPr>
        <w:t>), and all related interpretations.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 revenue can be recognized until all of the following criteria have been met:</w:t>
      </w:r>
    </w:p>
    <w:p>
      <w:pPr>
        <w:spacing w:after="0" w:line="159" w:lineRule="exact"/>
        <w:rPr>
          <w:sz w:val="20"/>
          <w:szCs w:val="20"/>
          <w:color w:val="auto"/>
        </w:rPr>
      </w:pPr>
    </w:p>
    <w:p>
      <w:pPr>
        <w:ind w:left="580" w:hanging="236"/>
        <w:spacing w:after="0"/>
        <w:tabs>
          <w:tab w:leader="none" w:pos="580" w:val="left"/>
        </w:tabs>
        <w:numPr>
          <w:ilvl w:val="0"/>
          <w:numId w:val="1"/>
        </w:numPr>
        <w:rPr>
          <w:rFonts w:ascii="Arial" w:cs="Arial" w:eastAsia="Arial" w:hAnsi="Arial"/>
          <w:sz w:val="13"/>
          <w:szCs w:val="13"/>
          <w:color w:val="auto"/>
        </w:rPr>
      </w:pPr>
      <w:r>
        <w:rPr>
          <w:rFonts w:ascii="Arial" w:cs="Arial" w:eastAsia="Arial" w:hAnsi="Arial"/>
          <w:sz w:val="13"/>
          <w:szCs w:val="13"/>
          <w:color w:val="auto"/>
        </w:rPr>
        <w:t>Persuasive evidence of an arrangement exists. Binding contracts or purchase orders are generally used to determine the existence of an arrangement.</w:t>
      </w:r>
    </w:p>
    <w:p>
      <w:pPr>
        <w:spacing w:after="0" w:line="159" w:lineRule="exact"/>
        <w:rPr>
          <w:rFonts w:ascii="Arial" w:cs="Arial" w:eastAsia="Arial" w:hAnsi="Arial"/>
          <w:sz w:val="13"/>
          <w:szCs w:val="13"/>
          <w:color w:val="auto"/>
        </w:rPr>
      </w:pPr>
    </w:p>
    <w:p>
      <w:pPr>
        <w:ind w:left="580" w:hanging="236"/>
        <w:spacing w:after="0"/>
        <w:tabs>
          <w:tab w:leader="none" w:pos="580" w:val="left"/>
        </w:tabs>
        <w:numPr>
          <w:ilvl w:val="0"/>
          <w:numId w:val="1"/>
        </w:numPr>
        <w:rPr>
          <w:rFonts w:ascii="Arial" w:cs="Arial" w:eastAsia="Arial" w:hAnsi="Arial"/>
          <w:sz w:val="13"/>
          <w:szCs w:val="13"/>
          <w:color w:val="auto"/>
        </w:rPr>
      </w:pPr>
      <w:r>
        <w:rPr>
          <w:rFonts w:ascii="Arial" w:cs="Arial" w:eastAsia="Arial" w:hAnsi="Arial"/>
          <w:sz w:val="13"/>
          <w:szCs w:val="13"/>
          <w:color w:val="auto"/>
        </w:rPr>
        <w:t>Delivery has occurred. Delivery occurs when we fulfill an order and title and risk of loss has been transferred or upon delivery of the service contract registration code.</w:t>
      </w:r>
    </w:p>
    <w:p>
      <w:pPr>
        <w:spacing w:after="0" w:line="159" w:lineRule="exact"/>
        <w:rPr>
          <w:rFonts w:ascii="Arial" w:cs="Arial" w:eastAsia="Arial" w:hAnsi="Arial"/>
          <w:sz w:val="13"/>
          <w:szCs w:val="13"/>
          <w:color w:val="auto"/>
        </w:rPr>
      </w:pPr>
    </w:p>
    <w:p>
      <w:pPr>
        <w:ind w:left="580" w:right="300" w:hanging="236"/>
        <w:spacing w:after="0" w:line="361" w:lineRule="auto"/>
        <w:tabs>
          <w:tab w:leader="none" w:pos="580" w:val="left"/>
        </w:tabs>
        <w:numPr>
          <w:ilvl w:val="0"/>
          <w:numId w:val="1"/>
        </w:numPr>
        <w:rPr>
          <w:rFonts w:ascii="Arial" w:cs="Arial" w:eastAsia="Arial" w:hAnsi="Arial"/>
          <w:sz w:val="11"/>
          <w:szCs w:val="11"/>
          <w:color w:val="auto"/>
        </w:rPr>
      </w:pPr>
      <w:r>
        <w:rPr>
          <w:rFonts w:ascii="Arial" w:cs="Arial" w:eastAsia="Arial" w:hAnsi="Arial"/>
          <w:sz w:val="11"/>
          <w:szCs w:val="11"/>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82" w:lineRule="exact"/>
        <w:rPr>
          <w:rFonts w:ascii="Arial" w:cs="Arial" w:eastAsia="Arial" w:hAnsi="Arial"/>
          <w:sz w:val="11"/>
          <w:szCs w:val="11"/>
          <w:color w:val="auto"/>
        </w:rPr>
      </w:pPr>
    </w:p>
    <w:p>
      <w:pPr>
        <w:ind w:left="580" w:right="60" w:hanging="236"/>
        <w:spacing w:after="0" w:line="268" w:lineRule="auto"/>
        <w:tabs>
          <w:tab w:leader="none" w:pos="580" w:val="left"/>
        </w:tabs>
        <w:numPr>
          <w:ilvl w:val="0"/>
          <w:numId w:val="1"/>
        </w:numPr>
        <w:rPr>
          <w:rFonts w:ascii="Arial" w:cs="Arial" w:eastAsia="Arial" w:hAnsi="Arial"/>
          <w:sz w:val="13"/>
          <w:szCs w:val="13"/>
          <w:color w:val="auto"/>
        </w:rPr>
      </w:pPr>
      <w:r>
        <w:rPr>
          <w:rFonts w:ascii="Arial" w:cs="Arial" w:eastAsia="Arial" w:hAnsi="Arial"/>
          <w:sz w:val="13"/>
          <w:szCs w:val="13"/>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29" w:lineRule="exact"/>
        <w:rPr>
          <w:sz w:val="20"/>
          <w:szCs w:val="20"/>
          <w:color w:val="auto"/>
        </w:rPr>
      </w:pPr>
    </w:p>
    <w:p>
      <w:pPr>
        <w:ind w:firstLine="347"/>
        <w:spacing w:after="0" w:line="278" w:lineRule="auto"/>
        <w:rPr>
          <w:sz w:val="20"/>
          <w:szCs w:val="20"/>
          <w:color w:val="auto"/>
        </w:rPr>
      </w:pPr>
      <w:r>
        <w:rPr>
          <w:rFonts w:ascii="Arial" w:cs="Arial" w:eastAsia="Arial" w:hAnsi="Arial"/>
          <w:sz w:val="12"/>
          <w:szCs w:val="12"/>
          <w:color w:val="auto"/>
        </w:rPr>
        <w:t>For arrangements which include customer acceptance criteria, no revenue is recognized prior to acceptance. We recognize product revenue on sales to distributors that have no right of return and end-customers upon shipment of the appliance, once all other revenue recognition criteria have been met. We also make sales through distributors under agreements that allow for rights of returns. We recognize product revenue on sales made through such dist ributors upon sale by the distributor to the end-customer, at which time the rights of return lapse.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We commence our subscription and support services on the date the customer registers the appliance. The customer is then entitled to service for the stated contractual period beginning on the registration date.&lt; /div&gt;</w:t>
      </w:r>
    </w:p>
    <w:p>
      <w:pPr>
        <w:spacing w:after="0" w:line="182" w:lineRule="exact"/>
        <w:rPr>
          <w:sz w:val="20"/>
          <w:szCs w:val="20"/>
          <w:color w:val="auto"/>
        </w:rPr>
      </w:pPr>
    </w:p>
    <w:p>
      <w:pPr>
        <w:ind w:right="140" w:firstLine="347"/>
        <w:spacing w:after="0" w:line="309" w:lineRule="auto"/>
        <w:rPr>
          <w:sz w:val="20"/>
          <w:szCs w:val="20"/>
          <w:color w:val="auto"/>
        </w:rPr>
      </w:pPr>
      <w:r>
        <w:rPr>
          <w:rFonts w:ascii="Arial" w:cs="Arial" w:eastAsia="Arial" w:hAnsi="Arial"/>
          <w:sz w:val="11"/>
          <w:szCs w:val="11"/>
          <w:color w:val="auto"/>
        </w:rPr>
        <w:t>We use the residual method to recognize revenue when an arrangement includes one or more elements to be delivered at a future date and vendor-specific objective evidence (“VSOE”) of the fair value of all undelivered elements exists. Under the residual method, the fair value of the undelivered elements is deferred and the remaining portion of the contract fee is recognized as product revenue. In cases where VSOE of fair value of the undelivered elements does not exist (typically due to a lack of VSOE on the subscription and support services for that specific arrangement), revenue for the entire arrangement is recognized ratably over the performance period of the undelivered elements. Revenue related to these arrangements is included in ratable product and services revenue in the accompanying condensed consolidated statements of operations. VSOE of fair value for elements of an arrangement is based upon the pricing for those services when sold separately. Revenue for professional services and training is recognized upon completion of the related services.</w:t>
      </w:r>
    </w:p>
    <w:p>
      <w:pPr>
        <w:spacing w:after="0" w:line="111" w:lineRule="exact"/>
        <w:rPr>
          <w:sz w:val="20"/>
          <w:szCs w:val="20"/>
          <w:color w:val="auto"/>
        </w:rPr>
      </w:pPr>
    </w:p>
    <w:p>
      <w:pPr>
        <w:ind w:firstLine="347"/>
        <w:spacing w:after="0" w:line="258" w:lineRule="auto"/>
        <w:rPr>
          <w:sz w:val="20"/>
          <w:szCs w:val="20"/>
          <w:color w:val="auto"/>
        </w:rPr>
      </w:pPr>
      <w:r>
        <w:rPr>
          <w:rFonts w:ascii="Arial" w:cs="Arial" w:eastAsia="Arial" w:hAnsi="Arial"/>
          <w:sz w:val="13"/>
          <w:szCs w:val="13"/>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31" w:lineRule="exact"/>
        <w:rPr>
          <w:sz w:val="20"/>
          <w:szCs w:val="20"/>
          <w:color w:val="auto"/>
        </w:rPr>
      </w:pPr>
    </w:p>
    <w:p>
      <w:pPr>
        <w:jc w:val="both"/>
        <w:ind w:right="80" w:firstLine="347"/>
        <w:spacing w:after="0" w:line="293" w:lineRule="auto"/>
        <w:rPr>
          <w:sz w:val="20"/>
          <w:szCs w:val="20"/>
          <w:color w:val="auto"/>
        </w:rPr>
      </w:pPr>
      <w:r>
        <w:rPr>
          <w:rFonts w:ascii="Arial" w:cs="Arial" w:eastAsia="Arial" w:hAnsi="Arial"/>
          <w:sz w:val="12"/>
          <w:szCs w:val="12"/>
          <w:b w:val="1"/>
          <w:bCs w:val="1"/>
          <w:color w:val="auto"/>
        </w:rPr>
        <w:t>Accounts Receivable</w:t>
      </w:r>
      <w:r>
        <w:rPr>
          <w:rFonts w:ascii="Arial" w:cs="Arial" w:eastAsia="Arial" w:hAnsi="Arial"/>
          <w:sz w:val="12"/>
          <w:szCs w:val="12"/>
          <w:color w:val="auto"/>
        </w:rPr>
        <w:t>—Trade accounts receivable are recorded at the invoiced amount, net of allowances for doubtful accounts and reserves for sales returns and allowances. The allowance for doubtful accounts is</w:t>
      </w:r>
      <w:r>
        <w:rPr>
          <w:rFonts w:ascii="Arial" w:cs="Arial" w:eastAsia="Arial" w:hAnsi="Arial"/>
          <w:sz w:val="12"/>
          <w:szCs w:val="12"/>
          <w:b w:val="1"/>
          <w:bCs w:val="1"/>
          <w:color w:val="auto"/>
        </w:rPr>
        <w:t xml:space="preserve"> </w:t>
      </w:r>
      <w:r>
        <w:rPr>
          <w:rFonts w:ascii="Arial" w:cs="Arial" w:eastAsia="Arial" w:hAnsi="Arial"/>
          <w:sz w:val="12"/>
          <w:szCs w:val="12"/>
          <w:color w:val="auto"/>
        </w:rPr>
        <w:t>based on our assessment of the collectability of customer accounts. We regularly review the allowance by considering factors such as historical experience, credit quality, age of the accounts receivable balances and current economic conditions that may affect a customer's ability to pay. The reserve for sales returns and allowances is based on specific criteria including agreements to provide rebates and other</w:t>
      </w:r>
    </w:p>
    <w:p>
      <w:pPr>
        <w:spacing w:after="0" w:line="116"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60"/>
          </w:cols>
          <w:pgMar w:left="220" w:top="189" w:right="219" w:bottom="1440" w:gutter="0" w:footer="0" w:header="0"/>
        </w:sectPr>
      </w:pPr>
    </w:p>
    <w:bookmarkStart w:id="9" w:name="page10"/>
    <w:bookmarkEnd w:id="9"/>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(Unaudited)</w:t>
      </w:r>
    </w:p>
    <w:p>
      <w:pPr>
        <w:spacing w:after="0" w:line="151" w:lineRule="exact"/>
        <w:rPr>
          <w:sz w:val="20"/>
          <w:szCs w:val="20"/>
          <w:color w:val="auto"/>
        </w:rPr>
      </w:pPr>
    </w:p>
    <w:p>
      <w:pPr>
        <w:ind w:right="220" w:firstLine="347"/>
        <w:spacing w:after="0" w:line="268" w:lineRule="auto"/>
        <w:rPr>
          <w:sz w:val="20"/>
          <w:szCs w:val="20"/>
          <w:color w:val="auto"/>
        </w:rPr>
      </w:pPr>
      <w:r>
        <w:rPr>
          <w:rFonts w:ascii="Arial" w:cs="Arial" w:eastAsia="Arial" w:hAnsi="Arial"/>
          <w:sz w:val="13"/>
          <w:szCs w:val="13"/>
          <w:color w:val="auto"/>
        </w:rPr>
        <w:t>factors known at the time, as well as estimates of the amount of goods shipped that will be returned. To determine the adequacy of the reserves for sales returns and allowances, we analyze historical experience of actual rebates and returns as well as current product return information.</w:t>
      </w:r>
    </w:p>
    <w:p>
      <w:pPr>
        <w:spacing w:after="0" w:line="125" w:lineRule="exact"/>
        <w:rPr>
          <w:sz w:val="20"/>
          <w:szCs w:val="20"/>
          <w:color w:val="auto"/>
        </w:rPr>
      </w:pPr>
    </w:p>
    <w:p>
      <w:pPr>
        <w:ind w:right="120" w:firstLine="347"/>
        <w:spacing w:after="0" w:line="293" w:lineRule="auto"/>
        <w:rPr>
          <w:sz w:val="20"/>
          <w:szCs w:val="20"/>
          <w:color w:val="auto"/>
        </w:rPr>
      </w:pPr>
      <w:r>
        <w:rPr>
          <w:rFonts w:ascii="Arial" w:cs="Arial" w:eastAsia="Arial" w:hAnsi="Arial"/>
          <w:sz w:val="12"/>
          <w:szCs w:val="12"/>
          <w:b w:val="1"/>
          <w:bCs w:val="1"/>
          <w:color w:val="auto"/>
        </w:rPr>
        <w:t>Warranties</w:t>
      </w:r>
      <w:r>
        <w:rPr>
          <w:rFonts w:ascii="Arial" w:cs="Arial" w:eastAsia="Arial" w:hAnsi="Arial"/>
          <w:sz w:val="12"/>
          <w:szCs w:val="12"/>
          <w:color w:val="auto"/>
        </w:rPr>
        <w:t>—We generally provide a one-year warranty on hardware products and a 90-day warranty on software. A provision for estimated future costs related to warranty activities is recorded as a component o f</w:t>
      </w:r>
      <w:r>
        <w:rPr>
          <w:rFonts w:ascii="Arial" w:cs="Arial" w:eastAsia="Arial" w:hAnsi="Arial"/>
          <w:sz w:val="12"/>
          <w:szCs w:val="12"/>
          <w:b w:val="1"/>
          <w:bCs w:val="1"/>
          <w:color w:val="auto"/>
        </w:rPr>
        <w:t xml:space="preserve"> </w:t>
      </w:r>
      <w:r>
        <w:rPr>
          <w:rFonts w:ascii="Arial" w:cs="Arial" w:eastAsia="Arial" w:hAnsi="Arial"/>
          <w:sz w:val="12"/>
          <w:szCs w:val="12"/>
          <w:color w:val="auto"/>
        </w:rPr>
        <w:t>cost of product revenues when the product revenues are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Accrued warranty activities are summarized as follows ($ amounts in 000's):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45"/>
        </w:trPr>
        <w:tc>
          <w:tcPr>
            <w:tcW w:w="6140" w:type="dxa"/>
            <w:vAlign w:val="bottom"/>
          </w:tcPr>
          <w:p>
            <w:pPr>
              <w:spacing w:after="0"/>
              <w:rPr>
                <w:sz w:val="12"/>
                <w:szCs w:val="12"/>
                <w:color w:val="auto"/>
              </w:rPr>
            </w:pPr>
          </w:p>
        </w:tc>
        <w:tc>
          <w:tcPr>
            <w:tcW w:w="1900" w:type="dxa"/>
            <w:vAlign w:val="bottom"/>
          </w:tcPr>
          <w:p>
            <w:pPr>
              <w:jc w:val="center"/>
              <w:ind w:left="518"/>
              <w:spacing w:after="0"/>
              <w:rPr>
                <w:sz w:val="20"/>
                <w:szCs w:val="20"/>
                <w:color w:val="auto"/>
              </w:rPr>
            </w:pPr>
            <w:r>
              <w:rPr>
                <w:rFonts w:ascii="Arial" w:cs="Arial" w:eastAsia="Arial" w:hAnsi="Arial"/>
                <w:sz w:val="12"/>
                <w:szCs w:val="12"/>
                <w:b w:val="1"/>
                <w:bCs w:val="1"/>
                <w:color w:val="auto"/>
                <w:w w:val="87"/>
              </w:rPr>
              <w:t>For The 9 Months</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60" w:type="dxa"/>
            <w:vAlign w:val="bottom"/>
          </w:tcPr>
          <w:p>
            <w:pPr>
              <w:jc w:val="center"/>
              <w:ind w:left="518"/>
              <w:spacing w:after="0"/>
              <w:rPr>
                <w:sz w:val="20"/>
                <w:szCs w:val="20"/>
                <w:color w:val="auto"/>
              </w:rPr>
            </w:pPr>
            <w:r>
              <w:rPr>
                <w:rFonts w:ascii="Arial" w:cs="Arial" w:eastAsia="Arial" w:hAnsi="Arial"/>
                <w:sz w:val="12"/>
                <w:szCs w:val="12"/>
                <w:b w:val="1"/>
                <w:bCs w:val="1"/>
                <w:color w:val="auto"/>
                <w:w w:val="92"/>
              </w:rPr>
              <w:t>For The Year</w:t>
            </w:r>
          </w:p>
        </w:tc>
        <w:tc>
          <w:tcPr>
            <w:tcW w:w="260" w:type="dxa"/>
            <w:vAlign w:val="bottom"/>
          </w:tcPr>
          <w:p>
            <w:pPr>
              <w:spacing w:after="0"/>
              <w:rPr>
                <w:sz w:val="12"/>
                <w:szCs w:val="12"/>
                <w:color w:val="auto"/>
              </w:rPr>
            </w:pPr>
          </w:p>
        </w:tc>
      </w:tr>
      <w:tr>
        <w:trPr>
          <w:trHeight w:val="149"/>
        </w:trPr>
        <w:tc>
          <w:tcPr>
            <w:tcW w:w="6140" w:type="dxa"/>
            <w:vAlign w:val="bottom"/>
          </w:tcPr>
          <w:p>
            <w:pPr>
              <w:spacing w:after="0"/>
              <w:rPr>
                <w:sz w:val="12"/>
                <w:szCs w:val="12"/>
                <w:color w:val="auto"/>
              </w:rPr>
            </w:pPr>
          </w:p>
        </w:tc>
        <w:tc>
          <w:tcPr>
            <w:tcW w:w="1900" w:type="dxa"/>
            <w:vAlign w:val="bottom"/>
          </w:tcPr>
          <w:p>
            <w:pPr>
              <w:jc w:val="center"/>
              <w:ind w:left="518"/>
              <w:spacing w:after="0"/>
              <w:rPr>
                <w:sz w:val="20"/>
                <w:szCs w:val="20"/>
                <w:color w:val="auto"/>
              </w:rPr>
            </w:pPr>
            <w:r>
              <w:rPr>
                <w:rFonts w:ascii="Arial" w:cs="Arial" w:eastAsia="Arial" w:hAnsi="Arial"/>
                <w:sz w:val="12"/>
                <w:szCs w:val="12"/>
                <w:b w:val="1"/>
                <w:bCs w:val="1"/>
                <w:color w:val="auto"/>
                <w:w w:val="89"/>
              </w:rPr>
              <w:t>Ended And As Of</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60" w:type="dxa"/>
            <w:vAlign w:val="bottom"/>
          </w:tcPr>
          <w:p>
            <w:pPr>
              <w:jc w:val="center"/>
              <w:ind w:left="518"/>
              <w:spacing w:after="0"/>
              <w:rPr>
                <w:sz w:val="20"/>
                <w:szCs w:val="20"/>
                <w:color w:val="auto"/>
              </w:rPr>
            </w:pPr>
            <w:r>
              <w:rPr>
                <w:rFonts w:ascii="Arial" w:cs="Arial" w:eastAsia="Arial" w:hAnsi="Arial"/>
                <w:sz w:val="12"/>
                <w:szCs w:val="12"/>
                <w:b w:val="1"/>
                <w:bCs w:val="1"/>
                <w:color w:val="auto"/>
                <w:w w:val="89"/>
              </w:rPr>
              <w:t>Ended And As Of</w:t>
            </w:r>
          </w:p>
        </w:tc>
        <w:tc>
          <w:tcPr>
            <w:tcW w:w="260" w:type="dxa"/>
            <w:vAlign w:val="bottom"/>
          </w:tcPr>
          <w:p>
            <w:pPr>
              <w:spacing w:after="0"/>
              <w:rPr>
                <w:sz w:val="12"/>
                <w:szCs w:val="12"/>
                <w:color w:val="auto"/>
              </w:rPr>
            </w:pPr>
          </w:p>
        </w:tc>
      </w:tr>
      <w:tr>
        <w:trPr>
          <w:trHeight w:val="193"/>
        </w:trPr>
        <w:tc>
          <w:tcPr>
            <w:tcW w:w="6140" w:type="dxa"/>
            <w:vAlign w:val="bottom"/>
          </w:tcPr>
          <w:p>
            <w:pPr>
              <w:spacing w:after="0"/>
              <w:rPr>
                <w:sz w:val="16"/>
                <w:szCs w:val="16"/>
                <w:color w:val="auto"/>
              </w:rPr>
            </w:pPr>
          </w:p>
        </w:tc>
        <w:tc>
          <w:tcPr>
            <w:tcW w:w="1900" w:type="dxa"/>
            <w:vAlign w:val="bottom"/>
          </w:tcPr>
          <w:p>
            <w:pPr>
              <w:jc w:val="center"/>
              <w:ind w:left="518"/>
              <w:spacing w:after="0"/>
              <w:rPr>
                <w:sz w:val="20"/>
                <w:szCs w:val="20"/>
                <w:color w:val="auto"/>
              </w:rPr>
            </w:pPr>
            <w:r>
              <w:rPr>
                <w:rFonts w:ascii="Arial" w:cs="Arial" w:eastAsia="Arial" w:hAnsi="Arial"/>
                <w:sz w:val="12"/>
                <w:szCs w:val="12"/>
                <w:b w:val="1"/>
                <w:bCs w:val="1"/>
                <w:color w:val="auto"/>
                <w:w w:val="86"/>
              </w:rPr>
              <w:t>Sept ember 30, 2010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60" w:type="dxa"/>
            <w:vAlign w:val="bottom"/>
          </w:tcPr>
          <w:p>
            <w:pPr>
              <w:jc w:val="center"/>
              <w:ind w:left="518"/>
              <w:spacing w:after="0"/>
              <w:rPr>
                <w:sz w:val="20"/>
                <w:szCs w:val="20"/>
                <w:color w:val="auto"/>
              </w:rPr>
            </w:pPr>
            <w:r>
              <w:rPr>
                <w:rFonts w:ascii="Arial" w:cs="Arial" w:eastAsia="Arial" w:hAnsi="Arial"/>
                <w:sz w:val="12"/>
                <w:szCs w:val="12"/>
                <w:b w:val="1"/>
                <w:bCs w:val="1"/>
                <w:color w:val="auto"/>
                <w:w w:val="85"/>
              </w:rPr>
              <w:t>December 31, 2009</w:t>
            </w:r>
          </w:p>
        </w:tc>
        <w:tc>
          <w:tcPr>
            <w:tcW w:w="260" w:type="dxa"/>
            <w:vAlign w:val="bottom"/>
          </w:tcPr>
          <w:p>
            <w:pPr>
              <w:spacing w:after="0"/>
              <w:rPr>
                <w:sz w:val="16"/>
                <w:szCs w:val="16"/>
                <w:color w:val="auto"/>
              </w:rPr>
            </w:pPr>
          </w:p>
        </w:tc>
      </w:tr>
      <w:tr>
        <w:trPr>
          <w:trHeight w:val="24"/>
        </w:trPr>
        <w:tc>
          <w:tcPr>
            <w:tcW w:w="614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2"/>
        </w:trPr>
        <w:tc>
          <w:tcPr>
            <w:tcW w:w="61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Accrued warranty balance-beginning of the period</w:t>
            </w:r>
          </w:p>
        </w:tc>
        <w:tc>
          <w:tcPr>
            <w:tcW w:w="1900" w:type="dxa"/>
            <w:vAlign w:val="bottom"/>
            <w:shd w:val="clear" w:color="auto" w:fill="CCEEFF"/>
          </w:tcPr>
          <w:p>
            <w:pPr>
              <w:jc w:val="right"/>
              <w:ind w:right="1178"/>
              <w:spacing w:after="0"/>
              <w:rPr>
                <w:sz w:val="20"/>
                <w:szCs w:val="20"/>
                <w:color w:val="auto"/>
              </w:rPr>
            </w:pPr>
            <w:r>
              <w:rPr>
                <w:rFonts w:ascii="Arial" w:cs="Arial" w:eastAsia="Arial" w:hAnsi="Arial"/>
                <w:sz w:val="13"/>
                <w:szCs w:val="13"/>
                <w:color w:val="auto"/>
              </w:rPr>
              <w:t>2,257</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2,882</w:t>
            </w:r>
          </w:p>
        </w:tc>
        <w:tc>
          <w:tcPr>
            <w:tcW w:w="260" w:type="dxa"/>
            <w:vAlign w:val="bottom"/>
            <w:shd w:val="clear" w:color="auto" w:fill="CCEEFF"/>
          </w:tcPr>
          <w:p>
            <w:pPr>
              <w:spacing w:after="0"/>
              <w:rPr>
                <w:sz w:val="15"/>
                <w:szCs w:val="15"/>
                <w:color w:val="auto"/>
              </w:rPr>
            </w:pPr>
          </w:p>
        </w:tc>
      </w:tr>
      <w:tr>
        <w:trPr>
          <w:trHeight w:val="193"/>
        </w:trPr>
        <w:tc>
          <w:tcPr>
            <w:tcW w:w="6140" w:type="dxa"/>
            <w:vAlign w:val="bottom"/>
          </w:tcPr>
          <w:p>
            <w:pPr>
              <w:ind w:left="360"/>
              <w:spacing w:after="0"/>
              <w:rPr>
                <w:sz w:val="20"/>
                <w:szCs w:val="20"/>
                <w:color w:val="auto"/>
              </w:rPr>
            </w:pPr>
            <w:r>
              <w:rPr>
                <w:rFonts w:ascii="Arial" w:cs="Arial" w:eastAsia="Arial" w:hAnsi="Arial"/>
                <w:sz w:val="13"/>
                <w:szCs w:val="13"/>
                <w:color w:val="auto"/>
              </w:rPr>
              <w:t>Warranty costs incurred</w:t>
            </w:r>
          </w:p>
        </w:tc>
        <w:tc>
          <w:tcPr>
            <w:tcW w:w="1900" w:type="dxa"/>
            <w:vAlign w:val="bottom"/>
          </w:tcPr>
          <w:p>
            <w:pPr>
              <w:jc w:val="right"/>
              <w:ind w:right="118"/>
              <w:spacing w:after="0"/>
              <w:rPr>
                <w:sz w:val="20"/>
                <w:szCs w:val="20"/>
                <w:color w:val="auto"/>
              </w:rPr>
            </w:pPr>
            <w:r>
              <w:rPr>
                <w:rFonts w:ascii="Arial" w:cs="Arial" w:eastAsia="Arial" w:hAnsi="Arial"/>
                <w:sz w:val="13"/>
                <w:szCs w:val="13"/>
                <w:color w:val="auto"/>
              </w:rPr>
              <w:t>(949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6"/>
                <w:szCs w:val="16"/>
                <w:color w:val="auto"/>
              </w:rPr>
            </w:pPr>
          </w:p>
        </w:tc>
        <w:tc>
          <w:tcPr>
            <w:tcW w:w="1860" w:type="dxa"/>
            <w:vAlign w:val="bottom"/>
          </w:tcPr>
          <w:p>
            <w:pPr>
              <w:jc w:val="right"/>
              <w:ind w:right="98"/>
              <w:spacing w:after="0"/>
              <w:rPr>
                <w:sz w:val="20"/>
                <w:szCs w:val="20"/>
                <w:color w:val="auto"/>
              </w:rPr>
            </w:pPr>
            <w:r>
              <w:rPr>
                <w:rFonts w:ascii="Arial" w:cs="Arial" w:eastAsia="Arial" w:hAnsi="Arial"/>
                <w:sz w:val="13"/>
                <w:szCs w:val="13"/>
                <w:color w:val="auto"/>
              </w:rPr>
              <w:t>(1,502</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61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&lt; font</w:t>
            </w:r>
          </w:p>
        </w:tc>
        <w:tc>
          <w:tcPr>
            <w:tcW w:w="1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54"/>
        </w:trPr>
        <w:tc>
          <w:tcPr>
            <w:tcW w:w="61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style="font-</w:t>
            </w:r>
          </w:p>
        </w:tc>
        <w:tc>
          <w:tcPr>
            <w:tcW w:w="1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54"/>
        </w:trPr>
        <w:tc>
          <w:tcPr>
            <w:tcW w:w="61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family:inherit;font-</w:t>
            </w:r>
          </w:p>
        </w:tc>
        <w:tc>
          <w:tcPr>
            <w:tcW w:w="1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82"/>
        </w:trPr>
        <w:tc>
          <w:tcPr>
            <w:tcW w:w="61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Provision for warranty</w:t>
            </w:r>
          </w:p>
        </w:tc>
        <w:tc>
          <w:tcPr>
            <w:tcW w:w="190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696</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size:10pt;"&gt;</w:t>
            </w:r>
          </w:p>
        </w:tc>
        <w:tc>
          <w:tcPr>
            <w:tcW w:w="18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1,169</w:t>
            </w:r>
          </w:p>
        </w:tc>
        <w:tc>
          <w:tcPr>
            <w:tcW w:w="260" w:type="dxa"/>
            <w:vAlign w:val="bottom"/>
            <w:shd w:val="clear" w:color="auto" w:fill="CCEEFF"/>
          </w:tcPr>
          <w:p>
            <w:pPr>
              <w:spacing w:after="0"/>
              <w:rPr>
                <w:sz w:val="15"/>
                <w:szCs w:val="15"/>
                <w:color w:val="auto"/>
              </w:rPr>
            </w:pPr>
          </w:p>
        </w:tc>
      </w:tr>
      <w:tr>
        <w:trPr>
          <w:trHeight w:val="183"/>
        </w:trPr>
        <w:tc>
          <w:tcPr>
            <w:tcW w:w="61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Adjustments to previous estimates</w:t>
            </w:r>
          </w:p>
        </w:tc>
        <w:tc>
          <w:tcPr>
            <w:tcW w:w="190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8</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(292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6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Accrued warranty balance-end of the period</w:t>
            </w:r>
          </w:p>
        </w:tc>
        <w:tc>
          <w:tcPr>
            <w:tcW w:w="19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2,012</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2,257</w:t>
            </w:r>
          </w:p>
        </w:tc>
        <w:tc>
          <w:tcPr>
            <w:tcW w:w="260" w:type="dxa"/>
            <w:vAlign w:val="bottom"/>
            <w:tcBorders>
              <w:bottom w:val="single" w:sz="8" w:color="auto"/>
            </w:tcBorders>
            <w:shd w:val="clear" w:color="auto" w:fill="CCEEFF"/>
          </w:tcPr>
          <w:p>
            <w:pPr>
              <w:spacing w:after="0"/>
              <w:rPr>
                <w:sz w:val="17"/>
                <w:szCs w:val="17"/>
                <w:color w:val="auto"/>
              </w:rPr>
            </w:pPr>
          </w:p>
        </w:tc>
      </w:tr>
    </w:tbl>
    <w:p>
      <w:pPr>
        <w:spacing w:after="0" w:line="141" w:lineRule="exact"/>
        <w:rPr>
          <w:sz w:val="20"/>
          <w:szCs w:val="20"/>
          <w:color w:val="auto"/>
        </w:rPr>
      </w:pPr>
    </w:p>
    <w:p>
      <w:pPr>
        <w:ind w:right="40" w:firstLine="347"/>
        <w:spacing w:after="0" w:line="303" w:lineRule="auto"/>
        <w:rPr>
          <w:sz w:val="20"/>
          <w:szCs w:val="20"/>
          <w:color w:val="auto"/>
        </w:rPr>
      </w:pPr>
      <w:r>
        <w:rPr>
          <w:rFonts w:ascii="Arial" w:cs="Arial" w:eastAsia="Arial" w:hAnsi="Arial"/>
          <w:sz w:val="11"/>
          <w:szCs w:val="11"/>
          <w:b w:val="1"/>
          <w:bCs w:val="1"/>
          <w:color w:val="auto"/>
        </w:rPr>
        <w:t>Foreign Currency Derivatives</w:t>
      </w:r>
      <w:r>
        <w:rPr>
          <w:rFonts w:ascii="Arial" w:cs="Arial" w:eastAsia="Arial" w:hAnsi="Arial"/>
          <w:sz w:val="11"/>
          <w:szCs w:val="11"/>
          <w:color w:val="auto"/>
        </w:rPr>
        <w:t>—Our sales contracts are primarily denominated in U.S. dollars and therefore substantially all of our revenue is not subject to foreign currency translation risk. However, a substantial</w:t>
      </w:r>
      <w:r>
        <w:rPr>
          <w:rFonts w:ascii="Arial" w:cs="Arial" w:eastAsia="Arial" w:hAnsi="Arial"/>
          <w:sz w:val="11"/>
          <w:szCs w:val="11"/>
          <w:b w:val="1"/>
          <w:bCs w:val="1"/>
          <w:color w:val="auto"/>
        </w:rPr>
        <w:t xml:space="preserve"> </w:t>
      </w:r>
      <w:r>
        <w:rPr>
          <w:rFonts w:ascii="Arial" w:cs="Arial" w:eastAsia="Arial" w:hAnsi="Arial"/>
          <w:sz w:val="11"/>
          <w:szCs w:val="11"/>
          <w:color w:val="auto"/>
        </w:rPr>
        <w:t>portion of our operating expenses incurred outside the U.S. are denominated in foreign currencies and are subject to fluctuations due to changes in foreign currency exchange rates, particularly changes in the Canadian Dollar (CAD), Euro (EUR), British Pound (GBP), and Yen. To help protect against significant fluctuations in value and the volatility of future cash flows caused by changes in currency exchange rates, we engage in foreign currency risk management activities to hedge balance sheet items denominated in EUR, GBP, and CAD, and occasionally to hedge future forecasted cash outflows denominated in EUR. We do not use these contracts for speculative or trading purposes. All of the derivative instruments are with high quality financial institutions and we monitor the creditworthiness of these parties. These contracts typically have maturities between one and three months. We record changes in the fair value of forward exchange contracts related to balance sheet accounts as other income (expense), net in the condensed consolidated statement of operations. Gains or losses resulting from settled forward exchange contracts related to future forecasted cash outflows are recorded in operating expenses in the condensed consolidated statement of operations, in the same period the hedged items occurs. Gains or losses resulting from unsettled forward exchange contracts related to future forecasted cash outflows are recorded in other comprehensive income in the condensed consolidated balance sheet.</w:t>
      </w:r>
    </w:p>
    <w:p>
      <w:pPr>
        <w:spacing w:after="0" w:line="115" w:lineRule="exact"/>
        <w:rPr>
          <w:sz w:val="20"/>
          <w:szCs w:val="20"/>
          <w:color w:val="auto"/>
        </w:rPr>
      </w:pPr>
    </w:p>
    <w:p>
      <w:pPr>
        <w:jc w:val="both"/>
        <w:ind w:right="20" w:firstLine="347"/>
        <w:spacing w:after="0" w:line="258" w:lineRule="auto"/>
        <w:rPr>
          <w:sz w:val="20"/>
          <w:szCs w:val="20"/>
          <w:color w:val="auto"/>
        </w:rPr>
      </w:pPr>
      <w:r>
        <w:rPr>
          <w:rFonts w:ascii="Arial" w:cs="Arial" w:eastAsia="Arial" w:hAnsi="Arial"/>
          <w:sz w:val="13"/>
          <w:szCs w:val="13"/>
          <w:color w:val="auto"/>
        </w:rPr>
        <w:t>Additionally, independent of any hedging activities, fluctuations in foreign currency exchange rates may cause us to recognize transaction gains and losses in our condensed consolidated statements of operations. Our hedging activities are intended to reduce, but not eliminate, the impact of currency exchange rate movements. As our hedging activities are relatively short-term in nature, long-term material changes in the value of the U.S. dollar versus the EUR, GBP, CAD or Yen could adversely impact our operating expenses in the future.</w:t>
      </w:r>
    </w:p>
    <w:p>
      <w:pPr>
        <w:spacing w:after="0" w:line="289"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60"/>
          </w:cols>
          <w:pgMar w:left="220" w:top="131" w:right="219" w:bottom="1440" w:gutter="0" w:footer="0" w:header="0"/>
        </w:sectPr>
      </w:pPr>
    </w:p>
    <w:bookmarkStart w:id="10" w:name="page11"/>
    <w:bookmarkEnd w:id="10"/>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4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4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ind w:left="340"/>
        <w:spacing w:after="0"/>
        <w:rPr>
          <w:sz w:val="20"/>
          <w:szCs w:val="20"/>
          <w:color w:val="auto"/>
        </w:rPr>
      </w:pPr>
      <w:r>
        <w:rPr>
          <w:rFonts w:ascii="Arial" w:cs="Arial" w:eastAsia="Arial" w:hAnsi="Arial"/>
          <w:sz w:val="13"/>
          <w:szCs w:val="13"/>
          <w:b w:val="1"/>
          <w:bCs w:val="1"/>
          <w:color w:val="auto"/>
        </w:rPr>
        <w:t>(Unaudited)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notional amount of forward exchange contracts to hedge cash flows associated with operating expenses and balance sheet accounts as of September 30, 2010 was (amounts in 000's):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6140" w:type="dxa"/>
            <w:vAlign w:val="bottom"/>
            <w:gridSpan w:val="3"/>
            <w:shd w:val="clear" w:color="auto" w:fill="CCEEFF"/>
          </w:tcPr>
          <w:p>
            <w:pPr>
              <w:ind w:left="360"/>
              <w:spacing w:after="0"/>
              <w:rPr>
                <w:sz w:val="20"/>
                <w:szCs w:val="20"/>
                <w:color w:val="auto"/>
              </w:rPr>
            </w:pPr>
            <w:r>
              <w:rPr>
                <w:rFonts w:ascii="Arial" w:cs="Arial" w:eastAsia="Arial" w:hAnsi="Arial"/>
                <w:sz w:val="13"/>
                <w:szCs w:val="13"/>
                <w:b w:val="1"/>
                <w:bCs w:val="1"/>
                <w:color w:val="auto"/>
              </w:rPr>
              <w:t>To hedge operating cash outflows:</w:t>
            </w:r>
          </w:p>
        </w:tc>
        <w:tc>
          <w:tcPr>
            <w:tcW w:w="1740" w:type="dxa"/>
            <w:vAlign w:val="bottom"/>
            <w:tcBorders>
              <w:bottom w:val="single" w:sz="8" w:color="auto"/>
            </w:tcBorders>
            <w:shd w:val="clear" w:color="auto" w:fill="CCEEFF"/>
          </w:tcPr>
          <w:p>
            <w:pPr>
              <w:jc w:val="center"/>
              <w:ind w:left="276"/>
              <w:spacing w:after="0"/>
              <w:rPr>
                <w:sz w:val="20"/>
                <w:szCs w:val="20"/>
                <w:color w:val="auto"/>
              </w:rPr>
            </w:pPr>
            <w:r>
              <w:rPr>
                <w:rFonts w:ascii="Arial" w:cs="Arial" w:eastAsia="Arial" w:hAnsi="Arial"/>
                <w:sz w:val="13"/>
                <w:szCs w:val="13"/>
                <w:b w:val="1"/>
                <w:bCs w:val="1"/>
                <w:color w:val="auto"/>
                <w:w w:val="85"/>
              </w:rPr>
              <w:t>Buy/Sell</w:t>
            </w:r>
          </w:p>
        </w:tc>
        <w:tc>
          <w:tcPr>
            <w:tcW w:w="1540" w:type="dxa"/>
            <w:vAlign w:val="bottom"/>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Notional</w:t>
            </w:r>
          </w:p>
        </w:tc>
      </w:tr>
      <w:tr>
        <w:trPr>
          <w:trHeight w:val="134"/>
        </w:trPr>
        <w:tc>
          <w:tcPr>
            <w:tcW w:w="6140" w:type="dxa"/>
            <w:vAlign w:val="bottom"/>
            <w:gridSpan w:val="3"/>
          </w:tcPr>
          <w:p>
            <w:pPr>
              <w:ind w:left="360"/>
              <w:spacing w:after="0" w:line="134" w:lineRule="exact"/>
              <w:rPr>
                <w:sz w:val="20"/>
                <w:szCs w:val="20"/>
                <w:color w:val="auto"/>
              </w:rPr>
            </w:pPr>
            <w:r>
              <w:rPr>
                <w:rFonts w:ascii="Arial" w:cs="Arial" w:eastAsia="Arial" w:hAnsi="Arial"/>
                <w:sz w:val="13"/>
                <w:szCs w:val="13"/>
                <w:b w:val="1"/>
                <w:bCs w:val="1"/>
                <w:color w:val="auto"/>
              </w:rPr>
              <w:t>Currency</w:t>
            </w:r>
          </w:p>
        </w:tc>
        <w:tc>
          <w:tcPr>
            <w:tcW w:w="1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28"/>
        </w:trPr>
        <w:tc>
          <w:tcPr>
            <w:tcW w:w="36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193"/>
        </w:trPr>
        <w:tc>
          <w:tcPr>
            <w:tcW w:w="61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EUR</w:t>
            </w:r>
          </w:p>
        </w:tc>
        <w:tc>
          <w:tcPr>
            <w:tcW w:w="1740" w:type="dxa"/>
            <w:vAlign w:val="bottom"/>
            <w:shd w:val="clear" w:color="auto" w:fill="CCEEFF"/>
          </w:tcPr>
          <w:p>
            <w:pPr>
              <w:jc w:val="center"/>
              <w:ind w:left="276"/>
              <w:spacing w:after="0"/>
              <w:rPr>
                <w:sz w:val="20"/>
                <w:szCs w:val="20"/>
                <w:color w:val="auto"/>
              </w:rPr>
            </w:pPr>
            <w:r>
              <w:rPr>
                <w:rFonts w:ascii="Arial" w:cs="Arial" w:eastAsia="Arial" w:hAnsi="Arial"/>
                <w:sz w:val="13"/>
                <w:szCs w:val="13"/>
                <w:color w:val="auto"/>
                <w:w w:val="89"/>
              </w:rPr>
              <w:t>Buy</w:t>
            </w:r>
          </w:p>
        </w:tc>
        <w:tc>
          <w:tcPr>
            <w:tcW w:w="1540" w:type="dxa"/>
            <w:vAlign w:val="bottom"/>
            <w:shd w:val="clear" w:color="auto" w:fill="CCEEFF"/>
          </w:tcPr>
          <w:p>
            <w:pPr>
              <w:spacing w:after="0"/>
              <w:rPr>
                <w:sz w:val="16"/>
                <w:szCs w:val="16"/>
                <w:color w:val="auto"/>
              </w:rPr>
            </w:pPr>
          </w:p>
        </w:tc>
        <w:tc>
          <w:tcPr>
            <w:tcW w:w="20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3,000</w:t>
            </w:r>
          </w:p>
        </w:tc>
      </w:tr>
      <w:tr>
        <w:trPr>
          <w:trHeight w:val="125"/>
        </w:trPr>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20" w:type="dxa"/>
            <w:vAlign w:val="bottom"/>
          </w:tcPr>
          <w:p>
            <w:pPr>
              <w:spacing w:after="0"/>
              <w:rPr>
                <w:sz w:val="10"/>
                <w:szCs w:val="10"/>
                <w:color w:val="auto"/>
              </w:rPr>
            </w:pPr>
          </w:p>
        </w:tc>
      </w:tr>
      <w:tr>
        <w:trPr>
          <w:trHeight w:val="193"/>
        </w:trPr>
        <w:tc>
          <w:tcPr>
            <w:tcW w:w="6140" w:type="dxa"/>
            <w:vAlign w:val="bottom"/>
            <w:gridSpan w:val="3"/>
            <w:shd w:val="clear" w:color="auto" w:fill="CCEEFF"/>
          </w:tcPr>
          <w:p>
            <w:pPr>
              <w:ind w:left="360"/>
              <w:spacing w:after="0"/>
              <w:rPr>
                <w:sz w:val="20"/>
                <w:szCs w:val="20"/>
                <w:color w:val="auto"/>
              </w:rPr>
            </w:pPr>
            <w:r>
              <w:rPr>
                <w:rFonts w:ascii="Arial" w:cs="Arial" w:eastAsia="Arial" w:hAnsi="Arial"/>
                <w:sz w:val="13"/>
                <w:szCs w:val="13"/>
                <w:b w:val="1"/>
                <w:bCs w:val="1"/>
                <w:color w:val="auto"/>
              </w:rPr>
              <w:t>To hedge balance sheet accounts:</w:t>
            </w:r>
          </w:p>
        </w:tc>
        <w:tc>
          <w:tcPr>
            <w:tcW w:w="17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45"/>
        </w:trPr>
        <w:tc>
          <w:tcPr>
            <w:tcW w:w="6140" w:type="dxa"/>
            <w:vAlign w:val="bottom"/>
            <w:gridSpan w:val="3"/>
          </w:tcPr>
          <w:p>
            <w:pPr>
              <w:ind w:left="360"/>
              <w:spacing w:after="0" w:line="145" w:lineRule="exact"/>
              <w:rPr>
                <w:sz w:val="20"/>
                <w:szCs w:val="20"/>
                <w:color w:val="auto"/>
              </w:rPr>
            </w:pPr>
            <w:r>
              <w:rPr>
                <w:rFonts w:ascii="Arial" w:cs="Arial" w:eastAsia="Arial" w:hAnsi="Arial"/>
                <w:sz w:val="13"/>
                <w:szCs w:val="13"/>
                <w:b w:val="1"/>
                <w:bCs w:val="1"/>
                <w:color w:val="auto"/>
              </w:rPr>
              <w:t>Currency</w:t>
            </w:r>
          </w:p>
        </w:tc>
        <w:tc>
          <w:tcPr>
            <w:tcW w:w="1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28"/>
        </w:trPr>
        <w:tc>
          <w:tcPr>
            <w:tcW w:w="36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165"/>
        </w:trPr>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&lt; div</w:t>
            </w:r>
          </w:p>
        </w:tc>
        <w:tc>
          <w:tcPr>
            <w:tcW w:w="2020" w:type="dxa"/>
            <w:vAlign w:val="bottom"/>
            <w:shd w:val="clear" w:color="auto" w:fill="CCEEFF"/>
          </w:tcPr>
          <w:p>
            <w:pPr>
              <w:spacing w:after="0"/>
              <w:rPr>
                <w:sz w:val="14"/>
                <w:szCs w:val="14"/>
                <w:color w:val="auto"/>
              </w:rPr>
            </w:pPr>
          </w:p>
        </w:tc>
      </w:tr>
      <w:tr>
        <w:trPr>
          <w:trHeight w:val="154"/>
        </w:trPr>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style="overflow:hidden;font-</w:t>
            </w:r>
          </w:p>
        </w:tc>
        <w:tc>
          <w:tcPr>
            <w:tcW w:w="2020" w:type="dxa"/>
            <w:vAlign w:val="bottom"/>
            <w:shd w:val="clear" w:color="auto" w:fill="CCEEFF"/>
          </w:tcPr>
          <w:p>
            <w:pPr>
              <w:spacing w:after="0"/>
              <w:rPr>
                <w:sz w:val="13"/>
                <w:szCs w:val="13"/>
                <w:color w:val="auto"/>
              </w:rPr>
            </w:pPr>
          </w:p>
        </w:tc>
      </w:tr>
      <w:tr>
        <w:trPr>
          <w:trHeight w:val="182"/>
        </w:trPr>
        <w:tc>
          <w:tcPr>
            <w:tcW w:w="61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EUR</w:t>
            </w:r>
          </w:p>
        </w:tc>
        <w:tc>
          <w:tcPr>
            <w:tcW w:w="1740" w:type="dxa"/>
            <w:vAlign w:val="bottom"/>
            <w:shd w:val="clear" w:color="auto" w:fill="CCEEFF"/>
          </w:tcPr>
          <w:p>
            <w:pPr>
              <w:jc w:val="center"/>
              <w:ind w:left="276"/>
              <w:spacing w:after="0"/>
              <w:rPr>
                <w:sz w:val="20"/>
                <w:szCs w:val="20"/>
                <w:color w:val="auto"/>
              </w:rPr>
            </w:pPr>
            <w:r>
              <w:rPr>
                <w:rFonts w:ascii="Arial" w:cs="Arial" w:eastAsia="Arial" w:hAnsi="Arial"/>
                <w:sz w:val="13"/>
                <w:szCs w:val="13"/>
                <w:color w:val="auto"/>
                <w:w w:val="89"/>
              </w:rPr>
              <w:t>Buy</w:t>
            </w:r>
          </w:p>
        </w:tc>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size:10pt;"&gt;</w:t>
            </w:r>
          </w:p>
        </w:tc>
        <w:tc>
          <w:tcPr>
            <w:tcW w:w="20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3,631</w:t>
            </w:r>
          </w:p>
        </w:tc>
      </w:tr>
      <w:tr>
        <w:trPr>
          <w:trHeight w:val="183"/>
        </w:trPr>
        <w:tc>
          <w:tcPr>
            <w:tcW w:w="6140" w:type="dxa"/>
            <w:vAlign w:val="bottom"/>
            <w:gridSpan w:val="3"/>
          </w:tcPr>
          <w:p>
            <w:pPr>
              <w:ind w:left="360"/>
              <w:spacing w:after="0"/>
              <w:rPr>
                <w:sz w:val="20"/>
                <w:szCs w:val="20"/>
                <w:color w:val="auto"/>
              </w:rPr>
            </w:pPr>
            <w:r>
              <w:rPr>
                <w:rFonts w:ascii="Arial" w:cs="Arial" w:eastAsia="Arial" w:hAnsi="Arial"/>
                <w:sz w:val="13"/>
                <w:szCs w:val="13"/>
                <w:color w:val="auto"/>
              </w:rPr>
              <w:t>GBP</w:t>
            </w:r>
          </w:p>
        </w:tc>
        <w:tc>
          <w:tcPr>
            <w:tcW w:w="1740" w:type="dxa"/>
            <w:vAlign w:val="bottom"/>
          </w:tcPr>
          <w:p>
            <w:pPr>
              <w:jc w:val="center"/>
              <w:ind w:left="276"/>
              <w:spacing w:after="0"/>
              <w:rPr>
                <w:sz w:val="20"/>
                <w:szCs w:val="20"/>
                <w:color w:val="auto"/>
              </w:rPr>
            </w:pPr>
            <w:r>
              <w:rPr>
                <w:rFonts w:ascii="Arial" w:cs="Arial" w:eastAsia="Arial" w:hAnsi="Arial"/>
                <w:sz w:val="13"/>
                <w:szCs w:val="13"/>
                <w:color w:val="auto"/>
                <w:w w:val="89"/>
              </w:rPr>
              <w:t>Buy</w:t>
            </w:r>
          </w:p>
        </w:tc>
        <w:tc>
          <w:tcPr>
            <w:tcW w:w="1540" w:type="dxa"/>
            <w:vAlign w:val="bottom"/>
          </w:tcPr>
          <w:p>
            <w:pPr>
              <w:spacing w:after="0"/>
              <w:rPr>
                <w:sz w:val="15"/>
                <w:szCs w:val="15"/>
                <w:color w:val="auto"/>
              </w:rPr>
            </w:pPr>
          </w:p>
        </w:tc>
        <w:tc>
          <w:tcPr>
            <w:tcW w:w="2020" w:type="dxa"/>
            <w:vAlign w:val="bottom"/>
          </w:tcPr>
          <w:p>
            <w:pPr>
              <w:jc w:val="right"/>
              <w:ind w:right="336"/>
              <w:spacing w:after="0"/>
              <w:rPr>
                <w:sz w:val="20"/>
                <w:szCs w:val="20"/>
                <w:color w:val="auto"/>
              </w:rPr>
            </w:pPr>
            <w:r>
              <w:rPr>
                <w:rFonts w:ascii="Arial" w:cs="Arial" w:eastAsia="Arial" w:hAnsi="Arial"/>
                <w:sz w:val="13"/>
                <w:szCs w:val="13"/>
                <w:color w:val="auto"/>
              </w:rPr>
              <w:t>964</w:t>
            </w:r>
          </w:p>
        </w:tc>
      </w:tr>
      <w:tr>
        <w:trPr>
          <w:trHeight w:val="203"/>
        </w:trPr>
        <w:tc>
          <w:tcPr>
            <w:tcW w:w="61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CAD</w:t>
            </w:r>
          </w:p>
        </w:tc>
        <w:tc>
          <w:tcPr>
            <w:tcW w:w="1740" w:type="dxa"/>
            <w:vAlign w:val="bottom"/>
            <w:shd w:val="clear" w:color="auto" w:fill="CCEEFF"/>
          </w:tcPr>
          <w:p>
            <w:pPr>
              <w:jc w:val="center"/>
              <w:ind w:left="276"/>
              <w:spacing w:after="0"/>
              <w:rPr>
                <w:sz w:val="20"/>
                <w:szCs w:val="20"/>
                <w:color w:val="auto"/>
              </w:rPr>
            </w:pPr>
            <w:r>
              <w:rPr>
                <w:rFonts w:ascii="Arial" w:cs="Arial" w:eastAsia="Arial" w:hAnsi="Arial"/>
                <w:sz w:val="13"/>
                <w:szCs w:val="13"/>
                <w:color w:val="auto"/>
                <w:w w:val="89"/>
              </w:rPr>
              <w:t>Buy</w:t>
            </w:r>
          </w:p>
        </w:tc>
        <w:tc>
          <w:tcPr>
            <w:tcW w:w="1540" w:type="dxa"/>
            <w:vAlign w:val="bottom"/>
            <w:shd w:val="clear" w:color="auto" w:fill="CCEEFF"/>
          </w:tcPr>
          <w:p>
            <w:pPr>
              <w:spacing w:after="0"/>
              <w:rPr>
                <w:sz w:val="17"/>
                <w:szCs w:val="17"/>
                <w:color w:val="auto"/>
              </w:rPr>
            </w:pPr>
          </w:p>
        </w:tc>
        <w:tc>
          <w:tcPr>
            <w:tcW w:w="20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8,529</w:t>
            </w:r>
          </w:p>
        </w:tc>
      </w:tr>
    </w:tbl>
    <w:p>
      <w:pPr>
        <w:spacing w:after="0" w:line="14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Recent Accounting Pronouncements</w:t>
      </w:r>
    </w:p>
    <w:p>
      <w:pPr>
        <w:spacing w:after="0" w:line="163" w:lineRule="exact"/>
        <w:rPr>
          <w:sz w:val="20"/>
          <w:szCs w:val="20"/>
          <w:color w:val="auto"/>
        </w:rPr>
      </w:pPr>
    </w:p>
    <w:p>
      <w:pPr>
        <w:ind w:firstLine="347"/>
        <w:spacing w:after="0" w:line="251" w:lineRule="auto"/>
        <w:rPr>
          <w:sz w:val="20"/>
          <w:szCs w:val="20"/>
          <w:color w:val="auto"/>
        </w:rPr>
      </w:pPr>
      <w:r>
        <w:rPr>
          <w:rFonts w:ascii="Arial" w:cs="Arial" w:eastAsia="Arial" w:hAnsi="Arial"/>
          <w:sz w:val="13"/>
          <w:szCs w:val="13"/>
          <w:color w:val="auto"/>
        </w:rPr>
        <w:t>In January 2010, the Financial Accounting Standards Board (FASB) issued revised guidance on disclosures related to fair value measurements. This guidance requires new disclosures about significant transfers in and out of Level 1 and Level 2 and separate disclosures about purchases, sales, issuances, and settlements with respect to Level 3 measurements. The guidance also clarifies existing fair value disclosures about valuation techniques and inputs used to measure fair value. The new disclosures and clarifications of existing disclosures are effective for us beginning in the first quarter of 2010, except for the disclosures about purchases, sales, issuances, and settlements relating to Level 3 measurements, which will be effective for us in the first quarter of 2011. The adoption of the relevant disclosures related to transfers in and out of Level 1 and Level 2 in the quarter did not have a material impact on our financial statements and we do not expect the additional disclosures that are required beginning in the first quarter of fiscal 2011 to have a material impact on our financial statements.</w:t>
      </w:r>
    </w:p>
    <w:p>
      <w:pPr>
        <w:spacing w:after="0" w:line="142" w:lineRule="exact"/>
        <w:rPr>
          <w:sz w:val="20"/>
          <w:szCs w:val="20"/>
          <w:color w:val="auto"/>
        </w:rPr>
      </w:pPr>
    </w:p>
    <w:p>
      <w:pPr>
        <w:ind w:right="160" w:firstLine="347"/>
        <w:spacing w:after="0" w:line="258" w:lineRule="auto"/>
        <w:rPr>
          <w:sz w:val="20"/>
          <w:szCs w:val="20"/>
          <w:color w:val="auto"/>
        </w:rPr>
      </w:pPr>
      <w:r>
        <w:rPr>
          <w:rFonts w:ascii="Arial" w:cs="Arial" w:eastAsia="Arial" w:hAnsi="Arial"/>
          <w:sz w:val="13"/>
          <w:szCs w:val="13"/>
          <w:color w:val="auto"/>
        </w:rPr>
        <w:t xml:space="preserve">In September 2009, the Emerging Issues Task Force (EITF) reached a consensus on ASC 605-25 (formerly referred to as EITF 08-1, </w:t>
      </w:r>
      <w:r>
        <w:rPr>
          <w:rFonts w:ascii="Arial" w:cs="Arial" w:eastAsia="Arial" w:hAnsi="Arial"/>
          <w:sz w:val="13"/>
          <w:szCs w:val="13"/>
          <w:i w:val="1"/>
          <w:iCs w:val="1"/>
          <w:color w:val="auto"/>
        </w:rPr>
        <w:t>Revenue Arrangements with Multiple Deliverables</w:t>
      </w:r>
      <w:r>
        <w:rPr>
          <w:rFonts w:ascii="Arial" w:cs="Arial" w:eastAsia="Arial" w:hAnsi="Arial"/>
          <w:sz w:val="13"/>
          <w:szCs w:val="13"/>
          <w:color w:val="auto"/>
        </w:rPr>
        <w:t>). ASC 605-25 eliminates the criterion for objective and reliable evidence of fair value for the undelivered products or services. Instead, revenu e arrangements with multiple deliverables should be divided into separate units of accounting if the deliverables meet both of the following criteria:</w:t>
      </w:r>
    </w:p>
    <w:p>
      <w:pPr>
        <w:spacing w:after="0" w:line="135" w:lineRule="exact"/>
        <w:rPr>
          <w:sz w:val="20"/>
          <w:szCs w:val="20"/>
          <w:color w:val="auto"/>
        </w:rPr>
      </w:pPr>
    </w:p>
    <w:p>
      <w:pPr>
        <w:ind w:left="1220" w:hanging="529"/>
        <w:spacing w:after="0"/>
        <w:tabs>
          <w:tab w:leader="none" w:pos="122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delivered items have value to the customer on a stand-alone basis.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If the arrangement includes a general right of return relative to the delivered items, delivery or performance of the undelivered items is considered probable and substantially in the control of the vendor.</w:t>
      </w:r>
    </w:p>
    <w:p>
      <w:pPr>
        <w:spacing w:after="0" w:line="162" w:lineRule="exact"/>
        <w:rPr>
          <w:sz w:val="20"/>
          <w:szCs w:val="20"/>
          <w:color w:val="auto"/>
        </w:rPr>
      </w:pPr>
    </w:p>
    <w:p>
      <w:pPr>
        <w:ind w:right="40" w:firstLine="308"/>
        <w:spacing w:after="0" w:line="258" w:lineRule="auto"/>
        <w:rPr>
          <w:sz w:val="20"/>
          <w:szCs w:val="20"/>
          <w:color w:val="auto"/>
        </w:rPr>
      </w:pPr>
      <w:r>
        <w:rPr>
          <w:rFonts w:ascii="Arial" w:cs="Arial" w:eastAsia="Arial" w:hAnsi="Arial"/>
          <w:sz w:val="13"/>
          <w:szCs w:val="13"/>
          <w:color w:val="auto"/>
        </w:rPr>
        <w:t>ASC 605-25 eliminates the use of the residual method of allo cation and requires, instead, that arrangement consideration be allocated, at the inception of the arrangement, to all deliverables based on their relative selling price (i.e., the relative selling price method). When applying the relative selling price method, a hierarchy is used for estimating the selling price for each of the deliverables. The hierarchy establishes that the method for determining estimated selling price should be chosen in the following order of priority:</w:t>
      </w:r>
    </w:p>
    <w:p>
      <w:pPr>
        <w:spacing w:after="0" w:line="29" w:lineRule="exact"/>
        <w:rPr>
          <w:sz w:val="20"/>
          <w:szCs w:val="20"/>
          <w:color w:val="auto"/>
        </w:rPr>
      </w:pPr>
    </w:p>
    <w:p>
      <w:pPr>
        <w:ind w:left="1240" w:hanging="529"/>
        <w:spacing w:after="0"/>
        <w:tabs>
          <w:tab w:leader="none" w:pos="12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VSOE of the selling price;</w:t>
      </w:r>
    </w:p>
    <w:p>
      <w:pPr>
        <w:spacing w:after="0" w:line="52" w:lineRule="exact"/>
        <w:rPr>
          <w:rFonts w:ascii="Arial" w:cs="Arial" w:eastAsia="Arial" w:hAnsi="Arial"/>
          <w:sz w:val="13"/>
          <w:szCs w:val="13"/>
          <w:color w:val="auto"/>
        </w:rPr>
      </w:pPr>
    </w:p>
    <w:p>
      <w:pPr>
        <w:ind w:left="1240" w:hanging="529"/>
        <w:spacing w:after="0"/>
        <w:tabs>
          <w:tab w:leader="none" w:pos="12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Third-party evidence (TPE) of the selling price - prices of the vendor's or any competitor's largely interchangeable products or services, in standalone sales to similarly situated customers; and</w:t>
      </w:r>
    </w:p>
    <w:p>
      <w:pPr>
        <w:spacing w:after="0" w:line="64" w:lineRule="exact"/>
        <w:rPr>
          <w:rFonts w:ascii="Arial" w:cs="Arial" w:eastAsia="Arial" w:hAnsi="Arial"/>
          <w:sz w:val="12"/>
          <w:szCs w:val="12"/>
          <w:color w:val="auto"/>
        </w:rPr>
      </w:pPr>
    </w:p>
    <w:p>
      <w:pPr>
        <w:ind w:left="1240" w:hanging="529"/>
        <w:spacing w:after="0"/>
        <w:tabs>
          <w:tab w:leader="none" w:pos="1240" w:val="left"/>
        </w:tabs>
        <w:numPr>
          <w:ilvl w:val="0"/>
          <w:numId w:val="3"/>
        </w:numPr>
        <w:rPr>
          <w:rFonts w:ascii="Arial" w:cs="Arial" w:eastAsia="Arial" w:hAnsi="Arial"/>
          <w:sz w:val="13"/>
          <w:szCs w:val="13"/>
          <w:color w:val="auto"/>
        </w:rPr>
      </w:pPr>
      <w:r>
        <w:rPr>
          <w:rFonts w:ascii="Arial" w:cs="Arial" w:eastAsia="Arial" w:hAnsi="Arial"/>
          <w:sz w:val="13"/>
          <w:szCs w:val="13"/>
          <w:color w:val="auto"/>
        </w:rPr>
        <w:t>Best estimate of the selling price.</w:t>
      </w:r>
    </w:p>
    <w:p>
      <w:pPr>
        <w:spacing w:after="0" w:line="120" w:lineRule="exact"/>
        <w:rPr>
          <w:sz w:val="20"/>
          <w:szCs w:val="20"/>
          <w:color w:val="auto"/>
        </w:rPr>
      </w:pPr>
    </w:p>
    <w:p>
      <w:pPr>
        <w:ind w:right="120" w:firstLine="308"/>
        <w:spacing w:after="0" w:line="278" w:lineRule="auto"/>
        <w:rPr>
          <w:sz w:val="20"/>
          <w:szCs w:val="20"/>
          <w:color w:val="auto"/>
        </w:rPr>
      </w:pPr>
      <w:r>
        <w:rPr>
          <w:rFonts w:ascii="Arial" w:cs="Arial" w:eastAsia="Arial" w:hAnsi="Arial"/>
          <w:sz w:val="12"/>
          <w:szCs w:val="12"/>
          <w:color w:val="auto"/>
        </w:rPr>
        <w:t xml:space="preserve">In September 2009, the FASB reached a consensus on ASC 985-605 (formerly referred to as EITF 09-3, </w:t>
      </w:r>
      <w:r>
        <w:rPr>
          <w:rFonts w:ascii="Arial" w:cs="Arial" w:eastAsia="Arial" w:hAnsi="Arial"/>
          <w:sz w:val="12"/>
          <w:szCs w:val="12"/>
          <w:i w:val="1"/>
          <w:iCs w:val="1"/>
          <w:color w:val="auto"/>
        </w:rPr>
        <w:t>Certain Revenue Arrangements That Include Software Elements</w:t>
      </w:r>
      <w:r>
        <w:rPr>
          <w:rFonts w:ascii="Arial" w:cs="Arial" w:eastAsia="Arial" w:hAnsi="Arial"/>
          <w:sz w:val="12"/>
          <w:szCs w:val="12"/>
          <w:color w:val="auto"/>
        </w:rPr>
        <w:t>). Arrangements to sell joint hardware and software products where the software and non-software components function together to deliver the product's essential functionality will no longer be scoped into software accounting rules, but will be subject to non-software multiple element accounting guidance (ASC 605-25). ASC 985-605 an d ASC 605-25 provide a list of items to consider when determining whether the software and non-software components function together to deliver a product's essential functionality. ASC 985-605 must be adopted for arrangements entered into beginning January 1, 2011, and may be early-adopted. We plan to adopt ASC 985-605 and ASC 605-25 in the first quarter of 2011, and are currently evaluating the impact of adoption on our condensed consolidated financial statements.</w:t>
      </w:r>
    </w:p>
    <w:p>
      <w:pPr>
        <w:spacing w:after="0" w:line="281"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60"/>
          </w:cols>
          <w:pgMar w:left="220" w:top="131" w:right="219" w:bottom="1440" w:gutter="0" w:footer="0" w:header="0"/>
        </w:sectPr>
      </w:pPr>
    </w:p>
    <w:bookmarkStart w:id="11" w:name="page12"/>
    <w:bookmarkEnd w:id="11"/>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(Unaudited)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2. INVESTMENTS AND FAIR VALUE MEASUREMENTS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summarizes our investments in available-for-sale securities ($ amounts in 000's):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September 30, 2010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4"/>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ind w:left="540"/>
              <w:spacing w:after="0"/>
              <w:rPr>
                <w:sz w:val="20"/>
                <w:szCs w:val="20"/>
                <w:color w:val="auto"/>
              </w:rPr>
            </w:pPr>
            <w:r>
              <w:rPr>
                <w:rFonts w:ascii="Arial" w:cs="Arial" w:eastAsia="Arial" w:hAnsi="Arial"/>
                <w:sz w:val="12"/>
                <w:szCs w:val="12"/>
                <w:b w:val="1"/>
                <w:bCs w:val="1"/>
                <w:color w:val="auto"/>
              </w:rPr>
              <w:t>Amortized Cost</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w w:val="88"/>
              </w:rPr>
              <w:t>Unrealized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ind w:left="500"/>
              <w:spacing w:after="0"/>
              <w:rPr>
                <w:sz w:val="20"/>
                <w:szCs w:val="20"/>
                <w:color w:val="auto"/>
              </w:rPr>
            </w:pPr>
            <w:r>
              <w:rPr>
                <w:rFonts w:ascii="Arial" w:cs="Arial" w:eastAsia="Arial" w:hAnsi="Arial"/>
                <w:sz w:val="12"/>
                <w:szCs w:val="12"/>
                <w:b w:val="1"/>
                <w:bCs w:val="1"/>
                <w:color w:val="auto"/>
                <w:w w:val="83"/>
              </w:rPr>
              <w:t>Unrealized Losses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b w:val="1"/>
                <w:bCs w:val="1"/>
                <w:color w:val="auto"/>
              </w:rPr>
              <w:t>Estimated Fair Value</w:t>
            </w:r>
          </w:p>
        </w:tc>
      </w:tr>
      <w:tr>
        <w:trPr>
          <w:trHeight w:val="24"/>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2"/>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Available-for-sale securities:</w:t>
            </w: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3"/>
        </w:trPr>
        <w:tc>
          <w:tcPr>
            <w:tcW w:w="4120" w:type="dxa"/>
            <w:vAlign w:val="bottom"/>
            <w:gridSpan w:val="2"/>
          </w:tcPr>
          <w:p>
            <w:pPr>
              <w:ind w:left="460"/>
              <w:spacing w:after="0"/>
              <w:rPr>
                <w:sz w:val="20"/>
                <w:szCs w:val="20"/>
                <w:color w:val="auto"/>
              </w:rPr>
            </w:pPr>
            <w:r>
              <w:rPr>
                <w:rFonts w:ascii="Arial" w:cs="Arial" w:eastAsia="Arial" w:hAnsi="Arial"/>
                <w:sz w:val="13"/>
                <w:szCs w:val="13"/>
                <w:color w:val="auto"/>
              </w:rPr>
              <w:t>U.S. government and agency securities</w:t>
            </w:r>
          </w:p>
        </w:tc>
        <w:tc>
          <w:tcPr>
            <w:tcW w:w="1360" w:type="dxa"/>
            <w:vAlign w:val="bottom"/>
          </w:tcPr>
          <w:p>
            <w:pPr>
              <w:jc w:val="right"/>
              <w:ind w:right="157"/>
              <w:spacing w:after="0"/>
              <w:rPr>
                <w:sz w:val="20"/>
                <w:szCs w:val="20"/>
                <w:color w:val="auto"/>
              </w:rPr>
            </w:pPr>
            <w:r>
              <w:rPr>
                <w:rFonts w:ascii="Arial" w:cs="Arial" w:eastAsia="Arial" w:hAnsi="Arial"/>
                <w:sz w:val="13"/>
                <w:szCs w:val="13"/>
                <w:color w:val="auto"/>
              </w:rPr>
              <w:t>41,266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177"/>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ind w:right="337"/>
              <w:spacing w:after="0"/>
              <w:rPr>
                <w:sz w:val="20"/>
                <w:szCs w:val="20"/>
                <w:color w:val="auto"/>
              </w:rPr>
            </w:pPr>
            <w:r>
              <w:rPr>
                <w:rFonts w:ascii="Arial" w:cs="Arial" w:eastAsia="Arial" w:hAnsi="Arial"/>
                <w:sz w:val="13"/>
                <w:szCs w:val="13"/>
                <w:color w:val="auto"/>
              </w:rPr>
              <w:t>41,292</w:t>
            </w:r>
          </w:p>
        </w:tc>
      </w:tr>
      <w:tr>
        <w:trPr>
          <w:trHeight w:val="203"/>
        </w:trPr>
        <w:tc>
          <w:tcPr>
            <w:tcW w:w="41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Corporate debt securities</w:t>
            </w:r>
          </w:p>
        </w:tc>
        <w:tc>
          <w:tcPr>
            <w:tcW w:w="13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210,593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387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210,980</w:t>
            </w:r>
          </w:p>
        </w:tc>
      </w:tr>
      <w:tr>
        <w:trPr>
          <w:trHeight w:val="183"/>
        </w:trPr>
        <w:tc>
          <w:tcPr>
            <w:tcW w:w="4120" w:type="dxa"/>
            <w:vAlign w:val="bottom"/>
            <w:tcBorders>
              <w:bottom w:val="single" w:sz="8" w:color="CCEEFF"/>
            </w:tcBorders>
            <w:gridSpan w:val="2"/>
          </w:tcPr>
          <w:p>
            <w:pPr>
              <w:ind w:left="460"/>
              <w:spacing w:after="0"/>
              <w:rPr>
                <w:sz w:val="20"/>
                <w:szCs w:val="20"/>
                <w:color w:val="auto"/>
              </w:rPr>
            </w:pPr>
            <w:r>
              <w:rPr>
                <w:rFonts w:ascii="Arial" w:cs="Arial" w:eastAsia="Arial" w:hAnsi="Arial"/>
                <w:sz w:val="13"/>
                <w:szCs w:val="13"/>
                <w:color w:val="auto"/>
              </w:rPr>
              <w:t>Commercial paper</w:t>
            </w:r>
          </w:p>
        </w:tc>
        <w:tc>
          <w:tcPr>
            <w:tcW w:w="13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22,929</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4</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ind w:left="10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22,933</w:t>
            </w:r>
          </w:p>
        </w:tc>
      </w:tr>
      <w:tr>
        <w:trPr>
          <w:trHeight w:val="201"/>
        </w:trPr>
        <w:tc>
          <w:tcPr>
            <w:tcW w:w="41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3"/>
                <w:szCs w:val="13"/>
                <w:color w:val="auto"/>
              </w:rPr>
              <w:t>Total available-for-sale securities</w:t>
            </w:r>
          </w:p>
        </w:tc>
        <w:tc>
          <w:tcPr>
            <w:tcW w:w="1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274,788</w:t>
            </w:r>
          </w:p>
        </w:tc>
        <w:tc>
          <w:tcPr>
            <w:tcW w:w="1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417</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gridSpan w:val="2"/>
            <w:shd w:val="clear" w:color="auto" w:fill="CCEEFF"/>
          </w:tcPr>
          <w:p>
            <w:pPr>
              <w:ind w:left="102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275,205</w:t>
            </w:r>
          </w:p>
        </w:tc>
      </w:tr>
      <w:tr>
        <w:trPr>
          <w:trHeight w:val="410"/>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6"/>
          </w:tcPr>
          <w:p>
            <w:pPr>
              <w:ind w:left="20"/>
              <w:spacing w:after="0"/>
              <w:rPr>
                <w:sz w:val="20"/>
                <w:szCs w:val="20"/>
                <w:color w:val="auto"/>
              </w:rPr>
            </w:pPr>
            <w:r>
              <w:rPr>
                <w:rFonts w:ascii="Arial" w:cs="Arial" w:eastAsia="Arial" w:hAnsi="Arial"/>
                <w:sz w:val="12"/>
                <w:szCs w:val="12"/>
                <w:b w:val="1"/>
                <w:bCs w:val="1"/>
                <w:color w:val="auto"/>
              </w:rPr>
              <w:t>December 31, 2009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Amortized Cost</w:t>
            </w:r>
          </w:p>
        </w:tc>
        <w:tc>
          <w:tcPr>
            <w:tcW w:w="1340" w:type="dxa"/>
            <w:vAlign w:val="bottom"/>
            <w:gridSpan w:val="2"/>
          </w:tcPr>
          <w:p>
            <w:pPr>
              <w:ind w:left="340"/>
              <w:spacing w:after="0"/>
              <w:rPr>
                <w:sz w:val="20"/>
                <w:szCs w:val="20"/>
                <w:color w:val="auto"/>
              </w:rPr>
            </w:pPr>
            <w:r>
              <w:rPr>
                <w:rFonts w:ascii="Arial" w:cs="Arial" w:eastAsia="Arial" w:hAnsi="Arial"/>
                <w:sz w:val="12"/>
                <w:szCs w:val="12"/>
                <w:b w:val="1"/>
                <w:bCs w:val="1"/>
                <w:color w:val="auto"/>
              </w:rPr>
              <w:t>Unrealized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ind w:left="420"/>
              <w:spacing w:after="0"/>
              <w:rPr>
                <w:sz w:val="20"/>
                <w:szCs w:val="20"/>
                <w:color w:val="auto"/>
              </w:rPr>
            </w:pPr>
            <w:r>
              <w:rPr>
                <w:rFonts w:ascii="Arial" w:cs="Arial" w:eastAsia="Arial" w:hAnsi="Arial"/>
                <w:sz w:val="12"/>
                <w:szCs w:val="12"/>
                <w:b w:val="1"/>
                <w:bCs w:val="1"/>
                <w:color w:val="auto"/>
                <w:w w:val="91"/>
              </w:rPr>
              <w:t>Unrealized Losses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ind w:right="37"/>
              <w:spacing w:after="0"/>
              <w:rPr>
                <w:sz w:val="20"/>
                <w:szCs w:val="20"/>
                <w:color w:val="auto"/>
              </w:rPr>
            </w:pPr>
            <w:r>
              <w:rPr>
                <w:rFonts w:ascii="Arial" w:cs="Arial" w:eastAsia="Arial" w:hAnsi="Arial"/>
                <w:sz w:val="12"/>
                <w:szCs w:val="12"/>
                <w:b w:val="1"/>
                <w:bCs w:val="1"/>
                <w:color w:val="auto"/>
              </w:rPr>
              <w:t>Estimated Fair Value</w:t>
            </w:r>
          </w:p>
        </w:tc>
      </w:tr>
      <w:tr>
        <w:trPr>
          <w:trHeight w:val="24"/>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2"/>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Available-for-sale securities:</w:t>
            </w: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3"/>
        </w:trPr>
        <w:tc>
          <w:tcPr>
            <w:tcW w:w="4120" w:type="dxa"/>
            <w:vAlign w:val="bottom"/>
            <w:gridSpan w:val="2"/>
          </w:tcPr>
          <w:p>
            <w:pPr>
              <w:ind w:left="460"/>
              <w:spacing w:after="0"/>
              <w:rPr>
                <w:sz w:val="20"/>
                <w:szCs w:val="20"/>
                <w:color w:val="auto"/>
              </w:rPr>
            </w:pPr>
            <w:r>
              <w:rPr>
                <w:rFonts w:ascii="Arial" w:cs="Arial" w:eastAsia="Arial" w:hAnsi="Arial"/>
                <w:sz w:val="13"/>
                <w:szCs w:val="13"/>
                <w:color w:val="auto"/>
              </w:rPr>
              <w:t>U.S. government and agency securities</w:t>
            </w:r>
          </w:p>
        </w:tc>
        <w:tc>
          <w:tcPr>
            <w:tcW w:w="1360" w:type="dxa"/>
            <w:vAlign w:val="bottom"/>
          </w:tcPr>
          <w:p>
            <w:pPr>
              <w:jc w:val="right"/>
              <w:ind w:right="317"/>
              <w:spacing w:after="0"/>
              <w:rPr>
                <w:sz w:val="20"/>
                <w:szCs w:val="20"/>
                <w:color w:val="auto"/>
              </w:rPr>
            </w:pPr>
            <w:r>
              <w:rPr>
                <w:rFonts w:ascii="Arial" w:cs="Arial" w:eastAsia="Arial" w:hAnsi="Arial"/>
                <w:sz w:val="13"/>
                <w:szCs w:val="13"/>
                <w:color w:val="auto"/>
              </w:rPr>
              <w:t>2,000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760" w:type="dxa"/>
            <w:vAlign w:val="bottom"/>
            <w:gridSpan w:val="5"/>
          </w:tcPr>
          <w:p>
            <w:pPr>
              <w:jc w:val="right"/>
              <w:ind w:right="78"/>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7"/>
                <w:szCs w:val="7"/>
                <w:color w:val="auto"/>
                <w:w w:val="83"/>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ind w:right="337"/>
              <w:spacing w:after="0"/>
              <w:rPr>
                <w:sz w:val="20"/>
                <w:szCs w:val="20"/>
                <w:color w:val="auto"/>
              </w:rPr>
            </w:pPr>
            <w:r>
              <w:rPr>
                <w:rFonts w:ascii="Arial" w:cs="Arial" w:eastAsia="Arial" w:hAnsi="Arial"/>
                <w:sz w:val="13"/>
                <w:szCs w:val="13"/>
                <w:color w:val="auto"/>
              </w:rPr>
              <w:t>1 ,998</w:t>
            </w:r>
          </w:p>
        </w:tc>
      </w:tr>
      <w:tr>
        <w:trPr>
          <w:trHeight w:val="203"/>
        </w:trPr>
        <w:tc>
          <w:tcPr>
            <w:tcW w:w="41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Corporate debt securities</w:t>
            </w:r>
          </w:p>
        </w:tc>
        <w:tc>
          <w:tcPr>
            <w:tcW w:w="13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41,840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ind w:left="840"/>
              <w:spacing w:after="0"/>
              <w:rPr>
                <w:sz w:val="20"/>
                <w:szCs w:val="20"/>
                <w:color w:val="auto"/>
              </w:rPr>
            </w:pPr>
            <w:r>
              <w:rPr>
                <w:rFonts w:ascii="Arial" w:cs="Arial" w:eastAsia="Arial" w:hAnsi="Arial"/>
                <w:sz w:val="13"/>
                <w:szCs w:val="13"/>
                <w:color w:val="auto"/>
              </w:rPr>
              <w:t>35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41,875</w:t>
            </w:r>
          </w:p>
        </w:tc>
      </w:tr>
      <w:tr>
        <w:trPr>
          <w:trHeight w:val="183"/>
        </w:trPr>
        <w:tc>
          <w:tcPr>
            <w:tcW w:w="400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Commercial paper</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3,983</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8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3,983</w:t>
            </w:r>
          </w:p>
        </w:tc>
      </w:tr>
      <w:tr>
        <w:trPr>
          <w:trHeight w:val="201"/>
        </w:trPr>
        <w:tc>
          <w:tcPr>
            <w:tcW w:w="4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Total available-for-sale securities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47,823</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3"/>
                <w:szCs w:val="13"/>
                <w:color w:val="auto"/>
              </w:rPr>
              <w:t>35</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1280" w:type="dxa"/>
            <w:vAlign w:val="bottom"/>
            <w:tcBorders>
              <w:bottom w:val="single" w:sz="8" w:color="auto"/>
            </w:tcBorders>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w w:val="83"/>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47,856</w:t>
            </w:r>
          </w:p>
        </w:tc>
      </w:tr>
      <w:tr>
        <w:trPr>
          <w:trHeight w:val="308"/>
        </w:trPr>
        <w:tc>
          <w:tcPr>
            <w:tcW w:w="6100" w:type="dxa"/>
            <w:vAlign w:val="bottom"/>
            <w:gridSpan w:val="6"/>
          </w:tcPr>
          <w:p>
            <w:pPr>
              <w:ind w:left="340"/>
              <w:spacing w:after="0"/>
              <w:rPr>
                <w:sz w:val="20"/>
                <w:szCs w:val="20"/>
                <w:color w:val="auto"/>
              </w:rPr>
            </w:pPr>
            <w:r>
              <w:rPr>
                <w:rFonts w:ascii="Arial" w:cs="Arial" w:eastAsia="Arial" w:hAnsi="Arial"/>
                <w:sz w:val="13"/>
                <w:szCs w:val="13"/>
                <w:color w:val="auto"/>
              </w:rPr>
              <w:t>The contractual maturities of our investments are as follows ($ amounts in 000's):</w:t>
            </w: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2"/>
                <w:szCs w:val="12"/>
                <w:b w:val="1"/>
                <w:bCs w:val="1"/>
                <w:color w:val="auto"/>
              </w:rPr>
              <w:t>September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jc w:val="right"/>
              <w:ind w:right="357"/>
              <w:spacing w:after="0"/>
              <w:rPr>
                <w:sz w:val="20"/>
                <w:szCs w:val="20"/>
                <w:color w:val="auto"/>
              </w:rPr>
            </w:pPr>
            <w:r>
              <w:rPr>
                <w:rFonts w:ascii="Arial" w:cs="Arial" w:eastAsia="Arial" w:hAnsi="Arial"/>
                <w:sz w:val="12"/>
                <w:szCs w:val="12"/>
                <w:b w:val="1"/>
                <w:bCs w:val="1"/>
                <w:color w:val="auto"/>
              </w:rPr>
              <w:t>December 31,</w:t>
            </w: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5"/>
          </w:tcPr>
          <w:p>
            <w:pPr>
              <w:jc w:val="right"/>
              <w:ind w:right="718"/>
              <w:spacing w:after="0"/>
              <w:rPr>
                <w:sz w:val="20"/>
                <w:szCs w:val="20"/>
                <w:color w:val="auto"/>
              </w:rPr>
            </w:pPr>
            <w:r>
              <w:rPr>
                <w:rFonts w:ascii="Arial" w:cs="Arial" w:eastAsia="Arial" w:hAnsi="Arial"/>
                <w:sz w:val="12"/>
                <w:szCs w:val="12"/>
                <w:b w:val="1"/>
                <w:bCs w:val="1"/>
                <w:color w:val="auto"/>
              </w:rPr>
              <w:t>2010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ind w:right="737"/>
              <w:spacing w:after="0"/>
              <w:rPr>
                <w:sz w:val="20"/>
                <w:szCs w:val="20"/>
                <w:color w:val="auto"/>
              </w:rPr>
            </w:pPr>
            <w:r>
              <w:rPr>
                <w:rFonts w:ascii="Arial" w:cs="Arial" w:eastAsia="Arial" w:hAnsi="Arial"/>
                <w:sz w:val="12"/>
                <w:szCs w:val="12"/>
                <w:b w:val="1"/>
                <w:bCs w:val="1"/>
                <w:color w:val="auto"/>
              </w:rPr>
              <w:t>2009</w:t>
            </w:r>
          </w:p>
        </w:tc>
      </w:tr>
      <w:tr>
        <w:trPr>
          <w:trHeight w:val="24"/>
        </w:trPr>
        <w:tc>
          <w:tcPr>
            <w:tcW w:w="41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2"/>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Due within one year</w:t>
            </w: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60" w:type="dxa"/>
            <w:vAlign w:val="bottom"/>
            <w:gridSpan w:val="5"/>
            <w:shd w:val="clear" w:color="auto" w:fill="CCEEFF"/>
          </w:tcPr>
          <w:p>
            <w:pPr>
              <w:jc w:val="right"/>
              <w:ind w:right="318"/>
              <w:spacing w:after="0"/>
              <w:rPr>
                <w:sz w:val="20"/>
                <w:szCs w:val="20"/>
                <w:color w:val="auto"/>
              </w:rPr>
            </w:pPr>
            <w:r>
              <w:rPr>
                <w:rFonts w:ascii="Arial" w:cs="Arial" w:eastAsia="Arial" w:hAnsi="Arial"/>
                <w:sz w:val="13"/>
                <w:szCs w:val="13"/>
                <w:color w:val="auto"/>
              </w:rPr>
              <w:t>215,151</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47,856</w:t>
            </w:r>
          </w:p>
        </w:tc>
      </w:tr>
      <w:tr>
        <w:trPr>
          <w:trHeight w:val="183"/>
        </w:trPr>
        <w:tc>
          <w:tcPr>
            <w:tcW w:w="4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3"/>
                <w:szCs w:val="13"/>
                <w:color w:val="auto"/>
              </w:rPr>
              <w:t>Due within one to two years</w:t>
            </w:r>
          </w:p>
        </w:tc>
        <w:tc>
          <w:tcPr>
            <w:tcW w:w="13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318"/>
              <w:spacing w:after="0"/>
              <w:rPr>
                <w:sz w:val="20"/>
                <w:szCs w:val="20"/>
                <w:color w:val="auto"/>
              </w:rPr>
            </w:pPr>
            <w:r>
              <w:rPr>
                <w:rFonts w:ascii="Arial" w:cs="Arial" w:eastAsia="Arial" w:hAnsi="Arial"/>
                <w:sz w:val="13"/>
                <w:szCs w:val="13"/>
                <w:color w:val="auto"/>
              </w:rPr>
              <w:t>60,054</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r>
      <w:tr>
        <w:trPr>
          <w:trHeight w:val="201"/>
        </w:trPr>
        <w:tc>
          <w:tcPr>
            <w:tcW w:w="41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Total</w:t>
            </w:r>
          </w:p>
        </w:tc>
        <w:tc>
          <w:tcPr>
            <w:tcW w:w="1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gridSpan w:val="5"/>
            <w:shd w:val="clear" w:color="auto" w:fill="CCEEFF"/>
          </w:tcPr>
          <w:p>
            <w:pPr>
              <w:jc w:val="right"/>
              <w:ind w:right="318"/>
              <w:spacing w:after="0"/>
              <w:rPr>
                <w:sz w:val="20"/>
                <w:szCs w:val="20"/>
                <w:color w:val="auto"/>
              </w:rPr>
            </w:pPr>
            <w:r>
              <w:rPr>
                <w:rFonts w:ascii="Arial" w:cs="Arial" w:eastAsia="Arial" w:hAnsi="Arial"/>
                <w:sz w:val="13"/>
                <w:szCs w:val="13"/>
                <w:color w:val="auto"/>
              </w:rPr>
              <w:t>275,205</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47,856</w:t>
            </w:r>
          </w:p>
        </w:tc>
      </w:tr>
    </w:tbl>
    <w:p>
      <w:pPr>
        <w:spacing w:after="0" w:line="145" w:lineRule="exact"/>
        <w:rPr>
          <w:sz w:val="20"/>
          <w:szCs w:val="20"/>
          <w:color w:val="auto"/>
        </w:rPr>
      </w:pPr>
    </w:p>
    <w:p>
      <w:pPr>
        <w:ind w:right="280" w:firstLine="347"/>
        <w:spacing w:after="0" w:line="268" w:lineRule="auto"/>
        <w:rPr>
          <w:sz w:val="20"/>
          <w:szCs w:val="20"/>
          <w:color w:val="auto"/>
        </w:rPr>
      </w:pPr>
      <w:r>
        <w:rPr>
          <w:rFonts w:ascii="Arial" w:cs="Arial" w:eastAsia="Arial" w:hAnsi="Arial"/>
          <w:sz w:val="13"/>
          <w:szCs w:val="13"/>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income in our condensed consolidated statements of operations.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Realized gains or losses from the sale of available-for-sale securities were not significant for any period presented.</w:t>
      </w:r>
    </w:p>
    <w:p>
      <w:pPr>
        <w:spacing w:after="0" w:line="155" w:lineRule="exact"/>
        <w:rPr>
          <w:sz w:val="20"/>
          <w:szCs w:val="20"/>
          <w:color w:val="auto"/>
        </w:rPr>
      </w:pPr>
    </w:p>
    <w:p>
      <w:pPr>
        <w:ind w:right="160" w:firstLine="347"/>
        <w:spacing w:after="0" w:line="274" w:lineRule="auto"/>
        <w:rPr>
          <w:sz w:val="20"/>
          <w:szCs w:val="20"/>
          <w:color w:val="auto"/>
        </w:rPr>
      </w:pPr>
      <w:r>
        <w:rPr>
          <w:rFonts w:ascii="Arial" w:cs="Arial" w:eastAsia="Arial" w:hAnsi="Arial"/>
          <w:sz w:val="13"/>
          <w:szCs w:val="13"/>
          <w:b w:val="1"/>
          <w:bCs w:val="1"/>
          <w:color w:val="auto"/>
        </w:rPr>
        <w:t>Fair Value Accounting</w:t>
      </w:r>
      <w:r>
        <w:rPr>
          <w:rFonts w:ascii="Arial" w:cs="Arial" w:eastAsia="Arial" w:hAnsi="Arial"/>
          <w:sz w:val="13"/>
          <w:szCs w:val="13"/>
          <w:color w:val="auto"/>
        </w:rPr>
        <w:t>—We adopted ASC 820 (formerly referred to as SFAS No. 157,</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Fair Value Measurement</w:t>
      </w:r>
      <w:r>
        <w:rPr>
          <w:rFonts w:ascii="Arial" w:cs="Arial" w:eastAsia="Arial" w:hAnsi="Arial"/>
          <w:sz w:val="13"/>
          <w:szCs w:val="13"/>
          <w:color w:val="auto"/>
        </w:rPr>
        <w:t>) effective January 1, 2008. ASC 820 establishes a valuation hierarchy for disclosure of the inputs to</w:t>
      </w:r>
      <w:r>
        <w:rPr>
          <w:rFonts w:ascii="Arial" w:cs="Arial" w:eastAsia="Arial" w:hAnsi="Arial"/>
          <w:sz w:val="13"/>
          <w:szCs w:val="13"/>
          <w:b w:val="1"/>
          <w:bCs w:val="1"/>
          <w:color w:val="auto"/>
        </w:rPr>
        <w:t xml:space="preserve"> </w:t>
      </w:r>
      <w:r>
        <w:rPr>
          <w:rFonts w:ascii="Arial" w:cs="Arial" w:eastAsia="Arial" w:hAnsi="Arial"/>
          <w:sz w:val="13"/>
          <w:szCs w:val="13"/>
          <w:color w:val="auto"/>
        </w:rPr>
        <w:t>fair value measurement. This hierarchy prioritizes the inputs into three broad levels as follows: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Level 1—Inputs are unadjusted quoted prices in active markets for identical assets or liabilities.</w:t>
      </w:r>
    </w:p>
    <w:p>
      <w:pPr>
        <w:spacing w:after="0" w:line="159" w:lineRule="exact"/>
        <w:rPr>
          <w:sz w:val="20"/>
          <w:szCs w:val="20"/>
          <w:color w:val="auto"/>
        </w:rPr>
      </w:pPr>
    </w:p>
    <w:p>
      <w:pPr>
        <w:ind w:left="860" w:right="120" w:hanging="520"/>
        <w:spacing w:after="0" w:line="268" w:lineRule="auto"/>
        <w:rPr>
          <w:sz w:val="20"/>
          <w:szCs w:val="20"/>
          <w:color w:val="auto"/>
        </w:rPr>
      </w:pPr>
      <w:r>
        <w:rPr>
          <w:rFonts w:ascii="Arial" w:cs="Arial" w:eastAsia="Arial" w:hAnsi="Arial"/>
          <w:sz w:val="13"/>
          <w:szCs w:val="13"/>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Level 3—Inputs are unobservable inputs based on our own assumptions used to measure assets and liabilities at fair value. The inputs require significant management judgment or estimation.</w:t>
      </w:r>
    </w:p>
    <w:p>
      <w:pPr>
        <w:spacing w:after="0" w:line="313"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80"/>
          </w:cols>
          <w:pgMar w:left="220" w:top="131" w:right="199" w:bottom="1440" w:gutter="0" w:footer="0" w:header="0"/>
        </w:sectPr>
      </w:pPr>
    </w:p>
    <w:bookmarkStart w:id="12" w:name="page13"/>
    <w:bookmarkEnd w:id="12"/>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(Unaudited)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presents the fair value of our financial assets as of September 30, 2010 or December 31, 2009 usi ng the ASC 820 input categories ($ amounts in 000's):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ind w:left="800"/>
              <w:spacing w:after="0"/>
              <w:rPr>
                <w:sz w:val="20"/>
                <w:szCs w:val="20"/>
                <w:color w:val="auto"/>
              </w:rPr>
            </w:pPr>
            <w:r>
              <w:rPr>
                <w:rFonts w:ascii="Arial" w:cs="Arial" w:eastAsia="Arial" w:hAnsi="Arial"/>
                <w:sz w:val="12"/>
                <w:szCs w:val="12"/>
                <w:color w:val="auto"/>
                <w:w w:val="93"/>
              </w:rPr>
              <w:t>&amp;nb sp;</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September 30, 2010</w:t>
            </w: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40" w:type="dxa"/>
            <w:vAlign w:val="bottom"/>
            <w:gridSpan w:val="2"/>
          </w:tcPr>
          <w:p>
            <w:pPr>
              <w:jc w:val="right"/>
              <w:ind w:right="736"/>
              <w:spacing w:after="0"/>
              <w:rPr>
                <w:sz w:val="20"/>
                <w:szCs w:val="20"/>
                <w:color w:val="auto"/>
              </w:rPr>
            </w:pPr>
            <w:r>
              <w:rPr>
                <w:rFonts w:ascii="Arial" w:cs="Arial" w:eastAsia="Arial" w:hAnsi="Arial"/>
                <w:sz w:val="12"/>
                <w:szCs w:val="12"/>
                <w:b w:val="1"/>
                <w:bCs w:val="1"/>
                <w:color w:val="auto"/>
              </w:rPr>
              <w:t>December 31, 2009</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1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jc w:val="center"/>
              <w:ind w:left="281"/>
              <w:spacing w:after="0"/>
              <w:rPr>
                <w:sz w:val="20"/>
                <w:szCs w:val="20"/>
                <w:color w:val="auto"/>
              </w:rPr>
            </w:pPr>
            <w:r>
              <w:rPr>
                <w:rFonts w:ascii="Arial" w:cs="Arial" w:eastAsia="Arial" w:hAnsi="Arial"/>
                <w:sz w:val="12"/>
                <w:szCs w:val="12"/>
                <w:b w:val="1"/>
                <w:bCs w:val="1"/>
                <w:color w:val="auto"/>
                <w:w w:val="90"/>
              </w:rPr>
              <w:t>Quoted</w:t>
            </w: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center"/>
              <w:ind w:left="281"/>
              <w:spacing w:after="0"/>
              <w:rPr>
                <w:sz w:val="20"/>
                <w:szCs w:val="20"/>
                <w:color w:val="auto"/>
              </w:rPr>
            </w:pPr>
            <w:r>
              <w:rPr>
                <w:rFonts w:ascii="Arial" w:cs="Arial" w:eastAsia="Arial" w:hAnsi="Arial"/>
                <w:sz w:val="12"/>
                <w:szCs w:val="12"/>
                <w:b w:val="1"/>
                <w:bCs w:val="1"/>
                <w:color w:val="auto"/>
                <w:w w:val="85"/>
              </w:rPr>
              <w:t>Quoted</w:t>
            </w: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jc w:val="center"/>
              <w:ind w:left="281"/>
              <w:spacing w:after="0"/>
              <w:rPr>
                <w:sz w:val="20"/>
                <w:szCs w:val="20"/>
                <w:color w:val="auto"/>
              </w:rPr>
            </w:pPr>
            <w:r>
              <w:rPr>
                <w:rFonts w:ascii="Arial" w:cs="Arial" w:eastAsia="Arial" w:hAnsi="Arial"/>
                <w:sz w:val="12"/>
                <w:szCs w:val="12"/>
                <w:b w:val="1"/>
                <w:bCs w:val="1"/>
                <w:color w:val="auto"/>
                <w:w w:val="83"/>
              </w:rPr>
              <w:t>Prices in</w:t>
            </w:r>
          </w:p>
        </w:tc>
        <w:tc>
          <w:tcPr>
            <w:tcW w:w="460" w:type="dxa"/>
            <w:vAlign w:val="bottom"/>
          </w:tcPr>
          <w:p>
            <w:pPr>
              <w:spacing w:after="0"/>
              <w:rPr>
                <w:sz w:val="12"/>
                <w:szCs w:val="12"/>
                <w:color w:val="auto"/>
              </w:rPr>
            </w:pPr>
          </w:p>
        </w:tc>
        <w:tc>
          <w:tcPr>
            <w:tcW w:w="1180" w:type="dxa"/>
            <w:vAlign w:val="bottom"/>
          </w:tcPr>
          <w:p>
            <w:pPr>
              <w:jc w:val="center"/>
              <w:ind w:left="261"/>
              <w:spacing w:after="0"/>
              <w:rPr>
                <w:sz w:val="20"/>
                <w:szCs w:val="20"/>
                <w:color w:val="auto"/>
              </w:rPr>
            </w:pPr>
            <w:r>
              <w:rPr>
                <w:rFonts w:ascii="Arial" w:cs="Arial" w:eastAsia="Arial" w:hAnsi="Arial"/>
                <w:sz w:val="12"/>
                <w:szCs w:val="12"/>
                <w:b w:val="1"/>
                <w:bCs w:val="1"/>
                <w:color w:val="auto"/>
                <w:w w:val="87"/>
              </w:rPr>
              <w:t>Significant</w:t>
            </w: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center"/>
              <w:ind w:left="281"/>
              <w:spacing w:after="0"/>
              <w:rPr>
                <w:sz w:val="20"/>
                <w:szCs w:val="20"/>
                <w:color w:val="auto"/>
              </w:rPr>
            </w:pPr>
            <w:r>
              <w:rPr>
                <w:rFonts w:ascii="Arial" w:cs="Arial" w:eastAsia="Arial" w:hAnsi="Arial"/>
                <w:sz w:val="12"/>
                <w:szCs w:val="12"/>
                <w:b w:val="1"/>
                <w:bCs w:val="1"/>
                <w:color w:val="auto"/>
                <w:w w:val="87"/>
              </w:rPr>
              <w:t>Prices in</w:t>
            </w:r>
          </w:p>
        </w:tc>
        <w:tc>
          <w:tcPr>
            <w:tcW w:w="1020" w:type="dxa"/>
            <w:vAlign w:val="bottom"/>
          </w:tcPr>
          <w:p>
            <w:pPr>
              <w:spacing w:after="0"/>
              <w:rPr>
                <w:sz w:val="12"/>
                <w:szCs w:val="12"/>
                <w:color w:val="auto"/>
              </w:rPr>
            </w:pPr>
          </w:p>
        </w:tc>
        <w:tc>
          <w:tcPr>
            <w:tcW w:w="1040" w:type="dxa"/>
            <w:vAlign w:val="bottom"/>
            <w:gridSpan w:val="2"/>
          </w:tcPr>
          <w:p>
            <w:pPr>
              <w:jc w:val="center"/>
              <w:ind w:left="299"/>
              <w:spacing w:after="0"/>
              <w:rPr>
                <w:sz w:val="20"/>
                <w:szCs w:val="20"/>
                <w:color w:val="auto"/>
              </w:rPr>
            </w:pPr>
            <w:r>
              <w:rPr>
                <w:rFonts w:ascii="Arial" w:cs="Arial" w:eastAsia="Arial" w:hAnsi="Arial"/>
                <w:sz w:val="12"/>
                <w:szCs w:val="12"/>
                <w:b w:val="1"/>
                <w:bCs w:val="1"/>
                <w:color w:val="auto"/>
                <w:w w:val="84"/>
              </w:rPr>
              <w:t>Significant</w:t>
            </w:r>
          </w:p>
        </w:tc>
        <w:tc>
          <w:tcPr>
            <w:tcW w:w="0" w:type="dxa"/>
            <w:vAlign w:val="bottom"/>
          </w:tcPr>
          <w:p>
            <w:pPr>
              <w:spacing w:after="0"/>
              <w:rPr>
                <w:sz w:val="1"/>
                <w:szCs w:val="1"/>
                <w:color w:val="auto"/>
              </w:rPr>
            </w:pPr>
          </w:p>
        </w:tc>
      </w:tr>
      <w:tr>
        <w:trPr>
          <w:trHeight w:val="145"/>
        </w:trPr>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jc w:val="center"/>
              <w:ind w:left="301"/>
              <w:spacing w:after="0"/>
              <w:rPr>
                <w:sz w:val="20"/>
                <w:szCs w:val="20"/>
                <w:color w:val="auto"/>
              </w:rPr>
            </w:pPr>
            <w:r>
              <w:rPr>
                <w:rFonts w:ascii="Arial" w:cs="Arial" w:eastAsia="Arial" w:hAnsi="Arial"/>
                <w:sz w:val="12"/>
                <w:szCs w:val="12"/>
                <w:b w:val="1"/>
                <w:bCs w:val="1"/>
                <w:color w:val="auto"/>
                <w:w w:val="88"/>
              </w:rPr>
              <w:t>Active</w:t>
            </w:r>
          </w:p>
        </w:tc>
        <w:tc>
          <w:tcPr>
            <w:tcW w:w="460" w:type="dxa"/>
            <w:vAlign w:val="bottom"/>
          </w:tcPr>
          <w:p>
            <w:pPr>
              <w:spacing w:after="0"/>
              <w:rPr>
                <w:sz w:val="12"/>
                <w:szCs w:val="12"/>
                <w:color w:val="auto"/>
              </w:rPr>
            </w:pPr>
          </w:p>
        </w:tc>
        <w:tc>
          <w:tcPr>
            <w:tcW w:w="1180" w:type="dxa"/>
            <w:vAlign w:val="bottom"/>
          </w:tcPr>
          <w:p>
            <w:pPr>
              <w:jc w:val="center"/>
              <w:ind w:left="261"/>
              <w:spacing w:after="0"/>
              <w:rPr>
                <w:sz w:val="20"/>
                <w:szCs w:val="20"/>
                <w:color w:val="auto"/>
              </w:rPr>
            </w:pPr>
            <w:r>
              <w:rPr>
                <w:rFonts w:ascii="Arial" w:cs="Arial" w:eastAsia="Arial" w:hAnsi="Arial"/>
                <w:sz w:val="12"/>
                <w:szCs w:val="12"/>
                <w:b w:val="1"/>
                <w:bCs w:val="1"/>
                <w:color w:val="auto"/>
                <w:w w:val="93"/>
              </w:rPr>
              <w:t>Other</w:t>
            </w: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center"/>
              <w:ind w:left="281"/>
              <w:spacing w:after="0"/>
              <w:rPr>
                <w:sz w:val="20"/>
                <w:szCs w:val="20"/>
                <w:color w:val="auto"/>
              </w:rPr>
            </w:pPr>
            <w:r>
              <w:rPr>
                <w:rFonts w:ascii="Arial" w:cs="Arial" w:eastAsia="Arial" w:hAnsi="Arial"/>
                <w:sz w:val="12"/>
                <w:szCs w:val="12"/>
                <w:b w:val="1"/>
                <w:bCs w:val="1"/>
                <w:color w:val="auto"/>
                <w:w w:val="88"/>
              </w:rPr>
              <w:t>Active</w:t>
            </w:r>
          </w:p>
        </w:tc>
        <w:tc>
          <w:tcPr>
            <w:tcW w:w="1020" w:type="dxa"/>
            <w:vAlign w:val="bottom"/>
          </w:tcPr>
          <w:p>
            <w:pPr>
              <w:spacing w:after="0"/>
              <w:rPr>
                <w:sz w:val="12"/>
                <w:szCs w:val="12"/>
                <w:color w:val="auto"/>
              </w:rPr>
            </w:pPr>
          </w:p>
        </w:tc>
        <w:tc>
          <w:tcPr>
            <w:tcW w:w="1040" w:type="dxa"/>
            <w:vAlign w:val="bottom"/>
            <w:gridSpan w:val="2"/>
          </w:tcPr>
          <w:p>
            <w:pPr>
              <w:jc w:val="center"/>
              <w:ind w:left="299"/>
              <w:spacing w:after="0"/>
              <w:rPr>
                <w:sz w:val="20"/>
                <w:szCs w:val="20"/>
                <w:color w:val="auto"/>
              </w:rPr>
            </w:pPr>
            <w:r>
              <w:rPr>
                <w:rFonts w:ascii="Arial" w:cs="Arial" w:eastAsia="Arial" w:hAnsi="Arial"/>
                <w:sz w:val="12"/>
                <w:szCs w:val="12"/>
                <w:b w:val="1"/>
                <w:bCs w:val="1"/>
                <w:color w:val="auto"/>
                <w:w w:val="87"/>
              </w:rPr>
              <w:t>Other</w:t>
            </w:r>
          </w:p>
        </w:tc>
        <w:tc>
          <w:tcPr>
            <w:tcW w:w="0" w:type="dxa"/>
            <w:vAlign w:val="bottom"/>
          </w:tcPr>
          <w:p>
            <w:pPr>
              <w:spacing w:after="0"/>
              <w:rPr>
                <w:sz w:val="1"/>
                <w:szCs w:val="1"/>
                <w:color w:val="auto"/>
              </w:rPr>
            </w:pPr>
          </w:p>
        </w:tc>
      </w:tr>
      <w:tr>
        <w:trPr>
          <w:trHeight w:val="145"/>
        </w:trPr>
        <w:tc>
          <w:tcPr>
            <w:tcW w:w="1200" w:type="dxa"/>
            <w:vAlign w:val="bottom"/>
          </w:tcPr>
          <w:p>
            <w:pPr>
              <w:spacing w:after="0"/>
              <w:rPr>
                <w:sz w:val="12"/>
                <w:szCs w:val="12"/>
                <w:color w:val="auto"/>
              </w:rPr>
            </w:pPr>
          </w:p>
        </w:tc>
        <w:tc>
          <w:tcPr>
            <w:tcW w:w="1100" w:type="dxa"/>
            <w:vAlign w:val="bottom"/>
            <w:gridSpan w:val="2"/>
          </w:tcPr>
          <w:p>
            <w:pPr>
              <w:jc w:val="center"/>
              <w:ind w:left="477"/>
              <w:spacing w:after="0"/>
              <w:rPr>
                <w:sz w:val="20"/>
                <w:szCs w:val="20"/>
                <w:color w:val="auto"/>
              </w:rPr>
            </w:pPr>
            <w:r>
              <w:rPr>
                <w:rFonts w:ascii="Arial" w:cs="Arial" w:eastAsia="Arial" w:hAnsi="Arial"/>
                <w:sz w:val="12"/>
                <w:szCs w:val="12"/>
                <w:b w:val="1"/>
                <w:bCs w:val="1"/>
                <w:color w:val="auto"/>
                <w:w w:val="87"/>
              </w:rPr>
              <w:t>Aggregate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jc w:val="center"/>
              <w:ind w:left="281"/>
              <w:spacing w:after="0"/>
              <w:rPr>
                <w:sz w:val="20"/>
                <w:szCs w:val="20"/>
                <w:color w:val="auto"/>
              </w:rPr>
            </w:pPr>
            <w:r>
              <w:rPr>
                <w:rFonts w:ascii="Arial" w:cs="Arial" w:eastAsia="Arial" w:hAnsi="Arial"/>
                <w:sz w:val="12"/>
                <w:szCs w:val="12"/>
                <w:b w:val="1"/>
                <w:bCs w:val="1"/>
                <w:color w:val="auto"/>
                <w:w w:val="91"/>
              </w:rPr>
              <w:t>Markets For</w:t>
            </w:r>
          </w:p>
        </w:tc>
        <w:tc>
          <w:tcPr>
            <w:tcW w:w="460" w:type="dxa"/>
            <w:vAlign w:val="bottom"/>
          </w:tcPr>
          <w:p>
            <w:pPr>
              <w:spacing w:after="0"/>
              <w:rPr>
                <w:sz w:val="12"/>
                <w:szCs w:val="12"/>
                <w:color w:val="auto"/>
              </w:rPr>
            </w:pPr>
          </w:p>
        </w:tc>
        <w:tc>
          <w:tcPr>
            <w:tcW w:w="1180" w:type="dxa"/>
            <w:vAlign w:val="bottom"/>
          </w:tcPr>
          <w:p>
            <w:pPr>
              <w:jc w:val="center"/>
              <w:ind w:left="281"/>
              <w:spacing w:after="0"/>
              <w:rPr>
                <w:sz w:val="20"/>
                <w:szCs w:val="20"/>
                <w:color w:val="auto"/>
              </w:rPr>
            </w:pPr>
            <w:r>
              <w:rPr>
                <w:rFonts w:ascii="Arial" w:cs="Arial" w:eastAsia="Arial" w:hAnsi="Arial"/>
                <w:sz w:val="12"/>
                <w:szCs w:val="12"/>
                <w:b w:val="1"/>
                <w:bCs w:val="1"/>
                <w:color w:val="auto"/>
                <w:w w:val="85"/>
              </w:rPr>
              <w:t>Observable</w:t>
            </w:r>
          </w:p>
        </w:tc>
        <w:tc>
          <w:tcPr>
            <w:tcW w:w="720" w:type="dxa"/>
            <w:vAlign w:val="bottom"/>
          </w:tcPr>
          <w:p>
            <w:pPr>
              <w:spacing w:after="0"/>
              <w:rPr>
                <w:sz w:val="12"/>
                <w:szCs w:val="12"/>
                <w:color w:val="auto"/>
              </w:rPr>
            </w:pPr>
          </w:p>
        </w:tc>
        <w:tc>
          <w:tcPr>
            <w:tcW w:w="1240" w:type="dxa"/>
            <w:vAlign w:val="bottom"/>
          </w:tcPr>
          <w:p>
            <w:pPr>
              <w:jc w:val="center"/>
              <w:ind w:left="280"/>
              <w:spacing w:after="0"/>
              <w:rPr>
                <w:sz w:val="20"/>
                <w:szCs w:val="20"/>
                <w:color w:val="auto"/>
              </w:rPr>
            </w:pPr>
            <w:r>
              <w:rPr>
                <w:rFonts w:ascii="Arial" w:cs="Arial" w:eastAsia="Arial" w:hAnsi="Arial"/>
                <w:sz w:val="12"/>
                <w:szCs w:val="12"/>
                <w:b w:val="1"/>
                <w:bCs w:val="1"/>
                <w:color w:val="auto"/>
                <w:w w:val="84"/>
              </w:rPr>
              <w:t>Aggregate</w:t>
            </w:r>
          </w:p>
        </w:tc>
        <w:tc>
          <w:tcPr>
            <w:tcW w:w="460" w:type="dxa"/>
            <w:vAlign w:val="bottom"/>
          </w:tcPr>
          <w:p>
            <w:pPr>
              <w:spacing w:after="0"/>
              <w:rPr>
                <w:sz w:val="12"/>
                <w:szCs w:val="12"/>
                <w:color w:val="auto"/>
              </w:rPr>
            </w:pPr>
          </w:p>
        </w:tc>
        <w:tc>
          <w:tcPr>
            <w:tcW w:w="1220" w:type="dxa"/>
            <w:vAlign w:val="bottom"/>
          </w:tcPr>
          <w:p>
            <w:pPr>
              <w:jc w:val="center"/>
              <w:ind w:left="261"/>
              <w:spacing w:after="0"/>
              <w:rPr>
                <w:sz w:val="20"/>
                <w:szCs w:val="20"/>
                <w:color w:val="auto"/>
              </w:rPr>
            </w:pPr>
            <w:r>
              <w:rPr>
                <w:rFonts w:ascii="Arial" w:cs="Arial" w:eastAsia="Arial" w:hAnsi="Arial"/>
                <w:sz w:val="12"/>
                <w:szCs w:val="12"/>
                <w:b w:val="1"/>
                <w:bCs w:val="1"/>
                <w:color w:val="auto"/>
                <w:w w:val="91"/>
              </w:rPr>
              <w:t>Markets For</w:t>
            </w:r>
          </w:p>
        </w:tc>
        <w:tc>
          <w:tcPr>
            <w:tcW w:w="1020" w:type="dxa"/>
            <w:vAlign w:val="bottom"/>
          </w:tcPr>
          <w:p>
            <w:pPr>
              <w:spacing w:after="0"/>
              <w:rPr>
                <w:sz w:val="12"/>
                <w:szCs w:val="12"/>
                <w:color w:val="auto"/>
              </w:rPr>
            </w:pPr>
          </w:p>
        </w:tc>
        <w:tc>
          <w:tcPr>
            <w:tcW w:w="1040" w:type="dxa"/>
            <w:vAlign w:val="bottom"/>
            <w:gridSpan w:val="2"/>
          </w:tcPr>
          <w:p>
            <w:pPr>
              <w:jc w:val="center"/>
              <w:ind w:left="299"/>
              <w:spacing w:after="0"/>
              <w:rPr>
                <w:sz w:val="20"/>
                <w:szCs w:val="20"/>
                <w:color w:val="auto"/>
              </w:rPr>
            </w:pPr>
            <w:r>
              <w:rPr>
                <w:rFonts w:ascii="Arial" w:cs="Arial" w:eastAsia="Arial" w:hAnsi="Arial"/>
                <w:sz w:val="12"/>
                <w:szCs w:val="12"/>
                <w:b w:val="1"/>
                <w:bCs w:val="1"/>
                <w:color w:val="auto"/>
                <w:w w:val="85"/>
              </w:rPr>
              <w:t>Observable</w:t>
            </w:r>
          </w:p>
        </w:tc>
        <w:tc>
          <w:tcPr>
            <w:tcW w:w="0" w:type="dxa"/>
            <w:vAlign w:val="bottom"/>
          </w:tcPr>
          <w:p>
            <w:pPr>
              <w:spacing w:after="0"/>
              <w:rPr>
                <w:sz w:val="1"/>
                <w:szCs w:val="1"/>
                <w:color w:val="auto"/>
              </w:rPr>
            </w:pPr>
          </w:p>
        </w:tc>
      </w:tr>
      <w:tr>
        <w:trPr>
          <w:trHeight w:val="145"/>
        </w:trPr>
        <w:tc>
          <w:tcPr>
            <w:tcW w:w="1200" w:type="dxa"/>
            <w:vAlign w:val="bottom"/>
          </w:tcPr>
          <w:p>
            <w:pPr>
              <w:spacing w:after="0"/>
              <w:rPr>
                <w:sz w:val="12"/>
                <w:szCs w:val="12"/>
                <w:color w:val="auto"/>
              </w:rPr>
            </w:pPr>
          </w:p>
        </w:tc>
        <w:tc>
          <w:tcPr>
            <w:tcW w:w="1100" w:type="dxa"/>
            <w:vAlign w:val="bottom"/>
            <w:gridSpan w:val="2"/>
          </w:tcPr>
          <w:p>
            <w:pPr>
              <w:jc w:val="center"/>
              <w:ind w:left="477"/>
              <w:spacing w:after="0"/>
              <w:rPr>
                <w:sz w:val="20"/>
                <w:szCs w:val="20"/>
                <w:color w:val="auto"/>
              </w:rPr>
            </w:pPr>
            <w:r>
              <w:rPr>
                <w:rFonts w:ascii="Arial" w:cs="Arial" w:eastAsia="Arial" w:hAnsi="Arial"/>
                <w:sz w:val="12"/>
                <w:szCs w:val="12"/>
                <w:b w:val="1"/>
                <w:bCs w:val="1"/>
                <w:color w:val="auto"/>
                <w:w w:val="90"/>
              </w:rPr>
              <w:t>Fair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jc w:val="center"/>
              <w:ind w:left="301"/>
              <w:spacing w:after="0"/>
              <w:rPr>
                <w:sz w:val="20"/>
                <w:szCs w:val="20"/>
                <w:color w:val="auto"/>
              </w:rPr>
            </w:pPr>
            <w:r>
              <w:rPr>
                <w:rFonts w:ascii="Arial" w:cs="Arial" w:eastAsia="Arial" w:hAnsi="Arial"/>
                <w:sz w:val="12"/>
                <w:szCs w:val="12"/>
                <w:b w:val="1"/>
                <w:bCs w:val="1"/>
                <w:color w:val="auto"/>
                <w:w w:val="90"/>
              </w:rPr>
              <w:t>Identical</w:t>
            </w:r>
          </w:p>
        </w:tc>
        <w:tc>
          <w:tcPr>
            <w:tcW w:w="460" w:type="dxa"/>
            <w:vAlign w:val="bottom"/>
          </w:tcPr>
          <w:p>
            <w:pPr>
              <w:spacing w:after="0"/>
              <w:rPr>
                <w:sz w:val="12"/>
                <w:szCs w:val="12"/>
                <w:color w:val="auto"/>
              </w:rPr>
            </w:pPr>
          </w:p>
        </w:tc>
        <w:tc>
          <w:tcPr>
            <w:tcW w:w="1180" w:type="dxa"/>
            <w:vAlign w:val="bottom"/>
          </w:tcPr>
          <w:p>
            <w:pPr>
              <w:jc w:val="center"/>
              <w:ind w:left="261"/>
              <w:spacing w:after="0"/>
              <w:rPr>
                <w:sz w:val="20"/>
                <w:szCs w:val="20"/>
                <w:color w:val="auto"/>
              </w:rPr>
            </w:pPr>
            <w:r>
              <w:rPr>
                <w:rFonts w:ascii="Arial" w:cs="Arial" w:eastAsia="Arial" w:hAnsi="Arial"/>
                <w:sz w:val="12"/>
                <w:szCs w:val="12"/>
                <w:b w:val="1"/>
                <w:bCs w:val="1"/>
                <w:color w:val="auto"/>
                <w:w w:val="87"/>
              </w:rPr>
              <w:t>Remaining</w:t>
            </w:r>
          </w:p>
        </w:tc>
        <w:tc>
          <w:tcPr>
            <w:tcW w:w="720" w:type="dxa"/>
            <w:vAlign w:val="bottom"/>
          </w:tcPr>
          <w:p>
            <w:pPr>
              <w:spacing w:after="0"/>
              <w:rPr>
                <w:sz w:val="12"/>
                <w:szCs w:val="12"/>
                <w:color w:val="auto"/>
              </w:rPr>
            </w:pPr>
          </w:p>
        </w:tc>
        <w:tc>
          <w:tcPr>
            <w:tcW w:w="1240" w:type="dxa"/>
            <w:vAlign w:val="bottom"/>
          </w:tcPr>
          <w:p>
            <w:pPr>
              <w:jc w:val="center"/>
              <w:ind w:left="280"/>
              <w:spacing w:after="0"/>
              <w:rPr>
                <w:sz w:val="20"/>
                <w:szCs w:val="20"/>
                <w:color w:val="auto"/>
              </w:rPr>
            </w:pPr>
            <w:r>
              <w:rPr>
                <w:rFonts w:ascii="Arial" w:cs="Arial" w:eastAsia="Arial" w:hAnsi="Arial"/>
                <w:sz w:val="12"/>
                <w:szCs w:val="12"/>
                <w:b w:val="1"/>
                <w:bCs w:val="1"/>
                <w:color w:val="auto"/>
                <w:w w:val="99"/>
              </w:rPr>
              <w:t>Fair</w:t>
            </w:r>
          </w:p>
        </w:tc>
        <w:tc>
          <w:tcPr>
            <w:tcW w:w="460" w:type="dxa"/>
            <w:vAlign w:val="bottom"/>
          </w:tcPr>
          <w:p>
            <w:pPr>
              <w:spacing w:after="0"/>
              <w:rPr>
                <w:sz w:val="12"/>
                <w:szCs w:val="12"/>
                <w:color w:val="auto"/>
              </w:rPr>
            </w:pPr>
          </w:p>
        </w:tc>
        <w:tc>
          <w:tcPr>
            <w:tcW w:w="1220" w:type="dxa"/>
            <w:vAlign w:val="bottom"/>
          </w:tcPr>
          <w:p>
            <w:pPr>
              <w:jc w:val="center"/>
              <w:ind w:left="281"/>
              <w:spacing w:after="0"/>
              <w:rPr>
                <w:sz w:val="20"/>
                <w:szCs w:val="20"/>
                <w:color w:val="auto"/>
              </w:rPr>
            </w:pPr>
            <w:r>
              <w:rPr>
                <w:rFonts w:ascii="Arial" w:cs="Arial" w:eastAsia="Arial" w:hAnsi="Arial"/>
                <w:sz w:val="12"/>
                <w:szCs w:val="12"/>
                <w:b w:val="1"/>
                <w:bCs w:val="1"/>
                <w:color w:val="auto"/>
                <w:w w:val="90"/>
              </w:rPr>
              <w:t>Identical</w:t>
            </w:r>
          </w:p>
        </w:tc>
        <w:tc>
          <w:tcPr>
            <w:tcW w:w="1020" w:type="dxa"/>
            <w:vAlign w:val="bottom"/>
          </w:tcPr>
          <w:p>
            <w:pPr>
              <w:spacing w:after="0"/>
              <w:rPr>
                <w:sz w:val="12"/>
                <w:szCs w:val="12"/>
                <w:color w:val="auto"/>
              </w:rPr>
            </w:pPr>
          </w:p>
        </w:tc>
        <w:tc>
          <w:tcPr>
            <w:tcW w:w="1040" w:type="dxa"/>
            <w:vAlign w:val="bottom"/>
            <w:gridSpan w:val="2"/>
          </w:tcPr>
          <w:p>
            <w:pPr>
              <w:jc w:val="center"/>
              <w:ind w:left="319"/>
              <w:spacing w:after="0"/>
              <w:rPr>
                <w:sz w:val="20"/>
                <w:szCs w:val="20"/>
                <w:color w:val="auto"/>
              </w:rPr>
            </w:pPr>
            <w:r>
              <w:rPr>
                <w:rFonts w:ascii="Arial" w:cs="Arial" w:eastAsia="Arial" w:hAnsi="Arial"/>
                <w:sz w:val="12"/>
                <w:szCs w:val="12"/>
                <w:b w:val="1"/>
                <w:bCs w:val="1"/>
                <w:color w:val="auto"/>
                <w:w w:val="87"/>
              </w:rPr>
              <w:t>Remaining</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477"/>
              <w:spacing w:after="0"/>
              <w:rPr>
                <w:sz w:val="20"/>
                <w:szCs w:val="20"/>
                <w:color w:val="auto"/>
              </w:rPr>
            </w:pPr>
            <w:r>
              <w:rPr>
                <w:rFonts w:ascii="Arial" w:cs="Arial" w:eastAsia="Arial" w:hAnsi="Arial"/>
                <w:sz w:val="12"/>
                <w:szCs w:val="12"/>
                <w:b w:val="1"/>
                <w:bCs w:val="1"/>
                <w:color w:val="auto"/>
                <w:w w:val="87"/>
              </w:rPr>
              <w:t>Value</w:t>
            </w:r>
          </w:p>
        </w:tc>
        <w:tc>
          <w:tcPr>
            <w:tcW w:w="2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Borders>
              <w:bottom w:val="single" w:sz="8" w:color="auto"/>
            </w:tcBorders>
          </w:tcPr>
          <w:p>
            <w:pPr>
              <w:jc w:val="center"/>
              <w:ind w:left="281"/>
              <w:spacing w:after="0"/>
              <w:rPr>
                <w:sz w:val="20"/>
                <w:szCs w:val="20"/>
                <w:color w:val="auto"/>
              </w:rPr>
            </w:pPr>
            <w:r>
              <w:rPr>
                <w:rFonts w:ascii="Arial" w:cs="Arial" w:eastAsia="Arial" w:hAnsi="Arial"/>
                <w:sz w:val="12"/>
                <w:szCs w:val="12"/>
                <w:b w:val="1"/>
                <w:bCs w:val="1"/>
                <w:color w:val="auto"/>
                <w:w w:val="76"/>
              </w:rPr>
              <w:t>Assets</w:t>
            </w:r>
          </w:p>
        </w:tc>
        <w:tc>
          <w:tcPr>
            <w:tcW w:w="460" w:type="dxa"/>
            <w:vAlign w:val="bottom"/>
          </w:tcPr>
          <w:p>
            <w:pPr>
              <w:spacing w:after="0"/>
              <w:rPr>
                <w:sz w:val="14"/>
                <w:szCs w:val="14"/>
                <w:color w:val="auto"/>
              </w:rPr>
            </w:pPr>
          </w:p>
        </w:tc>
        <w:tc>
          <w:tcPr>
            <w:tcW w:w="1180" w:type="dxa"/>
            <w:vAlign w:val="bottom"/>
            <w:tcBorders>
              <w:bottom w:val="single" w:sz="8" w:color="auto"/>
            </w:tcBorders>
          </w:tcPr>
          <w:p>
            <w:pPr>
              <w:jc w:val="center"/>
              <w:ind w:left="281"/>
              <w:spacing w:after="0"/>
              <w:rPr>
                <w:sz w:val="20"/>
                <w:szCs w:val="20"/>
                <w:color w:val="auto"/>
              </w:rPr>
            </w:pPr>
            <w:r>
              <w:rPr>
                <w:rFonts w:ascii="Arial" w:cs="Arial" w:eastAsia="Arial" w:hAnsi="Arial"/>
                <w:sz w:val="12"/>
                <w:szCs w:val="12"/>
                <w:b w:val="1"/>
                <w:bCs w:val="1"/>
                <w:color w:val="auto"/>
                <w:w w:val="88"/>
              </w:rPr>
              <w:t>Inputs</w:t>
            </w:r>
          </w:p>
        </w:tc>
        <w:tc>
          <w:tcPr>
            <w:tcW w:w="720" w:type="dxa"/>
            <w:vAlign w:val="bottom"/>
          </w:tcPr>
          <w:p>
            <w:pPr>
              <w:spacing w:after="0"/>
              <w:rPr>
                <w:sz w:val="14"/>
                <w:szCs w:val="14"/>
                <w:color w:val="auto"/>
              </w:rPr>
            </w:pPr>
          </w:p>
        </w:tc>
        <w:tc>
          <w:tcPr>
            <w:tcW w:w="124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b w:val="1"/>
                <w:bCs w:val="1"/>
                <w:color w:val="auto"/>
                <w:w w:val="87"/>
              </w:rPr>
              <w:t>Value</w:t>
            </w:r>
          </w:p>
        </w:tc>
        <w:tc>
          <w:tcPr>
            <w:tcW w:w="460" w:type="dxa"/>
            <w:vAlign w:val="bottom"/>
          </w:tcPr>
          <w:p>
            <w:pPr>
              <w:spacing w:after="0"/>
              <w:rPr>
                <w:sz w:val="14"/>
                <w:szCs w:val="14"/>
                <w:color w:val="auto"/>
              </w:rPr>
            </w:pPr>
          </w:p>
        </w:tc>
        <w:tc>
          <w:tcPr>
            <w:tcW w:w="1220" w:type="dxa"/>
            <w:vAlign w:val="bottom"/>
            <w:tcBorders>
              <w:bottom w:val="single" w:sz="8" w:color="auto"/>
            </w:tcBorders>
          </w:tcPr>
          <w:p>
            <w:pPr>
              <w:jc w:val="center"/>
              <w:ind w:left="281"/>
              <w:spacing w:after="0"/>
              <w:rPr>
                <w:sz w:val="20"/>
                <w:szCs w:val="20"/>
                <w:color w:val="auto"/>
              </w:rPr>
            </w:pPr>
            <w:r>
              <w:rPr>
                <w:rFonts w:ascii="Arial" w:cs="Arial" w:eastAsia="Arial" w:hAnsi="Arial"/>
                <w:sz w:val="12"/>
                <w:szCs w:val="12"/>
                <w:b w:val="1"/>
                <w:bCs w:val="1"/>
                <w:color w:val="auto"/>
                <w:w w:val="81"/>
              </w:rPr>
              <w:t>Assets</w:t>
            </w:r>
          </w:p>
        </w:tc>
        <w:tc>
          <w:tcPr>
            <w:tcW w:w="102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jc w:val="center"/>
              <w:ind w:left="281"/>
              <w:spacing w:after="0"/>
              <w:rPr>
                <w:sz w:val="20"/>
                <w:szCs w:val="20"/>
                <w:color w:val="auto"/>
              </w:rPr>
            </w:pPr>
            <w:r>
              <w:rPr>
                <w:rFonts w:ascii="Arial" w:cs="Arial" w:eastAsia="Arial" w:hAnsi="Arial"/>
                <w:sz w:val="12"/>
                <w:szCs w:val="12"/>
                <w:b w:val="1"/>
                <w:bCs w:val="1"/>
                <w:color w:val="auto"/>
                <w:w w:val="86"/>
              </w:rPr>
              <w:t>(Level 1)</w:t>
            </w:r>
          </w:p>
        </w:tc>
        <w:tc>
          <w:tcPr>
            <w:tcW w:w="460" w:type="dxa"/>
            <w:vAlign w:val="bottom"/>
          </w:tcPr>
          <w:p>
            <w:pPr>
              <w:spacing w:after="0"/>
              <w:rPr>
                <w:sz w:val="13"/>
                <w:szCs w:val="13"/>
                <w:color w:val="auto"/>
              </w:rPr>
            </w:pPr>
          </w:p>
        </w:tc>
        <w:tc>
          <w:tcPr>
            <w:tcW w:w="1180" w:type="dxa"/>
            <w:vAlign w:val="bottom"/>
          </w:tcPr>
          <w:p>
            <w:pPr>
              <w:jc w:val="center"/>
              <w:ind w:left="281"/>
              <w:spacing w:after="0"/>
              <w:rPr>
                <w:sz w:val="20"/>
                <w:szCs w:val="20"/>
                <w:color w:val="auto"/>
              </w:rPr>
            </w:pPr>
            <w:r>
              <w:rPr>
                <w:rFonts w:ascii="Arial" w:cs="Arial" w:eastAsia="Arial" w:hAnsi="Arial"/>
                <w:sz w:val="12"/>
                <w:szCs w:val="12"/>
                <w:b w:val="1"/>
                <w:bCs w:val="1"/>
                <w:color w:val="auto"/>
                <w:w w:val="90"/>
              </w:rPr>
              <w:t>(Level 2)</w:t>
            </w: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center"/>
              <w:ind w:left="281"/>
              <w:spacing w:after="0"/>
              <w:rPr>
                <w:sz w:val="20"/>
                <w:szCs w:val="20"/>
                <w:color w:val="auto"/>
              </w:rPr>
            </w:pPr>
            <w:r>
              <w:rPr>
                <w:rFonts w:ascii="Arial" w:cs="Arial" w:eastAsia="Arial" w:hAnsi="Arial"/>
                <w:sz w:val="12"/>
                <w:szCs w:val="12"/>
                <w:b w:val="1"/>
                <w:bCs w:val="1"/>
                <w:color w:val="auto"/>
                <w:w w:val="90"/>
              </w:rPr>
              <w:t>(Level 1)</w:t>
            </w:r>
          </w:p>
        </w:tc>
        <w:tc>
          <w:tcPr>
            <w:tcW w:w="1020" w:type="dxa"/>
            <w:vAlign w:val="bottom"/>
          </w:tcPr>
          <w:p>
            <w:pPr>
              <w:spacing w:after="0"/>
              <w:rPr>
                <w:sz w:val="13"/>
                <w:szCs w:val="13"/>
                <w:color w:val="auto"/>
              </w:rPr>
            </w:pPr>
          </w:p>
        </w:tc>
        <w:tc>
          <w:tcPr>
            <w:tcW w:w="1040" w:type="dxa"/>
            <w:vAlign w:val="bottom"/>
            <w:gridSpan w:val="2"/>
          </w:tcPr>
          <w:p>
            <w:pPr>
              <w:jc w:val="center"/>
              <w:ind w:left="299"/>
              <w:spacing w:after="0"/>
              <w:rPr>
                <w:sz w:val="20"/>
                <w:szCs w:val="20"/>
                <w:color w:val="auto"/>
              </w:rPr>
            </w:pPr>
            <w:r>
              <w:rPr>
                <w:rFonts w:ascii="Arial" w:cs="Arial" w:eastAsia="Arial" w:hAnsi="Arial"/>
                <w:sz w:val="12"/>
                <w:szCs w:val="12"/>
                <w:b w:val="1"/>
                <w:bCs w:val="1"/>
                <w:color w:val="auto"/>
                <w:w w:val="90"/>
              </w:rPr>
              <w:t>(Level 2)</w:t>
            </w:r>
          </w:p>
        </w:tc>
        <w:tc>
          <w:tcPr>
            <w:tcW w:w="0" w:type="dxa"/>
            <w:vAlign w:val="bottom"/>
          </w:tcPr>
          <w:p>
            <w:pPr>
              <w:spacing w:after="0"/>
              <w:rPr>
                <w:sz w:val="1"/>
                <w:szCs w:val="1"/>
                <w:color w:val="auto"/>
              </w:rPr>
            </w:pPr>
          </w:p>
        </w:tc>
      </w:tr>
      <w:tr>
        <w:trPr>
          <w:trHeight w:val="24"/>
        </w:trPr>
        <w:tc>
          <w:tcPr>
            <w:tcW w:w="1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200" w:type="dxa"/>
            <w:vAlign w:val="bottom"/>
            <w:shd w:val="clear" w:color="auto" w:fill="CCEEFF"/>
          </w:tcPr>
          <w:p>
            <w:pPr>
              <w:ind w:left="360"/>
              <w:spacing w:after="0" w:line="145" w:lineRule="exact"/>
              <w:rPr>
                <w:sz w:val="20"/>
                <w:szCs w:val="20"/>
                <w:color w:val="auto"/>
              </w:rPr>
            </w:pPr>
            <w:r>
              <w:rPr>
                <w:rFonts w:ascii="Arial" w:cs="Arial" w:eastAsia="Arial" w:hAnsi="Arial"/>
                <w:sz w:val="13"/>
                <w:szCs w:val="13"/>
                <w:color w:val="auto"/>
              </w:rPr>
              <w:t>Total cash,</w:t>
            </w: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cash equivalents and</w:t>
            </w: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available-for-sale</w:t>
            </w: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securities:</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200" w:type="dxa"/>
            <w:vAlign w:val="bottom"/>
          </w:tcPr>
          <w:p>
            <w:pPr>
              <w:ind w:left="340"/>
              <w:spacing w:after="0"/>
              <w:rPr>
                <w:sz w:val="20"/>
                <w:szCs w:val="20"/>
                <w:color w:val="auto"/>
              </w:rPr>
            </w:pPr>
            <w:r>
              <w:rPr>
                <w:rFonts w:ascii="Arial" w:cs="Arial" w:eastAsia="Arial" w:hAnsi="Arial"/>
                <w:sz w:val="13"/>
                <w:szCs w:val="13"/>
                <w:color w:val="auto"/>
              </w:rPr>
              <w:t>U.S.</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00" w:type="dxa"/>
            <w:vAlign w:val="bottom"/>
          </w:tcPr>
          <w:p>
            <w:pPr>
              <w:spacing w:after="0"/>
              <w:rPr>
                <w:sz w:val="20"/>
                <w:szCs w:val="20"/>
                <w:color w:val="auto"/>
              </w:rPr>
            </w:pPr>
            <w:r>
              <w:rPr>
                <w:rFonts w:ascii="Arial" w:cs="Arial" w:eastAsia="Arial" w:hAnsi="Arial"/>
                <w:sz w:val="13"/>
                <w:szCs w:val="13"/>
                <w:color w:val="auto"/>
              </w:rPr>
              <w:t>government and</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Arial" w:cs="Arial" w:eastAsia="Arial" w:hAnsi="Arial"/>
                <w:sz w:val="13"/>
                <w:szCs w:val="13"/>
                <w:color w:val="auto"/>
              </w:rPr>
              <w:t>agency securities</w:t>
            </w:r>
          </w:p>
        </w:tc>
        <w:tc>
          <w:tcPr>
            <w:tcW w:w="1100" w:type="dxa"/>
            <w:vAlign w:val="bottom"/>
            <w:gridSpan w:val="2"/>
          </w:tcPr>
          <w:p>
            <w:pPr>
              <w:jc w:val="right"/>
              <w:ind w:right="320"/>
              <w:spacing w:after="0"/>
              <w:rPr>
                <w:sz w:val="20"/>
                <w:szCs w:val="20"/>
                <w:color w:val="auto"/>
              </w:rPr>
            </w:pPr>
            <w:r>
              <w:rPr>
                <w:rFonts w:ascii="Arial" w:cs="Arial" w:eastAsia="Arial" w:hAnsi="Arial"/>
                <w:sz w:val="13"/>
                <w:szCs w:val="13"/>
                <w:color w:val="auto"/>
              </w:rPr>
              <w:t>41,292</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401"/>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401"/>
              <w:spacing w:after="0"/>
              <w:rPr>
                <w:sz w:val="20"/>
                <w:szCs w:val="20"/>
                <w:color w:val="auto"/>
              </w:rPr>
            </w:pPr>
            <w:r>
              <w:rPr>
                <w:rFonts w:ascii="Arial" w:cs="Arial" w:eastAsia="Arial" w:hAnsi="Arial"/>
                <w:sz w:val="13"/>
                <w:szCs w:val="13"/>
                <w:color w:val="auto"/>
              </w:rPr>
              <w:t>41,292</w:t>
            </w:r>
          </w:p>
        </w:tc>
        <w:tc>
          <w:tcPr>
            <w:tcW w:w="1960" w:type="dxa"/>
            <w:vAlign w:val="bottom"/>
            <w:gridSpan w:val="2"/>
          </w:tcPr>
          <w:p>
            <w:pPr>
              <w:ind w:left="1080"/>
              <w:spacing w:after="0"/>
              <w:rPr>
                <w:sz w:val="20"/>
                <w:szCs w:val="20"/>
                <w:color w:val="auto"/>
              </w:rPr>
            </w:pPr>
            <w:r>
              <w:rPr>
                <w:rFonts w:ascii="Arial" w:cs="Arial" w:eastAsia="Arial" w:hAnsi="Arial"/>
                <w:sz w:val="13"/>
                <w:szCs w:val="13"/>
                <w:color w:val="auto"/>
              </w:rPr>
              <w:t>1,998</w:t>
            </w:r>
          </w:p>
        </w:tc>
        <w:tc>
          <w:tcPr>
            <w:tcW w:w="460" w:type="dxa"/>
            <w:vAlign w:val="bottom"/>
          </w:tcPr>
          <w:p>
            <w:pPr>
              <w:spacing w:after="0"/>
              <w:rPr>
                <w:sz w:val="14"/>
                <w:szCs w:val="14"/>
                <w:color w:val="auto"/>
              </w:rPr>
            </w:pPr>
          </w:p>
        </w:tc>
        <w:tc>
          <w:tcPr>
            <w:tcW w:w="1220" w:type="dxa"/>
            <w:vAlign w:val="bottom"/>
          </w:tcPr>
          <w:p>
            <w:pPr>
              <w:jc w:val="right"/>
              <w:ind w:right="381"/>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1,998</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Corporate</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gridSpan w:val="3"/>
            <w:shd w:val="clear" w:color="auto" w:fill="CCEEFF"/>
          </w:tcPr>
          <w:p>
            <w:pPr>
              <w:jc w:val="right"/>
              <w:ind w:right="1641"/>
              <w:spacing w:after="0"/>
              <w:rPr>
                <w:sz w:val="20"/>
                <w:szCs w:val="20"/>
                <w:color w:val="auto"/>
              </w:rPr>
            </w:pPr>
            <w:r>
              <w:rPr>
                <w:rFonts w:ascii="Arial" w:cs="Arial" w:eastAsia="Arial" w:hAnsi="Arial"/>
                <w:sz w:val="13"/>
                <w:szCs w:val="13"/>
                <w:color w:val="auto"/>
              </w:rPr>
              <w:t>&amp;n</w:t>
            </w: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debt securities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210,980bsp;</w:t>
            </w:r>
          </w:p>
        </w:tc>
        <w:tc>
          <w:tcPr>
            <w:tcW w:w="1900" w:type="dxa"/>
            <w:vAlign w:val="bottom"/>
            <w:gridSpan w:val="3"/>
            <w:shd w:val="clear" w:color="auto" w:fill="CCEEFF"/>
          </w:tcPr>
          <w:p>
            <w:pPr>
              <w:jc w:val="right"/>
              <w:ind w:right="401"/>
              <w:spacing w:after="0"/>
              <w:rPr>
                <w:sz w:val="20"/>
                <w:szCs w:val="20"/>
                <w:color w:val="auto"/>
              </w:rPr>
            </w:pPr>
            <w:r>
              <w:rPr>
                <w:rFonts w:ascii="Arial" w:cs="Arial" w:eastAsia="Arial" w:hAnsi="Arial"/>
                <w:sz w:val="13"/>
                <w:szCs w:val="13"/>
                <w:color w:val="auto"/>
              </w:rPr>
              <w:t>210,980</w:t>
            </w: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01"/>
              <w:spacing w:after="0"/>
              <w:rPr>
                <w:sz w:val="20"/>
                <w:szCs w:val="20"/>
                <w:color w:val="auto"/>
              </w:rPr>
            </w:pPr>
            <w:r>
              <w:rPr>
                <w:rFonts w:ascii="Arial" w:cs="Arial" w:eastAsia="Arial" w:hAnsi="Arial"/>
                <w:sz w:val="13"/>
                <w:szCs w:val="13"/>
                <w:color w:val="auto"/>
              </w:rPr>
              <w:t>—</w:t>
            </w:r>
          </w:p>
        </w:tc>
        <w:tc>
          <w:tcPr>
            <w:tcW w:w="1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41,875</w:t>
            </w:r>
          </w:p>
        </w:tc>
        <w:tc>
          <w:tcPr>
            <w:tcW w:w="168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41,875</w:t>
            </w:r>
          </w:p>
        </w:tc>
        <w:tc>
          <w:tcPr>
            <w:tcW w:w="10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200" w:type="dxa"/>
            <w:vAlign w:val="bottom"/>
          </w:tcPr>
          <w:p>
            <w:pPr>
              <w:ind w:left="540"/>
              <w:spacing w:after="0"/>
              <w:rPr>
                <w:sz w:val="20"/>
                <w:szCs w:val="20"/>
                <w:color w:val="auto"/>
              </w:rPr>
            </w:pPr>
            <w:r>
              <w:rPr>
                <w:rFonts w:ascii="Arial" w:cs="Arial" w:eastAsia="Arial" w:hAnsi="Arial"/>
                <w:sz w:val="13"/>
                <w:szCs w:val="13"/>
                <w:color w:val="auto"/>
                <w:w w:val="92"/>
              </w:rPr>
              <w:t>Commercial</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200"/>
              <w:spacing w:after="0"/>
              <w:rPr>
                <w:sz w:val="20"/>
                <w:szCs w:val="20"/>
                <w:color w:val="auto"/>
              </w:rPr>
            </w:pPr>
            <w:r>
              <w:rPr>
                <w:rFonts w:ascii="Arial" w:cs="Arial" w:eastAsia="Arial" w:hAnsi="Arial"/>
                <w:sz w:val="13"/>
                <w:szCs w:val="13"/>
                <w:color w:val="auto"/>
              </w:rPr>
              <w:t>paper</w:t>
            </w:r>
          </w:p>
        </w:tc>
        <w:tc>
          <w:tcPr>
            <w:tcW w:w="1100" w:type="dxa"/>
            <w:vAlign w:val="bottom"/>
            <w:gridSpan w:val="2"/>
          </w:tcPr>
          <w:p>
            <w:pPr>
              <w:jc w:val="right"/>
              <w:ind w:right="320"/>
              <w:spacing w:after="0"/>
              <w:rPr>
                <w:sz w:val="20"/>
                <w:szCs w:val="20"/>
                <w:color w:val="auto"/>
              </w:rPr>
            </w:pPr>
            <w:r>
              <w:rPr>
                <w:rFonts w:ascii="Arial" w:cs="Arial" w:eastAsia="Arial" w:hAnsi="Arial"/>
                <w:sz w:val="13"/>
                <w:szCs w:val="13"/>
                <w:color w:val="auto"/>
              </w:rPr>
              <w:t>22,933</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401"/>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401"/>
              <w:spacing w:after="0"/>
              <w:rPr>
                <w:sz w:val="20"/>
                <w:szCs w:val="20"/>
                <w:color w:val="auto"/>
              </w:rPr>
            </w:pPr>
            <w:r>
              <w:rPr>
                <w:rFonts w:ascii="Arial" w:cs="Arial" w:eastAsia="Arial" w:hAnsi="Arial"/>
                <w:sz w:val="13"/>
                <w:szCs w:val="13"/>
                <w:color w:val="auto"/>
              </w:rPr>
              <w:t>22,933</w:t>
            </w:r>
          </w:p>
        </w:tc>
        <w:tc>
          <w:tcPr>
            <w:tcW w:w="1960" w:type="dxa"/>
            <w:vAlign w:val="bottom"/>
            <w:gridSpan w:val="2"/>
          </w:tcPr>
          <w:p>
            <w:pPr>
              <w:jc w:val="right"/>
              <w:ind w:right="400"/>
              <w:spacing w:after="0"/>
              <w:rPr>
                <w:sz w:val="20"/>
                <w:szCs w:val="20"/>
                <w:color w:val="auto"/>
              </w:rPr>
            </w:pPr>
            <w:r>
              <w:rPr>
                <w:rFonts w:ascii="Arial" w:cs="Arial" w:eastAsia="Arial" w:hAnsi="Arial"/>
                <w:sz w:val="13"/>
                <w:szCs w:val="13"/>
                <w:color w:val="auto"/>
              </w:rPr>
              <w:t>3,983</w:t>
            </w:r>
          </w:p>
        </w:tc>
        <w:tc>
          <w:tcPr>
            <w:tcW w:w="460" w:type="dxa"/>
            <w:vAlign w:val="bottom"/>
          </w:tcPr>
          <w:p>
            <w:pPr>
              <w:spacing w:after="0"/>
              <w:rPr>
                <w:sz w:val="14"/>
                <w:szCs w:val="14"/>
                <w:color w:val="auto"/>
              </w:rPr>
            </w:pPr>
          </w:p>
        </w:tc>
        <w:tc>
          <w:tcPr>
            <w:tcW w:w="1220" w:type="dxa"/>
            <w:vAlign w:val="bottom"/>
          </w:tcPr>
          <w:p>
            <w:pPr>
              <w:jc w:val="right"/>
              <w:ind w:right="381"/>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3,983</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Money</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market funds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31,244</w:t>
            </w:r>
          </w:p>
        </w:tc>
        <w:tc>
          <w:tcPr>
            <w:tcW w:w="1900" w:type="dxa"/>
            <w:vAlign w:val="bottom"/>
            <w:gridSpan w:val="3"/>
            <w:shd w:val="clear" w:color="auto" w:fill="CCEEFF"/>
          </w:tcPr>
          <w:p>
            <w:pPr>
              <w:jc w:val="right"/>
              <w:ind w:right="401"/>
              <w:spacing w:after="0"/>
              <w:rPr>
                <w:sz w:val="20"/>
                <w:szCs w:val="20"/>
                <w:color w:val="auto"/>
              </w:rPr>
            </w:pPr>
            <w:r>
              <w:rPr>
                <w:rFonts w:ascii="Arial" w:cs="Arial" w:eastAsia="Arial" w:hAnsi="Arial"/>
                <w:sz w:val="13"/>
                <w:szCs w:val="13"/>
                <w:color w:val="auto"/>
              </w:rPr>
              <w:t>31,244</w:t>
            </w:r>
          </w:p>
        </w:tc>
        <w:tc>
          <w:tcPr>
            <w:tcW w:w="460" w:type="dxa"/>
            <w:vAlign w:val="bottom"/>
          </w:tcPr>
          <w:p>
            <w:pPr>
              <w:spacing w:after="0"/>
              <w:rPr>
                <w:sz w:val="15"/>
                <w:szCs w:val="15"/>
                <w:color w:val="auto"/>
              </w:rPr>
            </w:pPr>
          </w:p>
        </w:tc>
        <w:tc>
          <w:tcPr>
            <w:tcW w:w="1180" w:type="dxa"/>
            <w:vAlign w:val="bottom"/>
            <w:shd w:val="clear" w:color="auto" w:fill="CCEEFF"/>
          </w:tcPr>
          <w:p>
            <w:pPr>
              <w:jc w:val="right"/>
              <w:ind w:right="401"/>
              <w:spacing w:after="0"/>
              <w:rPr>
                <w:sz w:val="20"/>
                <w:szCs w:val="20"/>
                <w:color w:val="auto"/>
              </w:rPr>
            </w:pPr>
            <w:r>
              <w:rPr>
                <w:rFonts w:ascii="Arial" w:cs="Arial" w:eastAsia="Arial" w:hAnsi="Arial"/>
                <w:sz w:val="13"/>
                <w:szCs w:val="13"/>
                <w:color w:val="auto"/>
              </w:rPr>
              <w:t>—</w:t>
            </w:r>
          </w:p>
        </w:tc>
        <w:tc>
          <w:tcPr>
            <w:tcW w:w="1960" w:type="dxa"/>
            <w:vAlign w:val="bottom"/>
            <w:gridSpan w:val="2"/>
            <w:shd w:val="clear" w:color="auto" w:fill="CCEEFF"/>
          </w:tcPr>
          <w:p>
            <w:pPr>
              <w:ind w:left="1080"/>
              <w:spacing w:after="0"/>
              <w:rPr>
                <w:sz w:val="20"/>
                <w:szCs w:val="20"/>
                <w:color w:val="auto"/>
              </w:rPr>
            </w:pPr>
            <w:r>
              <w:rPr>
                <w:rFonts w:ascii="Arial" w:cs="Arial" w:eastAsia="Arial" w:hAnsi="Arial"/>
                <w:sz w:val="13"/>
                <w:szCs w:val="13"/>
                <w:color w:val="auto"/>
              </w:rPr>
              <w:t>179,444</w:t>
            </w:r>
          </w:p>
        </w:tc>
        <w:tc>
          <w:tcPr>
            <w:tcW w:w="1680" w:type="dxa"/>
            <w:vAlign w:val="bottom"/>
            <w:gridSpan w:val="2"/>
            <w:shd w:val="clear" w:color="auto" w:fill="CCEEFF"/>
          </w:tcPr>
          <w:p>
            <w:pPr>
              <w:jc w:val="right"/>
              <w:ind w:right="381"/>
              <w:spacing w:after="0"/>
              <w:rPr>
                <w:sz w:val="20"/>
                <w:szCs w:val="20"/>
                <w:color w:val="auto"/>
              </w:rPr>
            </w:pPr>
            <w:r>
              <w:rPr>
                <w:rFonts w:ascii="Arial" w:cs="Arial" w:eastAsia="Arial" w:hAnsi="Arial"/>
                <w:sz w:val="13"/>
                <w:szCs w:val="13"/>
                <w:color w:val="auto"/>
              </w:rPr>
              <w:t>179,444</w:t>
            </w:r>
          </w:p>
        </w:tc>
        <w:tc>
          <w:tcPr>
            <w:tcW w:w="10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200" w:type="dxa"/>
            <w:vAlign w:val="bottom"/>
          </w:tcPr>
          <w:p>
            <w:pPr>
              <w:ind w:left="360"/>
              <w:spacing w:after="0" w:line="145" w:lineRule="exact"/>
              <w:rPr>
                <w:sz w:val="20"/>
                <w:szCs w:val="20"/>
                <w:color w:val="auto"/>
              </w:rPr>
            </w:pPr>
            <w:r>
              <w:rPr>
                <w:rFonts w:ascii="Arial" w:cs="Arial" w:eastAsia="Arial" w:hAnsi="Arial"/>
                <w:sz w:val="13"/>
                <w:szCs w:val="13"/>
                <w:color w:val="auto"/>
              </w:rPr>
              <w:t>Cash</w:t>
            </w:r>
          </w:p>
        </w:tc>
        <w:tc>
          <w:tcPr>
            <w:tcW w:w="7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20" w:type="dxa"/>
            <w:vAlign w:val="bottom"/>
          </w:tcPr>
          <w:p>
            <w:pPr>
              <w:ind w:left="360"/>
              <w:spacing w:after="0" w:line="145" w:lineRule="exact"/>
              <w:rPr>
                <w:sz w:val="20"/>
                <w:szCs w:val="20"/>
                <w:color w:val="auto"/>
              </w:rPr>
            </w:pPr>
            <w:r>
              <w:rPr>
                <w:rFonts w:ascii="Arial" w:cs="Arial" w:eastAsia="Arial" w:hAnsi="Arial"/>
                <w:sz w:val="13"/>
                <w:szCs w:val="13"/>
                <w:color w:val="auto"/>
              </w:rPr>
              <w:t>&lt; font</w:t>
            </w: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00" w:type="dxa"/>
            <w:vAlign w:val="bottom"/>
          </w:tcPr>
          <w:p>
            <w:pPr>
              <w:ind w:left="20"/>
              <w:spacing w:after="0"/>
              <w:rPr>
                <w:sz w:val="20"/>
                <w:szCs w:val="20"/>
                <w:color w:val="auto"/>
              </w:rPr>
            </w:pPr>
            <w:r>
              <w:rPr>
                <w:rFonts w:ascii="Arial" w:cs="Arial" w:eastAsia="Arial" w:hAnsi="Arial"/>
                <w:sz w:val="13"/>
                <w:szCs w:val="13"/>
                <w:color w:val="auto"/>
              </w:rPr>
              <w:t>equivalents and</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style="font-</w:t>
            </w: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tcPr>
          <w:p>
            <w:pPr>
              <w:ind w:left="20"/>
              <w:spacing w:after="0"/>
              <w:rPr>
                <w:sz w:val="20"/>
                <w:szCs w:val="20"/>
                <w:color w:val="auto"/>
              </w:rPr>
            </w:pPr>
            <w:r>
              <w:rPr>
                <w:rFonts w:ascii="Arial" w:cs="Arial" w:eastAsia="Arial" w:hAnsi="Arial"/>
                <w:sz w:val="13"/>
                <w:szCs w:val="13"/>
                <w:color w:val="auto"/>
              </w:rPr>
              <w:t>available-for-sale</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3"/>
            <w:vMerge w:val="restart"/>
          </w:tcPr>
          <w:p>
            <w:pPr>
              <w:jc w:val="right"/>
              <w:ind w:right="401"/>
              <w:spacing w:after="0"/>
              <w:rPr>
                <w:sz w:val="20"/>
                <w:szCs w:val="20"/>
                <w:color w:val="auto"/>
              </w:rPr>
            </w:pPr>
            <w:r>
              <w:rPr>
                <w:rFonts w:ascii="Arial" w:cs="Arial" w:eastAsia="Arial" w:hAnsi="Arial"/>
                <w:sz w:val="13"/>
                <w:szCs w:val="13"/>
                <w:color w:val="auto"/>
              </w:rPr>
              <w:t>242,224</w:t>
            </w:r>
          </w:p>
        </w:tc>
        <w:tc>
          <w:tcPr>
            <w:tcW w:w="1640" w:type="dxa"/>
            <w:vAlign w:val="bottom"/>
            <w:gridSpan w:val="2"/>
            <w:vMerge w:val="restart"/>
          </w:tcPr>
          <w:p>
            <w:pPr>
              <w:jc w:val="right"/>
              <w:ind w:right="401"/>
              <w:spacing w:after="0"/>
              <w:rPr>
                <w:sz w:val="20"/>
                <w:szCs w:val="20"/>
                <w:color w:val="auto"/>
              </w:rPr>
            </w:pPr>
            <w:r>
              <w:rPr>
                <w:rFonts w:ascii="Arial" w:cs="Arial" w:eastAsia="Arial" w:hAnsi="Arial"/>
                <w:sz w:val="13"/>
                <w:szCs w:val="13"/>
                <w:color w:val="auto"/>
              </w:rPr>
              <w:t>64,225</w:t>
            </w: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80" w:type="dxa"/>
            <w:vAlign w:val="bottom"/>
            <w:gridSpan w:val="2"/>
            <w:vMerge w:val="restart"/>
          </w:tcPr>
          <w:p>
            <w:pPr>
              <w:jc w:val="right"/>
              <w:ind w:right="381"/>
              <w:spacing w:after="0"/>
              <w:rPr>
                <w:sz w:val="20"/>
                <w:szCs w:val="20"/>
                <w:color w:val="auto"/>
              </w:rPr>
            </w:pPr>
            <w:r>
              <w:rPr>
                <w:rFonts w:ascii="Arial" w:cs="Arial" w:eastAsia="Arial" w:hAnsi="Arial"/>
                <w:sz w:val="13"/>
                <w:szCs w:val="13"/>
                <w:color w:val="auto"/>
              </w:rPr>
              <w:t>221,319</w:t>
            </w:r>
          </w:p>
        </w:tc>
        <w:tc>
          <w:tcPr>
            <w:tcW w:w="1020" w:type="dxa"/>
            <w:vAlign w:val="bottom"/>
          </w:tcPr>
          <w:p>
            <w:pPr>
              <w:ind w:left="20"/>
              <w:spacing w:after="0"/>
              <w:rPr>
                <w:sz w:val="20"/>
                <w:szCs w:val="20"/>
                <w:color w:val="auto"/>
              </w:rPr>
            </w:pPr>
            <w:r>
              <w:rPr>
                <w:rFonts w:ascii="Arial" w:cs="Arial" w:eastAsia="Arial" w:hAnsi="Arial"/>
                <w:sz w:val="13"/>
                <w:szCs w:val="13"/>
                <w:color w:val="auto"/>
                <w:w w:val="95"/>
              </w:rPr>
              <w:t>family:inherit;font-</w:t>
            </w: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5,981</w:t>
            </w:r>
          </w:p>
        </w:tc>
        <w:tc>
          <w:tcPr>
            <w:tcW w:w="0" w:type="dxa"/>
            <w:vAlign w:val="bottom"/>
          </w:tcPr>
          <w:p>
            <w:pPr>
              <w:spacing w:after="0"/>
              <w:rPr>
                <w:sz w:val="1"/>
                <w:szCs w:val="1"/>
                <w:color w:val="auto"/>
              </w:rPr>
            </w:pPr>
          </w:p>
        </w:tc>
      </w:tr>
      <w:tr>
        <w:trPr>
          <w:trHeight w:val="182"/>
        </w:trPr>
        <w:tc>
          <w:tcPr>
            <w:tcW w:w="1200" w:type="dxa"/>
            <w:vAlign w:val="bottom"/>
          </w:tcPr>
          <w:p>
            <w:pPr>
              <w:ind w:left="20"/>
              <w:spacing w:after="0"/>
              <w:rPr>
                <w:sz w:val="20"/>
                <w:szCs w:val="20"/>
                <w:color w:val="auto"/>
              </w:rPr>
            </w:pPr>
            <w:r>
              <w:rPr>
                <w:rFonts w:ascii="Arial" w:cs="Arial" w:eastAsia="Arial" w:hAnsi="Arial"/>
                <w:sz w:val="13"/>
                <w:szCs w:val="13"/>
                <w:color w:val="auto"/>
              </w:rPr>
              <w:t>securities</w:t>
            </w:r>
          </w:p>
        </w:tc>
        <w:tc>
          <w:tcPr>
            <w:tcW w:w="780" w:type="dxa"/>
            <w:vAlign w:val="bottom"/>
          </w:tcPr>
          <w:p>
            <w:pPr>
              <w:jc w:val="right"/>
              <w:spacing w:after="0"/>
              <w:rPr>
                <w:sz w:val="20"/>
                <w:szCs w:val="20"/>
                <w:color w:val="auto"/>
              </w:rPr>
            </w:pPr>
            <w:r>
              <w:rPr>
                <w:rFonts w:ascii="Arial" w:cs="Arial" w:eastAsia="Arial" w:hAnsi="Arial"/>
                <w:sz w:val="13"/>
                <w:szCs w:val="13"/>
                <w:color w:val="auto"/>
              </w:rPr>
              <w:t>306,449</w:t>
            </w:r>
          </w:p>
        </w:tc>
        <w:tc>
          <w:tcPr>
            <w:tcW w:w="320" w:type="dxa"/>
            <w:vAlign w:val="bottom"/>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3"/>
                <w:szCs w:val="13"/>
                <w:color w:val="auto"/>
              </w:rPr>
              <w:t>227,300</w:t>
            </w:r>
          </w:p>
        </w:tc>
        <w:tc>
          <w:tcPr>
            <w:tcW w:w="1680" w:type="dxa"/>
            <w:vAlign w:val="bottom"/>
            <w:gridSpan w:val="2"/>
            <w:vMerge w:val="continue"/>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size:10pt;"&gt;</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Cash</w:t>
            </w:r>
          </w:p>
        </w:tc>
        <w:tc>
          <w:tcPr>
            <w:tcW w:w="1100" w:type="dxa"/>
            <w:vAlign w:val="bottom"/>
            <w:tcBorders>
              <w:top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45,895</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33,014</w:t>
            </w:r>
          </w:p>
        </w:tc>
        <w:tc>
          <w:tcPr>
            <w:tcW w:w="4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200" w:type="dxa"/>
            <w:vAlign w:val="bottom"/>
          </w:tcPr>
          <w:p>
            <w:pPr>
              <w:ind w:left="540"/>
              <w:spacing w:after="0" w:line="145" w:lineRule="exact"/>
              <w:rPr>
                <w:sz w:val="20"/>
                <w:szCs w:val="20"/>
                <w:color w:val="auto"/>
              </w:rPr>
            </w:pPr>
            <w:r>
              <w:rPr>
                <w:rFonts w:ascii="Arial" w:cs="Arial" w:eastAsia="Arial" w:hAnsi="Arial"/>
                <w:sz w:val="13"/>
                <w:szCs w:val="13"/>
                <w:color w:val="auto"/>
              </w:rPr>
              <w:t>Total cash,</w:t>
            </w:r>
          </w:p>
        </w:tc>
        <w:tc>
          <w:tcPr>
            <w:tcW w:w="7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00" w:type="dxa"/>
            <w:vAlign w:val="bottom"/>
          </w:tcPr>
          <w:p>
            <w:pPr>
              <w:ind w:left="200"/>
              <w:spacing w:after="0"/>
              <w:rPr>
                <w:sz w:val="20"/>
                <w:szCs w:val="20"/>
                <w:color w:val="auto"/>
              </w:rPr>
            </w:pPr>
            <w:r>
              <w:rPr>
                <w:rFonts w:ascii="Arial" w:cs="Arial" w:eastAsia="Arial" w:hAnsi="Arial"/>
                <w:sz w:val="13"/>
                <w:szCs w:val="13"/>
                <w:color w:val="auto"/>
              </w:rPr>
              <w:t>cash equivalents</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tcPr>
          <w:p>
            <w:pPr>
              <w:ind w:left="200"/>
              <w:spacing w:after="0"/>
              <w:rPr>
                <w:sz w:val="20"/>
                <w:szCs w:val="20"/>
                <w:color w:val="auto"/>
              </w:rPr>
            </w:pPr>
            <w:r>
              <w:rPr>
                <w:rFonts w:ascii="Arial" w:cs="Arial" w:eastAsia="Arial" w:hAnsi="Arial"/>
                <w:sz w:val="13"/>
                <w:szCs w:val="13"/>
                <w:color w:val="auto"/>
                <w:w w:val="97"/>
              </w:rPr>
              <w:t>and available-for-</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352,344</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6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260,314</w:t>
            </w: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200"/>
              <w:spacing w:after="0"/>
              <w:rPr>
                <w:sz w:val="20"/>
                <w:szCs w:val="20"/>
                <w:color w:val="auto"/>
              </w:rPr>
            </w:pPr>
            <w:r>
              <w:rPr>
                <w:rFonts w:ascii="Arial" w:cs="Arial" w:eastAsia="Arial" w:hAnsi="Arial"/>
                <w:sz w:val="13"/>
                <w:szCs w:val="13"/>
                <w:color w:val="auto"/>
              </w:rPr>
              <w:t>sale securities</w:t>
            </w: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Reported as:</w:t>
            </w: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200" w:type="dxa"/>
            <w:vAlign w:val="bottom"/>
          </w:tcPr>
          <w:p>
            <w:pPr>
              <w:ind w:left="540"/>
              <w:spacing w:after="0"/>
              <w:rPr>
                <w:sz w:val="20"/>
                <w:szCs w:val="20"/>
                <w:color w:val="auto"/>
              </w:rPr>
            </w:pPr>
            <w:r>
              <w:rPr>
                <w:rFonts w:ascii="Arial" w:cs="Arial" w:eastAsia="Arial" w:hAnsi="Arial"/>
                <w:sz w:val="13"/>
                <w:szCs w:val="13"/>
                <w:color w:val="auto"/>
              </w:rPr>
              <w:t>Cash and</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200"/>
              <w:spacing w:after="0"/>
              <w:rPr>
                <w:sz w:val="20"/>
                <w:szCs w:val="20"/>
                <w:color w:val="auto"/>
              </w:rPr>
            </w:pPr>
            <w:r>
              <w:rPr>
                <w:rFonts w:ascii="Arial" w:cs="Arial" w:eastAsia="Arial" w:hAnsi="Arial"/>
                <w:sz w:val="13"/>
                <w:szCs w:val="13"/>
                <w:color w:val="auto"/>
              </w:rPr>
              <w:t>cash equivalents</w:t>
            </w:r>
          </w:p>
        </w:tc>
        <w:tc>
          <w:tcPr>
            <w:tcW w:w="1100" w:type="dxa"/>
            <w:vAlign w:val="bottom"/>
            <w:gridSpan w:val="2"/>
          </w:tcPr>
          <w:p>
            <w:pPr>
              <w:jc w:val="right"/>
              <w:ind w:right="320"/>
              <w:spacing w:after="0"/>
              <w:rPr>
                <w:sz w:val="20"/>
                <w:szCs w:val="20"/>
                <w:color w:val="auto"/>
              </w:rPr>
            </w:pPr>
            <w:r>
              <w:rPr>
                <w:rFonts w:ascii="Arial" w:cs="Arial" w:eastAsia="Arial" w:hAnsi="Arial"/>
                <w:sz w:val="13"/>
                <w:szCs w:val="13"/>
                <w:color w:val="auto"/>
              </w:rPr>
              <w:t>77,139</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3"/>
                <w:szCs w:val="13"/>
                <w:color w:val="auto"/>
              </w:rPr>
              <w:t>212,458</w:t>
            </w: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Short-term</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investments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215,151</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1180"/>
              <w:spacing w:after="0"/>
              <w:rPr>
                <w:sz w:val="20"/>
                <w:szCs w:val="20"/>
                <w:color w:val="auto"/>
              </w:rPr>
            </w:pPr>
            <w:r>
              <w:rPr>
                <w:rFonts w:ascii="Arial" w:cs="Arial" w:eastAsia="Arial" w:hAnsi="Arial"/>
                <w:sz w:val="13"/>
                <w:szCs w:val="13"/>
                <w:color w:val="auto"/>
              </w:rPr>
              <w:t>47,856</w:t>
            </w: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200" w:type="dxa"/>
            <w:vAlign w:val="bottom"/>
          </w:tcPr>
          <w:p>
            <w:pPr>
              <w:ind w:left="540"/>
              <w:spacing w:after="0"/>
              <w:rPr>
                <w:sz w:val="20"/>
                <w:szCs w:val="20"/>
                <w:color w:val="auto"/>
              </w:rPr>
            </w:pPr>
            <w:r>
              <w:rPr>
                <w:rFonts w:ascii="Arial" w:cs="Arial" w:eastAsia="Arial" w:hAnsi="Arial"/>
                <w:sz w:val="13"/>
                <w:szCs w:val="13"/>
                <w:color w:val="auto"/>
              </w:rPr>
              <w:t>Long-term</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investments</w:t>
            </w:r>
          </w:p>
        </w:tc>
        <w:tc>
          <w:tcPr>
            <w:tcW w:w="11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60,054</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Total cash,</w:t>
            </w:r>
          </w:p>
        </w:tc>
        <w:tc>
          <w:tcPr>
            <w:tcW w:w="780" w:type="dxa"/>
            <w:vAlign w:val="bottom"/>
            <w:shd w:val="clear" w:color="auto" w:fill="CCEEFF"/>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equivalents</w:t>
            </w:r>
          </w:p>
        </w:tc>
        <w:tc>
          <w:tcPr>
            <w:tcW w:w="780" w:type="dxa"/>
            <w:vAlign w:val="bottom"/>
            <w:shd w:val="clear" w:color="auto" w:fill="CCEEFF"/>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7"/>
              </w:rPr>
              <w:t>and available-for-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352,344</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vMerge w:val="restart"/>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00"/>
              <w:spacing w:after="0"/>
              <w:rPr>
                <w:sz w:val="20"/>
                <w:szCs w:val="20"/>
                <w:color w:val="auto"/>
              </w:rPr>
            </w:pPr>
            <w:r>
              <w:rPr>
                <w:rFonts w:ascii="Arial" w:cs="Arial" w:eastAsia="Arial" w:hAnsi="Arial"/>
                <w:sz w:val="13"/>
                <w:szCs w:val="13"/>
                <w:color w:val="auto"/>
              </w:rPr>
              <w:t>260,314</w:t>
            </w:r>
          </w:p>
        </w:tc>
        <w:tc>
          <w:tcPr>
            <w:tcW w:w="460" w:type="dxa"/>
            <w:vAlign w:val="bottom"/>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sale securities</w:t>
            </w: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classify investments within Level 1 if quoted prices are available in active markets.</w:t>
      </w:r>
    </w:p>
    <w:p>
      <w:pPr>
        <w:spacing w:after="0" w:line="159" w:lineRule="exact"/>
        <w:rPr>
          <w:sz w:val="20"/>
          <w:szCs w:val="20"/>
          <w:color w:val="auto"/>
        </w:rPr>
      </w:pPr>
    </w:p>
    <w:p>
      <w:pPr>
        <w:ind w:right="120" w:firstLine="347"/>
        <w:spacing w:after="0" w:line="268" w:lineRule="auto"/>
        <w:rPr>
          <w:sz w:val="20"/>
          <w:szCs w:val="20"/>
          <w:color w:val="auto"/>
        </w:rPr>
      </w:pPr>
      <w:r>
        <w:rPr>
          <w:rFonts w:ascii="Arial" w:cs="Arial" w:eastAsia="Arial" w:hAnsi="Arial"/>
          <w:sz w:val="13"/>
          <w:szCs w:val="13"/>
          <w:color w:val="auto"/>
        </w:rPr>
        <w:t>We classify items in Level 2 if the investments are valued using observable inputs to quoted market prices, benchmark yields, reported trades, broker/dealer quotes or alternative pricing sources with reasonable levels of price transparency.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did not hold financial assets or liabilities which were recorded at fair value using inputs in the Level 3 category as of September 30, 2010 or December 31, 2009.</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3. INVENTORY—Net</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Inventory</w:t>
      </w:r>
      <w:r>
        <w:rPr>
          <w:rFonts w:ascii="Arial" w:cs="Arial" w:eastAsia="Arial" w:hAnsi="Arial"/>
          <w:sz w:val="13"/>
          <w:szCs w:val="13"/>
          <w:b w:val="1"/>
          <w:bCs w:val="1"/>
          <w:color w:val="auto"/>
        </w:rPr>
        <w:t>—</w:t>
      </w:r>
      <w:r>
        <w:rPr>
          <w:rFonts w:ascii="Arial" w:cs="Arial" w:eastAsia="Arial" w:hAnsi="Arial"/>
          <w:sz w:val="13"/>
          <w:szCs w:val="13"/>
          <w:color w:val="auto"/>
        </w:rPr>
        <w:t>net, consisted of the following ($ amounts in 000's):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5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60" w:type="dxa"/>
            <w:vAlign w:val="bottom"/>
            <w:gridSpan w:val="2"/>
          </w:tcPr>
          <w:p>
            <w:pPr>
              <w:ind w:left="720"/>
              <w:spacing w:after="0"/>
              <w:rPr>
                <w:sz w:val="20"/>
                <w:szCs w:val="20"/>
                <w:color w:val="auto"/>
              </w:rPr>
            </w:pPr>
            <w:r>
              <w:rPr>
                <w:rFonts w:ascii="Arial" w:cs="Arial" w:eastAsia="Arial" w:hAnsi="Arial"/>
                <w:sz w:val="12"/>
                <w:szCs w:val="12"/>
                <w:b w:val="1"/>
                <w:bCs w:val="1"/>
                <w:color w:val="auto"/>
              </w:rPr>
              <w:t>September 30,</w:t>
            </w:r>
          </w:p>
        </w:tc>
        <w:tc>
          <w:tcPr>
            <w:tcW w:w="1820" w:type="dxa"/>
            <w:vAlign w:val="bottom"/>
          </w:tcPr>
          <w:p>
            <w:pPr>
              <w:jc w:val="right"/>
              <w:ind w:right="358"/>
              <w:spacing w:after="0"/>
              <w:rPr>
                <w:sz w:val="20"/>
                <w:szCs w:val="20"/>
                <w:color w:val="auto"/>
              </w:rPr>
            </w:pPr>
            <w:r>
              <w:rPr>
                <w:rFonts w:ascii="Arial" w:cs="Arial" w:eastAsia="Arial" w:hAnsi="Arial"/>
                <w:sz w:val="12"/>
                <w:szCs w:val="12"/>
                <w:b w:val="1"/>
                <w:bCs w:val="1"/>
                <w:color w:val="auto"/>
              </w:rPr>
              <w:t>December 31,</w:t>
            </w:r>
          </w:p>
        </w:tc>
      </w:tr>
      <w:tr>
        <w:trPr>
          <w:trHeight w:val="149"/>
        </w:trPr>
        <w:tc>
          <w:tcPr>
            <w:tcW w:w="3500" w:type="dxa"/>
            <w:vAlign w:val="bottom"/>
          </w:tcPr>
          <w:p>
            <w:pPr>
              <w:spacing w:after="0"/>
              <w:rPr>
                <w:sz w:val="12"/>
                <w:szCs w:val="12"/>
                <w:color w:val="auto"/>
              </w:rPr>
            </w:pPr>
          </w:p>
        </w:tc>
        <w:tc>
          <w:tcPr>
            <w:tcW w:w="5720" w:type="dxa"/>
            <w:vAlign w:val="bottom"/>
            <w:gridSpan w:val="2"/>
          </w:tcPr>
          <w:p>
            <w:pPr>
              <w:jc w:val="right"/>
              <w:ind w:right="739"/>
              <w:spacing w:after="0"/>
              <w:rPr>
                <w:sz w:val="20"/>
                <w:szCs w:val="20"/>
                <w:color w:val="auto"/>
              </w:rPr>
            </w:pPr>
            <w:r>
              <w:rPr>
                <w:rFonts w:ascii="Arial" w:cs="Arial" w:eastAsia="Arial" w:hAnsi="Arial"/>
                <w:sz w:val="12"/>
                <w:szCs w:val="12"/>
                <w:b w:val="1"/>
                <w:bCs w:val="1"/>
                <w:color w:val="auto"/>
              </w:rPr>
              <w:t>2010</w:t>
            </w:r>
          </w:p>
        </w:tc>
        <w:tc>
          <w:tcPr>
            <w:tcW w:w="440" w:type="dxa"/>
            <w:vAlign w:val="bottom"/>
          </w:tcPr>
          <w:p>
            <w:pPr>
              <w:spacing w:after="0"/>
              <w:rPr>
                <w:sz w:val="12"/>
                <w:szCs w:val="12"/>
                <w:color w:val="auto"/>
              </w:rPr>
            </w:pPr>
          </w:p>
        </w:tc>
        <w:tc>
          <w:tcPr>
            <w:tcW w:w="1820" w:type="dxa"/>
            <w:vAlign w:val="bottom"/>
          </w:tcPr>
          <w:p>
            <w:pPr>
              <w:jc w:val="right"/>
              <w:ind w:right="738"/>
              <w:spacing w:after="0"/>
              <w:rPr>
                <w:sz w:val="20"/>
                <w:szCs w:val="20"/>
                <w:color w:val="auto"/>
              </w:rPr>
            </w:pPr>
            <w:r>
              <w:rPr>
                <w:rFonts w:ascii="Arial" w:cs="Arial" w:eastAsia="Arial" w:hAnsi="Arial"/>
                <w:sz w:val="12"/>
                <w:szCs w:val="12"/>
                <w:b w:val="1"/>
                <w:bCs w:val="1"/>
                <w:color w:val="auto"/>
              </w:rPr>
              <w:t>2009</w:t>
            </w:r>
          </w:p>
        </w:tc>
      </w:tr>
      <w:tr>
        <w:trPr>
          <w:trHeight w:val="24"/>
        </w:trPr>
        <w:tc>
          <w:tcPr>
            <w:tcW w:w="35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82"/>
        </w:trPr>
        <w:tc>
          <w:tcPr>
            <w:tcW w:w="35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Raw materials</w:t>
            </w:r>
          </w:p>
        </w:tc>
        <w:tc>
          <w:tcPr>
            <w:tcW w:w="5720" w:type="dxa"/>
            <w:vAlign w:val="bottom"/>
            <w:gridSpan w:val="2"/>
            <w:shd w:val="clear" w:color="auto" w:fill="CCEEFF"/>
          </w:tcPr>
          <w:p>
            <w:pPr>
              <w:jc w:val="right"/>
              <w:ind w:right="339"/>
              <w:spacing w:after="0"/>
              <w:rPr>
                <w:sz w:val="20"/>
                <w:szCs w:val="20"/>
                <w:color w:val="auto"/>
              </w:rPr>
            </w:pPr>
            <w:r>
              <w:rPr>
                <w:rFonts w:ascii="Arial" w:cs="Arial" w:eastAsia="Arial" w:hAnsi="Arial"/>
                <w:sz w:val="13"/>
                <w:szCs w:val="13"/>
                <w:color w:val="auto"/>
              </w:rPr>
              <w:t>2,989</w:t>
            </w:r>
          </w:p>
        </w:tc>
        <w:tc>
          <w:tcPr>
            <w:tcW w:w="44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338"/>
              <w:spacing w:after="0"/>
              <w:rPr>
                <w:sz w:val="20"/>
                <w:szCs w:val="20"/>
                <w:color w:val="auto"/>
              </w:rPr>
            </w:pPr>
            <w:r>
              <w:rPr>
                <w:rFonts w:ascii="Arial" w:cs="Arial" w:eastAsia="Arial" w:hAnsi="Arial"/>
                <w:sz w:val="13"/>
                <w:szCs w:val="13"/>
                <w:color w:val="auto"/>
              </w:rPr>
              <w:t>1,904</w:t>
            </w:r>
          </w:p>
        </w:tc>
      </w:tr>
      <w:tr>
        <w:trPr>
          <w:trHeight w:val="183"/>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Finished goods</w:t>
            </w:r>
          </w:p>
        </w:tc>
        <w:tc>
          <w:tcPr>
            <w:tcW w:w="39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color w:val="auto"/>
              </w:rPr>
              <w:t>8,295</w:t>
            </w:r>
          </w:p>
        </w:tc>
        <w:tc>
          <w:tcPr>
            <w:tcW w:w="44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color w:val="auto"/>
              </w:rPr>
              <w:t>8,745</w:t>
            </w:r>
          </w:p>
        </w:tc>
      </w:tr>
      <w:tr>
        <w:trPr>
          <w:trHeight w:val="207"/>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Inventory—net</w:t>
            </w:r>
          </w:p>
        </w:tc>
        <w:tc>
          <w:tcPr>
            <w:tcW w:w="5720" w:type="dxa"/>
            <w:vAlign w:val="bottom"/>
            <w:gridSpan w:val="2"/>
            <w:shd w:val="clear" w:color="auto" w:fill="CCEEFF"/>
          </w:tcPr>
          <w:p>
            <w:pPr>
              <w:jc w:val="right"/>
              <w:ind w:right="339"/>
              <w:spacing w:after="0"/>
              <w:rPr>
                <w:sz w:val="20"/>
                <w:szCs w:val="20"/>
                <w:color w:val="auto"/>
              </w:rPr>
            </w:pPr>
            <w:r>
              <w:rPr>
                <w:rFonts w:ascii="Arial" w:cs="Arial" w:eastAsia="Arial" w:hAnsi="Arial"/>
                <w:sz w:val="13"/>
                <w:szCs w:val="13"/>
                <w:color w:val="auto"/>
              </w:rPr>
              <w:t>11,284</w:t>
            </w: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338"/>
              <w:spacing w:after="0"/>
              <w:rPr>
                <w:sz w:val="20"/>
                <w:szCs w:val="20"/>
                <w:color w:val="auto"/>
              </w:rPr>
            </w:pPr>
            <w:r>
              <w:rPr>
                <w:rFonts w:ascii="Arial" w:cs="Arial" w:eastAsia="Arial" w:hAnsi="Arial"/>
                <w:sz w:val="13"/>
                <w:szCs w:val="13"/>
                <w:color w:val="auto"/>
              </w:rPr>
              <w:t>10,649</w:t>
            </w:r>
          </w:p>
        </w:tc>
      </w:tr>
      <w:tr>
        <w:trPr>
          <w:trHeight w:val="302"/>
        </w:trPr>
        <w:tc>
          <w:tcPr>
            <w:tcW w:w="3500" w:type="dxa"/>
            <w:vAlign w:val="bottom"/>
            <w:tcBorders>
              <w:top w:val="single" w:sz="8" w:color="CCEEFF"/>
            </w:tcBorders>
          </w:tcPr>
          <w:p>
            <w:pPr>
              <w:spacing w:after="0"/>
              <w:rPr>
                <w:sz w:val="24"/>
                <w:szCs w:val="24"/>
                <w:color w:val="auto"/>
              </w:rPr>
            </w:pPr>
          </w:p>
        </w:tc>
        <w:tc>
          <w:tcPr>
            <w:tcW w:w="3900" w:type="dxa"/>
            <w:vAlign w:val="bottom"/>
            <w:tcBorders>
              <w:top w:val="single" w:sz="8" w:color="CCEEFF"/>
            </w:tcBorders>
          </w:tcPr>
          <w:p>
            <w:pPr>
              <w:jc w:val="right"/>
              <w:ind w:right="1357"/>
              <w:spacing w:after="0"/>
              <w:rPr>
                <w:sz w:val="20"/>
                <w:szCs w:val="20"/>
                <w:color w:val="auto"/>
              </w:rPr>
            </w:pPr>
            <w:r>
              <w:rPr>
                <w:rFonts w:ascii="Arial" w:cs="Arial" w:eastAsia="Arial" w:hAnsi="Arial"/>
                <w:sz w:val="13"/>
                <w:szCs w:val="13"/>
                <w:color w:val="auto"/>
              </w:rPr>
              <w:t>13</w:t>
            </w:r>
          </w:p>
        </w:tc>
        <w:tc>
          <w:tcPr>
            <w:tcW w:w="1820" w:type="dxa"/>
            <w:vAlign w:val="bottom"/>
            <w:tcBorders>
              <w:top w:val="single" w:sz="8" w:color="auto"/>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bl>
    <w:p>
      <w:pPr>
        <w:sectPr>
          <w:pgSz w:w="11900" w:h="16838" w:orient="portrait"/>
          <w:cols w:equalWidth="0" w:num="1">
            <w:col w:w="11540"/>
          </w:cols>
          <w:pgMar w:left="220" w:top="131" w:right="139" w:bottom="1440" w:gutter="0" w:footer="0" w:header="0"/>
        </w:sectPr>
      </w:pPr>
    </w:p>
    <w:bookmarkStart w:id="13" w:name="page14"/>
    <w:bookmarkEnd w:id="13"/>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4. PROPERTY AND EQUIPMENT—Net</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Property and equipment consisted of the following ($ amounts in 000's):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380" w:type="dxa"/>
            <w:vAlign w:val="bottom"/>
          </w:tcPr>
          <w:p>
            <w:pPr>
              <w:spacing w:after="0"/>
              <w:rPr>
                <w:sz w:val="12"/>
                <w:szCs w:val="12"/>
                <w:color w:val="auto"/>
              </w:rPr>
            </w:pPr>
          </w:p>
        </w:tc>
        <w:tc>
          <w:tcPr>
            <w:tcW w:w="1600" w:type="dxa"/>
            <w:vAlign w:val="bottom"/>
          </w:tcPr>
          <w:p>
            <w:pPr>
              <w:jc w:val="right"/>
              <w:ind w:right="137"/>
              <w:spacing w:after="0"/>
              <w:rPr>
                <w:sz w:val="20"/>
                <w:szCs w:val="20"/>
                <w:color w:val="auto"/>
              </w:rPr>
            </w:pPr>
            <w:r>
              <w:rPr>
                <w:rFonts w:ascii="Arial" w:cs="Arial" w:eastAsia="Arial" w:hAnsi="Arial"/>
                <w:sz w:val="12"/>
                <w:szCs w:val="12"/>
                <w:color w:val="auto"/>
              </w:rPr>
              <w:t>September 30,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jc w:val="right"/>
              <w:ind w:right="117"/>
              <w:spacing w:after="0"/>
              <w:rPr>
                <w:sz w:val="20"/>
                <w:szCs w:val="20"/>
                <w:color w:val="auto"/>
              </w:rPr>
            </w:pPr>
            <w:r>
              <w:rPr>
                <w:rFonts w:ascii="Arial" w:cs="Arial" w:eastAsia="Arial" w:hAnsi="Arial"/>
                <w:sz w:val="12"/>
                <w:szCs w:val="12"/>
                <w:b w:val="1"/>
                <w:bCs w:val="1"/>
                <w:color w:val="auto"/>
              </w:rPr>
              <w:t>December 31,</w:t>
            </w:r>
          </w:p>
        </w:tc>
        <w:tc>
          <w:tcPr>
            <w:tcW w:w="260" w:type="dxa"/>
            <w:vAlign w:val="bottom"/>
          </w:tcPr>
          <w:p>
            <w:pPr>
              <w:spacing w:after="0"/>
              <w:rPr>
                <w:sz w:val="12"/>
                <w:szCs w:val="12"/>
                <w:color w:val="auto"/>
              </w:rPr>
            </w:pPr>
          </w:p>
        </w:tc>
      </w:tr>
      <w:tr>
        <w:trPr>
          <w:trHeight w:val="149"/>
        </w:trPr>
        <w:tc>
          <w:tcPr>
            <w:tcW w:w="7380" w:type="dxa"/>
            <w:vAlign w:val="bottom"/>
          </w:tcPr>
          <w:p>
            <w:pPr>
              <w:spacing w:after="0"/>
              <w:rPr>
                <w:sz w:val="12"/>
                <w:szCs w:val="12"/>
                <w:color w:val="auto"/>
              </w:rPr>
            </w:pPr>
          </w:p>
        </w:tc>
        <w:tc>
          <w:tcPr>
            <w:tcW w:w="1600" w:type="dxa"/>
            <w:vAlign w:val="bottom"/>
          </w:tcPr>
          <w:p>
            <w:pPr>
              <w:jc w:val="right"/>
              <w:ind w:right="517"/>
              <w:spacing w:after="0"/>
              <w:rPr>
                <w:sz w:val="20"/>
                <w:szCs w:val="20"/>
                <w:color w:val="auto"/>
              </w:rPr>
            </w:pPr>
            <w:r>
              <w:rPr>
                <w:rFonts w:ascii="Arial" w:cs="Arial" w:eastAsia="Arial" w:hAnsi="Arial"/>
                <w:sz w:val="12"/>
                <w:szCs w:val="12"/>
                <w:color w:val="auto"/>
              </w:rPr>
              <w:t>2010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jc w:val="right"/>
              <w:ind w:right="497"/>
              <w:spacing w:after="0"/>
              <w:rPr>
                <w:sz w:val="20"/>
                <w:szCs w:val="20"/>
                <w:color w:val="auto"/>
              </w:rPr>
            </w:pPr>
            <w:r>
              <w:rPr>
                <w:rFonts w:ascii="Arial" w:cs="Arial" w:eastAsia="Arial" w:hAnsi="Arial"/>
                <w:sz w:val="12"/>
                <w:szCs w:val="12"/>
                <w:b w:val="1"/>
                <w:bCs w:val="1"/>
                <w:color w:val="auto"/>
              </w:rPr>
              <w:t>2009</w:t>
            </w:r>
          </w:p>
        </w:tc>
        <w:tc>
          <w:tcPr>
            <w:tcW w:w="260" w:type="dxa"/>
            <w:vAlign w:val="bottom"/>
          </w:tcPr>
          <w:p>
            <w:pPr>
              <w:spacing w:after="0"/>
              <w:rPr>
                <w:sz w:val="12"/>
                <w:szCs w:val="12"/>
                <w:color w:val="auto"/>
              </w:rPr>
            </w:pPr>
          </w:p>
        </w:tc>
      </w:tr>
      <w:tr>
        <w:trPr>
          <w:trHeight w:val="24"/>
        </w:trPr>
        <w:tc>
          <w:tcPr>
            <w:tcW w:w="73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2"/>
        </w:trPr>
        <w:tc>
          <w:tcPr>
            <w:tcW w:w="7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Evaluation units</w:t>
            </w:r>
          </w:p>
        </w:tc>
        <w:tc>
          <w:tcPr>
            <w:tcW w:w="16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9,949</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8,449</w:t>
            </w:r>
          </w:p>
        </w:tc>
        <w:tc>
          <w:tcPr>
            <w:tcW w:w="260" w:type="dxa"/>
            <w:vAlign w:val="bottom"/>
            <w:shd w:val="clear" w:color="auto" w:fill="CCEEFF"/>
          </w:tcPr>
          <w:p>
            <w:pPr>
              <w:spacing w:after="0"/>
              <w:rPr>
                <w:sz w:val="15"/>
                <w:szCs w:val="15"/>
                <w:color w:val="auto"/>
              </w:rPr>
            </w:pPr>
          </w:p>
        </w:tc>
      </w:tr>
      <w:tr>
        <w:trPr>
          <w:trHeight w:val="183"/>
        </w:trPr>
        <w:tc>
          <w:tcPr>
            <w:tcW w:w="7380" w:type="dxa"/>
            <w:vAlign w:val="bottom"/>
          </w:tcPr>
          <w:p>
            <w:pPr>
              <w:ind w:left="360"/>
              <w:spacing w:after="0"/>
              <w:rPr>
                <w:sz w:val="20"/>
                <w:szCs w:val="20"/>
                <w:color w:val="auto"/>
              </w:rPr>
            </w:pPr>
            <w:r>
              <w:rPr>
                <w:rFonts w:ascii="Arial" w:cs="Arial" w:eastAsia="Arial" w:hAnsi="Arial"/>
                <w:sz w:val="13"/>
                <w:szCs w:val="13"/>
                <w:color w:val="auto"/>
              </w:rPr>
              <w:t>Computer equipment and software</w:t>
            </w:r>
          </w:p>
        </w:tc>
        <w:tc>
          <w:tcPr>
            <w:tcW w:w="1600" w:type="dxa"/>
            <w:vAlign w:val="bottom"/>
          </w:tcPr>
          <w:p>
            <w:pPr>
              <w:jc w:val="right"/>
              <w:ind w:right="117"/>
              <w:spacing w:after="0"/>
              <w:rPr>
                <w:sz w:val="20"/>
                <w:szCs w:val="20"/>
                <w:color w:val="auto"/>
              </w:rPr>
            </w:pPr>
            <w:r>
              <w:rPr>
                <w:rFonts w:ascii="Arial" w:cs="Arial" w:eastAsia="Arial" w:hAnsi="Arial"/>
                <w:sz w:val="13"/>
                <w:szCs w:val="13"/>
                <w:color w:val="auto"/>
              </w:rPr>
              <w:t>9,341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tcPr>
          <w:p>
            <w:pPr>
              <w:jc w:val="right"/>
              <w:ind w:right="97"/>
              <w:spacing w:after="0"/>
              <w:rPr>
                <w:sz w:val="20"/>
                <w:szCs w:val="20"/>
                <w:color w:val="auto"/>
              </w:rPr>
            </w:pPr>
            <w:r>
              <w:rPr>
                <w:rFonts w:ascii="Arial" w:cs="Arial" w:eastAsia="Arial" w:hAnsi="Arial"/>
                <w:sz w:val="13"/>
                <w:szCs w:val="13"/>
                <w:color w:val="auto"/>
              </w:rPr>
              <w:t>8,827</w:t>
            </w:r>
          </w:p>
        </w:tc>
        <w:tc>
          <w:tcPr>
            <w:tcW w:w="260" w:type="dxa"/>
            <w:vAlign w:val="bottom"/>
          </w:tcPr>
          <w:p>
            <w:pPr>
              <w:spacing w:after="0"/>
              <w:rPr>
                <w:sz w:val="15"/>
                <w:szCs w:val="15"/>
                <w:color w:val="auto"/>
              </w:rPr>
            </w:pPr>
          </w:p>
        </w:tc>
      </w:tr>
      <w:tr>
        <w:trPr>
          <w:trHeight w:val="203"/>
        </w:trPr>
        <w:tc>
          <w:tcPr>
            <w:tcW w:w="7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Furniture and fixtures</w:t>
            </w:r>
          </w:p>
        </w:tc>
        <w:tc>
          <w:tcPr>
            <w:tcW w:w="16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1,344</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1,191</w:t>
            </w:r>
          </w:p>
        </w:tc>
        <w:tc>
          <w:tcPr>
            <w:tcW w:w="260" w:type="dxa"/>
            <w:vAlign w:val="bottom"/>
            <w:shd w:val="clear" w:color="auto" w:fill="CCEEFF"/>
          </w:tcPr>
          <w:p>
            <w:pPr>
              <w:spacing w:after="0"/>
              <w:rPr>
                <w:sz w:val="17"/>
                <w:szCs w:val="17"/>
                <w:color w:val="auto"/>
              </w:rPr>
            </w:pPr>
          </w:p>
        </w:tc>
      </w:tr>
      <w:tr>
        <w:trPr>
          <w:trHeight w:val="183"/>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Leasehold improvements and tooling</w:t>
            </w:r>
          </w:p>
        </w:tc>
        <w:tc>
          <w:tcPr>
            <w:tcW w:w="16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4,422</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4,134</w:t>
            </w:r>
          </w:p>
        </w:tc>
        <w:tc>
          <w:tcPr>
            <w:tcW w:w="260" w:type="dxa"/>
            <w:vAlign w:val="bottom"/>
            <w:tcBorders>
              <w:bottom w:val="single" w:sz="8" w:color="auto"/>
            </w:tcBorders>
          </w:tcPr>
          <w:p>
            <w:pPr>
              <w:spacing w:after="0"/>
              <w:rPr>
                <w:sz w:val="15"/>
                <w:szCs w:val="15"/>
                <w:color w:val="auto"/>
              </w:rPr>
            </w:pPr>
          </w:p>
        </w:tc>
      </w:tr>
      <w:tr>
        <w:trPr>
          <w:trHeight w:val="192"/>
        </w:trPr>
        <w:tc>
          <w:tcPr>
            <w:tcW w:w="73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Total property and equipment</w:t>
            </w:r>
          </w:p>
        </w:tc>
        <w:tc>
          <w:tcPr>
            <w:tcW w:w="16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25,056</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22,601</w:t>
            </w:r>
          </w:p>
        </w:tc>
        <w:tc>
          <w:tcPr>
            <w:tcW w:w="260" w:type="dxa"/>
            <w:vAlign w:val="bottom"/>
            <w:shd w:val="clear" w:color="auto" w:fill="CCEEFF"/>
          </w:tcPr>
          <w:p>
            <w:pPr>
              <w:spacing w:after="0"/>
              <w:rPr>
                <w:sz w:val="16"/>
                <w:szCs w:val="16"/>
                <w:color w:val="auto"/>
              </w:rPr>
            </w:pPr>
          </w:p>
        </w:tc>
      </w:tr>
      <w:tr>
        <w:trPr>
          <w:trHeight w:val="183"/>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Less: accumulated depreciation and amortization</w:t>
            </w:r>
          </w:p>
        </w:tc>
        <w:tc>
          <w:tcPr>
            <w:tcW w:w="16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(18,259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(16,214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Property and equipment—net</w:t>
            </w:r>
          </w:p>
        </w:tc>
        <w:tc>
          <w:tcPr>
            <w:tcW w:w="16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6,797</w:t>
            </w:r>
          </w:p>
        </w:tc>
        <w:tc>
          <w:tcPr>
            <w:tcW w:w="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6,387</w:t>
            </w:r>
          </w:p>
        </w:tc>
        <w:tc>
          <w:tcPr>
            <w:tcW w:w="260" w:type="dxa"/>
            <w:vAlign w:val="bottom"/>
            <w:tcBorders>
              <w:bottom w:val="single" w:sz="8" w:color="auto"/>
            </w:tcBorders>
            <w:shd w:val="clear" w:color="auto" w:fill="CCEEFF"/>
          </w:tcPr>
          <w:p>
            <w:pPr>
              <w:spacing w:after="0"/>
              <w:rPr>
                <w:sz w:val="17"/>
                <w:szCs w:val="17"/>
                <w:color w:val="auto"/>
              </w:rPr>
            </w:pPr>
          </w:p>
        </w:tc>
      </w:tr>
    </w:tbl>
    <w:p>
      <w:pPr>
        <w:spacing w:after="0" w:line="145" w:lineRule="exact"/>
        <w:rPr>
          <w:sz w:val="20"/>
          <w:szCs w:val="20"/>
          <w:color w:val="auto"/>
        </w:rPr>
      </w:pPr>
    </w:p>
    <w:p>
      <w:pPr>
        <w:ind w:right="620" w:firstLine="347"/>
        <w:spacing w:after="0" w:line="268" w:lineRule="auto"/>
        <w:rPr>
          <w:sz w:val="20"/>
          <w:szCs w:val="20"/>
          <w:color w:val="auto"/>
        </w:rPr>
      </w:pPr>
      <w:r>
        <w:rPr>
          <w:rFonts w:ascii="Arial" w:cs="Arial" w:eastAsia="Arial" w:hAnsi="Arial"/>
          <w:sz w:val="13"/>
          <w:szCs w:val="13"/>
          <w:color w:val="auto"/>
        </w:rPr>
        <w:t>Depreciation expense was $1.4 million for both the three months ended September 30, 2010 and September 30, 2009. Depreciation expense was $4.2 million and $3.7 million during the nine months ended September 30, 2010 and September 30, 2009, respectively.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5. INCOME PER SHARE</w:t>
      </w:r>
    </w:p>
    <w:p>
      <w:pPr>
        <w:spacing w:after="0" w:line="163" w:lineRule="exact"/>
        <w:rPr>
          <w:sz w:val="20"/>
          <w:szCs w:val="20"/>
          <w:color w:val="auto"/>
        </w:rPr>
      </w:pPr>
    </w:p>
    <w:p>
      <w:pPr>
        <w:ind w:right="60" w:firstLine="347"/>
        <w:spacing w:after="0" w:line="310" w:lineRule="auto"/>
        <w:rPr>
          <w:sz w:val="20"/>
          <w:szCs w:val="20"/>
          <w:color w:val="auto"/>
        </w:rPr>
      </w:pPr>
      <w:r>
        <w:rPr>
          <w:rFonts w:ascii="Arial" w:cs="Arial" w:eastAsia="Arial" w:hAnsi="Arial"/>
          <w:sz w:val="12"/>
          <w:szCs w:val="12"/>
          <w:color w:val="auto"/>
        </w:rPr>
        <w:t>Basic net income per share is computed by dividing net income attributable to common stockholders by the weighted-average number of common shares outstanding during the period. Diluted net income per share is computed by dividing net income attributable to common stockholders by the weighted-average number of common shares outstanding, plus the dilutive effects of stock options and warrants.</w:t>
      </w:r>
    </w:p>
    <w:p>
      <w:pPr>
        <w:spacing w:after="0" w:line="106" w:lineRule="exact"/>
        <w:rPr>
          <w:sz w:val="20"/>
          <w:szCs w:val="20"/>
          <w:color w:val="auto"/>
        </w:rPr>
      </w:pPr>
    </w:p>
    <w:p>
      <w:pPr>
        <w:ind w:right="20" w:firstLine="347"/>
        <w:spacing w:after="0" w:line="306" w:lineRule="auto"/>
        <w:rPr>
          <w:sz w:val="20"/>
          <w:szCs w:val="20"/>
          <w:color w:val="auto"/>
        </w:rPr>
      </w:pPr>
      <w:r>
        <w:rPr>
          <w:rFonts w:ascii="Arial" w:cs="Arial" w:eastAsia="Arial" w:hAnsi="Arial"/>
          <w:sz w:val="11"/>
          <w:szCs w:val="11"/>
          <w:color w:val="auto"/>
        </w:rPr>
        <w:t>In November 2009, all of our outstanding convertible preferred stock converted into common stock in connection with our initial public offering. For periods that ended prior to such conversion, net income per share information is computed using the two-class method. The convertible preferred shares were entitled to receive annual non-cumulative dividends of $0.02, $0.05, $0.12, $0.12 and $0.30 per share for Serie s A, B, C, D, and E, respectively, payable prior to and in preference to holders of common stock. After the payment of such dividends, convertible preferred shares were further entitled to receive a proportionate amount of any dividends paid on common stock on an if-converted basis. As a result of such dividend rights, the convertible preferred shares were considered to be participating securities. Under the two-class method of computing earnings per share, net income attributable to common stockholders is computed by an adjustment to subtract from net income the portion of current period earnings that the preferred stockholders would have been entitled to receive pursuant to their dividend rights had all of the period's earnings been distributed. No such adjustment to earnings is made during periods with a net loss, as the holders of the convertible preferred shares had no obligation to fund losses.</w:t>
      </w:r>
    </w:p>
    <w:p>
      <w:pPr>
        <w:spacing w:after="0" w:line="112" w:lineRule="exact"/>
        <w:rPr>
          <w:sz w:val="20"/>
          <w:szCs w:val="20"/>
          <w:color w:val="auto"/>
        </w:rPr>
      </w:pPr>
    </w:p>
    <w:p>
      <w:pPr>
        <w:ind w:right="60" w:firstLine="347"/>
        <w:spacing w:after="0" w:line="315" w:lineRule="auto"/>
        <w:rPr>
          <w:sz w:val="20"/>
          <w:szCs w:val="20"/>
          <w:color w:val="auto"/>
        </w:rPr>
      </w:pPr>
      <w:r>
        <w:rPr>
          <w:rFonts w:ascii="Arial" w:cs="Arial" w:eastAsia="Arial" w:hAnsi="Arial"/>
          <w:sz w:val="11"/>
          <w:szCs w:val="11"/>
          <w:color w:val="auto"/>
        </w:rPr>
        <w:t>Subsequent to the issuance of our condensed consolidated financial statements for the nine months ended September 30, 2009, we identified an error related to incorrectly computing our basic and diluted net income per share by using the if-converted method rather than the two class method. In particular, we did not subtract from net income the portion of current period earnings that the preferred stockholders would have been entitled to receive pursuant to their dividend rights had all of the period's earnings been distributed. Accordingly, corrections have been made herein to reflect a decrease in our basic and diluted EPS for the nine months ended September 30, 2009 from $0.34 and $0.11, respectively, previously reported in our prospectus as part of our initial public offering to $0.04 and $0.04, respectively, as corrected. We do not believe th is correction is material.</w:t>
      </w:r>
    </w:p>
    <w:p>
      <w:pPr>
        <w:spacing w:after="0" w:line="107" w:lineRule="exact"/>
        <w:rPr>
          <w:sz w:val="20"/>
          <w:szCs w:val="20"/>
          <w:color w:val="auto"/>
        </w:rPr>
      </w:pPr>
    </w:p>
    <w:p>
      <w:pPr>
        <w:jc w:val="both"/>
        <w:ind w:right="60" w:firstLine="347"/>
        <w:spacing w:after="0" w:line="289" w:lineRule="auto"/>
        <w:rPr>
          <w:sz w:val="20"/>
          <w:szCs w:val="20"/>
          <w:color w:val="auto"/>
        </w:rPr>
      </w:pPr>
      <w:r>
        <w:rPr>
          <w:rFonts w:ascii="Arial" w:cs="Arial" w:eastAsia="Arial" w:hAnsi="Arial"/>
          <w:sz w:val="12"/>
          <w:szCs w:val="12"/>
          <w:color w:val="auto"/>
        </w:rPr>
        <w:t>Net income per share information for the three and nine months ended September 30, 2009 gives effect to the repurchase of convertible preferred shares (Note 8). The excess of the fair value of the consideration paid for such preferred stock over the carrying value of th e preferred stock represents a return to the preferred stockholders and is treated in a manner similar to the treatment of dividends paid to the holders of preferred stock in the computation of earnings per share. As a result, the premium paid is subtracted to derive net income attributable to common stockholders in determining earnings per share.</w:t>
      </w:r>
    </w:p>
    <w:p>
      <w:pPr>
        <w:spacing w:after="0" w:line="273"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80"/>
          </w:cols>
          <w:pgMar w:left="220" w:top="131" w:right="199" w:bottom="1440" w:gutter="0" w:footer="0" w:header="0"/>
        </w:sectPr>
      </w:pPr>
    </w:p>
    <w:bookmarkStart w:id="14" w:name="page15"/>
    <w:bookmarkEnd w:id="14"/>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(Unaudited)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 reconciliation of the numerator and denominator used in the calculation of basic and diluted net income per share is as follows ($ and share amounts in 000's, except per share amounts):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40" w:type="dxa"/>
            <w:vAlign w:val="bottom"/>
            <w:gridSpan w:val="3"/>
          </w:tcPr>
          <w:p>
            <w:pPr>
              <w:jc w:val="right"/>
              <w:ind w:right="757"/>
              <w:spacing w:after="0"/>
              <w:rPr>
                <w:sz w:val="20"/>
                <w:szCs w:val="20"/>
                <w:color w:val="auto"/>
              </w:rPr>
            </w:pPr>
            <w:r>
              <w:rPr>
                <w:rFonts w:ascii="Arial" w:cs="Arial" w:eastAsia="Arial" w:hAnsi="Arial"/>
                <w:sz w:val="12"/>
                <w:szCs w:val="12"/>
                <w:b w:val="1"/>
                <w:bCs w:val="1"/>
                <w:color w:val="auto"/>
                <w:w w:val="92"/>
              </w:rPr>
              <w:t>Three Months Ended</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0" w:type="dxa"/>
            <w:vAlign w:val="bottom"/>
            <w:gridSpan w:val="3"/>
          </w:tcPr>
          <w:p>
            <w:pPr>
              <w:ind w:left="620"/>
              <w:spacing w:after="0"/>
              <w:rPr>
                <w:sz w:val="20"/>
                <w:szCs w:val="20"/>
                <w:color w:val="auto"/>
              </w:rPr>
            </w:pPr>
            <w:r>
              <w:rPr>
                <w:rFonts w:ascii="Arial" w:cs="Arial" w:eastAsia="Arial" w:hAnsi="Arial"/>
                <w:sz w:val="12"/>
                <w:szCs w:val="12"/>
                <w:b w:val="1"/>
                <w:bCs w:val="1"/>
                <w:color w:val="auto"/>
              </w:rPr>
              <w:t>Nine Months Ended</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36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jc w:val="right"/>
              <w:ind w:right="17"/>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60" w:type="dxa"/>
            <w:vAlign w:val="bottom"/>
            <w:gridSpan w:val="4"/>
          </w:tcPr>
          <w:p>
            <w:pPr>
              <w:jc w:val="center"/>
              <w:ind w:right="480"/>
              <w:spacing w:after="0"/>
              <w:rPr>
                <w:sz w:val="20"/>
                <w:szCs w:val="20"/>
                <w:color w:val="auto"/>
              </w:rPr>
            </w:pPr>
            <w:r>
              <w:rPr>
                <w:rFonts w:ascii="Arial" w:cs="Arial" w:eastAsia="Arial" w:hAnsi="Arial"/>
                <w:sz w:val="12"/>
                <w:szCs w:val="12"/>
                <w:b w:val="1"/>
                <w:bCs w:val="1"/>
                <w:color w:val="auto"/>
                <w:w w:val="85"/>
              </w:rPr>
              <w:t>September 30,</w:t>
            </w: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w w:val="92"/>
              </w:rPr>
              <w:t>September 30,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80" w:type="dxa"/>
            <w:vAlign w:val="bottom"/>
          </w:tcPr>
          <w:p>
            <w:pPr>
              <w:jc w:val="right"/>
              <w:ind w:right="377"/>
              <w:spacing w:after="0"/>
              <w:rPr>
                <w:sz w:val="20"/>
                <w:szCs w:val="20"/>
                <w:color w:val="auto"/>
              </w:rPr>
            </w:pPr>
            <w:r>
              <w:rPr>
                <w:rFonts w:ascii="Arial" w:cs="Arial" w:eastAsia="Arial" w:hAnsi="Arial"/>
                <w:sz w:val="12"/>
                <w:szCs w:val="12"/>
                <w:b w:val="1"/>
                <w:bCs w:val="1"/>
                <w:color w:val="auto"/>
              </w:rPr>
              <w:t>2010</w:t>
            </w:r>
          </w:p>
        </w:tc>
        <w:tc>
          <w:tcPr>
            <w:tcW w:w="1940" w:type="dxa"/>
            <w:vAlign w:val="bottom"/>
            <w:gridSpan w:val="3"/>
          </w:tcPr>
          <w:p>
            <w:pPr>
              <w:jc w:val="right"/>
              <w:ind w:right="417"/>
              <w:spacing w:after="0"/>
              <w:rPr>
                <w:sz w:val="20"/>
                <w:szCs w:val="20"/>
                <w:color w:val="auto"/>
              </w:rPr>
            </w:pPr>
            <w:r>
              <w:rPr>
                <w:rFonts w:ascii="Arial" w:cs="Arial" w:eastAsia="Arial" w:hAnsi="Arial"/>
                <w:sz w:val="12"/>
                <w:szCs w:val="12"/>
                <w:b w:val="1"/>
                <w:bCs w:val="1"/>
                <w:color w:val="auto"/>
              </w:rPr>
              <w:t>2009</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2"/>
          </w:tcPr>
          <w:p>
            <w:pPr>
              <w:jc w:val="right"/>
              <w:ind w:right="859"/>
              <w:spacing w:after="0"/>
              <w:rPr>
                <w:sz w:val="20"/>
                <w:szCs w:val="20"/>
                <w:color w:val="auto"/>
              </w:rPr>
            </w:pPr>
            <w:r>
              <w:rPr>
                <w:rFonts w:ascii="Arial" w:cs="Arial" w:eastAsia="Arial" w:hAnsi="Arial"/>
                <w:sz w:val="12"/>
                <w:szCs w:val="12"/>
                <w:b w:val="1"/>
                <w:bCs w:val="1"/>
                <w:color w:val="auto"/>
              </w:rPr>
              <w:t>2010</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157"/>
              <w:spacing w:after="0"/>
              <w:rPr>
                <w:sz w:val="20"/>
                <w:szCs w:val="20"/>
                <w:color w:val="auto"/>
              </w:rPr>
            </w:pPr>
            <w:r>
              <w:rPr>
                <w:rFonts w:ascii="Arial" w:cs="Arial" w:eastAsia="Arial" w:hAnsi="Arial"/>
                <w:sz w:val="12"/>
                <w:szCs w:val="12"/>
                <w:b w:val="1"/>
                <w:bCs w:val="1"/>
                <w:color w:val="auto"/>
              </w:rPr>
              <w:t>2009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6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8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Numerator:</w:t>
            </w: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tcPr>
          <w:p>
            <w:pPr>
              <w:ind w:left="360"/>
              <w:spacing w:after="0"/>
              <w:rPr>
                <w:sz w:val="20"/>
                <w:szCs w:val="20"/>
                <w:color w:val="auto"/>
              </w:rPr>
            </w:pPr>
            <w:r>
              <w:rPr>
                <w:rFonts w:ascii="Arial" w:cs="Arial" w:eastAsia="Arial" w:hAnsi="Arial"/>
                <w:sz w:val="13"/>
                <w:szCs w:val="13"/>
                <w:color w:val="auto"/>
              </w:rPr>
              <w:t>Net income</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14,017</w:t>
            </w:r>
          </w:p>
        </w:tc>
        <w:tc>
          <w:tcPr>
            <w:tcW w:w="1940" w:type="dxa"/>
            <w:vAlign w:val="bottom"/>
            <w:gridSpan w:val="3"/>
          </w:tcPr>
          <w:p>
            <w:pPr>
              <w:jc w:val="right"/>
              <w:ind w:right="217"/>
              <w:spacing w:after="0"/>
              <w:rPr>
                <w:sz w:val="20"/>
                <w:szCs w:val="20"/>
                <w:color w:val="auto"/>
              </w:rPr>
            </w:pPr>
            <w:r>
              <w:rPr>
                <w:rFonts w:ascii="Arial" w:cs="Arial" w:eastAsia="Arial" w:hAnsi="Arial"/>
                <w:sz w:val="13"/>
                <w:szCs w:val="13"/>
                <w:color w:val="auto"/>
              </w:rPr>
              <w:t>7,889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25,104</w:t>
            </w: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16,239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5"/>
              </w:rPr>
              <w:t>Premium paid on repurchase of convertible preferred shares</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60" w:type="dxa"/>
            <w:vAlign w:val="bottom"/>
            <w:gridSpan w:val="4"/>
            <w:shd w:val="clear" w:color="auto" w:fill="CCEEFF"/>
          </w:tcPr>
          <w:p>
            <w:pPr>
              <w:jc w:val="right"/>
              <w:ind w:right="18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Income allocated to partici pating securities</w:t>
            </w: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(1,499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(4,496</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368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5"/>
              </w:rPr>
              <w:t>Net income attributable to common stockholders - basic and</w:t>
            </w:r>
          </w:p>
        </w:tc>
        <w:tc>
          <w:tcPr>
            <w:tcW w:w="128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14,017</w:t>
            </w:r>
          </w:p>
        </w:tc>
        <w:tc>
          <w:tcPr>
            <w:tcW w:w="1940" w:type="dxa"/>
            <w:vAlign w:val="bottom"/>
            <w:gridSpan w:val="3"/>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6,390</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25,104</w:t>
            </w: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2,477</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1280" w:type="dxa"/>
            <w:vAlign w:val="bottom"/>
            <w:vMerge w:val="continue"/>
            <w:shd w:val="clear" w:color="auto" w:fill="CCEEFF"/>
          </w:tcPr>
          <w:p>
            <w:pPr>
              <w:spacing w:after="0"/>
              <w:rPr>
                <w:sz w:val="15"/>
                <w:szCs w:val="15"/>
                <w:color w:val="auto"/>
              </w:rPr>
            </w:pPr>
          </w:p>
        </w:tc>
        <w:tc>
          <w:tcPr>
            <w:tcW w:w="194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680" w:type="dxa"/>
            <w:vAlign w:val="bottom"/>
            <w:tcBorders>
              <w:top w:val="single" w:sz="8" w:color="CCEEFF"/>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Denominator:</w:t>
            </w: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80" w:type="dxa"/>
            <w:vAlign w:val="bottom"/>
          </w:tcPr>
          <w:p>
            <w:pPr>
              <w:ind w:left="360"/>
              <w:spacing w:after="0"/>
              <w:rPr>
                <w:sz w:val="20"/>
                <w:szCs w:val="20"/>
                <w:color w:val="auto"/>
              </w:rPr>
            </w:pPr>
            <w:r>
              <w:rPr>
                <w:rFonts w:ascii="Arial" w:cs="Arial" w:eastAsia="Arial" w:hAnsi="Arial"/>
                <w:sz w:val="13"/>
                <w:szCs w:val="13"/>
                <w:color w:val="auto"/>
              </w:rPr>
              <w:t>Basic shares:</w:t>
            </w: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540"/>
              <w:spacing w:after="0"/>
              <w:rPr>
                <w:sz w:val="20"/>
                <w:szCs w:val="20"/>
                <w:color w:val="auto"/>
              </w:rPr>
            </w:pPr>
            <w:r>
              <w:rPr>
                <w:rFonts w:ascii="Arial" w:cs="Arial" w:eastAsia="Arial" w:hAnsi="Arial"/>
                <w:sz w:val="13"/>
                <w:szCs w:val="13"/>
                <w:color w:val="auto"/>
                <w:w w:val="99"/>
              </w:rPr>
              <w:t>Weighted-average common shares outstanding - basic</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71,836</w:t>
            </w:r>
          </w:p>
        </w:tc>
        <w:tc>
          <w:tcPr>
            <w:tcW w:w="1940" w:type="dxa"/>
            <w:vAlign w:val="bottom"/>
            <w:gridSpan w:val="3"/>
            <w:shd w:val="clear" w:color="auto" w:fill="CCEEFF"/>
          </w:tcPr>
          <w:p>
            <w:pPr>
              <w:jc w:val="right"/>
              <w:ind w:right="217"/>
              <w:spacing w:after="0"/>
              <w:rPr>
                <w:sz w:val="20"/>
                <w:szCs w:val="20"/>
                <w:color w:val="auto"/>
              </w:rPr>
            </w:pPr>
            <w:r>
              <w:rPr>
                <w:rFonts w:ascii="Arial" w:cs="Arial" w:eastAsia="Arial" w:hAnsi="Arial"/>
                <w:sz w:val="13"/>
                <w:szCs w:val="13"/>
                <w:color w:val="auto"/>
              </w:rPr>
              <w:t>58,288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69,188</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58,258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3680" w:type="dxa"/>
            <w:vAlign w:val="bottom"/>
            <w:tcBorders>
              <w:top w:val="single" w:sz="8" w:color="CCEEFF"/>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Diluted shares:</w:t>
            </w: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0" w:type="dxa"/>
            <w:vAlign w:val="bottom"/>
            <w:gridSpan w:val="3"/>
          </w:tcPr>
          <w:p>
            <w:pPr>
              <w:ind w:left="340"/>
              <w:spacing w:after="0" w:line="146" w:lineRule="exact"/>
              <w:rPr>
                <w:sz w:val="20"/>
                <w:szCs w:val="20"/>
                <w:color w:val="auto"/>
              </w:rPr>
            </w:pPr>
            <w:r>
              <w:rPr>
                <w:rFonts w:ascii="Arial" w:cs="Arial" w:eastAsia="Arial" w:hAnsi="Arial"/>
                <w:sz w:val="13"/>
                <w:szCs w:val="13"/>
                <w:color w:val="auto"/>
              </w:rPr>
              <w:t>&lt; font</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60" w:type="dxa"/>
            <w:vAlign w:val="bottom"/>
            <w:gridSpan w:val="4"/>
          </w:tcPr>
          <w:p>
            <w:pPr>
              <w:ind w:left="1060"/>
              <w:spacing w:after="0"/>
              <w:rPr>
                <w:sz w:val="20"/>
                <w:szCs w:val="20"/>
                <w:color w:val="auto"/>
              </w:rPr>
            </w:pPr>
            <w:r>
              <w:rPr>
                <w:rFonts w:ascii="Arial" w:cs="Arial" w:eastAsia="Arial" w:hAnsi="Arial"/>
                <w:sz w:val="13"/>
                <w:szCs w:val="13"/>
                <w:color w:val="auto"/>
              </w:rPr>
              <w:t>style="font-</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60" w:type="dxa"/>
            <w:vAlign w:val="bottom"/>
            <w:gridSpan w:val="4"/>
          </w:tcPr>
          <w:p>
            <w:pPr>
              <w:ind w:left="1060"/>
              <w:spacing w:after="0" w:line="135" w:lineRule="exact"/>
              <w:rPr>
                <w:sz w:val="20"/>
                <w:szCs w:val="20"/>
                <w:color w:val="auto"/>
              </w:rPr>
            </w:pPr>
            <w:r>
              <w:rPr>
                <w:rFonts w:ascii="Arial" w:cs="Arial" w:eastAsia="Arial" w:hAnsi="Arial"/>
                <w:sz w:val="13"/>
                <w:szCs w:val="13"/>
                <w:color w:val="auto"/>
              </w:rPr>
              <w:t>family:inherit;font-</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680" w:type="dxa"/>
            <w:vAlign w:val="bottom"/>
          </w:tcPr>
          <w:p>
            <w:pPr>
              <w:ind w:left="540"/>
              <w:spacing w:after="0"/>
              <w:rPr>
                <w:sz w:val="20"/>
                <w:szCs w:val="20"/>
                <w:color w:val="auto"/>
              </w:rPr>
            </w:pPr>
            <w:r>
              <w:rPr>
                <w:rFonts w:ascii="Arial" w:cs="Arial" w:eastAsia="Arial" w:hAnsi="Arial"/>
                <w:sz w:val="13"/>
                <w:szCs w:val="13"/>
                <w:color w:val="auto"/>
                <w:w w:val="99"/>
              </w:rPr>
              <w:t>Weighted-average common shares outstanding - basic</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71,836</w:t>
            </w:r>
          </w:p>
        </w:tc>
        <w:tc>
          <w:tcPr>
            <w:tcW w:w="1940" w:type="dxa"/>
            <w:vAlign w:val="bottom"/>
            <w:gridSpan w:val="3"/>
          </w:tcPr>
          <w:p>
            <w:pPr>
              <w:jc w:val="right"/>
              <w:ind w:right="217"/>
              <w:spacing w:after="0"/>
              <w:rPr>
                <w:sz w:val="20"/>
                <w:szCs w:val="20"/>
                <w:color w:val="auto"/>
              </w:rPr>
            </w:pPr>
            <w:r>
              <w:rPr>
                <w:rFonts w:ascii="Arial" w:cs="Arial" w:eastAsia="Arial" w:hAnsi="Arial"/>
                <w:sz w:val="13"/>
                <w:szCs w:val="13"/>
                <w:color w:val="auto"/>
              </w:rPr>
              <w:t>58,288</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60" w:type="dxa"/>
            <w:vAlign w:val="bottom"/>
            <w:gridSpan w:val="4"/>
          </w:tcPr>
          <w:p>
            <w:pPr>
              <w:jc w:val="center"/>
              <w:ind w:right="480"/>
              <w:spacing w:after="0"/>
              <w:rPr>
                <w:sz w:val="20"/>
                <w:szCs w:val="20"/>
                <w:color w:val="auto"/>
              </w:rPr>
            </w:pPr>
            <w:r>
              <w:rPr>
                <w:rFonts w:ascii="Arial" w:cs="Arial" w:eastAsia="Arial" w:hAnsi="Arial"/>
                <w:sz w:val="13"/>
                <w:szCs w:val="13"/>
                <w:color w:val="auto"/>
                <w:w w:val="91"/>
              </w:rPr>
              <w:t>69,188size:10pt;"&gt;</w:t>
            </w:r>
          </w:p>
        </w:tc>
        <w:tc>
          <w:tcPr>
            <w:tcW w:w="700" w:type="dxa"/>
            <w:vAlign w:val="bottom"/>
          </w:tcPr>
          <w:p>
            <w:pPr>
              <w:jc w:val="right"/>
              <w:spacing w:after="0"/>
              <w:rPr>
                <w:sz w:val="20"/>
                <w:szCs w:val="20"/>
                <w:color w:val="auto"/>
              </w:rPr>
            </w:pPr>
            <w:r>
              <w:rPr>
                <w:rFonts w:ascii="Arial" w:cs="Arial" w:eastAsia="Arial" w:hAnsi="Arial"/>
                <w:sz w:val="13"/>
                <w:szCs w:val="13"/>
                <w:color w:val="auto"/>
              </w:rPr>
              <w:t>58,258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Effect of potentially dilutive securities:</w:t>
            </w: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80" w:type="dxa"/>
            <w:vAlign w:val="bottom"/>
          </w:tcPr>
          <w:p>
            <w:pPr>
              <w:ind w:left="700"/>
              <w:spacing w:after="0"/>
              <w:rPr>
                <w:sz w:val="20"/>
                <w:szCs w:val="20"/>
                <w:color w:val="auto"/>
              </w:rPr>
            </w:pPr>
            <w:r>
              <w:rPr>
                <w:rFonts w:ascii="Arial" w:cs="Arial" w:eastAsia="Arial" w:hAnsi="Arial"/>
                <w:sz w:val="13"/>
                <w:szCs w:val="13"/>
                <w:color w:val="auto"/>
              </w:rPr>
              <w:t>Employee stock option s</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5,992</w:t>
            </w:r>
          </w:p>
        </w:tc>
        <w:tc>
          <w:tcPr>
            <w:tcW w:w="1940" w:type="dxa"/>
            <w:vAlign w:val="bottom"/>
            <w:gridSpan w:val="3"/>
          </w:tcPr>
          <w:p>
            <w:pPr>
              <w:jc w:val="right"/>
              <w:ind w:right="217"/>
              <w:spacing w:after="0"/>
              <w:rPr>
                <w:sz w:val="20"/>
                <w:szCs w:val="20"/>
                <w:color w:val="auto"/>
              </w:rPr>
            </w:pPr>
            <w:r>
              <w:rPr>
                <w:rFonts w:ascii="Arial" w:cs="Arial" w:eastAsia="Arial" w:hAnsi="Arial"/>
                <w:sz w:val="13"/>
                <w:szCs w:val="13"/>
                <w:color w:val="auto"/>
              </w:rPr>
              <w:t>5,863</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7,368</w:t>
            </w: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5,907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Warrants to purchase common stock</w:t>
            </w:r>
          </w:p>
        </w:tc>
        <w:tc>
          <w:tcPr>
            <w:tcW w:w="12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93</w:t>
            </w:r>
          </w:p>
        </w:tc>
        <w:tc>
          <w:tcPr>
            <w:tcW w:w="160" w:type="dxa"/>
            <w:vAlign w:val="bottom"/>
            <w:tcBorders>
              <w:bottom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16</w:t>
            </w:r>
          </w:p>
        </w:tc>
        <w:tc>
          <w:tcPr>
            <w:tcW w:w="140" w:type="dxa"/>
            <w:vAlign w:val="bottom"/>
            <w:tcBorders>
              <w:bottom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0" w:type="dxa"/>
            <w:vAlign w:val="bottom"/>
            <w:tcBorders>
              <w:bottom w:val="single" w:sz="8" w:color="auto"/>
            </w:tcBorders>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680" w:type="dxa"/>
            <w:vAlign w:val="bottom"/>
          </w:tcPr>
          <w:p>
            <w:pPr>
              <w:ind w:left="360"/>
              <w:spacing w:after="0" w:line="145" w:lineRule="exact"/>
              <w:rPr>
                <w:sz w:val="20"/>
                <w:szCs w:val="20"/>
                <w:color w:val="auto"/>
              </w:rPr>
            </w:pPr>
            <w:r>
              <w:rPr>
                <w:rFonts w:ascii="Arial" w:cs="Arial" w:eastAsia="Arial" w:hAnsi="Arial"/>
                <w:sz w:val="13"/>
                <w:szCs w:val="13"/>
                <w:color w:val="auto"/>
                <w:w w:val="92"/>
              </w:rPr>
              <w:t>Weighted-average shares used to compute diluted net income</w:t>
            </w:r>
          </w:p>
        </w:tc>
        <w:tc>
          <w:tcPr>
            <w:tcW w:w="1280" w:type="dxa"/>
            <w:vAlign w:val="bottom"/>
            <w:vMerge w:val="restart"/>
          </w:tcPr>
          <w:p>
            <w:pPr>
              <w:jc w:val="right"/>
              <w:ind w:right="157"/>
              <w:spacing w:after="0"/>
              <w:rPr>
                <w:sz w:val="20"/>
                <w:szCs w:val="20"/>
                <w:color w:val="auto"/>
              </w:rPr>
            </w:pPr>
            <w:r>
              <w:rPr>
                <w:rFonts w:ascii="Arial" w:cs="Arial" w:eastAsia="Arial" w:hAnsi="Arial"/>
                <w:sz w:val="13"/>
                <w:szCs w:val="13"/>
                <w:color w:val="auto"/>
              </w:rPr>
              <w:t>77,921</w:t>
            </w:r>
          </w:p>
        </w:tc>
        <w:tc>
          <w:tcPr>
            <w:tcW w:w="1940" w:type="dxa"/>
            <w:vAlign w:val="bottom"/>
            <w:gridSpan w:val="3"/>
            <w:vMerge w:val="restart"/>
          </w:tcPr>
          <w:p>
            <w:pPr>
              <w:jc w:val="right"/>
              <w:ind w:right="217"/>
              <w:spacing w:after="0"/>
              <w:rPr>
                <w:sz w:val="20"/>
                <w:szCs w:val="20"/>
                <w:color w:val="auto"/>
              </w:rPr>
            </w:pPr>
            <w:r>
              <w:rPr>
                <w:rFonts w:ascii="Arial" w:cs="Arial" w:eastAsia="Arial" w:hAnsi="Arial"/>
                <w:sz w:val="13"/>
                <w:szCs w:val="13"/>
                <w:color w:val="auto"/>
              </w:rPr>
              <w:t>64,167</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76,645</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64,181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80" w:type="dxa"/>
            <w:vAlign w:val="bottom"/>
          </w:tcPr>
          <w:p>
            <w:pPr>
              <w:ind w:left="20"/>
              <w:spacing w:after="0"/>
              <w:rPr>
                <w:sz w:val="20"/>
                <w:szCs w:val="20"/>
                <w:color w:val="auto"/>
              </w:rPr>
            </w:pPr>
            <w:r>
              <w:rPr>
                <w:rFonts w:ascii="Arial" w:cs="Arial" w:eastAsia="Arial" w:hAnsi="Arial"/>
                <w:sz w:val="13"/>
                <w:szCs w:val="13"/>
                <w:color w:val="auto"/>
              </w:rPr>
              <w:t>per share</w:t>
            </w:r>
          </w:p>
        </w:tc>
        <w:tc>
          <w:tcPr>
            <w:tcW w:w="1280" w:type="dxa"/>
            <w:vAlign w:val="bottom"/>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w w:val="96"/>
              </w:rPr>
              <w:t>Net income per share attributable to common stockholders:</w:t>
            </w:r>
          </w:p>
        </w:tc>
        <w:tc>
          <w:tcPr>
            <w:tcW w:w="1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80" w:type="dxa"/>
            <w:vAlign w:val="bottom"/>
            <w:tcBorders>
              <w:bottom w:val="single" w:sz="8" w:color="CCEEFF"/>
            </w:tcBorders>
          </w:tcPr>
          <w:p>
            <w:pPr>
              <w:ind w:left="700"/>
              <w:spacing w:after="0"/>
              <w:rPr>
                <w:sz w:val="20"/>
                <w:szCs w:val="20"/>
                <w:color w:val="auto"/>
              </w:rPr>
            </w:pPr>
            <w:r>
              <w:rPr>
                <w:rFonts w:ascii="Arial" w:cs="Arial" w:eastAsia="Arial" w:hAnsi="Arial"/>
                <w:sz w:val="13"/>
                <w:szCs w:val="13"/>
                <w:color w:val="auto"/>
              </w:rPr>
              <w:t>Basic</w:t>
            </w: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0.20</w:t>
            </w: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0.11</w:t>
            </w: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0.36</w:t>
            </w: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0.04</w:t>
            </w: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Diluted</w:t>
            </w:r>
          </w:p>
        </w:tc>
        <w:tc>
          <w:tcPr>
            <w:tcW w:w="12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0.18</w:t>
            </w:r>
          </w:p>
        </w:tc>
        <w:tc>
          <w:tcPr>
            <w:tcW w:w="1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0.10</w:t>
            </w:r>
          </w:p>
        </w:tc>
        <w:tc>
          <w:tcPr>
            <w:tcW w:w="1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0.33</w:t>
            </w:r>
          </w:p>
        </w:tc>
        <w:tc>
          <w:tcPr>
            <w:tcW w:w="10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2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Net income has been allocated to the common and preferred stock based on their respective rights to share in dividends.</w:t>
      </w:r>
    </w:p>
    <w:p>
      <w:pPr>
        <w:spacing w:after="0" w:line="159" w:lineRule="exact"/>
        <w:rPr>
          <w:sz w:val="20"/>
          <w:szCs w:val="20"/>
          <w:color w:val="auto"/>
        </w:rPr>
      </w:pPr>
    </w:p>
    <w:p>
      <w:pPr>
        <w:ind w:right="80" w:firstLine="347"/>
        <w:spacing w:after="0" w:line="268" w:lineRule="auto"/>
        <w:rPr>
          <w:sz w:val="20"/>
          <w:szCs w:val="20"/>
          <w:color w:val="auto"/>
        </w:rPr>
      </w:pPr>
      <w:r>
        <w:rPr>
          <w:rFonts w:ascii="Arial" w:cs="Arial" w:eastAsia="Arial" w:hAnsi="Arial"/>
          <w:sz w:val="13"/>
          <w:szCs w:val="13"/>
          <w:color w:val="auto"/>
        </w:rPr>
        <w:t>The following outstanding options and convertible preferred stock were excluded from the computation of diluted net income per common s hare applicable to common stockholders for the periods presented as their effect would have been antidilutive (in 000's):</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&lt; /tr&gt;</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80" w:type="dxa"/>
            <w:vAlign w:val="bottom"/>
            <w:gridSpan w:val="4"/>
          </w:tcPr>
          <w:p>
            <w:pPr>
              <w:ind w:left="60"/>
              <w:spacing w:after="0"/>
              <w:rPr>
                <w:sz w:val="20"/>
                <w:szCs w:val="20"/>
                <w:color w:val="auto"/>
              </w:rPr>
            </w:pPr>
            <w:r>
              <w:rPr>
                <w:rFonts w:ascii="Arial" w:cs="Arial" w:eastAsia="Arial" w:hAnsi="Arial"/>
                <w:sz w:val="12"/>
                <w:szCs w:val="12"/>
                <w:b w:val="1"/>
                <w:bCs w:val="1"/>
                <w:color w:val="auto"/>
              </w:rPr>
              <w:t>Three Months Ended</w:t>
            </w:r>
          </w:p>
        </w:tc>
        <w:tc>
          <w:tcPr>
            <w:tcW w:w="1360" w:type="dxa"/>
            <w:vAlign w:val="bottom"/>
          </w:tcPr>
          <w:p>
            <w:pPr>
              <w:spacing w:after="0"/>
              <w:rPr>
                <w:sz w:val="12"/>
                <w:szCs w:val="12"/>
                <w:color w:val="auto"/>
              </w:rPr>
            </w:pPr>
          </w:p>
        </w:tc>
        <w:tc>
          <w:tcPr>
            <w:tcW w:w="2160" w:type="dxa"/>
            <w:vAlign w:val="bottom"/>
            <w:gridSpan w:val="3"/>
          </w:tcPr>
          <w:p>
            <w:pPr>
              <w:jc w:val="right"/>
              <w:ind w:right="1018"/>
              <w:spacing w:after="0"/>
              <w:rPr>
                <w:sz w:val="20"/>
                <w:szCs w:val="20"/>
                <w:color w:val="auto"/>
              </w:rPr>
            </w:pPr>
            <w:r>
              <w:rPr>
                <w:rFonts w:ascii="Arial" w:cs="Arial" w:eastAsia="Arial" w:hAnsi="Arial"/>
                <w:sz w:val="12"/>
                <w:szCs w:val="12"/>
                <w:b w:val="1"/>
                <w:bCs w:val="1"/>
                <w:color w:val="auto"/>
                <w:w w:val="94"/>
              </w:rPr>
              <w:t>Nine Months Ended</w:t>
            </w:r>
          </w:p>
        </w:tc>
      </w:tr>
      <w:tr>
        <w:trPr>
          <w:trHeight w:val="24"/>
        </w:trPr>
        <w:tc>
          <w:tcPr>
            <w:tcW w:w="40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45"/>
        </w:trPr>
        <w:tc>
          <w:tcPr>
            <w:tcW w:w="40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ind w:left="540"/>
              <w:spacing w:after="0"/>
              <w:rPr>
                <w:sz w:val="20"/>
                <w:szCs w:val="20"/>
                <w:color w:val="auto"/>
              </w:rPr>
            </w:pPr>
            <w:r>
              <w:rPr>
                <w:rFonts w:ascii="Arial" w:cs="Arial" w:eastAsia="Arial" w:hAnsi="Arial"/>
                <w:sz w:val="12"/>
                <w:szCs w:val="12"/>
                <w:b w:val="1"/>
                <w:bCs w:val="1"/>
                <w:color w:val="auto"/>
              </w:rPr>
              <w:t>September 30,</w:t>
            </w:r>
          </w:p>
        </w:tc>
        <w:tc>
          <w:tcPr>
            <w:tcW w:w="136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right"/>
              <w:ind w:right="178"/>
              <w:spacing w:after="0"/>
              <w:rPr>
                <w:sz w:val="20"/>
                <w:szCs w:val="20"/>
                <w:color w:val="auto"/>
              </w:rPr>
            </w:pPr>
            <w:r>
              <w:rPr>
                <w:rFonts w:ascii="Arial" w:cs="Arial" w:eastAsia="Arial" w:hAnsi="Arial"/>
                <w:sz w:val="12"/>
                <w:szCs w:val="12"/>
                <w:b w:val="1"/>
                <w:bCs w:val="1"/>
                <w:color w:val="auto"/>
              </w:rPr>
              <w:t>September 30,</w:t>
            </w:r>
          </w:p>
        </w:tc>
      </w:tr>
      <w:tr>
        <w:trPr>
          <w:trHeight w:val="149"/>
        </w:trPr>
        <w:tc>
          <w:tcPr>
            <w:tcW w:w="4000" w:type="dxa"/>
            <w:vAlign w:val="bottom"/>
          </w:tcPr>
          <w:p>
            <w:pPr>
              <w:spacing w:after="0"/>
              <w:rPr>
                <w:sz w:val="12"/>
                <w:szCs w:val="12"/>
                <w:color w:val="auto"/>
              </w:rPr>
            </w:pPr>
          </w:p>
        </w:tc>
        <w:tc>
          <w:tcPr>
            <w:tcW w:w="1340" w:type="dxa"/>
            <w:vAlign w:val="bottom"/>
          </w:tcPr>
          <w:p>
            <w:pPr>
              <w:jc w:val="right"/>
              <w:ind w:right="398"/>
              <w:spacing w:after="0"/>
              <w:rPr>
                <w:sz w:val="20"/>
                <w:szCs w:val="20"/>
                <w:color w:val="auto"/>
              </w:rPr>
            </w:pPr>
            <w:r>
              <w:rPr>
                <w:rFonts w:ascii="Arial" w:cs="Arial" w:eastAsia="Arial" w:hAnsi="Arial"/>
                <w:sz w:val="12"/>
                <w:szCs w:val="12"/>
                <w:b w:val="1"/>
                <w:bCs w:val="1"/>
                <w:color w:val="auto"/>
              </w:rPr>
              <w:t>2010</w:t>
            </w:r>
          </w:p>
        </w:tc>
        <w:tc>
          <w:tcPr>
            <w:tcW w:w="2160" w:type="dxa"/>
            <w:vAlign w:val="bottom"/>
            <w:gridSpan w:val="3"/>
          </w:tcPr>
          <w:p>
            <w:pPr>
              <w:jc w:val="right"/>
              <w:ind w:right="578"/>
              <w:spacing w:after="0"/>
              <w:rPr>
                <w:sz w:val="20"/>
                <w:szCs w:val="20"/>
                <w:color w:val="auto"/>
              </w:rPr>
            </w:pPr>
            <w:r>
              <w:rPr>
                <w:rFonts w:ascii="Arial" w:cs="Arial" w:eastAsia="Arial" w:hAnsi="Arial"/>
                <w:sz w:val="12"/>
                <w:szCs w:val="12"/>
                <w:b w:val="1"/>
                <w:bCs w:val="1"/>
                <w:color w:val="auto"/>
              </w:rPr>
              <w:t>2009</w:t>
            </w:r>
          </w:p>
        </w:tc>
        <w:tc>
          <w:tcPr>
            <w:tcW w:w="420" w:type="dxa"/>
            <w:vAlign w:val="bottom"/>
          </w:tcPr>
          <w:p>
            <w:pPr>
              <w:spacing w:after="0"/>
              <w:rPr>
                <w:sz w:val="12"/>
                <w:szCs w:val="12"/>
                <w:color w:val="auto"/>
              </w:rPr>
            </w:pPr>
          </w:p>
        </w:tc>
        <w:tc>
          <w:tcPr>
            <w:tcW w:w="1360" w:type="dxa"/>
            <w:vAlign w:val="bottom"/>
          </w:tcPr>
          <w:p>
            <w:pPr>
              <w:jc w:val="right"/>
              <w:ind w:right="398"/>
              <w:spacing w:after="0"/>
              <w:rPr>
                <w:sz w:val="20"/>
                <w:szCs w:val="20"/>
                <w:color w:val="auto"/>
              </w:rPr>
            </w:pPr>
            <w:r>
              <w:rPr>
                <w:rFonts w:ascii="Arial" w:cs="Arial" w:eastAsia="Arial" w:hAnsi="Arial"/>
                <w:sz w:val="12"/>
                <w:szCs w:val="12"/>
                <w:b w:val="1"/>
                <w:bCs w:val="1"/>
                <w:color w:val="auto"/>
              </w:rPr>
              <w:t>2010</w:t>
            </w:r>
          </w:p>
        </w:tc>
        <w:tc>
          <w:tcPr>
            <w:tcW w:w="2160" w:type="dxa"/>
            <w:vAlign w:val="bottom"/>
            <w:gridSpan w:val="3"/>
          </w:tcPr>
          <w:p>
            <w:pPr>
              <w:jc w:val="right"/>
              <w:ind w:right="578"/>
              <w:spacing w:after="0"/>
              <w:rPr>
                <w:sz w:val="20"/>
                <w:szCs w:val="20"/>
                <w:color w:val="auto"/>
              </w:rPr>
            </w:pPr>
            <w:r>
              <w:rPr>
                <w:rFonts w:ascii="Arial" w:cs="Arial" w:eastAsia="Arial" w:hAnsi="Arial"/>
                <w:sz w:val="12"/>
                <w:szCs w:val="12"/>
                <w:b w:val="1"/>
                <w:bCs w:val="1"/>
                <w:color w:val="auto"/>
              </w:rPr>
              <w:t>2009</w:t>
            </w:r>
          </w:p>
        </w:tc>
      </w:tr>
      <w:tr>
        <w:trPr>
          <w:trHeight w:val="24"/>
        </w:trPr>
        <w:tc>
          <w:tcPr>
            <w:tcW w:w="40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2"/>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Options to purchase common stock</w:t>
            </w:r>
          </w:p>
        </w:tc>
        <w:tc>
          <w:tcPr>
            <w:tcW w:w="134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1,756</w:t>
            </w:r>
          </w:p>
        </w:tc>
        <w:tc>
          <w:tcPr>
            <w:tcW w:w="2160" w:type="dxa"/>
            <w:vAlign w:val="bottom"/>
            <w:gridSpan w:val="3"/>
            <w:shd w:val="clear" w:color="auto" w:fill="CCEEFF"/>
          </w:tcPr>
          <w:p>
            <w:pPr>
              <w:jc w:val="right"/>
              <w:ind w:right="338"/>
              <w:spacing w:after="0"/>
              <w:rPr>
                <w:sz w:val="20"/>
                <w:szCs w:val="20"/>
                <w:color w:val="auto"/>
              </w:rPr>
            </w:pPr>
            <w:r>
              <w:rPr>
                <w:rFonts w:ascii="Arial" w:cs="Arial" w:eastAsia="Arial" w:hAnsi="Arial"/>
                <w:sz w:val="13"/>
                <w:szCs w:val="13"/>
                <w:color w:val="auto"/>
              </w:rPr>
              <w:t>3,91 8</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1,295</w:t>
            </w:r>
          </w:p>
        </w:tc>
        <w:tc>
          <w:tcPr>
            <w:tcW w:w="2160" w:type="dxa"/>
            <w:vAlign w:val="bottom"/>
            <w:gridSpan w:val="3"/>
            <w:shd w:val="clear" w:color="auto" w:fill="CCEEFF"/>
          </w:tcPr>
          <w:p>
            <w:pPr>
              <w:jc w:val="right"/>
              <w:ind w:right="338"/>
              <w:spacing w:after="0"/>
              <w:rPr>
                <w:sz w:val="20"/>
                <w:szCs w:val="20"/>
                <w:color w:val="auto"/>
              </w:rPr>
            </w:pPr>
            <w:r>
              <w:rPr>
                <w:rFonts w:ascii="Arial" w:cs="Arial" w:eastAsia="Arial" w:hAnsi="Arial"/>
                <w:sz w:val="13"/>
                <w:szCs w:val="13"/>
                <w:color w:val="auto"/>
              </w:rPr>
              <w:t>9,486</w:t>
            </w:r>
          </w:p>
        </w:tc>
      </w:tr>
      <w:tr>
        <w:trPr>
          <w:trHeight w:val="165"/>
        </w:trPr>
        <w:tc>
          <w:tcPr>
            <w:tcW w:w="4000" w:type="dxa"/>
            <w:vAlign w:val="bottom"/>
          </w:tcPr>
          <w:p>
            <w:pPr>
              <w:ind w:left="360"/>
              <w:spacing w:after="0"/>
              <w:rPr>
                <w:sz w:val="20"/>
                <w:szCs w:val="20"/>
                <w:color w:val="auto"/>
              </w:rPr>
            </w:pPr>
            <w:r>
              <w:rPr>
                <w:rFonts w:ascii="Arial" w:cs="Arial" w:eastAsia="Arial" w:hAnsi="Arial"/>
                <w:sz w:val="13"/>
                <w:szCs w:val="13"/>
                <w:color w:val="auto"/>
                <w:w w:val="97"/>
              </w:rPr>
              <w:t>Convertible preferred stock (on an if-converted to common stock</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basis)</w:t>
            </w:r>
          </w:p>
        </w:tc>
        <w:tc>
          <w:tcPr>
            <w:tcW w:w="13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color w:val="auto"/>
              </w:rPr>
              <w:t>37,476</w:t>
            </w:r>
          </w:p>
        </w:tc>
        <w:tc>
          <w:tcPr>
            <w:tcW w:w="4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color w:val="auto"/>
              </w:rPr>
              <w:t>37,476</w:t>
            </w:r>
          </w:p>
        </w:tc>
      </w:tr>
      <w:tr>
        <w:trPr>
          <w:trHeight w:val="201"/>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w:t>
            </w: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1,756</w:t>
            </w:r>
          </w:p>
        </w:tc>
        <w:tc>
          <w:tcPr>
            <w:tcW w:w="2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3"/>
                <w:szCs w:val="13"/>
                <w:color w:val="auto"/>
              </w:rPr>
              <w:t>41,394</w:t>
            </w:r>
          </w:p>
        </w:tc>
        <w:tc>
          <w:tcPr>
            <w:tcW w:w="4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1,295</w:t>
            </w:r>
          </w:p>
        </w:tc>
        <w:tc>
          <w:tcPr>
            <w:tcW w:w="2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3"/>
                <w:szCs w:val="13"/>
                <w:color w:val="auto"/>
              </w:rPr>
              <w:t>46,962</w:t>
            </w:r>
          </w:p>
        </w:tc>
      </w:tr>
      <w:tr>
        <w:trPr>
          <w:trHeight w:val="308"/>
        </w:trPr>
        <w:tc>
          <w:tcPr>
            <w:tcW w:w="4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15</w:t>
            </w: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60"/>
          </w:cols>
          <w:pgMar w:left="220" w:top="131" w:right="219" w:bottom="1440" w:gutter="0" w:footer="0" w:header="0"/>
        </w:sectPr>
      </w:pPr>
    </w:p>
    <w:bookmarkStart w:id="15" w:name="page16"/>
    <w:bookmarkEnd w:id="15"/>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(Unaudited)</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6. DEFERRED REVENUES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Deferred revenues consisted of the following ($ amounts in 000's):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400" w:type="dxa"/>
            <w:vAlign w:val="bottom"/>
          </w:tcPr>
          <w:p>
            <w:pPr>
              <w:spacing w:after="0"/>
              <w:rPr>
                <w:sz w:val="12"/>
                <w:szCs w:val="12"/>
                <w:color w:val="auto"/>
              </w:rPr>
            </w:pPr>
          </w:p>
        </w:tc>
        <w:tc>
          <w:tcPr>
            <w:tcW w:w="1800" w:type="dxa"/>
            <w:vAlign w:val="bottom"/>
          </w:tcPr>
          <w:p>
            <w:pPr>
              <w:jc w:val="right"/>
              <w:ind w:right="317"/>
              <w:spacing w:after="0"/>
              <w:rPr>
                <w:sz w:val="20"/>
                <w:szCs w:val="20"/>
                <w:color w:val="auto"/>
              </w:rPr>
            </w:pPr>
            <w:r>
              <w:rPr>
                <w:rFonts w:ascii="Arial" w:cs="Arial" w:eastAsia="Arial" w:hAnsi="Arial"/>
                <w:sz w:val="12"/>
                <w:szCs w:val="12"/>
                <w:b w:val="1"/>
                <w:bCs w:val="1"/>
                <w:color w:val="auto"/>
              </w:rPr>
              <w:t>September 30,</w:t>
            </w:r>
          </w:p>
        </w:tc>
        <w:tc>
          <w:tcPr>
            <w:tcW w:w="460" w:type="dxa"/>
            <w:vAlign w:val="bottom"/>
          </w:tcPr>
          <w:p>
            <w:pPr>
              <w:spacing w:after="0"/>
              <w:rPr>
                <w:sz w:val="12"/>
                <w:szCs w:val="12"/>
                <w:color w:val="auto"/>
              </w:rPr>
            </w:pPr>
          </w:p>
        </w:tc>
        <w:tc>
          <w:tcPr>
            <w:tcW w:w="1820" w:type="dxa"/>
            <w:vAlign w:val="bottom"/>
          </w:tcPr>
          <w:p>
            <w:pPr>
              <w:jc w:val="right"/>
              <w:ind w:right="357"/>
              <w:spacing w:after="0"/>
              <w:rPr>
                <w:sz w:val="20"/>
                <w:szCs w:val="20"/>
                <w:color w:val="auto"/>
              </w:rPr>
            </w:pPr>
            <w:r>
              <w:rPr>
                <w:rFonts w:ascii="Arial" w:cs="Arial" w:eastAsia="Arial" w:hAnsi="Arial"/>
                <w:sz w:val="12"/>
                <w:szCs w:val="12"/>
                <w:b w:val="1"/>
                <w:bCs w:val="1"/>
                <w:color w:val="auto"/>
              </w:rPr>
              <w:t>December 31,</w:t>
            </w:r>
          </w:p>
        </w:tc>
      </w:tr>
      <w:tr>
        <w:trPr>
          <w:trHeight w:val="149"/>
        </w:trPr>
        <w:tc>
          <w:tcPr>
            <w:tcW w:w="7400" w:type="dxa"/>
            <w:vAlign w:val="bottom"/>
          </w:tcPr>
          <w:p>
            <w:pPr>
              <w:spacing w:after="0"/>
              <w:rPr>
                <w:sz w:val="12"/>
                <w:szCs w:val="12"/>
                <w:color w:val="auto"/>
              </w:rPr>
            </w:pPr>
          </w:p>
        </w:tc>
        <w:tc>
          <w:tcPr>
            <w:tcW w:w="1800" w:type="dxa"/>
            <w:vAlign w:val="bottom"/>
          </w:tcPr>
          <w:p>
            <w:pPr>
              <w:jc w:val="right"/>
              <w:ind w:right="717"/>
              <w:spacing w:after="0"/>
              <w:rPr>
                <w:sz w:val="20"/>
                <w:szCs w:val="20"/>
                <w:color w:val="auto"/>
              </w:rPr>
            </w:pPr>
            <w:r>
              <w:rPr>
                <w:rFonts w:ascii="Arial" w:cs="Arial" w:eastAsia="Arial" w:hAnsi="Arial"/>
                <w:sz w:val="12"/>
                <w:szCs w:val="12"/>
                <w:b w:val="1"/>
                <w:bCs w:val="1"/>
                <w:color w:val="auto"/>
              </w:rPr>
              <w:t>2010</w:t>
            </w:r>
          </w:p>
        </w:tc>
        <w:tc>
          <w:tcPr>
            <w:tcW w:w="2280" w:type="dxa"/>
            <w:vAlign w:val="bottom"/>
            <w:gridSpan w:val="2"/>
          </w:tcPr>
          <w:p>
            <w:pPr>
              <w:jc w:val="right"/>
              <w:ind w:right="737"/>
              <w:spacing w:after="0"/>
              <w:rPr>
                <w:sz w:val="20"/>
                <w:szCs w:val="20"/>
                <w:color w:val="auto"/>
              </w:rPr>
            </w:pPr>
            <w:r>
              <w:rPr>
                <w:rFonts w:ascii="Arial" w:cs="Arial" w:eastAsia="Arial" w:hAnsi="Arial"/>
                <w:sz w:val="12"/>
                <w:szCs w:val="12"/>
                <w:b w:val="1"/>
                <w:bCs w:val="1"/>
                <w:color w:val="auto"/>
              </w:rPr>
              <w:t>2009</w:t>
            </w:r>
          </w:p>
        </w:tc>
      </w:tr>
      <w:tr>
        <w:trPr>
          <w:trHeight w:val="24"/>
        </w:trPr>
        <w:tc>
          <w:tcPr>
            <w:tcW w:w="74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82"/>
        </w:trPr>
        <w:tc>
          <w:tcPr>
            <w:tcW w:w="74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Product</w:t>
            </w:r>
          </w:p>
        </w:tc>
        <w:tc>
          <w:tcPr>
            <w:tcW w:w="18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6,041</w:t>
            </w:r>
          </w:p>
        </w:tc>
        <w:tc>
          <w:tcPr>
            <w:tcW w:w="2280" w:type="dxa"/>
            <w:vAlign w:val="bottom"/>
            <w:gridSpan w:val="2"/>
            <w:shd w:val="clear" w:color="auto" w:fill="CCEEFF"/>
          </w:tcPr>
          <w:p>
            <w:pPr>
              <w:jc w:val="right"/>
              <w:ind w:right="337"/>
              <w:spacing w:after="0"/>
              <w:rPr>
                <w:sz w:val="20"/>
                <w:szCs w:val="20"/>
                <w:color w:val="auto"/>
              </w:rPr>
            </w:pPr>
            <w:r>
              <w:rPr>
                <w:rFonts w:ascii="Arial" w:cs="Arial" w:eastAsia="Arial" w:hAnsi="Arial"/>
                <w:sz w:val="13"/>
                <w:szCs w:val="13"/>
                <w:color w:val="auto"/>
              </w:rPr>
              <w:t>4,141</w:t>
            </w:r>
          </w:p>
        </w:tc>
      </w:tr>
      <w:tr>
        <w:trPr>
          <w:trHeight w:val="183"/>
        </w:trPr>
        <w:tc>
          <w:tcPr>
            <w:tcW w:w="7400" w:type="dxa"/>
            <w:vAlign w:val="bottom"/>
          </w:tcPr>
          <w:p>
            <w:pPr>
              <w:ind w:left="360"/>
              <w:spacing w:after="0"/>
              <w:rPr>
                <w:sz w:val="20"/>
                <w:szCs w:val="20"/>
                <w:color w:val="auto"/>
              </w:rPr>
            </w:pPr>
            <w:r>
              <w:rPr>
                <w:rFonts w:ascii="Arial" w:cs="Arial" w:eastAsia="Arial" w:hAnsi="Arial"/>
                <w:sz w:val="13"/>
                <w:szCs w:val="13"/>
                <w:color w:val="auto"/>
              </w:rPr>
              <w:t>Services</w:t>
            </w:r>
          </w:p>
        </w:tc>
        <w:tc>
          <w:tcPr>
            <w:tcW w:w="1800" w:type="dxa"/>
            <w:vAlign w:val="bottom"/>
          </w:tcPr>
          <w:p>
            <w:pPr>
              <w:jc w:val="right"/>
              <w:ind w:right="317"/>
              <w:spacing w:after="0"/>
              <w:rPr>
                <w:sz w:val="20"/>
                <w:szCs w:val="20"/>
                <w:color w:val="auto"/>
              </w:rPr>
            </w:pPr>
            <w:r>
              <w:rPr>
                <w:rFonts w:ascii="Arial" w:cs="Arial" w:eastAsia="Arial" w:hAnsi="Arial"/>
                <w:sz w:val="13"/>
                <w:szCs w:val="13"/>
                <w:color w:val="auto"/>
              </w:rPr>
              <w:t>199,570</w:t>
            </w:r>
          </w:p>
        </w:tc>
        <w:tc>
          <w:tcPr>
            <w:tcW w:w="2280" w:type="dxa"/>
            <w:vAlign w:val="bottom"/>
            <w:gridSpan w:val="2"/>
          </w:tcPr>
          <w:p>
            <w:pPr>
              <w:jc w:val="right"/>
              <w:ind w:right="337"/>
              <w:spacing w:after="0"/>
              <w:rPr>
                <w:sz w:val="20"/>
                <w:szCs w:val="20"/>
                <w:color w:val="auto"/>
              </w:rPr>
            </w:pPr>
            <w:r>
              <w:rPr>
                <w:rFonts w:ascii="Arial" w:cs="Arial" w:eastAsia="Arial" w:hAnsi="Arial"/>
                <w:sz w:val="13"/>
                <w:szCs w:val="13"/>
                <w:color w:val="auto"/>
              </w:rPr>
              <w:t>168,314</w:t>
            </w:r>
          </w:p>
        </w:tc>
      </w:tr>
      <w:tr>
        <w:trPr>
          <w:trHeight w:val="193"/>
        </w:trPr>
        <w:tc>
          <w:tcPr>
            <w:tcW w:w="74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Ratable products and services</w:t>
            </w:r>
          </w:p>
        </w:tc>
        <w:tc>
          <w:tcPr>
            <w:tcW w:w="180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29,639</w:t>
            </w:r>
          </w:p>
        </w:tc>
        <w:tc>
          <w:tcPr>
            <w:tcW w:w="460" w:type="dxa"/>
            <w:vAlign w:val="bottom"/>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29,475</w:t>
            </w:r>
          </w:p>
        </w:tc>
      </w:tr>
      <w:tr>
        <w:trPr>
          <w:trHeight w:val="201"/>
        </w:trPr>
        <w:tc>
          <w:tcPr>
            <w:tcW w:w="7400" w:type="dxa"/>
            <w:vAlign w:val="bottom"/>
          </w:tcPr>
          <w:p>
            <w:pPr>
              <w:ind w:left="360"/>
              <w:spacing w:after="0"/>
              <w:rPr>
                <w:sz w:val="20"/>
                <w:szCs w:val="20"/>
                <w:color w:val="auto"/>
              </w:rPr>
            </w:pPr>
            <w:r>
              <w:rPr>
                <w:rFonts w:ascii="Arial" w:cs="Arial" w:eastAsia="Arial" w:hAnsi="Arial"/>
                <w:sz w:val="13"/>
                <w:szCs w:val="13"/>
                <w:color w:val="auto"/>
              </w:rPr>
              <w:t>Total deferred revenues</w:t>
            </w:r>
          </w:p>
        </w:tc>
        <w:tc>
          <w:tcPr>
            <w:tcW w:w="1800" w:type="dxa"/>
            <w:vAlign w:val="bottom"/>
          </w:tcPr>
          <w:p>
            <w:pPr>
              <w:jc w:val="right"/>
              <w:ind w:right="317"/>
              <w:spacing w:after="0"/>
              <w:rPr>
                <w:sz w:val="20"/>
                <w:szCs w:val="20"/>
                <w:color w:val="auto"/>
              </w:rPr>
            </w:pPr>
            <w:r>
              <w:rPr>
                <w:rFonts w:ascii="Arial" w:cs="Arial" w:eastAsia="Arial" w:hAnsi="Arial"/>
                <w:sz w:val="13"/>
                <w:szCs w:val="13"/>
                <w:color w:val="auto"/>
              </w:rPr>
              <w:t>235,250</w:t>
            </w:r>
          </w:p>
        </w:tc>
        <w:tc>
          <w:tcPr>
            <w:tcW w:w="2280" w:type="dxa"/>
            <w:vAlign w:val="bottom"/>
            <w:gridSpan w:val="2"/>
          </w:tcPr>
          <w:p>
            <w:pPr>
              <w:jc w:val="right"/>
              <w:ind w:right="337"/>
              <w:spacing w:after="0"/>
              <w:rPr>
                <w:sz w:val="20"/>
                <w:szCs w:val="20"/>
                <w:color w:val="auto"/>
              </w:rPr>
            </w:pPr>
            <w:r>
              <w:rPr>
                <w:rFonts w:ascii="Arial" w:cs="Arial" w:eastAsia="Arial" w:hAnsi="Arial"/>
                <w:sz w:val="13"/>
                <w:szCs w:val="13"/>
                <w:color w:val="auto"/>
              </w:rPr>
              <w:t>201,930</w:t>
            </w:r>
          </w:p>
        </w:tc>
      </w:tr>
      <w:tr>
        <w:trPr>
          <w:trHeight w:val="193"/>
        </w:trPr>
        <w:tc>
          <w:tcPr>
            <w:tcW w:w="7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Reported As:</w:t>
            </w:r>
          </w:p>
        </w:tc>
        <w:tc>
          <w:tcPr>
            <w:tcW w:w="1800" w:type="dxa"/>
            <w:vAlign w:val="bottom"/>
            <w:tcBorders>
              <w:top w:val="single" w:sz="8" w:color="auto"/>
            </w:tcBorders>
            <w:shd w:val="clear" w:color="auto" w:fill="CCEEFF"/>
          </w:tcPr>
          <w:p>
            <w:pPr>
              <w:spacing w:after="0"/>
              <w:rPr>
                <w:sz w:val="16"/>
                <w:szCs w:val="16"/>
                <w:color w:val="auto"/>
              </w:rPr>
            </w:pPr>
          </w:p>
        </w:tc>
        <w:tc>
          <w:tcPr>
            <w:tcW w:w="460" w:type="dxa"/>
            <w:vAlign w:val="bottom"/>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r>
      <w:tr>
        <w:trPr>
          <w:trHeight w:val="183"/>
        </w:trPr>
        <w:tc>
          <w:tcPr>
            <w:tcW w:w="7400" w:type="dxa"/>
            <w:vAlign w:val="bottom"/>
          </w:tcPr>
          <w:p>
            <w:pPr>
              <w:ind w:left="460"/>
              <w:spacing w:after="0"/>
              <w:rPr>
                <w:sz w:val="20"/>
                <w:szCs w:val="20"/>
                <w:color w:val="auto"/>
              </w:rPr>
            </w:pPr>
            <w:r>
              <w:rPr>
                <w:rFonts w:ascii="Arial" w:cs="Arial" w:eastAsia="Arial" w:hAnsi="Arial"/>
                <w:sz w:val="13"/>
                <w:szCs w:val="13"/>
                <w:color w:val="auto"/>
              </w:rPr>
              <w:t>Current</w:t>
            </w:r>
          </w:p>
        </w:tc>
        <w:tc>
          <w:tcPr>
            <w:tcW w:w="1800" w:type="dxa"/>
            <w:vAlign w:val="bottom"/>
          </w:tcPr>
          <w:p>
            <w:pPr>
              <w:jc w:val="right"/>
              <w:ind w:right="317"/>
              <w:spacing w:after="0"/>
              <w:rPr>
                <w:sz w:val="20"/>
                <w:szCs w:val="20"/>
                <w:color w:val="auto"/>
              </w:rPr>
            </w:pPr>
            <w:r>
              <w:rPr>
                <w:rFonts w:ascii="Arial" w:cs="Arial" w:eastAsia="Arial" w:hAnsi="Arial"/>
                <w:sz w:val="13"/>
                <w:szCs w:val="13"/>
                <w:color w:val="auto"/>
              </w:rPr>
              <w:t>158,430</w:t>
            </w:r>
          </w:p>
        </w:tc>
        <w:tc>
          <w:tcPr>
            <w:tcW w:w="2280" w:type="dxa"/>
            <w:vAlign w:val="bottom"/>
            <w:gridSpan w:val="2"/>
          </w:tcPr>
          <w:p>
            <w:pPr>
              <w:jc w:val="right"/>
              <w:ind w:right="337"/>
              <w:spacing w:after="0"/>
              <w:rPr>
                <w:sz w:val="20"/>
                <w:szCs w:val="20"/>
                <w:color w:val="auto"/>
              </w:rPr>
            </w:pPr>
            <w:r>
              <w:rPr>
                <w:rFonts w:ascii="Arial" w:cs="Arial" w:eastAsia="Arial" w:hAnsi="Arial"/>
                <w:sz w:val="13"/>
                <w:szCs w:val="13"/>
                <w:color w:val="auto"/>
              </w:rPr>
              <w:t>140,537</w:t>
            </w:r>
          </w:p>
        </w:tc>
      </w:tr>
      <w:tr>
        <w:trPr>
          <w:trHeight w:val="193"/>
        </w:trPr>
        <w:tc>
          <w:tcPr>
            <w:tcW w:w="74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Non-current</w:t>
            </w:r>
          </w:p>
        </w:tc>
        <w:tc>
          <w:tcPr>
            <w:tcW w:w="180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76,820</w:t>
            </w:r>
          </w:p>
        </w:tc>
        <w:tc>
          <w:tcPr>
            <w:tcW w:w="460" w:type="dxa"/>
            <w:vAlign w:val="bottom"/>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61,393</w:t>
            </w:r>
          </w:p>
        </w:tc>
      </w:tr>
      <w:tr>
        <w:trPr>
          <w:trHeight w:val="201"/>
        </w:trPr>
        <w:tc>
          <w:tcPr>
            <w:tcW w:w="7400" w:type="dxa"/>
            <w:vAlign w:val="bottom"/>
          </w:tcPr>
          <w:p>
            <w:pPr>
              <w:ind w:left="360"/>
              <w:spacing w:after="0"/>
              <w:rPr>
                <w:sz w:val="20"/>
                <w:szCs w:val="20"/>
                <w:color w:val="auto"/>
              </w:rPr>
            </w:pPr>
            <w:r>
              <w:rPr>
                <w:rFonts w:ascii="Arial" w:cs="Arial" w:eastAsia="Arial" w:hAnsi="Arial"/>
                <w:sz w:val="13"/>
                <w:szCs w:val="13"/>
                <w:color w:val="auto"/>
              </w:rPr>
              <w:t>Total deferred revenues</w:t>
            </w:r>
          </w:p>
        </w:tc>
        <w:tc>
          <w:tcPr>
            <w:tcW w:w="1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235,250</w:t>
            </w:r>
          </w:p>
        </w:tc>
        <w:tc>
          <w:tcPr>
            <w:tcW w:w="460" w:type="dxa"/>
            <w:vAlign w:val="bottom"/>
          </w:tcPr>
          <w:p>
            <w:pPr>
              <w:spacing w:after="0"/>
              <w:rPr>
                <w:sz w:val="17"/>
                <w:szCs w:val="17"/>
                <w:color w:val="auto"/>
              </w:rPr>
            </w:pPr>
          </w:p>
        </w:tc>
        <w:tc>
          <w:tcPr>
            <w:tcW w:w="1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201,930</w:t>
            </w:r>
          </w:p>
        </w:tc>
      </w:tr>
    </w:tbl>
    <w:p>
      <w:pPr>
        <w:spacing w:after="0" w:line="14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7. COMMITMENTS AND CONTINGENCIES</w:t>
      </w:r>
    </w:p>
    <w:p>
      <w:pPr>
        <w:spacing w:after="0" w:line="159" w:lineRule="exact"/>
        <w:rPr>
          <w:sz w:val="20"/>
          <w:szCs w:val="20"/>
          <w:color w:val="auto"/>
        </w:rPr>
      </w:pPr>
    </w:p>
    <w:p>
      <w:pPr>
        <w:jc w:val="both"/>
        <w:ind w:right="340" w:firstLine="347"/>
        <w:spacing w:after="0" w:line="261" w:lineRule="auto"/>
        <w:rPr>
          <w:sz w:val="20"/>
          <w:szCs w:val="20"/>
          <w:color w:val="auto"/>
        </w:rPr>
      </w:pPr>
      <w:r>
        <w:rPr>
          <w:rFonts w:ascii="Arial" w:cs="Arial" w:eastAsia="Arial" w:hAnsi="Arial"/>
          <w:sz w:val="13"/>
          <w:szCs w:val="13"/>
          <w:b w:val="1"/>
          <w:bCs w:val="1"/>
          <w:color w:val="auto"/>
        </w:rPr>
        <w:t>Leases and Minimum Royalties—</w:t>
      </w:r>
      <w:r>
        <w:rPr>
          <w:rFonts w:ascii="Arial" w:cs="Arial" w:eastAsia="Arial" w:hAnsi="Arial"/>
          <w:sz w:val="13"/>
          <w:szCs w:val="13"/>
          <w:color w:val="auto"/>
        </w:rPr>
        <w:t>We lease our facilities under various noncancelable operating le ases, which expire through 2015. Rent expense was $1.7 million and $1.5 million for the three months ended</w:t>
      </w:r>
      <w:r>
        <w:rPr>
          <w:rFonts w:ascii="Arial" w:cs="Arial" w:eastAsia="Arial" w:hAnsi="Arial"/>
          <w:sz w:val="13"/>
          <w:szCs w:val="13"/>
          <w:b w:val="1"/>
          <w:bCs w:val="1"/>
          <w:color w:val="auto"/>
        </w:rPr>
        <w:t xml:space="preserve"> </w:t>
      </w:r>
      <w:r>
        <w:rPr>
          <w:rFonts w:ascii="Arial" w:cs="Arial" w:eastAsia="Arial" w:hAnsi="Arial"/>
          <w:sz w:val="13"/>
          <w:szCs w:val="13"/>
          <w:color w:val="auto"/>
        </w:rPr>
        <w:t>September 30, 2010 and September 30, 2009, respectively, and $5.2 million and $4.4 million for the nine months ended September 30, 2010 and September 30, 2009, respectively. Rent expense is recognized using the straight-line method over the term of the lease.</w:t>
      </w:r>
    </w:p>
    <w:p>
      <w:pPr>
        <w:spacing w:after="0" w:line="133" w:lineRule="exact"/>
        <w:rPr>
          <w:sz w:val="20"/>
          <w:szCs w:val="20"/>
          <w:color w:val="auto"/>
        </w:rPr>
      </w:pPr>
    </w:p>
    <w:p>
      <w:pPr>
        <w:ind w:right="460" w:firstLine="347"/>
        <w:spacing w:after="0" w:line="310" w:lineRule="auto"/>
        <w:rPr>
          <w:sz w:val="20"/>
          <w:szCs w:val="20"/>
          <w:color w:val="auto"/>
        </w:rPr>
      </w:pPr>
      <w:r>
        <w:rPr>
          <w:rFonts w:ascii="Arial" w:cs="Arial" w:eastAsia="Arial" w:hAnsi="Arial"/>
          <w:sz w:val="12"/>
          <w:szCs w:val="12"/>
          <w:color w:val="auto"/>
        </w:rPr>
        <w:t>We entered into a Settlement and Patent License Agreement with Trend Micro in January 2006 (see "Litigation" below). The aggregate future noncancelable minimum rental payments on operating leases and minimum royalties payable if we continued paying under the Trend Micro Settlement and License Agreement as of September 30, 2010 are as follows ($ amounts in 000's):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440" w:type="dxa"/>
            <w:vAlign w:val="bottom"/>
          </w:tcPr>
          <w:p>
            <w:pPr>
              <w:spacing w:after="0"/>
              <w:rPr>
                <w:sz w:val="12"/>
                <w:szCs w:val="12"/>
                <w:color w:val="auto"/>
              </w:rPr>
            </w:pPr>
          </w:p>
        </w:tc>
        <w:tc>
          <w:tcPr>
            <w:tcW w:w="22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Rental</w:t>
            </w:r>
          </w:p>
        </w:tc>
        <w:tc>
          <w:tcPr>
            <w:tcW w:w="1820" w:type="dxa"/>
            <w:vAlign w:val="bottom"/>
          </w:tcPr>
          <w:p>
            <w:pPr>
              <w:spacing w:after="0"/>
              <w:rPr>
                <w:sz w:val="12"/>
                <w:szCs w:val="12"/>
                <w:color w:val="auto"/>
              </w:rPr>
            </w:pPr>
          </w:p>
        </w:tc>
      </w:tr>
      <w:tr>
        <w:trPr>
          <w:trHeight w:val="173"/>
        </w:trPr>
        <w:tc>
          <w:tcPr>
            <w:tcW w:w="7440" w:type="dxa"/>
            <w:vAlign w:val="bottom"/>
          </w:tcPr>
          <w:p>
            <w:pPr>
              <w:spacing w:after="0"/>
              <w:rPr>
                <w:sz w:val="15"/>
                <w:szCs w:val="15"/>
                <w:color w:val="auto"/>
              </w:rPr>
            </w:pPr>
          </w:p>
        </w:tc>
        <w:tc>
          <w:tcPr>
            <w:tcW w:w="22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3"/>
              </w:rPr>
              <w:t>Payment</w:t>
            </w:r>
          </w:p>
        </w:tc>
        <w:tc>
          <w:tcPr>
            <w:tcW w:w="1820" w:type="dxa"/>
            <w:vAlign w:val="bottom"/>
          </w:tcPr>
          <w:p>
            <w:pPr>
              <w:jc w:val="right"/>
              <w:ind w:right="417"/>
              <w:spacing w:after="0"/>
              <w:rPr>
                <w:sz w:val="20"/>
                <w:szCs w:val="20"/>
                <w:color w:val="auto"/>
              </w:rPr>
            </w:pPr>
            <w:r>
              <w:rPr>
                <w:rFonts w:ascii="Arial" w:cs="Arial" w:eastAsia="Arial" w:hAnsi="Arial"/>
                <w:sz w:val="12"/>
                <w:szCs w:val="12"/>
                <w:b w:val="1"/>
                <w:bCs w:val="1"/>
                <w:color w:val="auto"/>
              </w:rPr>
              <w:t xml:space="preserve">Royalty </w:t>
            </w:r>
            <w:r>
              <w:rPr>
                <w:rFonts w:ascii="Arial" w:cs="Arial" w:eastAsia="Arial" w:hAnsi="Arial"/>
                <w:sz w:val="15"/>
                <w:szCs w:val="15"/>
                <w:b w:val="1"/>
                <w:bCs w:val="1"/>
                <w:color w:val="auto"/>
                <w:vertAlign w:val="superscript"/>
              </w:rPr>
              <w:t>(1)</w:t>
            </w:r>
          </w:p>
        </w:tc>
      </w:tr>
      <w:tr>
        <w:trPr>
          <w:trHeight w:val="173"/>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Fiscal Years:</w:t>
            </w:r>
          </w:p>
        </w:tc>
        <w:tc>
          <w:tcPr>
            <w:tcW w:w="18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r>
      <w:tr>
        <w:trPr>
          <w:trHeight w:val="183"/>
        </w:trPr>
        <w:tc>
          <w:tcPr>
            <w:tcW w:w="7440" w:type="dxa"/>
            <w:vAlign w:val="bottom"/>
          </w:tcPr>
          <w:p>
            <w:pPr>
              <w:ind w:left="460"/>
              <w:spacing w:after="0"/>
              <w:rPr>
                <w:sz w:val="20"/>
                <w:szCs w:val="20"/>
                <w:color w:val="auto"/>
              </w:rPr>
            </w:pPr>
            <w:r>
              <w:rPr>
                <w:rFonts w:ascii="Arial" w:cs="Arial" w:eastAsia="Arial" w:hAnsi="Arial"/>
                <w:sz w:val="13"/>
                <w:szCs w:val="13"/>
                <w:color w:val="auto"/>
              </w:rPr>
              <w:t>2010 (remainder)</w:t>
            </w:r>
          </w:p>
        </w:tc>
        <w:tc>
          <w:tcPr>
            <w:tcW w:w="1800" w:type="dxa"/>
            <w:vAlign w:val="bottom"/>
          </w:tcPr>
          <w:p>
            <w:pPr>
              <w:jc w:val="right"/>
              <w:ind w:right="317"/>
              <w:spacing w:after="0"/>
              <w:rPr>
                <w:sz w:val="20"/>
                <w:szCs w:val="20"/>
                <w:color w:val="auto"/>
              </w:rPr>
            </w:pPr>
            <w:r>
              <w:rPr>
                <w:rFonts w:ascii="Arial" w:cs="Arial" w:eastAsia="Arial" w:hAnsi="Arial"/>
                <w:sz w:val="13"/>
                <w:szCs w:val="13"/>
                <w:color w:val="auto"/>
              </w:rPr>
              <w:t>1,893</w:t>
            </w:r>
          </w:p>
        </w:tc>
        <w:tc>
          <w:tcPr>
            <w:tcW w:w="420" w:type="dxa"/>
            <w:vAlign w:val="bottom"/>
          </w:tcPr>
          <w:p>
            <w:pPr>
              <w:spacing w:after="0"/>
              <w:rPr>
                <w:sz w:val="15"/>
                <w:szCs w:val="15"/>
                <w:color w:val="auto"/>
              </w:rPr>
            </w:pPr>
          </w:p>
        </w:tc>
        <w:tc>
          <w:tcPr>
            <w:tcW w:w="1820" w:type="dxa"/>
            <w:vAlign w:val="bottom"/>
          </w:tcPr>
          <w:p>
            <w:pPr>
              <w:jc w:val="right"/>
              <w:ind w:right="337"/>
              <w:spacing w:after="0"/>
              <w:rPr>
                <w:sz w:val="20"/>
                <w:szCs w:val="20"/>
                <w:color w:val="auto"/>
              </w:rPr>
            </w:pPr>
            <w:r>
              <w:rPr>
                <w:rFonts w:ascii="Arial" w:cs="Arial" w:eastAsia="Arial" w:hAnsi="Arial"/>
                <w:sz w:val="13"/>
                <w:szCs w:val="13"/>
                <w:color w:val="auto"/>
              </w:rPr>
              <w:t>250</w:t>
            </w:r>
          </w:p>
        </w:tc>
      </w:tr>
      <w:tr>
        <w:trPr>
          <w:trHeight w:val="203"/>
        </w:trPr>
        <w:tc>
          <w:tcPr>
            <w:tcW w:w="7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2011</w:t>
            </w:r>
          </w:p>
        </w:tc>
        <w:tc>
          <w:tcPr>
            <w:tcW w:w="18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6,615</w:t>
            </w:r>
          </w:p>
        </w:tc>
        <w:tc>
          <w:tcPr>
            <w:tcW w:w="4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1,000</w:t>
            </w:r>
          </w:p>
        </w:tc>
      </w:tr>
      <w:tr>
        <w:trPr>
          <w:trHeight w:val="183"/>
        </w:trPr>
        <w:tc>
          <w:tcPr>
            <w:tcW w:w="7440" w:type="dxa"/>
            <w:vAlign w:val="bottom"/>
          </w:tcPr>
          <w:p>
            <w:pPr>
              <w:ind w:left="460"/>
              <w:spacing w:after="0"/>
              <w:rPr>
                <w:sz w:val="20"/>
                <w:szCs w:val="20"/>
                <w:color w:val="auto"/>
              </w:rPr>
            </w:pPr>
            <w:r>
              <w:rPr>
                <w:rFonts w:ascii="Arial" w:cs="Arial" w:eastAsia="Arial" w:hAnsi="Arial"/>
                <w:sz w:val="13"/>
                <w:szCs w:val="13"/>
                <w:color w:val="auto"/>
              </w:rPr>
              <w:t>2012</w:t>
            </w:r>
          </w:p>
        </w:tc>
        <w:tc>
          <w:tcPr>
            <w:tcW w:w="1800" w:type="dxa"/>
            <w:vAlign w:val="bottom"/>
          </w:tcPr>
          <w:p>
            <w:pPr>
              <w:jc w:val="right"/>
              <w:ind w:right="317"/>
              <w:spacing w:after="0"/>
              <w:rPr>
                <w:sz w:val="20"/>
                <w:szCs w:val="20"/>
                <w:color w:val="auto"/>
              </w:rPr>
            </w:pPr>
            <w:r>
              <w:rPr>
                <w:rFonts w:ascii="Arial" w:cs="Arial" w:eastAsia="Arial" w:hAnsi="Arial"/>
                <w:sz w:val="13"/>
                <w:szCs w:val="13"/>
                <w:color w:val="auto"/>
              </w:rPr>
              <w:t>4,849</w:t>
            </w:r>
          </w:p>
        </w:tc>
        <w:tc>
          <w:tcPr>
            <w:tcW w:w="420" w:type="dxa"/>
            <w:vAlign w:val="bottom"/>
          </w:tcPr>
          <w:p>
            <w:pPr>
              <w:spacing w:after="0"/>
              <w:rPr>
                <w:sz w:val="15"/>
                <w:szCs w:val="15"/>
                <w:color w:val="auto"/>
              </w:rPr>
            </w:pPr>
          </w:p>
        </w:tc>
        <w:tc>
          <w:tcPr>
            <w:tcW w:w="1820" w:type="dxa"/>
            <w:vAlign w:val="bottom"/>
          </w:tcPr>
          <w:p>
            <w:pPr>
              <w:jc w:val="right"/>
              <w:ind w:right="337"/>
              <w:spacing w:after="0"/>
              <w:rPr>
                <w:sz w:val="20"/>
                <w:szCs w:val="20"/>
                <w:color w:val="auto"/>
              </w:rPr>
            </w:pPr>
            <w:r>
              <w:rPr>
                <w:rFonts w:ascii="Arial" w:cs="Arial" w:eastAsia="Arial" w:hAnsi="Arial"/>
                <w:sz w:val="13"/>
                <w:szCs w:val="13"/>
                <w:color w:val="auto"/>
              </w:rPr>
              <w:t>1,000</w:t>
            </w:r>
          </w:p>
        </w:tc>
      </w:tr>
      <w:tr>
        <w:trPr>
          <w:trHeight w:val="203"/>
        </w:trPr>
        <w:tc>
          <w:tcPr>
            <w:tcW w:w="7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2013</w:t>
            </w:r>
          </w:p>
        </w:tc>
        <w:tc>
          <w:tcPr>
            <w:tcW w:w="18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3,738</w:t>
            </w:r>
          </w:p>
        </w:tc>
        <w:tc>
          <w:tcPr>
            <w:tcW w:w="4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1,000</w:t>
            </w:r>
          </w:p>
        </w:tc>
      </w:tr>
      <w:tr>
        <w:trPr>
          <w:trHeight w:val="183"/>
        </w:trPr>
        <w:tc>
          <w:tcPr>
            <w:tcW w:w="7440" w:type="dxa"/>
            <w:vAlign w:val="bottom"/>
          </w:tcPr>
          <w:p>
            <w:pPr>
              <w:ind w:left="460"/>
              <w:spacing w:after="0"/>
              <w:rPr>
                <w:sz w:val="20"/>
                <w:szCs w:val="20"/>
                <w:color w:val="auto"/>
              </w:rPr>
            </w:pPr>
            <w:r>
              <w:rPr>
                <w:rFonts w:ascii="Arial" w:cs="Arial" w:eastAsia="Arial" w:hAnsi="Arial"/>
                <w:sz w:val="13"/>
                <w:szCs w:val="13"/>
                <w:color w:val="auto"/>
              </w:rPr>
              <w:t>2014</w:t>
            </w:r>
          </w:p>
        </w:tc>
        <w:tc>
          <w:tcPr>
            <w:tcW w:w="1800" w:type="dxa"/>
            <w:vAlign w:val="bottom"/>
          </w:tcPr>
          <w:p>
            <w:pPr>
              <w:jc w:val="right"/>
              <w:ind w:right="317"/>
              <w:spacing w:after="0"/>
              <w:rPr>
                <w:sz w:val="20"/>
                <w:szCs w:val="20"/>
                <w:color w:val="auto"/>
              </w:rPr>
            </w:pPr>
            <w:r>
              <w:rPr>
                <w:rFonts w:ascii="Arial" w:cs="Arial" w:eastAsia="Arial" w:hAnsi="Arial"/>
                <w:sz w:val="13"/>
                <w:szCs w:val="13"/>
                <w:color w:val="auto"/>
              </w:rPr>
              <w:t>1,792</w:t>
            </w:r>
          </w:p>
        </w:tc>
        <w:tc>
          <w:tcPr>
            <w:tcW w:w="420" w:type="dxa"/>
            <w:vAlign w:val="bottom"/>
          </w:tcPr>
          <w:p>
            <w:pPr>
              <w:spacing w:after="0"/>
              <w:rPr>
                <w:sz w:val="15"/>
                <w:szCs w:val="15"/>
                <w:color w:val="auto"/>
              </w:rPr>
            </w:pPr>
          </w:p>
        </w:tc>
        <w:tc>
          <w:tcPr>
            <w:tcW w:w="1820" w:type="dxa"/>
            <w:vAlign w:val="bottom"/>
          </w:tcPr>
          <w:p>
            <w:pPr>
              <w:jc w:val="right"/>
              <w:ind w:right="337"/>
              <w:spacing w:after="0"/>
              <w:rPr>
                <w:sz w:val="20"/>
                <w:szCs w:val="20"/>
                <w:color w:val="auto"/>
              </w:rPr>
            </w:pPr>
            <w:r>
              <w:rPr>
                <w:rFonts w:ascii="Arial" w:cs="Arial" w:eastAsia="Arial" w:hAnsi="Arial"/>
                <w:sz w:val="13"/>
                <w:szCs w:val="13"/>
                <w:color w:val="auto"/>
              </w:rPr>
              <w:t>500</w:t>
            </w:r>
          </w:p>
        </w:tc>
      </w:tr>
      <w:tr>
        <w:trPr>
          <w:trHeight w:val="193"/>
        </w:trPr>
        <w:tc>
          <w:tcPr>
            <w:tcW w:w="7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Thereafter</w:t>
            </w:r>
          </w:p>
        </w:tc>
        <w:tc>
          <w:tcPr>
            <w:tcW w:w="180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1,449</w:t>
            </w:r>
          </w:p>
        </w:tc>
        <w:tc>
          <w:tcPr>
            <w:tcW w:w="420" w:type="dxa"/>
            <w:vAlign w:val="bottom"/>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500</w:t>
            </w:r>
          </w:p>
        </w:tc>
      </w:tr>
      <w:tr>
        <w:trPr>
          <w:trHeight w:val="201"/>
        </w:trPr>
        <w:tc>
          <w:tcPr>
            <w:tcW w:w="7440" w:type="dxa"/>
            <w:vAlign w:val="bottom"/>
          </w:tcPr>
          <w:p>
            <w:pPr>
              <w:ind w:left="360"/>
              <w:spacing w:after="0"/>
              <w:rPr>
                <w:sz w:val="20"/>
                <w:szCs w:val="20"/>
                <w:color w:val="auto"/>
              </w:rPr>
            </w:pPr>
            <w:r>
              <w:rPr>
                <w:rFonts w:ascii="Arial" w:cs="Arial" w:eastAsia="Arial" w:hAnsi="Arial"/>
                <w:sz w:val="13"/>
                <w:szCs w:val="13"/>
                <w:color w:val="auto"/>
              </w:rPr>
              <w:t>Total</w:t>
            </w:r>
          </w:p>
        </w:tc>
        <w:tc>
          <w:tcPr>
            <w:tcW w:w="1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20,336</w:t>
            </w:r>
          </w:p>
        </w:tc>
        <w:tc>
          <w:tcPr>
            <w:tcW w:w="420" w:type="dxa"/>
            <w:vAlign w:val="bottom"/>
          </w:tcPr>
          <w:p>
            <w:pPr>
              <w:spacing w:after="0"/>
              <w:rPr>
                <w:sz w:val="17"/>
                <w:szCs w:val="17"/>
                <w:color w:val="auto"/>
              </w:rPr>
            </w:pPr>
          </w:p>
        </w:tc>
        <w:tc>
          <w:tcPr>
            <w:tcW w:w="1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4,250</w:t>
            </w:r>
          </w:p>
        </w:tc>
      </w:tr>
      <w:tr>
        <w:trPr>
          <w:trHeight w:val="192"/>
        </w:trPr>
        <w:tc>
          <w:tcPr>
            <w:tcW w:w="7440" w:type="dxa"/>
            <w:vAlign w:val="bottom"/>
          </w:tcPr>
          <w:p>
            <w:pPr>
              <w:ind w:left="360"/>
              <w:spacing w:after="0"/>
              <w:rPr>
                <w:sz w:val="20"/>
                <w:szCs w:val="20"/>
                <w:color w:val="auto"/>
              </w:rPr>
            </w:pPr>
            <w:r>
              <w:rPr>
                <w:rFonts w:ascii="Arial" w:cs="Arial" w:eastAsia="Arial" w:hAnsi="Arial"/>
                <w:sz w:val="13"/>
                <w:szCs w:val="13"/>
                <w:color w:val="auto"/>
              </w:rPr>
              <w:t>-----------</w:t>
            </w:r>
          </w:p>
        </w:tc>
        <w:tc>
          <w:tcPr>
            <w:tcW w:w="1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ind w:right="80" w:firstLine="344"/>
        <w:spacing w:after="0" w:line="282" w:lineRule="auto"/>
        <w:tabs>
          <w:tab w:leader="none" w:pos="529"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Consists of minimum royalties claimed by Trend Micro pursuant to th e January 2006 settlement and license agreement between Trend Micro and Fortinet, which are subject to dispute (see "Litigation" below). The $250,000 listed in the chart above as the "2010 (remainder)" represents the minimum royalties, pursuant to the settlement and license agreement, for the fourth quarter of fiscal 2010. We have accrued $3.7 million as of September 30, 2010, related to amounts under the settlement and license agreement with Trend Micro which have not been paid pursuant to the dispute.</w:t>
      </w:r>
    </w:p>
    <w:p>
      <w:pPr>
        <w:spacing w:after="0" w:line="118" w:lineRule="exact"/>
        <w:rPr>
          <w:sz w:val="20"/>
          <w:szCs w:val="20"/>
          <w:color w:val="auto"/>
        </w:rPr>
      </w:pPr>
    </w:p>
    <w:p>
      <w:pPr>
        <w:ind w:right="20" w:firstLine="347"/>
        <w:spacing w:after="0" w:line="256" w:lineRule="auto"/>
        <w:rPr>
          <w:sz w:val="20"/>
          <w:szCs w:val="20"/>
          <w:color w:val="auto"/>
        </w:rPr>
      </w:pPr>
      <w:r>
        <w:rPr>
          <w:rFonts w:ascii="Arial" w:cs="Arial" w:eastAsia="Arial" w:hAnsi="Arial"/>
          <w:sz w:val="13"/>
          <w:szCs w:val="13"/>
          <w:b w:val="1"/>
          <w:bCs w:val="1"/>
          <w:color w:val="auto"/>
        </w:rPr>
        <w:t>Contract Manufacturer Commitments—</w:t>
      </w:r>
      <w:r>
        <w:rPr>
          <w:rFonts w:ascii="Arial" w:cs="Arial" w:eastAsia="Arial" w:hAnsi="Arial"/>
          <w:sz w:val="13"/>
          <w:szCs w:val="13"/>
          <w:color w:val="auto"/>
        </w:rPr>
        <w:t>Our independent contract manufacturers procure components and build our products based on our forecasts. These forecasts are based on estimates of future demand for our</w:t>
      </w:r>
      <w:r>
        <w:rPr>
          <w:rFonts w:ascii="Arial" w:cs="Arial" w:eastAsia="Arial" w:hAnsi="Arial"/>
          <w:sz w:val="13"/>
          <w:szCs w:val="13"/>
          <w:b w:val="1"/>
          <w:bCs w:val="1"/>
          <w:color w:val="auto"/>
        </w:rPr>
        <w:t xml:space="preserve"> </w:t>
      </w:r>
      <w:r>
        <w:rPr>
          <w:rFonts w:ascii="Arial" w:cs="Arial" w:eastAsia="Arial" w:hAnsi="Arial"/>
          <w:sz w:val="13"/>
          <w:szCs w:val="13"/>
          <w:color w:val="auto"/>
        </w:rPr>
        <w:t>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September 30, 2010, we had $16.3 million of open purchase orders with our independent contract manufacturers that may not be cancelable.</w:t>
      </w:r>
    </w:p>
    <w:p>
      <w:pPr>
        <w:spacing w:after="0" w:line="292"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80"/>
          </w:cols>
          <w:pgMar w:left="220" w:top="131" w:right="199" w:bottom="1440" w:gutter="0" w:footer="0" w:header="0"/>
        </w:sectPr>
      </w:pPr>
    </w:p>
    <w:bookmarkStart w:id="16" w:name="page17"/>
    <w:bookmarkEnd w:id="16"/>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(Unaudited)</w:t>
      </w:r>
    </w:p>
    <w:p>
      <w:pPr>
        <w:spacing w:after="0" w:line="147" w:lineRule="exact"/>
        <w:rPr>
          <w:sz w:val="20"/>
          <w:szCs w:val="20"/>
          <w:color w:val="auto"/>
        </w:rPr>
      </w:pPr>
    </w:p>
    <w:p>
      <w:pPr>
        <w:ind w:right="60" w:firstLine="347"/>
        <w:spacing w:after="0" w:line="299" w:lineRule="auto"/>
        <w:rPr>
          <w:sz w:val="20"/>
          <w:szCs w:val="20"/>
          <w:color w:val="auto"/>
        </w:rPr>
      </w:pPr>
      <w:r>
        <w:rPr>
          <w:rFonts w:ascii="Arial" w:cs="Arial" w:eastAsia="Arial" w:hAnsi="Arial"/>
          <w:sz w:val="11"/>
          <w:szCs w:val="11"/>
          <w:b w:val="1"/>
          <w:bCs w:val="1"/>
          <w:color w:val="auto"/>
        </w:rPr>
        <w:t>Litigation</w:t>
      </w:r>
      <w:r>
        <w:rPr>
          <w:rFonts w:ascii="Arial" w:cs="Arial" w:eastAsia="Arial" w:hAnsi="Arial"/>
          <w:sz w:val="11"/>
          <w:szCs w:val="11"/>
          <w:color w:val="auto"/>
        </w:rPr>
        <w:t>—In May 2004, Trend Micro Incorporated filed a complaint against us alleging that we infringed a Trend Micro patent related to antivirus software. In January 2006, we settled the lawsuit with Trend</w:t>
      </w:r>
      <w:r>
        <w:rPr>
          <w:rFonts w:ascii="Arial" w:cs="Arial" w:eastAsia="Arial" w:hAnsi="Arial"/>
          <w:sz w:val="11"/>
          <w:szCs w:val="11"/>
          <w:b w:val="1"/>
          <w:bCs w:val="1"/>
          <w:color w:val="auto"/>
        </w:rPr>
        <w:t xml:space="preserve"> </w:t>
      </w:r>
      <w:r>
        <w:rPr>
          <w:rFonts w:ascii="Arial" w:cs="Arial" w:eastAsia="Arial" w:hAnsi="Arial"/>
          <w:sz w:val="11"/>
          <w:szCs w:val="11"/>
          <w:color w:val="auto"/>
        </w:rPr>
        <w:t>Micro.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We appealed the dismissal in July 2009. Based on the dispute, we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 d and consequently that we have no contractual obligation to pay royalties. We have continued to accrue expense based on the quarterly royalties provided for in the settlement and license agreement. In February 2010, Trend Micro filed demurrers in the state Superior Court action regarding our affirmative defenses that we have no obligation to pay royalties because the Trend Micro patents are invalid or unenforceable. In March 2010, Trend Micro filed a motion to dismiss our new complaint that we filed in the United States District Court for the Northern District of California. In May 2010, the state court denied Trend Micro's demurrer in its entirety. Also in May 2010, the United States District Court for the Northern District of California denied Trend Micro's motion to dismiss without prejudice and stayed the action before that court pending the conclusion of the state court action.</w:t>
      </w:r>
    </w:p>
    <w:p>
      <w:pPr>
        <w:spacing w:after="0" w:line="119" w:lineRule="exact"/>
        <w:rPr>
          <w:sz w:val="20"/>
          <w:szCs w:val="20"/>
          <w:color w:val="auto"/>
        </w:rPr>
      </w:pPr>
    </w:p>
    <w:p>
      <w:pPr>
        <w:ind w:firstLine="347"/>
        <w:spacing w:after="0" w:line="278" w:lineRule="auto"/>
        <w:rPr>
          <w:sz w:val="20"/>
          <w:szCs w:val="20"/>
          <w:color w:val="auto"/>
        </w:rPr>
      </w:pPr>
      <w:r>
        <w:rPr>
          <w:rFonts w:ascii="Arial" w:cs="Arial" w:eastAsia="Arial" w:hAnsi="Arial"/>
          <w:sz w:val="12"/>
          <w:szCs w:val="12"/>
          <w:color w:val="auto"/>
        </w:rPr>
        <w:t>In January 2009, we filed a complaint against Palo Alto Networks, Inc., in the United States District Court for the Northern District of California alleging, among other claims, patent infringement. In September 2009, Palo Alto Networks filed a counterclaim against us alleging infringement of a patent. In July 2010, there was a consolidated hearing presenting the parties' proposed claim constructions and multiple summary judgment motions. In September 2010, the Court ruled that we did not infringe the Palo Alto Networks patent and granted our summary judgment motion thereby dismissing Palo Alto Networks' counterclaim. In October 2010, the Court granted Palo Alto Networks' summary judgment motion that the accused products of Palo Alto Networks did not infringe one of the four patents asserted by us, while denying Palo Alto Networks' summary judgment motion that the patent was inv alid. At this time the Court has not ruled on the remaining claim constructions and summary judgment motions.</w:t>
      </w:r>
    </w:p>
    <w:p>
      <w:pPr>
        <w:spacing w:after="0" w:line="126" w:lineRule="exact"/>
        <w:rPr>
          <w:sz w:val="20"/>
          <w:szCs w:val="20"/>
          <w:color w:val="auto"/>
        </w:rPr>
      </w:pPr>
    </w:p>
    <w:p>
      <w:pPr>
        <w:ind w:firstLine="347"/>
        <w:spacing w:after="0" w:line="254" w:lineRule="auto"/>
        <w:rPr>
          <w:sz w:val="20"/>
          <w:szCs w:val="20"/>
          <w:color w:val="auto"/>
        </w:rPr>
      </w:pPr>
      <w:r>
        <w:rPr>
          <w:rFonts w:ascii="Arial" w:cs="Arial" w:eastAsia="Arial" w:hAnsi="Arial"/>
          <w:sz w:val="13"/>
          <w:szCs w:val="13"/>
          <w:color w:val="auto"/>
        </w:rPr>
        <w:t>In August 2009, Enhanced Security Research, LLC (“ESR”), a non-practicing entity, filed a complaint against us in the United States District Court for the District of Delaware alleging infringement by us and other defendants of two patents. A defendant in another case filed a petition for reexamination of one of ESR's asserted patents with the U.S. Patent and Trademark Office (“PTO”), and, in November 2009, we filed a petition with the PTO for reexamination of the other asserted patent. In December 2009, we filed a motion to stay the court proceedings pending resolution of the reexamination proceedings. In June 2010, the Court granted our motion to stay pending the outcome of reexamination proceedings.</w:t>
      </w:r>
    </w:p>
    <w:p>
      <w:pPr>
        <w:spacing w:after="0" w:line="138" w:lineRule="exact"/>
        <w:rPr>
          <w:sz w:val="20"/>
          <w:szCs w:val="20"/>
          <w:color w:val="auto"/>
        </w:rPr>
      </w:pPr>
    </w:p>
    <w:p>
      <w:pPr>
        <w:jc w:val="both"/>
        <w:ind w:right="480" w:firstLine="347"/>
        <w:spacing w:after="0" w:line="258" w:lineRule="auto"/>
        <w:rPr>
          <w:sz w:val="20"/>
          <w:szCs w:val="20"/>
          <w:color w:val="auto"/>
        </w:rPr>
      </w:pPr>
      <w:r>
        <w:rPr>
          <w:rFonts w:ascii="Arial" w:cs="Arial" w:eastAsia="Arial" w:hAnsi="Arial"/>
          <w:sz w:val="13"/>
          <w:szCs w:val="13"/>
          <w:color w:val="auto"/>
        </w:rPr>
        <w:t>In April 2010, an individual, a former stockholder of Fortinet, filed a class action lawsuit against us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1"/>
          <w:szCs w:val="11"/>
          <w:color w:val="auto"/>
        </w:rPr>
        <w:t>In July 2010, Network Protection Sciences, LLC, a non-practicing entity, filed a complaint in the United States District Court for the Eastern District of Texas alleging patent infringement by us and other defendants.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Currently the case is in the very early stages.</w:t>
      </w:r>
    </w:p>
    <w:p>
      <w:pPr>
        <w:spacing w:after="0" w:line="151" w:lineRule="exact"/>
        <w:rPr>
          <w:sz w:val="20"/>
          <w:szCs w:val="20"/>
          <w:color w:val="auto"/>
        </w:rPr>
      </w:pPr>
    </w:p>
    <w:p>
      <w:pPr>
        <w:ind w:right="440" w:firstLine="347"/>
        <w:spacing w:after="0" w:line="254" w:lineRule="auto"/>
        <w:rPr>
          <w:sz w:val="20"/>
          <w:szCs w:val="20"/>
          <w:color w:val="auto"/>
        </w:rPr>
      </w:pPr>
      <w:r>
        <w:rPr>
          <w:rFonts w:ascii="Arial" w:cs="Arial" w:eastAsia="Arial" w:hAnsi="Arial"/>
          <w:sz w:val="13"/>
          <w:szCs w:val="13"/>
          <w:color w:val="auto"/>
        </w:rPr>
        <w:t>In September 2010, Wordcheck Tech, LLC, a non-practicing entity, filed a complaint in the United States District Court for the Eastern District of Texas alleging patent infringement by us and numerous other defendants. Currently the case is in the very early stages, and we have yet to answer the complaint.</w:t>
      </w:r>
    </w:p>
    <w:p>
      <w:pPr>
        <w:ind w:left="380"/>
        <w:spacing w:after="0"/>
        <w:rPr>
          <w:sz w:val="20"/>
          <w:szCs w:val="20"/>
          <w:color w:val="auto"/>
        </w:rPr>
      </w:pPr>
      <w:r>
        <w:rPr>
          <w:rFonts w:ascii="Arial" w:cs="Arial" w:eastAsia="Arial" w:hAnsi="Arial"/>
          <w:sz w:val="13"/>
          <w:szCs w:val="13"/>
          <w:color w:val="auto"/>
        </w:rPr>
        <w:t>&lt; /font&gt;</w:t>
      </w:r>
    </w:p>
    <w:p>
      <w:pPr>
        <w:spacing w:after="0" w:line="5" w:lineRule="exact"/>
        <w:rPr>
          <w:sz w:val="20"/>
          <w:szCs w:val="20"/>
          <w:color w:val="auto"/>
        </w:rPr>
      </w:pPr>
    </w:p>
    <w:p>
      <w:pPr>
        <w:ind w:right="380" w:firstLine="347"/>
        <w:spacing w:after="0" w:line="255" w:lineRule="auto"/>
        <w:rPr>
          <w:sz w:val="20"/>
          <w:szCs w:val="20"/>
          <w:color w:val="auto"/>
        </w:rPr>
      </w:pPr>
      <w:r>
        <w:rPr>
          <w:rFonts w:ascii="Arial" w:cs="Arial" w:eastAsia="Arial" w:hAnsi="Arial"/>
          <w:sz w:val="13"/>
          <w:szCs w:val="13"/>
          <w:color w:val="auto"/>
        </w:rPr>
        <w:t>In addition to the above matters, we are subject to other litigation in the ordinary course of business. The results of legal proceedings cannot be predicted with certainty. If we do not prevail in any of these legal matters, our operating results may be materially affected. At this time, we are unable to estimate the financial impact these actions will likely have on us.</w:t>
      </w:r>
    </w:p>
    <w:p>
      <w:pPr>
        <w:spacing w:after="0" w:line="137"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60"/>
          </w:cols>
          <w:pgMar w:left="220" w:top="131" w:right="219" w:bottom="1440" w:gutter="0" w:footer="0" w:header="0"/>
        </w:sectPr>
      </w:pPr>
    </w:p>
    <w:bookmarkStart w:id="17" w:name="page18"/>
    <w:bookmarkEnd w:id="17"/>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60" w:lineRule="exact"/>
        <w:rPr>
          <w:sz w:val="20"/>
          <w:szCs w:val="20"/>
          <w:color w:val="auto"/>
        </w:rPr>
      </w:pPr>
    </w:p>
    <w:p>
      <w:pPr>
        <w:ind w:left="340"/>
        <w:spacing w:after="0"/>
        <w:rPr>
          <w:sz w:val="20"/>
          <w:szCs w:val="20"/>
          <w:color w:val="auto"/>
        </w:rPr>
      </w:pPr>
      <w:r>
        <w:rPr>
          <w:rFonts w:ascii="Arial" w:cs="Arial" w:eastAsia="Arial" w:hAnsi="Arial"/>
          <w:sz w:val="5"/>
          <w:szCs w:val="5"/>
          <w:color w:val="auto"/>
        </w:rPr>
        <w:t>&amp;nb sp;</w:t>
      </w:r>
    </w:p>
    <w:p>
      <w:pPr>
        <w:spacing w:after="0" w:line="3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(Unaudited)</w:t>
      </w:r>
    </w:p>
    <w:p>
      <w:pPr>
        <w:spacing w:after="0" w:line="301" w:lineRule="exact"/>
        <w:rPr>
          <w:sz w:val="20"/>
          <w:szCs w:val="20"/>
          <w:color w:val="auto"/>
        </w:rPr>
      </w:pPr>
    </w:p>
    <w:p>
      <w:pPr>
        <w:ind w:right="140" w:firstLine="347"/>
        <w:spacing w:after="0" w:line="256" w:lineRule="auto"/>
        <w:rPr>
          <w:sz w:val="20"/>
          <w:szCs w:val="20"/>
          <w:color w:val="auto"/>
        </w:rPr>
      </w:pPr>
      <w:r>
        <w:rPr>
          <w:rFonts w:ascii="Arial" w:cs="Arial" w:eastAsia="Arial" w:hAnsi="Arial"/>
          <w:sz w:val="13"/>
          <w:szCs w:val="13"/>
          <w:b w:val="1"/>
          <w:bCs w:val="1"/>
          <w:color w:val="auto"/>
        </w:rPr>
        <w:t>Indemnification</w:t>
      </w:r>
      <w:r>
        <w:rPr>
          <w:rFonts w:ascii="Arial" w:cs="Arial" w:eastAsia="Arial" w:hAnsi="Arial"/>
          <w:sz w:val="13"/>
          <w:szCs w:val="13"/>
          <w:color w:val="auto"/>
        </w:rPr>
        <w:t>—Under the indemnification provisions of our standard sales contracts, we agree to defend our customers against third-party claims asserting infr ingement of certain intellectual property rights,</w:t>
      </w:r>
      <w:r>
        <w:rPr>
          <w:rFonts w:ascii="Arial" w:cs="Arial" w:eastAsia="Arial" w:hAnsi="Arial"/>
          <w:sz w:val="13"/>
          <w:szCs w:val="13"/>
          <w:b w:val="1"/>
          <w:bCs w:val="1"/>
          <w:color w:val="auto"/>
        </w:rPr>
        <w:t xml:space="preserve"> </w:t>
      </w:r>
      <w:r>
        <w:rPr>
          <w:rFonts w:ascii="Arial" w:cs="Arial" w:eastAsia="Arial" w:hAnsi="Arial"/>
          <w:sz w:val="13"/>
          <w:szCs w:val="13"/>
          <w:color w:val="auto"/>
        </w:rPr>
        <w:t>which may include patents, copyrights, trademarks, or trade secrets, and to pay judgments entered on such claims. Our exposure under these indemnification provisions is generally limited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8. STOCKHOLDERS' EQUITY</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Common Shares Reserved for Issuance</w:t>
      </w:r>
      <w:r>
        <w:rPr>
          <w:rFonts w:ascii="Arial" w:cs="Arial" w:eastAsia="Arial" w:hAnsi="Arial"/>
          <w:sz w:val="13"/>
          <w:szCs w:val="13"/>
          <w:color w:val="auto"/>
        </w:rPr>
        <w:t>—At September 30, 2010, we had reserved shares of common stock for issuance as follows (in 000's):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6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Reserved under stock option plans</w:t>
            </w:r>
          </w:p>
        </w:tc>
        <w:tc>
          <w:tcPr>
            <w:tcW w:w="18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19,913</w:t>
            </w:r>
          </w:p>
        </w:tc>
      </w:tr>
      <w:tr>
        <w:trPr>
          <w:trHeight w:val="183"/>
        </w:trPr>
        <w:tc>
          <w:tcPr>
            <w:tcW w:w="96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Warrants to purchase common stock</w:t>
            </w:r>
          </w:p>
        </w:tc>
        <w:tc>
          <w:tcPr>
            <w:tcW w:w="18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141</w:t>
            </w:r>
          </w:p>
        </w:tc>
      </w:tr>
      <w:tr>
        <w:trPr>
          <w:trHeight w:val="201"/>
        </w:trPr>
        <w:tc>
          <w:tcPr>
            <w:tcW w:w="9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w:t>
            </w:r>
          </w:p>
        </w:tc>
        <w:tc>
          <w:tcPr>
            <w:tcW w:w="18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20,054</w:t>
            </w:r>
          </w:p>
        </w:tc>
      </w:tr>
    </w:tbl>
    <w:p>
      <w:pPr>
        <w:spacing w:after="0" w:line="141" w:lineRule="exact"/>
        <w:rPr>
          <w:sz w:val="20"/>
          <w:szCs w:val="20"/>
          <w:color w:val="auto"/>
        </w:rPr>
      </w:pPr>
    </w:p>
    <w:p>
      <w:pPr>
        <w:ind w:right="60" w:firstLine="347"/>
        <w:spacing w:after="0" w:line="261" w:lineRule="auto"/>
        <w:rPr>
          <w:sz w:val="20"/>
          <w:szCs w:val="20"/>
          <w:color w:val="auto"/>
        </w:rPr>
      </w:pPr>
      <w:r>
        <w:rPr>
          <w:rFonts w:ascii="Arial" w:cs="Arial" w:eastAsia="Arial" w:hAnsi="Arial"/>
          <w:sz w:val="13"/>
          <w:szCs w:val="13"/>
          <w:b w:val="1"/>
          <w:bCs w:val="1"/>
          <w:color w:val="auto"/>
        </w:rPr>
        <w:t>Stock Repurchase</w:t>
      </w:r>
      <w:r>
        <w:rPr>
          <w:rFonts w:ascii="Arial" w:cs="Arial" w:eastAsia="Arial" w:hAnsi="Arial"/>
          <w:sz w:val="13"/>
          <w:szCs w:val="13"/>
          <w:color w:val="auto"/>
        </w:rPr>
        <w:t>—While we were a privately-held company, during the first six months of fiscal 2009, our board of directors approved a stock repurchase authorization. This repurchase authorization allowed us to</w:t>
      </w:r>
      <w:r>
        <w:rPr>
          <w:rFonts w:ascii="Arial" w:cs="Arial" w:eastAsia="Arial" w:hAnsi="Arial"/>
          <w:sz w:val="13"/>
          <w:szCs w:val="13"/>
          <w:b w:val="1"/>
          <w:bCs w:val="1"/>
          <w:color w:val="auto"/>
        </w:rPr>
        <w:t xml:space="preserve"> </w:t>
      </w:r>
      <w:r>
        <w:rPr>
          <w:rFonts w:ascii="Arial" w:cs="Arial" w:eastAsia="Arial" w:hAnsi="Arial"/>
          <w:sz w:val="13"/>
          <w:szCs w:val="13"/>
          <w:color w:val="auto"/>
        </w:rPr>
        <w:t>repurchase up to $20.0 million of our convertible preferred and common stock at $4.25 per share through June 17, 2009. This repurchase authorization expressly excluded our board members and senior management. We repurchased 704,632 shares of common stock and 3,004,165 shares of convertible preferred stock for total consideration of $15.7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9. STOCK PLANS</w:t>
      </w:r>
    </w:p>
    <w:p>
      <w:pPr>
        <w:spacing w:after="0" w:line="159" w:lineRule="exact"/>
        <w:rPr>
          <w:sz w:val="20"/>
          <w:szCs w:val="20"/>
          <w:color w:val="auto"/>
        </w:rPr>
      </w:pPr>
    </w:p>
    <w:p>
      <w:pPr>
        <w:ind w:right="100" w:firstLine="347"/>
        <w:spacing w:after="0" w:line="254" w:lineRule="auto"/>
        <w:rPr>
          <w:sz w:val="20"/>
          <w:szCs w:val="20"/>
          <w:color w:val="auto"/>
        </w:rPr>
      </w:pPr>
      <w:r>
        <w:rPr>
          <w:rFonts w:ascii="Arial" w:cs="Arial" w:eastAsia="Arial" w:hAnsi="Arial"/>
          <w:sz w:val="13"/>
          <w:szCs w:val="13"/>
          <w:b w:val="1"/>
          <w:bCs w:val="1"/>
          <w:color w:val="auto"/>
        </w:rPr>
        <w:t>2000 Stock Plan</w:t>
      </w:r>
      <w:r>
        <w:rPr>
          <w:rFonts w:ascii="Arial" w:cs="Arial" w:eastAsia="Arial" w:hAnsi="Arial"/>
          <w:sz w:val="13"/>
          <w:szCs w:val="13"/>
          <w:color w:val="auto"/>
        </w:rPr>
        <w:t>—During 2000, we adopted the 2000 Stock Option Plan, which was amended and restated in April 2006 and further amended in March 2008 (the “Amended and Restated 2000 Stock Plan”). The</w:t>
      </w:r>
      <w:r>
        <w:rPr>
          <w:rFonts w:ascii="Arial" w:cs="Arial" w:eastAsia="Arial" w:hAnsi="Arial"/>
          <w:sz w:val="13"/>
          <w:szCs w:val="13"/>
          <w:b w:val="1"/>
          <w:bCs w:val="1"/>
          <w:color w:val="auto"/>
        </w:rPr>
        <w:t xml:space="preserve"> </w:t>
      </w:r>
      <w:r>
        <w:rPr>
          <w:rFonts w:ascii="Arial" w:cs="Arial" w:eastAsia="Arial" w:hAnsi="Arial"/>
          <w:sz w:val="13"/>
          <w:szCs w:val="13"/>
          <w:color w:val="auto"/>
        </w:rPr>
        <w:t>Amended and Restated 2000 Stock Plan includes both incentive and non-statutory stock options. Under the Amended and Restated 2000 Stock Plan, we may grant options to purchase up to 21,500,000 shares of common stock to employees, directors and other service providers at prices not less than the fair market value at date of grant for inc entive stock options and not less than 85% of fair market value for non-statutory options. Options granted to a person who, at the time of the grant, owns more than 10% of the voting power of all classes of stock shall be at no less than 110% of the fair market value and expire five years from the date of grant. All other options generally have a contractual term of 10 years. Options generally vest over four years.</w:t>
      </w:r>
    </w:p>
    <w:p>
      <w:pPr>
        <w:spacing w:after="0" w:line="135" w:lineRule="exact"/>
        <w:rPr>
          <w:sz w:val="20"/>
          <w:szCs w:val="20"/>
          <w:color w:val="auto"/>
        </w:rPr>
      </w:pPr>
    </w:p>
    <w:p>
      <w:pPr>
        <w:ind w:right="80" w:firstLine="347"/>
        <w:spacing w:after="0" w:line="256" w:lineRule="auto"/>
        <w:rPr>
          <w:sz w:val="20"/>
          <w:szCs w:val="20"/>
          <w:color w:val="auto"/>
        </w:rPr>
      </w:pPr>
      <w:r>
        <w:rPr>
          <w:rFonts w:ascii="Arial" w:cs="Arial" w:eastAsia="Arial" w:hAnsi="Arial"/>
          <w:sz w:val="13"/>
          <w:szCs w:val="13"/>
          <w:b w:val="1"/>
          <w:bCs w:val="1"/>
          <w:color w:val="auto"/>
        </w:rPr>
        <w:t>2008 Stock Plan</w:t>
      </w:r>
      <w:r>
        <w:rPr>
          <w:rFonts w:ascii="Arial" w:cs="Arial" w:eastAsia="Arial" w:hAnsi="Arial"/>
          <w:sz w:val="13"/>
          <w:szCs w:val="13"/>
          <w:color w:val="auto"/>
        </w:rPr>
        <w:t>—On January 28, 2008, our board of directors approved the 2008 Stock Plan (the "2008 Plan") and French Sub-Plan, which includes both incentive and non-statutory stock options. The maximum</w:t>
      </w:r>
      <w:r>
        <w:rPr>
          <w:rFonts w:ascii="Arial" w:cs="Arial" w:eastAsia="Arial" w:hAnsi="Arial"/>
          <w:sz w:val="13"/>
          <w:szCs w:val="13"/>
          <w:b w:val="1"/>
          <w:bCs w:val="1"/>
          <w:color w:val="auto"/>
        </w:rPr>
        <w:t xml:space="preserve"> </w:t>
      </w:r>
      <w:r>
        <w:rPr>
          <w:rFonts w:ascii="Arial" w:cs="Arial" w:eastAsia="Arial" w:hAnsi="Arial"/>
          <w:sz w:val="13"/>
          <w:szCs w:val="13"/>
          <w:color w:val="auto"/>
        </w:rPr>
        <w:t>aggregate number of shares which may be su bject to options and sold under the 2008 Plan and the French Sub-Plan is 5,000,000 shares, plus any shares that, as of the date of stockholder approval of the 2008 Plan, have been reserved but not issued under the 2000 Plan or shares subject to stock options or similar awards granted under the 2000 Plan that expire or otherwise terminate without having been exercised in full or that are forfeited to or repurchased by us.</w:t>
      </w:r>
    </w:p>
    <w:p>
      <w:pPr>
        <w:spacing w:after="0" w:line="138" w:lineRule="exact"/>
        <w:rPr>
          <w:sz w:val="20"/>
          <w:szCs w:val="20"/>
          <w:color w:val="auto"/>
        </w:rPr>
      </w:pPr>
    </w:p>
    <w:p>
      <w:pPr>
        <w:ind w:right="120" w:firstLine="347"/>
        <w:spacing w:after="0" w:line="282" w:lineRule="auto"/>
        <w:rPr>
          <w:sz w:val="20"/>
          <w:szCs w:val="20"/>
          <w:color w:val="auto"/>
        </w:rPr>
      </w:pPr>
      <w:r>
        <w:rPr>
          <w:rFonts w:ascii="Arial" w:cs="Arial" w:eastAsia="Arial" w:hAnsi="Arial"/>
          <w:sz w:val="12"/>
          <w:szCs w:val="12"/>
          <w:color w:val="auto"/>
        </w:rPr>
        <w:t>Under the 2008 Plan and the French Sub-Plan, we may grant options to employees, directors and other service providers. In the case of an incentive stock option granted to an employee, who at the time of grant, owns stock representing more than 10% of the total combined voting power of all classes of stock, the exercise pri ce shall be no less than 110% of the fair market value per share on the date of grant and expire five years from the date of grant, and for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w:t>
      </w:r>
    </w:p>
    <w:p>
      <w:pPr>
        <w:spacing w:after="0" w:line="119" w:lineRule="exact"/>
        <w:rPr>
          <w:sz w:val="20"/>
          <w:szCs w:val="20"/>
          <w:color w:val="auto"/>
        </w:rPr>
      </w:pPr>
    </w:p>
    <w:p>
      <w:pPr>
        <w:ind w:right="340" w:firstLine="347"/>
        <w:spacing w:after="0" w:line="256" w:lineRule="auto"/>
        <w:rPr>
          <w:sz w:val="20"/>
          <w:szCs w:val="20"/>
          <w:color w:val="auto"/>
        </w:rPr>
      </w:pPr>
      <w:r>
        <w:rPr>
          <w:rFonts w:ascii="Arial" w:cs="Arial" w:eastAsia="Arial" w:hAnsi="Arial"/>
          <w:sz w:val="13"/>
          <w:szCs w:val="13"/>
          <w:b w:val="1"/>
          <w:bCs w:val="1"/>
          <w:color w:val="auto"/>
        </w:rPr>
        <w:t>2009 Equity Incentive Plan</w:t>
      </w:r>
      <w:r>
        <w:rPr>
          <w:rFonts w:ascii="Arial" w:cs="Arial" w:eastAsia="Arial" w:hAnsi="Arial"/>
          <w:sz w:val="13"/>
          <w:szCs w:val="13"/>
          <w:color w:val="auto"/>
        </w:rPr>
        <w:t>—On November 17, 2009, our board of directors approved the 2009 Equity Incentive Plan (the "2009 Plan") and French Sub-Plan, which includes aw ards of stock options, stock</w:t>
      </w:r>
      <w:r>
        <w:rPr>
          <w:rFonts w:ascii="Arial" w:cs="Arial" w:eastAsia="Arial" w:hAnsi="Arial"/>
          <w:sz w:val="13"/>
          <w:szCs w:val="13"/>
          <w:b w:val="1"/>
          <w:bCs w:val="1"/>
          <w:color w:val="auto"/>
        </w:rPr>
        <w:t xml:space="preserve"> </w:t>
      </w:r>
      <w:r>
        <w:rPr>
          <w:rFonts w:ascii="Arial" w:cs="Arial" w:eastAsia="Arial" w:hAnsi="Arial"/>
          <w:sz w:val="13"/>
          <w:szCs w:val="13"/>
          <w:color w:val="auto"/>
        </w:rPr>
        <w:t>appreciation rights, restricted stock, restricted stock units, and performance units or performance shares. The maximum aggregate number of shares that may be issued under the 2009 Plan is 9,000,000 shares, plus any shares subject to stock options or similar awards granted under the 2008 Plan and the Amended and Restated 2000 Stock Plan that expire or otherwise terminate without having been exercised in full and shares issued pursuant to awards granted under the 2008 Plan and the Amended and Restated 2000 Stock Plan that are</w:t>
      </w:r>
    </w:p>
    <w:p>
      <w:pPr>
        <w:spacing w:after="0" w:line="138"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80"/>
          </w:cols>
          <w:pgMar w:left="220" w:top="131" w:right="199" w:bottom="1440" w:gutter="0" w:footer="0" w:header="0"/>
        </w:sectPr>
      </w:pPr>
    </w:p>
    <w:bookmarkStart w:id="18" w:name="page19"/>
    <w:bookmarkEnd w:id="18"/>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(Unaudited)</w:t>
      </w:r>
    </w:p>
    <w:p>
      <w:pPr>
        <w:spacing w:after="0" w:line="151" w:lineRule="exact"/>
        <w:rPr>
          <w:sz w:val="20"/>
          <w:szCs w:val="20"/>
          <w:color w:val="auto"/>
        </w:rPr>
      </w:pPr>
    </w:p>
    <w:p>
      <w:pPr>
        <w:jc w:val="both"/>
        <w:ind w:right="40" w:firstLine="347"/>
        <w:spacing w:after="0" w:line="326" w:lineRule="auto"/>
        <w:rPr>
          <w:sz w:val="20"/>
          <w:szCs w:val="20"/>
          <w:color w:val="auto"/>
        </w:rPr>
      </w:pPr>
      <w:r>
        <w:rPr>
          <w:rFonts w:ascii="Arial" w:cs="Arial" w:eastAsia="Arial" w:hAnsi="Arial"/>
          <w:sz w:val="11"/>
          <w:szCs w:val="11"/>
          <w:color w:val="auto"/>
        </w:rPr>
        <w:t>forfeited to or repurchased by the Company, with the maximum number of shares to be added to the 2009 Plan pursuant to such terminations, forfeitures and repurchases not to exceed 21,000,000 shares. The shares may be authorized, but unissued or reacquired common stock. The number of shares available for issuance under the 2009 Plan will be increased on the first day of each fiscal year beginning with the 2011 fiscal year, in an amount equal to the lesser of (i) 7,000,000 shares, (ii) five percent (5%) of the outstanding shares on the last day of the immediately preceding fiscal year, or (iii) such number of shares determined by the board of directors.</w:t>
      </w:r>
    </w:p>
    <w:p>
      <w:pPr>
        <w:spacing w:after="0" w:line="102" w:lineRule="exact"/>
        <w:rPr>
          <w:sz w:val="20"/>
          <w:szCs w:val="20"/>
          <w:color w:val="auto"/>
        </w:rPr>
      </w:pPr>
    </w:p>
    <w:p>
      <w:pPr>
        <w:ind w:right="100" w:firstLine="347"/>
        <w:spacing w:after="0" w:line="278" w:lineRule="auto"/>
        <w:rPr>
          <w:sz w:val="20"/>
          <w:szCs w:val="20"/>
          <w:color w:val="auto"/>
        </w:rPr>
      </w:pPr>
      <w:r>
        <w:rPr>
          <w:rFonts w:ascii="Arial" w:cs="Arial" w:eastAsia="Arial" w:hAnsi="Arial"/>
          <w:sz w:val="12"/>
          <w:szCs w:val="12"/>
          <w:color w:val="auto"/>
        </w:rPr>
        <w:t>Under the 2009 Plan and the French Sub-Plan,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for options granted to any other employee, the per share exercise price shall be no less than 100% of the fair market value per share on the date of grant. In the case of a non 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22" w:lineRule="exact"/>
        <w:rPr>
          <w:sz w:val="20"/>
          <w:szCs w:val="20"/>
          <w:color w:val="auto"/>
        </w:rPr>
      </w:pPr>
    </w:p>
    <w:p>
      <w:pPr>
        <w:ind w:right="40" w:firstLine="347"/>
        <w:spacing w:after="0" w:line="261" w:lineRule="auto"/>
        <w:rPr>
          <w:sz w:val="20"/>
          <w:szCs w:val="20"/>
          <w:color w:val="auto"/>
        </w:rPr>
      </w:pPr>
      <w:r>
        <w:rPr>
          <w:rFonts w:ascii="Arial" w:cs="Arial" w:eastAsia="Arial" w:hAnsi="Arial"/>
          <w:sz w:val="13"/>
          <w:szCs w:val="13"/>
          <w:b w:val="1"/>
          <w:bCs w:val="1"/>
          <w:color w:val="auto"/>
        </w:rPr>
        <w:t>Stock-based compensation under ASC 718</w:t>
      </w:r>
      <w:r>
        <w:rPr>
          <w:rFonts w:ascii="Arial" w:cs="Arial" w:eastAsia="Arial" w:hAnsi="Arial"/>
          <w:sz w:val="13"/>
          <w:szCs w:val="13"/>
          <w:color w:val="auto"/>
        </w:rPr>
        <w:t>—We apply ASC 718 to our stock option grants, which requires compensation costs related to share-based transactions, including employee stock options, to be</w:t>
      </w:r>
      <w:r>
        <w:rPr>
          <w:rFonts w:ascii="Arial" w:cs="Arial" w:eastAsia="Arial" w:hAnsi="Arial"/>
          <w:sz w:val="13"/>
          <w:szCs w:val="13"/>
          <w:b w:val="1"/>
          <w:bCs w:val="1"/>
          <w:color w:val="auto"/>
        </w:rPr>
        <w:t xml:space="preserve"> </w:t>
      </w:r>
      <w:r>
        <w:rPr>
          <w:rFonts w:ascii="Arial" w:cs="Arial" w:eastAsia="Arial" w:hAnsi="Arial"/>
          <w:sz w:val="13"/>
          <w:szCs w:val="13"/>
          <w:color w:val="auto"/>
        </w:rPr>
        <w:t>recognized in the financial statements based on fair value. Under ASC 718, the fair value of each option award is estimated on the grant date using the Black-Scholes option pricing model. We determined weighted-average valuation assumptions as follows: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Valuation method</w:t>
      </w:r>
      <w:r>
        <w:rPr>
          <w:rFonts w:ascii="Arial" w:cs="Arial" w:eastAsia="Arial" w:hAnsi="Arial"/>
          <w:sz w:val="13"/>
          <w:szCs w:val="13"/>
          <w:color w:val="auto"/>
        </w:rPr>
        <w:t>—We estimate the fair value of stock options granted using the Black-Scholes valuation model.</w:t>
      </w:r>
    </w:p>
    <w:p>
      <w:pPr>
        <w:spacing w:after="0" w:line="159" w:lineRule="exact"/>
        <w:rPr>
          <w:sz w:val="20"/>
          <w:szCs w:val="20"/>
          <w:color w:val="auto"/>
        </w:rPr>
      </w:pPr>
    </w:p>
    <w:p>
      <w:pPr>
        <w:ind w:right="40" w:firstLine="347"/>
        <w:spacing w:after="0" w:line="268" w:lineRule="auto"/>
        <w:rPr>
          <w:sz w:val="20"/>
          <w:szCs w:val="20"/>
          <w:color w:val="auto"/>
        </w:rPr>
      </w:pPr>
      <w:r>
        <w:rPr>
          <w:rFonts w:ascii="Arial" w:cs="Arial" w:eastAsia="Arial" w:hAnsi="Arial"/>
          <w:sz w:val="13"/>
          <w:szCs w:val="13"/>
          <w:i w:val="1"/>
          <w:iCs w:val="1"/>
          <w:color w:val="auto"/>
        </w:rPr>
        <w:t>Expected Term</w:t>
      </w:r>
      <w:r>
        <w:rPr>
          <w:rFonts w:ascii="Arial" w:cs="Arial" w:eastAsia="Arial" w:hAnsi="Arial"/>
          <w:sz w:val="13"/>
          <w:szCs w:val="13"/>
          <w:color w:val="auto"/>
        </w:rPr>
        <w:t>—The expected term represents the period that our stock-based awards are expected to be outstanding. As we do not have sufficient historical experience for determining the expected term of the stock</w:t>
      </w:r>
      <w:r>
        <w:rPr>
          <w:rFonts w:ascii="Arial" w:cs="Arial" w:eastAsia="Arial" w:hAnsi="Arial"/>
          <w:sz w:val="13"/>
          <w:szCs w:val="13"/>
          <w:i w:val="1"/>
          <w:iCs w:val="1"/>
          <w:color w:val="auto"/>
        </w:rPr>
        <w:t xml:space="preserve"> </w:t>
      </w:r>
      <w:r>
        <w:rPr>
          <w:rFonts w:ascii="Arial" w:cs="Arial" w:eastAsia="Arial" w:hAnsi="Arial"/>
          <w:sz w:val="13"/>
          <w:szCs w:val="13"/>
          <w:color w:val="auto"/>
        </w:rPr>
        <w:t>option awards granted, we have based our expected term on the simplified method available under ASC 718-10 (formerly referred to as Staff Accounting Bulletin 110).</w:t>
      </w:r>
    </w:p>
    <w:p>
      <w:pPr>
        <w:spacing w:after="0" w:line="129" w:lineRule="exact"/>
        <w:rPr>
          <w:sz w:val="20"/>
          <w:szCs w:val="20"/>
          <w:color w:val="auto"/>
        </w:rPr>
      </w:pPr>
    </w:p>
    <w:p>
      <w:pPr>
        <w:ind w:right="100" w:firstLine="347"/>
        <w:spacing w:after="0" w:line="268" w:lineRule="auto"/>
        <w:rPr>
          <w:sz w:val="20"/>
          <w:szCs w:val="20"/>
          <w:color w:val="auto"/>
        </w:rPr>
      </w:pPr>
      <w:r>
        <w:rPr>
          <w:rFonts w:ascii="Arial" w:cs="Arial" w:eastAsia="Arial" w:hAnsi="Arial"/>
          <w:sz w:val="13"/>
          <w:szCs w:val="13"/>
          <w:i w:val="1"/>
          <w:iCs w:val="1"/>
          <w:color w:val="auto"/>
        </w:rPr>
        <w:t>Expected Volatility</w:t>
      </w:r>
      <w:r>
        <w:rPr>
          <w:rFonts w:ascii="Arial" w:cs="Arial" w:eastAsia="Arial" w:hAnsi="Arial"/>
          <w:sz w:val="13"/>
          <w:szCs w:val="13"/>
          <w:color w:val="auto"/>
        </w:rPr>
        <w:t>—The computation of expected volatility for the periods presented includes the historical and implied stock volatility of comparable companies from a representative peer group selected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industry and market capitalization data and to a lesser extent, our weighted historical volatility following our IPO in November 2009.</w:t>
      </w:r>
    </w:p>
    <w:p>
      <w:pPr>
        <w:spacing w:after="0" w:line="129" w:lineRule="exact"/>
        <w:rPr>
          <w:sz w:val="20"/>
          <w:szCs w:val="20"/>
          <w:color w:val="auto"/>
        </w:rPr>
      </w:pPr>
    </w:p>
    <w:p>
      <w:pPr>
        <w:ind w:firstLine="347"/>
        <w:spacing w:after="0" w:line="254" w:lineRule="auto"/>
        <w:rPr>
          <w:sz w:val="20"/>
          <w:szCs w:val="20"/>
          <w:color w:val="auto"/>
        </w:rPr>
      </w:pPr>
      <w:r>
        <w:rPr>
          <w:rFonts w:ascii="Arial" w:cs="Arial" w:eastAsia="Arial" w:hAnsi="Arial"/>
          <w:sz w:val="13"/>
          <w:szCs w:val="13"/>
          <w:i w:val="1"/>
          <w:iCs w:val="1"/>
          <w:color w:val="auto"/>
        </w:rPr>
        <w:t>Fair Value of Common Stock</w:t>
      </w:r>
      <w:r>
        <w:rPr>
          <w:rFonts w:ascii="Arial" w:cs="Arial" w:eastAsia="Arial" w:hAnsi="Arial"/>
          <w:sz w:val="13"/>
          <w:szCs w:val="13"/>
          <w:color w:val="auto"/>
        </w:rPr>
        <w:t>—The fair value of the shares of common stock that underlie the stock options we have granted has historically been determined by our board of directors. Because there was no public</w:t>
      </w:r>
      <w:r>
        <w:rPr>
          <w:rFonts w:ascii="Arial" w:cs="Arial" w:eastAsia="Arial" w:hAnsi="Arial"/>
          <w:sz w:val="13"/>
          <w:szCs w:val="13"/>
          <w:i w:val="1"/>
          <w:iCs w:val="1"/>
          <w:color w:val="auto"/>
        </w:rPr>
        <w:t xml:space="preserve"> </w:t>
      </w:r>
      <w:r>
        <w:rPr>
          <w:rFonts w:ascii="Arial" w:cs="Arial" w:eastAsia="Arial" w:hAnsi="Arial"/>
          <w:sz w:val="13"/>
          <w:szCs w:val="13"/>
          <w:color w:val="auto"/>
        </w:rPr>
        <w:t>market for our common stock prior to our initial public offering in November 2009, our board determined the fair value of our common stock at the ti me of grant of the option by considering a number of objective and subjective factors, our sales of preferred stock to unrelated third parties, our operating and financial performance, the lack of liquidity of our capital stock and trends in the broader network security and computer networking market.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Risk-Free Interest Rate</w:t>
      </w:r>
      <w:r>
        <w:rPr>
          <w:rFonts w:ascii="Arial" w:cs="Arial" w:eastAsia="Arial" w:hAnsi="Arial"/>
          <w:sz w:val="12"/>
          <w:szCs w:val="12"/>
          <w:color w:val="auto"/>
        </w:rPr>
        <w:t>—We base the risk-free interest rate used in the Black-Scholes valuation model on the implied yield available on U.S. Treasury zero-coupon issues with an equivalent term.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Expected Dividend</w:t>
      </w:r>
      <w:r>
        <w:rPr>
          <w:rFonts w:ascii="Arial" w:cs="Arial" w:eastAsia="Arial" w:hAnsi="Arial"/>
          <w:sz w:val="13"/>
          <w:szCs w:val="13"/>
          <w:color w:val="auto"/>
        </w:rPr>
        <w:t>—The expected dividend weighted-average assumption is based on our current expectations about our anticipated dividend policy.</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summarizes the weighted-average assumptions relating to our stock options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80" w:type="dxa"/>
            <w:vAlign w:val="bottom"/>
          </w:tcPr>
          <w:p>
            <w:pPr>
              <w:spacing w:after="0"/>
              <w:rPr>
                <w:sz w:val="13"/>
                <w:szCs w:val="13"/>
                <w:color w:val="auto"/>
              </w:rPr>
            </w:pPr>
          </w:p>
        </w:tc>
        <w:tc>
          <w:tcPr>
            <w:tcW w:w="3520" w:type="dxa"/>
            <w:vAlign w:val="bottom"/>
            <w:gridSpan w:val="4"/>
          </w:tcPr>
          <w:p>
            <w:pPr>
              <w:ind w:left="1200"/>
              <w:spacing w:after="0"/>
              <w:rPr>
                <w:sz w:val="20"/>
                <w:szCs w:val="20"/>
                <w:color w:val="auto"/>
              </w:rPr>
            </w:pPr>
            <w:r>
              <w:rPr>
                <w:rFonts w:ascii="Arial" w:cs="Arial" w:eastAsia="Arial" w:hAnsi="Arial"/>
                <w:sz w:val="12"/>
                <w:szCs w:val="12"/>
                <w:b w:val="1"/>
                <w:bCs w:val="1"/>
                <w:color w:val="auto"/>
              </w:rPr>
              <w:t>Three Months Ended</w:t>
            </w:r>
          </w:p>
        </w:tc>
        <w:tc>
          <w:tcPr>
            <w:tcW w:w="2240" w:type="dxa"/>
            <w:vAlign w:val="bottom"/>
            <w:gridSpan w:val="3"/>
          </w:tcPr>
          <w:p>
            <w:pPr>
              <w:ind w:left="1240"/>
              <w:spacing w:after="0"/>
              <w:rPr>
                <w:sz w:val="20"/>
                <w:szCs w:val="20"/>
                <w:color w:val="auto"/>
              </w:rPr>
            </w:pPr>
            <w:r>
              <w:rPr>
                <w:rFonts w:ascii="Arial" w:cs="Arial" w:eastAsia="Arial" w:hAnsi="Arial"/>
                <w:sz w:val="12"/>
                <w:szCs w:val="12"/>
                <w:b w:val="1"/>
                <w:bCs w:val="1"/>
                <w:color w:val="auto"/>
                <w:w w:val="87"/>
              </w:rPr>
              <w:t>Nine Months Ended</w:t>
            </w:r>
          </w:p>
        </w:tc>
        <w:tc>
          <w:tcPr>
            <w:tcW w:w="880" w:type="dxa"/>
            <w:vAlign w:val="bottom"/>
          </w:tcPr>
          <w:p>
            <w:pPr>
              <w:spacing w:after="0"/>
              <w:rPr>
                <w:sz w:val="13"/>
                <w:szCs w:val="13"/>
                <w:color w:val="auto"/>
              </w:rPr>
            </w:pPr>
          </w:p>
        </w:tc>
      </w:tr>
      <w:tr>
        <w:trPr>
          <w:trHeight w:val="24"/>
        </w:trPr>
        <w:tc>
          <w:tcPr>
            <w:tcW w:w="478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5"/>
        </w:trPr>
        <w:tc>
          <w:tcPr>
            <w:tcW w:w="4780" w:type="dxa"/>
            <w:vAlign w:val="bottom"/>
          </w:tcPr>
          <w:p>
            <w:pPr>
              <w:spacing w:after="0"/>
              <w:rPr>
                <w:sz w:val="12"/>
                <w:szCs w:val="12"/>
                <w:color w:val="auto"/>
              </w:rPr>
            </w:pPr>
          </w:p>
        </w:tc>
        <w:tc>
          <w:tcPr>
            <w:tcW w:w="1760" w:type="dxa"/>
            <w:vAlign w:val="bottom"/>
            <w:gridSpan w:val="2"/>
          </w:tcPr>
          <w:p>
            <w:pPr>
              <w:ind w:left="480"/>
              <w:spacing w:after="0"/>
              <w:rPr>
                <w:sz w:val="20"/>
                <w:szCs w:val="20"/>
                <w:color w:val="auto"/>
              </w:rPr>
            </w:pPr>
            <w:r>
              <w:rPr>
                <w:rFonts w:ascii="Arial" w:cs="Arial" w:eastAsia="Arial" w:hAnsi="Arial"/>
                <w:sz w:val="12"/>
                <w:szCs w:val="12"/>
                <w:b w:val="1"/>
                <w:bCs w:val="1"/>
                <w:color w:val="auto"/>
              </w:rPr>
              <w:t>September 30,</w:t>
            </w:r>
          </w:p>
        </w:tc>
        <w:tc>
          <w:tcPr>
            <w:tcW w:w="1760" w:type="dxa"/>
            <w:vAlign w:val="bottom"/>
            <w:gridSpan w:val="2"/>
          </w:tcPr>
          <w:p>
            <w:pPr>
              <w:ind w:left="480"/>
              <w:spacing w:after="0"/>
              <w:rPr>
                <w:sz w:val="20"/>
                <w:szCs w:val="20"/>
                <w:color w:val="auto"/>
              </w:rPr>
            </w:pPr>
            <w:r>
              <w:rPr>
                <w:rFonts w:ascii="Arial" w:cs="Arial" w:eastAsia="Arial" w:hAnsi="Arial"/>
                <w:sz w:val="12"/>
                <w:szCs w:val="12"/>
                <w:b w:val="1"/>
                <w:bCs w:val="1"/>
                <w:color w:val="auto"/>
              </w:rPr>
              <w:t>September 30,</w:t>
            </w:r>
          </w:p>
        </w:tc>
        <w:tc>
          <w:tcPr>
            <w:tcW w:w="2240" w:type="dxa"/>
            <w:vAlign w:val="bottom"/>
            <w:gridSpan w:val="3"/>
          </w:tcPr>
          <w:p>
            <w:pPr>
              <w:ind w:left="480"/>
              <w:spacing w:after="0"/>
              <w:rPr>
                <w:sz w:val="20"/>
                <w:szCs w:val="20"/>
                <w:color w:val="auto"/>
              </w:rPr>
            </w:pPr>
            <w:r>
              <w:rPr>
                <w:rFonts w:ascii="Arial" w:cs="Arial" w:eastAsia="Arial" w:hAnsi="Arial"/>
                <w:sz w:val="12"/>
                <w:szCs w:val="12"/>
                <w:b w:val="1"/>
                <w:bCs w:val="1"/>
                <w:color w:val="auto"/>
              </w:rPr>
              <w:t>September 30,</w:t>
            </w:r>
          </w:p>
        </w:tc>
        <w:tc>
          <w:tcPr>
            <w:tcW w:w="880" w:type="dxa"/>
            <w:vAlign w:val="bottom"/>
          </w:tcPr>
          <w:p>
            <w:pPr>
              <w:jc w:val="right"/>
              <w:ind w:right="98"/>
              <w:spacing w:after="0"/>
              <w:rPr>
                <w:sz w:val="20"/>
                <w:szCs w:val="20"/>
                <w:color w:val="auto"/>
              </w:rPr>
            </w:pPr>
            <w:r>
              <w:rPr>
                <w:rFonts w:ascii="Arial" w:cs="Arial" w:eastAsia="Arial" w:hAnsi="Arial"/>
                <w:sz w:val="12"/>
                <w:szCs w:val="12"/>
                <w:b w:val="1"/>
                <w:bCs w:val="1"/>
                <w:color w:val="auto"/>
                <w:w w:val="85"/>
              </w:rPr>
              <w:t>September 30,</w:t>
            </w:r>
          </w:p>
        </w:tc>
      </w:tr>
      <w:tr>
        <w:trPr>
          <w:trHeight w:val="149"/>
        </w:trPr>
        <w:tc>
          <w:tcPr>
            <w:tcW w:w="4780" w:type="dxa"/>
            <w:vAlign w:val="bottom"/>
          </w:tcPr>
          <w:p>
            <w:pPr>
              <w:spacing w:after="0"/>
              <w:rPr>
                <w:sz w:val="12"/>
                <w:szCs w:val="12"/>
                <w:color w:val="auto"/>
              </w:rPr>
            </w:pPr>
          </w:p>
        </w:tc>
        <w:tc>
          <w:tcPr>
            <w:tcW w:w="1340" w:type="dxa"/>
            <w:vAlign w:val="bottom"/>
          </w:tcPr>
          <w:p>
            <w:pPr>
              <w:jc w:val="right"/>
              <w:ind w:right="498"/>
              <w:spacing w:after="0"/>
              <w:rPr>
                <w:sz w:val="20"/>
                <w:szCs w:val="20"/>
                <w:color w:val="auto"/>
              </w:rPr>
            </w:pPr>
            <w:r>
              <w:rPr>
                <w:rFonts w:ascii="Arial" w:cs="Arial" w:eastAsia="Arial" w:hAnsi="Arial"/>
                <w:sz w:val="12"/>
                <w:szCs w:val="12"/>
                <w:b w:val="1"/>
                <w:bCs w:val="1"/>
                <w:color w:val="auto"/>
              </w:rPr>
              <w:t>2010</w:t>
            </w:r>
          </w:p>
        </w:tc>
        <w:tc>
          <w:tcPr>
            <w:tcW w:w="420" w:type="dxa"/>
            <w:vAlign w:val="bottom"/>
          </w:tcPr>
          <w:p>
            <w:pPr>
              <w:spacing w:after="0"/>
              <w:rPr>
                <w:sz w:val="12"/>
                <w:szCs w:val="12"/>
                <w:color w:val="auto"/>
              </w:rPr>
            </w:pPr>
          </w:p>
        </w:tc>
        <w:tc>
          <w:tcPr>
            <w:tcW w:w="1340" w:type="dxa"/>
            <w:vAlign w:val="bottom"/>
          </w:tcPr>
          <w:p>
            <w:pPr>
              <w:jc w:val="right"/>
              <w:ind w:right="498"/>
              <w:spacing w:after="0"/>
              <w:rPr>
                <w:sz w:val="20"/>
                <w:szCs w:val="20"/>
                <w:color w:val="auto"/>
              </w:rPr>
            </w:pPr>
            <w:r>
              <w:rPr>
                <w:rFonts w:ascii="Arial" w:cs="Arial" w:eastAsia="Arial" w:hAnsi="Arial"/>
                <w:sz w:val="12"/>
                <w:szCs w:val="12"/>
                <w:b w:val="1"/>
                <w:bCs w:val="1"/>
                <w:color w:val="auto"/>
              </w:rPr>
              <w:t>2009</w:t>
            </w:r>
          </w:p>
        </w:tc>
        <w:tc>
          <w:tcPr>
            <w:tcW w:w="420" w:type="dxa"/>
            <w:vAlign w:val="bottom"/>
          </w:tcPr>
          <w:p>
            <w:pPr>
              <w:spacing w:after="0"/>
              <w:rPr>
                <w:sz w:val="12"/>
                <w:szCs w:val="12"/>
                <w:color w:val="auto"/>
              </w:rPr>
            </w:pPr>
          </w:p>
        </w:tc>
        <w:tc>
          <w:tcPr>
            <w:tcW w:w="1340" w:type="dxa"/>
            <w:vAlign w:val="bottom"/>
          </w:tcPr>
          <w:p>
            <w:pPr>
              <w:jc w:val="right"/>
              <w:ind w:right="478"/>
              <w:spacing w:after="0"/>
              <w:rPr>
                <w:sz w:val="20"/>
                <w:szCs w:val="20"/>
                <w:color w:val="auto"/>
              </w:rPr>
            </w:pPr>
            <w:r>
              <w:rPr>
                <w:rFonts w:ascii="Arial" w:cs="Arial" w:eastAsia="Arial" w:hAnsi="Arial"/>
                <w:sz w:val="12"/>
                <w:szCs w:val="12"/>
                <w:b w:val="1"/>
                <w:bCs w:val="1"/>
                <w:color w:val="auto"/>
              </w:rPr>
              <w:t>2010</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jc w:val="right"/>
              <w:ind w:right="498"/>
              <w:spacing w:after="0"/>
              <w:rPr>
                <w:sz w:val="20"/>
                <w:szCs w:val="20"/>
                <w:color w:val="auto"/>
              </w:rPr>
            </w:pPr>
            <w:r>
              <w:rPr>
                <w:rFonts w:ascii="Arial" w:cs="Arial" w:eastAsia="Arial" w:hAnsi="Arial"/>
                <w:sz w:val="12"/>
                <w:szCs w:val="12"/>
                <w:b w:val="1"/>
                <w:bCs w:val="1"/>
                <w:color w:val="auto"/>
              </w:rPr>
              <w:t>2009</w:t>
            </w:r>
          </w:p>
        </w:tc>
      </w:tr>
      <w:tr>
        <w:trPr>
          <w:trHeight w:val="24"/>
        </w:trPr>
        <w:tc>
          <w:tcPr>
            <w:tcW w:w="4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2"/>
        </w:trPr>
        <w:tc>
          <w:tcPr>
            <w:tcW w:w="4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Volatility (%)</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37.6 - 41.8</w:t>
            </w: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44.2 - 51.8</w:t>
            </w:r>
          </w:p>
        </w:tc>
      </w:tr>
      <w:tr>
        <w:trPr>
          <w:trHeight w:val="183"/>
        </w:trPr>
        <w:tc>
          <w:tcPr>
            <w:tcW w:w="4780" w:type="dxa"/>
            <w:vAlign w:val="bottom"/>
          </w:tcPr>
          <w:p>
            <w:pPr>
              <w:ind w:left="360"/>
              <w:spacing w:after="0"/>
              <w:rPr>
                <w:sz w:val="20"/>
                <w:szCs w:val="20"/>
                <w:color w:val="auto"/>
              </w:rPr>
            </w:pPr>
            <w:r>
              <w:rPr>
                <w:rFonts w:ascii="Arial" w:cs="Arial" w:eastAsia="Arial" w:hAnsi="Arial"/>
                <w:sz w:val="13"/>
                <w:szCs w:val="13"/>
                <w:color w:val="auto"/>
              </w:rPr>
              <w:t>Dividend rate (%)</w:t>
            </w:r>
          </w:p>
        </w:tc>
        <w:tc>
          <w:tcPr>
            <w:tcW w:w="17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2240" w:type="dxa"/>
            <w:vAlign w:val="bottom"/>
            <w:gridSpan w:val="3"/>
          </w:tcPr>
          <w:p>
            <w:pPr>
              <w:jc w:val="right"/>
              <w:ind w:right="9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4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Risk-free interest rate (%)</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1.6 - 2.4</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1.3 - 2.3</w:t>
            </w:r>
          </w:p>
        </w:tc>
      </w:tr>
      <w:tr>
        <w:trPr>
          <w:trHeight w:val="192"/>
        </w:trPr>
        <w:tc>
          <w:tcPr>
            <w:tcW w:w="4780" w:type="dxa"/>
            <w:vAlign w:val="bottom"/>
          </w:tcPr>
          <w:p>
            <w:pPr>
              <w:ind w:left="360"/>
              <w:spacing w:after="0"/>
              <w:rPr>
                <w:sz w:val="20"/>
                <w:szCs w:val="20"/>
                <w:color w:val="auto"/>
              </w:rPr>
            </w:pPr>
            <w:r>
              <w:rPr>
                <w:rFonts w:ascii="Arial" w:cs="Arial" w:eastAsia="Arial" w:hAnsi="Arial"/>
                <w:sz w:val="13"/>
                <w:szCs w:val="13"/>
                <w:color w:val="auto"/>
              </w:rPr>
              <w:t>Expected term in years</w:t>
            </w:r>
          </w:p>
        </w:tc>
        <w:tc>
          <w:tcPr>
            <w:tcW w:w="1340" w:type="dxa"/>
            <w:vAlign w:val="bottom"/>
          </w:tcPr>
          <w:p>
            <w:pPr>
              <w:jc w:val="right"/>
              <w:spacing w:after="0"/>
              <w:rPr>
                <w:sz w:val="20"/>
                <w:szCs w:val="20"/>
                <w:color w:val="auto"/>
              </w:rPr>
            </w:pPr>
            <w:r>
              <w:rPr>
                <w:rFonts w:ascii="Arial" w:cs="Arial" w:eastAsia="Arial" w:hAnsi="Arial"/>
                <w:sz w:val="13"/>
                <w:szCs w:val="13"/>
                <w:color w:val="auto"/>
              </w:rPr>
              <w:t>4.6</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4.6</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4.6</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463"/>
        </w:trPr>
        <w:tc>
          <w:tcPr>
            <w:tcW w:w="4780" w:type="dxa"/>
            <w:vAlign w:val="bottom"/>
          </w:tcPr>
          <w:p>
            <w:pPr>
              <w:spacing w:after="0"/>
              <w:rPr>
                <w:sz w:val="24"/>
                <w:szCs w:val="24"/>
                <w:color w:val="auto"/>
              </w:rPr>
            </w:pPr>
          </w:p>
        </w:tc>
        <w:tc>
          <w:tcPr>
            <w:tcW w:w="1340" w:type="dxa"/>
            <w:vAlign w:val="bottom"/>
          </w:tcPr>
          <w:p>
            <w:pPr>
              <w:jc w:val="right"/>
              <w:ind w:right="78"/>
              <w:spacing w:after="0"/>
              <w:rPr>
                <w:sz w:val="20"/>
                <w:szCs w:val="20"/>
                <w:color w:val="auto"/>
              </w:rPr>
            </w:pPr>
            <w:r>
              <w:rPr>
                <w:rFonts w:ascii="Arial" w:cs="Arial" w:eastAsia="Arial" w:hAnsi="Arial"/>
                <w:sz w:val="13"/>
                <w:szCs w:val="13"/>
                <w:color w:val="auto"/>
              </w:rPr>
              <w:t>19</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40"/>
          </w:cols>
          <w:pgMar w:left="220" w:top="131" w:right="239" w:bottom="1440" w:gutter="0" w:footer="0" w:header="0"/>
        </w:sectPr>
      </w:pPr>
    </w:p>
    <w:bookmarkStart w:id="19" w:name="page20"/>
    <w:bookmarkEnd w:id="19"/>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 DATED FINANCIAL STATEMENTS—(Continued)</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(Unaudited)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Stock-based compensation expense is included in costs and expenses as follows ($ amounts in 000's):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3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657"/>
              <w:spacing w:after="0"/>
              <w:rPr>
                <w:sz w:val="20"/>
                <w:szCs w:val="20"/>
                <w:color w:val="auto"/>
              </w:rPr>
            </w:pPr>
            <w:r>
              <w:rPr>
                <w:rFonts w:ascii="Arial" w:cs="Arial" w:eastAsia="Arial" w:hAnsi="Arial"/>
                <w:sz w:val="13"/>
                <w:szCs w:val="13"/>
                <w:color w:val="auto"/>
              </w:rPr>
              <w:t>&lt; /td&gt;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20" w:type="dxa"/>
            <w:vAlign w:val="bottom"/>
            <w:gridSpan w:val="4"/>
          </w:tcPr>
          <w:p>
            <w:pPr>
              <w:ind w:left="60"/>
              <w:spacing w:after="0"/>
              <w:rPr>
                <w:sz w:val="20"/>
                <w:szCs w:val="20"/>
                <w:color w:val="auto"/>
              </w:rPr>
            </w:pPr>
            <w:r>
              <w:rPr>
                <w:rFonts w:ascii="Arial" w:cs="Arial" w:eastAsia="Arial" w:hAnsi="Arial"/>
                <w:sz w:val="12"/>
                <w:szCs w:val="12"/>
                <w:b w:val="1"/>
                <w:bCs w:val="1"/>
                <w:color w:val="auto"/>
              </w:rPr>
              <w:t>Three Months Ended</w:t>
            </w:r>
          </w:p>
        </w:tc>
        <w:tc>
          <w:tcPr>
            <w:tcW w:w="1360" w:type="dxa"/>
            <w:vAlign w:val="bottom"/>
          </w:tcPr>
          <w:p>
            <w:pPr>
              <w:spacing w:after="0"/>
              <w:rPr>
                <w:sz w:val="14"/>
                <w:szCs w:val="14"/>
                <w:color w:val="auto"/>
              </w:rPr>
            </w:pPr>
          </w:p>
        </w:tc>
        <w:tc>
          <w:tcPr>
            <w:tcW w:w="2200" w:type="dxa"/>
            <w:vAlign w:val="bottom"/>
            <w:gridSpan w:val="3"/>
          </w:tcPr>
          <w:p>
            <w:pPr>
              <w:jc w:val="right"/>
              <w:ind w:right="1057"/>
              <w:spacing w:after="0"/>
              <w:rPr>
                <w:sz w:val="20"/>
                <w:szCs w:val="20"/>
                <w:color w:val="auto"/>
              </w:rPr>
            </w:pPr>
            <w:r>
              <w:rPr>
                <w:rFonts w:ascii="Arial" w:cs="Arial" w:eastAsia="Arial" w:hAnsi="Arial"/>
                <w:sz w:val="12"/>
                <w:szCs w:val="12"/>
                <w:b w:val="1"/>
                <w:bCs w:val="1"/>
                <w:color w:val="auto"/>
                <w:w w:val="94"/>
              </w:rPr>
              <w:t>Nine Months Ended</w:t>
            </w:r>
          </w:p>
        </w:tc>
      </w:tr>
      <w:tr>
        <w:trPr>
          <w:trHeight w:val="24"/>
        </w:trPr>
        <w:tc>
          <w:tcPr>
            <w:tcW w:w="39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45"/>
        </w:trPr>
        <w:tc>
          <w:tcPr>
            <w:tcW w:w="3900" w:type="dxa"/>
            <w:vAlign w:val="bottom"/>
          </w:tcPr>
          <w:p>
            <w:pPr>
              <w:spacing w:after="0"/>
              <w:rPr>
                <w:sz w:val="12"/>
                <w:szCs w:val="12"/>
                <w:color w:val="auto"/>
              </w:rPr>
            </w:pPr>
          </w:p>
        </w:tc>
        <w:tc>
          <w:tcPr>
            <w:tcW w:w="1360" w:type="dxa"/>
            <w:vAlign w:val="bottom"/>
          </w:tcPr>
          <w:p>
            <w:pPr>
              <w:jc w:val="right"/>
              <w:ind w:right="17"/>
              <w:spacing w:after="0"/>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gridSpan w:val="2"/>
          </w:tcPr>
          <w:p>
            <w:pPr>
              <w:ind w:left="600"/>
              <w:spacing w:after="0"/>
              <w:rPr>
                <w:sz w:val="20"/>
                <w:szCs w:val="20"/>
                <w:color w:val="auto"/>
              </w:rPr>
            </w:pPr>
            <w:r>
              <w:rPr>
                <w:rFonts w:ascii="Arial" w:cs="Arial" w:eastAsia="Arial" w:hAnsi="Arial"/>
                <w:sz w:val="12"/>
                <w:szCs w:val="12"/>
                <w:b w:val="1"/>
                <w:bCs w:val="1"/>
                <w:color w:val="auto"/>
              </w:rPr>
              <w:t>September 30,</w:t>
            </w:r>
          </w:p>
        </w:tc>
        <w:tc>
          <w:tcPr>
            <w:tcW w:w="1360" w:type="dxa"/>
            <w:vAlign w:val="bottom"/>
          </w:tcPr>
          <w:p>
            <w:pPr>
              <w:jc w:val="right"/>
              <w:ind w:right="17"/>
              <w:spacing w:after="0"/>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tcPr>
          <w:p>
            <w:pPr>
              <w:jc w:val="right"/>
              <w:ind w:right="237"/>
              <w:spacing w:after="0"/>
              <w:rPr>
                <w:sz w:val="20"/>
                <w:szCs w:val="20"/>
                <w:color w:val="auto"/>
              </w:rPr>
            </w:pPr>
            <w:r>
              <w:rPr>
                <w:rFonts w:ascii="Arial" w:cs="Arial" w:eastAsia="Arial" w:hAnsi="Arial"/>
                <w:sz w:val="12"/>
                <w:szCs w:val="12"/>
                <w:b w:val="1"/>
                <w:bCs w:val="1"/>
                <w:color w:val="auto"/>
              </w:rPr>
              <w:t>September 30,</w:t>
            </w:r>
          </w:p>
        </w:tc>
      </w:tr>
      <w:tr>
        <w:trPr>
          <w:trHeight w:val="149"/>
        </w:trPr>
        <w:tc>
          <w:tcPr>
            <w:tcW w:w="3900" w:type="dxa"/>
            <w:vAlign w:val="bottom"/>
          </w:tcPr>
          <w:p>
            <w:pPr>
              <w:spacing w:after="0"/>
              <w:rPr>
                <w:sz w:val="12"/>
                <w:szCs w:val="12"/>
                <w:color w:val="auto"/>
              </w:rPr>
            </w:pPr>
          </w:p>
        </w:tc>
        <w:tc>
          <w:tcPr>
            <w:tcW w:w="1360" w:type="dxa"/>
            <w:vAlign w:val="bottom"/>
          </w:tcPr>
          <w:p>
            <w:pPr>
              <w:jc w:val="right"/>
              <w:ind w:right="417"/>
              <w:spacing w:after="0"/>
              <w:rPr>
                <w:sz w:val="20"/>
                <w:szCs w:val="20"/>
                <w:color w:val="auto"/>
              </w:rPr>
            </w:pPr>
            <w:r>
              <w:rPr>
                <w:rFonts w:ascii="Arial" w:cs="Arial" w:eastAsia="Arial" w:hAnsi="Arial"/>
                <w:sz w:val="12"/>
                <w:szCs w:val="12"/>
                <w:b w:val="1"/>
                <w:bCs w:val="1"/>
                <w:color w:val="auto"/>
              </w:rPr>
              <w:t>2010</w:t>
            </w:r>
          </w:p>
        </w:tc>
        <w:tc>
          <w:tcPr>
            <w:tcW w:w="2180" w:type="dxa"/>
            <w:vAlign w:val="bottom"/>
            <w:gridSpan w:val="3"/>
          </w:tcPr>
          <w:p>
            <w:pPr>
              <w:jc w:val="right"/>
              <w:ind w:right="598"/>
              <w:spacing w:after="0"/>
              <w:rPr>
                <w:sz w:val="20"/>
                <w:szCs w:val="20"/>
                <w:color w:val="auto"/>
              </w:rPr>
            </w:pPr>
            <w:r>
              <w:rPr>
                <w:rFonts w:ascii="Arial" w:cs="Arial" w:eastAsia="Arial" w:hAnsi="Arial"/>
                <w:sz w:val="12"/>
                <w:szCs w:val="12"/>
                <w:b w:val="1"/>
                <w:bCs w:val="1"/>
                <w:color w:val="auto"/>
              </w:rPr>
              <w:t>2009</w:t>
            </w:r>
          </w:p>
        </w:tc>
        <w:tc>
          <w:tcPr>
            <w:tcW w:w="440" w:type="dxa"/>
            <w:vAlign w:val="bottom"/>
          </w:tcPr>
          <w:p>
            <w:pPr>
              <w:spacing w:after="0"/>
              <w:rPr>
                <w:sz w:val="12"/>
                <w:szCs w:val="12"/>
                <w:color w:val="auto"/>
              </w:rPr>
            </w:pPr>
          </w:p>
        </w:tc>
        <w:tc>
          <w:tcPr>
            <w:tcW w:w="1360" w:type="dxa"/>
            <w:vAlign w:val="bottom"/>
          </w:tcPr>
          <w:p>
            <w:pPr>
              <w:jc w:val="right"/>
              <w:ind w:right="417"/>
              <w:spacing w:after="0"/>
              <w:rPr>
                <w:sz w:val="20"/>
                <w:szCs w:val="20"/>
                <w:color w:val="auto"/>
              </w:rPr>
            </w:pPr>
            <w:r>
              <w:rPr>
                <w:rFonts w:ascii="Arial" w:cs="Arial" w:eastAsia="Arial" w:hAnsi="Arial"/>
                <w:sz w:val="12"/>
                <w:szCs w:val="12"/>
                <w:b w:val="1"/>
                <w:bCs w:val="1"/>
                <w:color w:val="auto"/>
              </w:rPr>
              <w:t>2010</w:t>
            </w:r>
          </w:p>
        </w:tc>
        <w:tc>
          <w:tcPr>
            <w:tcW w:w="2200" w:type="dxa"/>
            <w:vAlign w:val="bottom"/>
            <w:gridSpan w:val="3"/>
          </w:tcPr>
          <w:p>
            <w:pPr>
              <w:jc w:val="right"/>
              <w:ind w:right="617"/>
              <w:spacing w:after="0"/>
              <w:rPr>
                <w:sz w:val="20"/>
                <w:szCs w:val="20"/>
                <w:color w:val="auto"/>
              </w:rPr>
            </w:pPr>
            <w:r>
              <w:rPr>
                <w:rFonts w:ascii="Arial" w:cs="Arial" w:eastAsia="Arial" w:hAnsi="Arial"/>
                <w:sz w:val="12"/>
                <w:szCs w:val="12"/>
                <w:b w:val="1"/>
                <w:bCs w:val="1"/>
                <w:color w:val="auto"/>
              </w:rPr>
              <w:t>2009</w:t>
            </w:r>
          </w:p>
        </w:tc>
      </w:tr>
      <w:tr>
        <w:trPr>
          <w:trHeight w:val="24"/>
        </w:trPr>
        <w:tc>
          <w:tcPr>
            <w:tcW w:w="39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2"/>
        </w:trPr>
        <w:tc>
          <w:tcPr>
            <w:tcW w:w="3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Cost of product revenue</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26</w:t>
            </w:r>
          </w:p>
        </w:tc>
        <w:tc>
          <w:tcPr>
            <w:tcW w:w="2180" w:type="dxa"/>
            <w:vAlign w:val="bottom"/>
            <w:gridSpan w:val="3"/>
            <w:shd w:val="clear" w:color="auto" w:fill="CCEEFF"/>
          </w:tcPr>
          <w:p>
            <w:pPr>
              <w:jc w:val="right"/>
              <w:ind w:right="318"/>
              <w:spacing w:after="0"/>
              <w:rPr>
                <w:sz w:val="20"/>
                <w:szCs w:val="20"/>
                <w:color w:val="auto"/>
              </w:rPr>
            </w:pPr>
            <w:r>
              <w:rPr>
                <w:rFonts w:ascii="Arial" w:cs="Arial" w:eastAsia="Arial" w:hAnsi="Arial"/>
                <w:sz w:val="13"/>
                <w:szCs w:val="13"/>
                <w:color w:val="auto"/>
              </w:rPr>
              <w:t>25</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7 6</w:t>
            </w:r>
          </w:p>
        </w:tc>
        <w:tc>
          <w:tcPr>
            <w:tcW w:w="2200" w:type="dxa"/>
            <w:vAlign w:val="bottom"/>
            <w:gridSpan w:val="3"/>
            <w:shd w:val="clear" w:color="auto" w:fill="CCEEFF"/>
          </w:tcPr>
          <w:p>
            <w:pPr>
              <w:jc w:val="right"/>
              <w:ind w:right="337"/>
              <w:spacing w:after="0"/>
              <w:rPr>
                <w:sz w:val="20"/>
                <w:szCs w:val="20"/>
                <w:color w:val="auto"/>
              </w:rPr>
            </w:pPr>
            <w:r>
              <w:rPr>
                <w:rFonts w:ascii="Arial" w:cs="Arial" w:eastAsia="Arial" w:hAnsi="Arial"/>
                <w:sz w:val="13"/>
                <w:szCs w:val="13"/>
                <w:color w:val="auto"/>
              </w:rPr>
              <w:t>76</w:t>
            </w:r>
          </w:p>
        </w:tc>
      </w:tr>
      <w:tr>
        <w:trPr>
          <w:trHeight w:val="183"/>
        </w:trPr>
        <w:tc>
          <w:tcPr>
            <w:tcW w:w="3900" w:type="dxa"/>
            <w:vAlign w:val="bottom"/>
          </w:tcPr>
          <w:p>
            <w:pPr>
              <w:ind w:left="360"/>
              <w:spacing w:after="0"/>
              <w:rPr>
                <w:sz w:val="20"/>
                <w:szCs w:val="20"/>
                <w:color w:val="auto"/>
              </w:rPr>
            </w:pPr>
            <w:r>
              <w:rPr>
                <w:rFonts w:ascii="Arial" w:cs="Arial" w:eastAsia="Arial" w:hAnsi="Arial"/>
                <w:sz w:val="13"/>
                <w:szCs w:val="13"/>
                <w:color w:val="auto"/>
              </w:rPr>
              <w:t>Cost of services revenue</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242</w:t>
            </w:r>
          </w:p>
        </w:tc>
        <w:tc>
          <w:tcPr>
            <w:tcW w:w="2180" w:type="dxa"/>
            <w:vAlign w:val="bottom"/>
            <w:gridSpan w:val="3"/>
          </w:tcPr>
          <w:p>
            <w:pPr>
              <w:jc w:val="right"/>
              <w:ind w:right="318"/>
              <w:spacing w:after="0"/>
              <w:rPr>
                <w:sz w:val="20"/>
                <w:szCs w:val="20"/>
                <w:color w:val="auto"/>
              </w:rPr>
            </w:pPr>
            <w:r>
              <w:rPr>
                <w:rFonts w:ascii="Arial" w:cs="Arial" w:eastAsia="Arial" w:hAnsi="Arial"/>
                <w:sz w:val="13"/>
                <w:szCs w:val="13"/>
                <w:color w:val="auto"/>
              </w:rPr>
              <w:t>169</w:t>
            </w:r>
          </w:p>
        </w:tc>
        <w:tc>
          <w:tcPr>
            <w:tcW w:w="440" w:type="dxa"/>
            <w:vAlign w:val="bottom"/>
          </w:tcPr>
          <w:p>
            <w:pPr>
              <w:spacing w:after="0"/>
              <w:rPr>
                <w:sz w:val="15"/>
                <w:szCs w:val="15"/>
                <w:color w:val="auto"/>
              </w:rPr>
            </w:pP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684</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ind w:right="337"/>
              <w:spacing w:after="0"/>
              <w:rPr>
                <w:sz w:val="20"/>
                <w:szCs w:val="20"/>
                <w:color w:val="auto"/>
              </w:rPr>
            </w:pPr>
            <w:r>
              <w:rPr>
                <w:rFonts w:ascii="Arial" w:cs="Arial" w:eastAsia="Arial" w:hAnsi="Arial"/>
                <w:sz w:val="13"/>
                <w:szCs w:val="13"/>
                <w:color w:val="auto"/>
              </w:rPr>
              <w:t>465&lt; /div&gt;</w:t>
            </w:r>
          </w:p>
        </w:tc>
      </w:tr>
      <w:tr>
        <w:trPr>
          <w:trHeight w:val="203"/>
        </w:trPr>
        <w:tc>
          <w:tcPr>
            <w:tcW w:w="39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Research and development</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600</w:t>
            </w:r>
          </w:p>
        </w:tc>
        <w:tc>
          <w:tcPr>
            <w:tcW w:w="2180" w:type="dxa"/>
            <w:vAlign w:val="bottom"/>
            <w:gridSpan w:val="3"/>
            <w:shd w:val="clear" w:color="auto" w:fill="CCEEFF"/>
          </w:tcPr>
          <w:p>
            <w:pPr>
              <w:jc w:val="right"/>
              <w:ind w:right="318"/>
              <w:spacing w:after="0"/>
              <w:rPr>
                <w:sz w:val="20"/>
                <w:szCs w:val="20"/>
                <w:color w:val="auto"/>
              </w:rPr>
            </w:pPr>
            <w:r>
              <w:rPr>
                <w:rFonts w:ascii="Arial" w:cs="Arial" w:eastAsia="Arial" w:hAnsi="Arial"/>
                <w:sz w:val="13"/>
                <w:szCs w:val="13"/>
                <w:color w:val="auto"/>
              </w:rPr>
              <w:t>516</w:t>
            </w: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1,741</w:t>
            </w:r>
          </w:p>
        </w:tc>
        <w:tc>
          <w:tcPr>
            <w:tcW w:w="2200" w:type="dxa"/>
            <w:vAlign w:val="bottom"/>
            <w:gridSpan w:val="3"/>
            <w:shd w:val="clear" w:color="auto" w:fill="CCEEFF"/>
          </w:tcPr>
          <w:p>
            <w:pPr>
              <w:jc w:val="right"/>
              <w:ind w:right="337"/>
              <w:spacing w:after="0"/>
              <w:rPr>
                <w:sz w:val="20"/>
                <w:szCs w:val="20"/>
                <w:color w:val="auto"/>
              </w:rPr>
            </w:pPr>
            <w:r>
              <w:rPr>
                <w:rFonts w:ascii="Arial" w:cs="Arial" w:eastAsia="Arial" w:hAnsi="Arial"/>
                <w:sz w:val="13"/>
                <w:szCs w:val="13"/>
                <w:color w:val="auto"/>
              </w:rPr>
              <w:t>1,392</w:t>
            </w:r>
          </w:p>
        </w:tc>
      </w:tr>
      <w:tr>
        <w:trPr>
          <w:trHeight w:val="193"/>
        </w:trPr>
        <w:tc>
          <w:tcPr>
            <w:tcW w:w="3900" w:type="dxa"/>
            <w:vAlign w:val="bottom"/>
          </w:tcPr>
          <w:p>
            <w:pPr>
              <w:ind w:left="360"/>
              <w:spacing w:after="0"/>
              <w:rPr>
                <w:sz w:val="20"/>
                <w:szCs w:val="20"/>
                <w:color w:val="auto"/>
              </w:rPr>
            </w:pPr>
            <w:r>
              <w:rPr>
                <w:rFonts w:ascii="Arial" w:cs="Arial" w:eastAsia="Arial" w:hAnsi="Arial"/>
                <w:sz w:val="13"/>
                <w:szCs w:val="13"/>
                <w:color w:val="auto"/>
              </w:rPr>
              <w:t>Sales and marketing</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1,017</w:t>
            </w:r>
          </w:p>
        </w:tc>
        <w:tc>
          <w:tcPr>
            <w:tcW w:w="2180" w:type="dxa"/>
            <w:vAlign w:val="bottom"/>
            <w:gridSpan w:val="3"/>
          </w:tcPr>
          <w:p>
            <w:pPr>
              <w:jc w:val="right"/>
              <w:ind w:right="318"/>
              <w:spacing w:after="0"/>
              <w:rPr>
                <w:sz w:val="20"/>
                <w:szCs w:val="20"/>
                <w:color w:val="auto"/>
              </w:rPr>
            </w:pPr>
            <w:r>
              <w:rPr>
                <w:rFonts w:ascii="Arial" w:cs="Arial" w:eastAsia="Arial" w:hAnsi="Arial"/>
                <w:sz w:val="13"/>
                <w:szCs w:val="13"/>
                <w:color w:val="auto"/>
              </w:rPr>
              <w:t>767</w:t>
            </w:r>
          </w:p>
        </w:tc>
        <w:tc>
          <w:tcPr>
            <w:tcW w:w="440" w:type="dxa"/>
            <w:vAlign w:val="bottom"/>
          </w:tcPr>
          <w:p>
            <w:pPr>
              <w:spacing w:after="0"/>
              <w:rPr>
                <w:sz w:val="16"/>
                <w:szCs w:val="16"/>
                <w:color w:val="auto"/>
              </w:rPr>
            </w:pP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2,780</w:t>
            </w:r>
          </w:p>
        </w:tc>
        <w:tc>
          <w:tcPr>
            <w:tcW w:w="2200" w:type="dxa"/>
            <w:vAlign w:val="bottom"/>
            <w:gridSpan w:val="3"/>
          </w:tcPr>
          <w:p>
            <w:pPr>
              <w:jc w:val="right"/>
              <w:ind w:right="337"/>
              <w:spacing w:after="0"/>
              <w:rPr>
                <w:sz w:val="20"/>
                <w:szCs w:val="20"/>
                <w:color w:val="auto"/>
              </w:rPr>
            </w:pPr>
            <w:r>
              <w:rPr>
                <w:rFonts w:ascii="Arial" w:cs="Arial" w:eastAsia="Arial" w:hAnsi="Arial"/>
                <w:sz w:val="13"/>
                <w:szCs w:val="13"/>
                <w:color w:val="auto"/>
              </w:rPr>
              <w:t>2,103</w:t>
            </w:r>
          </w:p>
        </w:tc>
      </w:tr>
      <w:tr>
        <w:trPr>
          <w:trHeight w:val="183"/>
        </w:trPr>
        <w:tc>
          <w:tcPr>
            <w:tcW w:w="3900" w:type="dxa"/>
            <w:vAlign w:val="bottom"/>
          </w:tcPr>
          <w:p>
            <w:pPr>
              <w:ind w:left="360"/>
              <w:spacing w:after="0"/>
              <w:rPr>
                <w:sz w:val="20"/>
                <w:szCs w:val="20"/>
                <w:color w:val="auto"/>
              </w:rPr>
            </w:pPr>
            <w:r>
              <w:rPr>
                <w:rFonts w:ascii="Arial" w:cs="Arial" w:eastAsia="Arial" w:hAnsi="Arial"/>
                <w:sz w:val="13"/>
                <w:szCs w:val="13"/>
                <w:color w:val="auto"/>
              </w:rPr>
              <w:t>General and administrative</w:t>
            </w:r>
          </w:p>
        </w:tc>
        <w:tc>
          <w:tcPr>
            <w:tcW w:w="13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549</w:t>
            </w:r>
          </w:p>
        </w:tc>
        <w:tc>
          <w:tcPr>
            <w:tcW w:w="200" w:type="dxa"/>
            <w:vAlign w:val="bottom"/>
            <w:tcBorders>
              <w:bottom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459</w:t>
            </w:r>
          </w:p>
        </w:tc>
        <w:tc>
          <w:tcPr>
            <w:tcW w:w="44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1,565</w:t>
            </w:r>
          </w:p>
        </w:tc>
        <w:tc>
          <w:tcPr>
            <w:tcW w:w="200" w:type="dxa"/>
            <w:vAlign w:val="bottom"/>
            <w:tcBorders>
              <w:bottom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1,243</w:t>
            </w:r>
          </w:p>
        </w:tc>
      </w:tr>
      <w:tr>
        <w:trPr>
          <w:trHeight w:val="201"/>
        </w:trPr>
        <w:tc>
          <w:tcPr>
            <w:tcW w:w="3900" w:type="dxa"/>
            <w:vAlign w:val="bottom"/>
          </w:tcPr>
          <w:p>
            <w:pPr>
              <w:spacing w:after="0"/>
              <w:rPr>
                <w:sz w:val="17"/>
                <w:szCs w:val="17"/>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2,434</w:t>
            </w:r>
          </w:p>
        </w:tc>
        <w:tc>
          <w:tcPr>
            <w:tcW w:w="2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color w:val="auto"/>
              </w:rPr>
              <w:t>1,936</w:t>
            </w:r>
          </w:p>
        </w:tc>
        <w:tc>
          <w:tcPr>
            <w:tcW w:w="440" w:type="dxa"/>
            <w:vAlign w:val="bottom"/>
          </w:tcPr>
          <w:p>
            <w:pPr>
              <w:spacing w:after="0"/>
              <w:rPr>
                <w:sz w:val="17"/>
                <w:szCs w:val="17"/>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6,846</w:t>
            </w:r>
          </w:p>
        </w:tc>
        <w:tc>
          <w:tcPr>
            <w:tcW w:w="2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5,279</w:t>
            </w:r>
          </w:p>
        </w:tc>
      </w:tr>
    </w:tbl>
    <w:p>
      <w:pPr>
        <w:spacing w:after="0" w:line="14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 summary of the option activity under our stock plans and changes during the reporting periods are presented below (in 000's,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gridSpan w:val="3"/>
          </w:tcPr>
          <w:p>
            <w:pPr>
              <w:jc w:val="right"/>
              <w:ind w:right="682"/>
              <w:spacing w:after="0"/>
              <w:rPr>
                <w:sz w:val="20"/>
                <w:szCs w:val="20"/>
                <w:color w:val="auto"/>
              </w:rPr>
            </w:pPr>
            <w:r>
              <w:rPr>
                <w:rFonts w:ascii="Arial" w:cs="Arial" w:eastAsia="Arial" w:hAnsi="Arial"/>
                <w:sz w:val="12"/>
                <w:szCs w:val="12"/>
                <w:b w:val="1"/>
                <w:bCs w:val="1"/>
                <w:color w:val="auto"/>
                <w:w w:val="90"/>
              </w:rPr>
              <w:t>Options Outstanding</w:t>
            </w:r>
          </w:p>
        </w:tc>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45"/>
        </w:trPr>
        <w:tc>
          <w:tcPr>
            <w:tcW w:w="3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center"/>
              <w:ind w:left="282"/>
              <w:spacing w:after="0"/>
              <w:rPr>
                <w:sz w:val="20"/>
                <w:szCs w:val="20"/>
                <w:color w:val="auto"/>
              </w:rPr>
            </w:pPr>
            <w:r>
              <w:rPr>
                <w:rFonts w:ascii="Arial" w:cs="Arial" w:eastAsia="Arial" w:hAnsi="Arial"/>
                <w:sz w:val="12"/>
                <w:szCs w:val="12"/>
                <w:b w:val="1"/>
                <w:bCs w:val="1"/>
                <w:color w:val="auto"/>
                <w:w w:val="86"/>
              </w:rPr>
              <w:t>Weighted-</w:t>
            </w:r>
          </w:p>
        </w:tc>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5"/>
        </w:trPr>
        <w:tc>
          <w:tcPr>
            <w:tcW w:w="3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center"/>
              <w:ind w:left="382"/>
              <w:spacing w:after="0"/>
              <w:rPr>
                <w:sz w:val="20"/>
                <w:szCs w:val="20"/>
                <w:color w:val="auto"/>
              </w:rPr>
            </w:pPr>
            <w:r>
              <w:rPr>
                <w:rFonts w:ascii="Arial" w:cs="Arial" w:eastAsia="Arial" w:hAnsi="Arial"/>
                <w:sz w:val="12"/>
                <w:szCs w:val="12"/>
                <w:b w:val="1"/>
                <w:bCs w:val="1"/>
                <w:color w:val="auto"/>
                <w:w w:val="89"/>
              </w:rPr>
              <w:t>Weighted-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center"/>
              <w:ind w:left="302"/>
              <w:spacing w:after="0"/>
              <w:rPr>
                <w:sz w:val="20"/>
                <w:szCs w:val="20"/>
                <w:color w:val="auto"/>
              </w:rPr>
            </w:pPr>
            <w:r>
              <w:rPr>
                <w:rFonts w:ascii="Arial" w:cs="Arial" w:eastAsia="Arial" w:hAnsi="Arial"/>
                <w:sz w:val="12"/>
                <w:szCs w:val="12"/>
                <w:b w:val="1"/>
                <w:bCs w:val="1"/>
                <w:color w:val="auto"/>
                <w:w w:val="84"/>
              </w:rPr>
              <w:t>Average</w:t>
            </w:r>
          </w:p>
        </w:tc>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5"/>
        </w:trPr>
        <w:tc>
          <w:tcPr>
            <w:tcW w:w="3500" w:type="dxa"/>
            <w:vAlign w:val="bottom"/>
          </w:tcPr>
          <w:p>
            <w:pPr>
              <w:spacing w:after="0"/>
              <w:rPr>
                <w:sz w:val="12"/>
                <w:szCs w:val="12"/>
                <w:color w:val="auto"/>
              </w:rPr>
            </w:pPr>
          </w:p>
        </w:tc>
        <w:tc>
          <w:tcPr>
            <w:tcW w:w="1120" w:type="dxa"/>
            <w:vAlign w:val="bottom"/>
          </w:tcPr>
          <w:p>
            <w:pPr>
              <w:jc w:val="center"/>
              <w:ind w:left="418"/>
              <w:spacing w:after="0"/>
              <w:rPr>
                <w:sz w:val="20"/>
                <w:szCs w:val="20"/>
                <w:color w:val="auto"/>
              </w:rPr>
            </w:pPr>
            <w:r>
              <w:rPr>
                <w:rFonts w:ascii="Arial" w:cs="Arial" w:eastAsia="Arial" w:hAnsi="Arial"/>
                <w:sz w:val="12"/>
                <w:szCs w:val="12"/>
                <w:b w:val="1"/>
                <w:bCs w:val="1"/>
                <w:color w:val="auto"/>
                <w:w w:val="79"/>
              </w:rPr>
              <w:t>Shares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center"/>
              <w:ind w:left="382"/>
              <w:spacing w:after="0"/>
              <w:rPr>
                <w:sz w:val="20"/>
                <w:szCs w:val="20"/>
                <w:color w:val="auto"/>
              </w:rPr>
            </w:pPr>
            <w:r>
              <w:rPr>
                <w:rFonts w:ascii="Arial" w:cs="Arial" w:eastAsia="Arial" w:hAnsi="Arial"/>
                <w:sz w:val="12"/>
                <w:szCs w:val="12"/>
                <w:b w:val="1"/>
                <w:bCs w:val="1"/>
                <w:color w:val="auto"/>
                <w:w w:val="84"/>
              </w:rPr>
              <w:t>Average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center"/>
              <w:ind w:left="282"/>
              <w:spacing w:after="0"/>
              <w:rPr>
                <w:sz w:val="20"/>
                <w:szCs w:val="20"/>
                <w:color w:val="auto"/>
              </w:rPr>
            </w:pPr>
            <w:r>
              <w:rPr>
                <w:rFonts w:ascii="Arial" w:cs="Arial" w:eastAsia="Arial" w:hAnsi="Arial"/>
                <w:sz w:val="12"/>
                <w:szCs w:val="12"/>
                <w:b w:val="1"/>
                <w:bCs w:val="1"/>
                <w:color w:val="auto"/>
                <w:w w:val="87"/>
              </w:rPr>
              <w:t>Remaining</w:t>
            </w:r>
          </w:p>
        </w:tc>
        <w:tc>
          <w:tcPr>
            <w:tcW w:w="460" w:type="dxa"/>
            <w:vAlign w:val="bottom"/>
          </w:tcPr>
          <w:p>
            <w:pPr>
              <w:spacing w:after="0"/>
              <w:rPr>
                <w:sz w:val="12"/>
                <w:szCs w:val="12"/>
                <w:color w:val="auto"/>
              </w:rPr>
            </w:pPr>
          </w:p>
        </w:tc>
        <w:tc>
          <w:tcPr>
            <w:tcW w:w="1260" w:type="dxa"/>
            <w:vAlign w:val="bottom"/>
          </w:tcPr>
          <w:p>
            <w:pPr>
              <w:jc w:val="right"/>
              <w:ind w:right="341"/>
              <w:spacing w:after="0"/>
              <w:rPr>
                <w:sz w:val="20"/>
                <w:szCs w:val="20"/>
                <w:color w:val="auto"/>
              </w:rPr>
            </w:pPr>
            <w:r>
              <w:rPr>
                <w:rFonts w:ascii="Arial" w:cs="Arial" w:eastAsia="Arial" w:hAnsi="Arial"/>
                <w:sz w:val="12"/>
                <w:szCs w:val="12"/>
                <w:b w:val="1"/>
                <w:bCs w:val="1"/>
                <w:color w:val="auto"/>
              </w:rPr>
              <w:t>Aggregate</w:t>
            </w:r>
          </w:p>
        </w:tc>
      </w:tr>
      <w:tr>
        <w:trPr>
          <w:trHeight w:val="145"/>
        </w:trPr>
        <w:tc>
          <w:tcPr>
            <w:tcW w:w="3500" w:type="dxa"/>
            <w:vAlign w:val="bottom"/>
          </w:tcPr>
          <w:p>
            <w:pPr>
              <w:spacing w:after="0"/>
              <w:rPr>
                <w:sz w:val="12"/>
                <w:szCs w:val="12"/>
                <w:color w:val="auto"/>
              </w:rPr>
            </w:pPr>
          </w:p>
        </w:tc>
        <w:tc>
          <w:tcPr>
            <w:tcW w:w="1120" w:type="dxa"/>
            <w:vAlign w:val="bottom"/>
          </w:tcPr>
          <w:p>
            <w:pPr>
              <w:jc w:val="center"/>
              <w:ind w:left="398"/>
              <w:spacing w:after="0"/>
              <w:rPr>
                <w:sz w:val="20"/>
                <w:szCs w:val="20"/>
                <w:color w:val="auto"/>
              </w:rPr>
            </w:pPr>
            <w:r>
              <w:rPr>
                <w:rFonts w:ascii="Arial" w:cs="Arial" w:eastAsia="Arial" w:hAnsi="Arial"/>
                <w:sz w:val="12"/>
                <w:szCs w:val="12"/>
                <w:b w:val="1"/>
                <w:bCs w:val="1"/>
                <w:color w:val="auto"/>
                <w:w w:val="87"/>
              </w:rPr>
              <w:t>Available</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left="417"/>
              <w:spacing w:after="0"/>
              <w:rPr>
                <w:sz w:val="20"/>
                <w:szCs w:val="20"/>
                <w:color w:val="auto"/>
              </w:rPr>
            </w:pPr>
            <w:r>
              <w:rPr>
                <w:rFonts w:ascii="Arial" w:cs="Arial" w:eastAsia="Arial" w:hAnsi="Arial"/>
                <w:sz w:val="12"/>
                <w:szCs w:val="12"/>
                <w:b w:val="1"/>
                <w:bCs w:val="1"/>
                <w:color w:val="auto"/>
                <w:w w:val="88"/>
              </w:rPr>
              <w:t>Number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center"/>
              <w:ind w:left="382"/>
              <w:spacing w:after="0"/>
              <w:rPr>
                <w:sz w:val="20"/>
                <w:szCs w:val="20"/>
                <w:color w:val="auto"/>
              </w:rPr>
            </w:pPr>
            <w:r>
              <w:rPr>
                <w:rFonts w:ascii="Arial" w:cs="Arial" w:eastAsia="Arial" w:hAnsi="Arial"/>
                <w:sz w:val="12"/>
                <w:szCs w:val="12"/>
                <w:b w:val="1"/>
                <w:bCs w:val="1"/>
                <w:color w:val="auto"/>
                <w:w w:val="80"/>
              </w:rPr>
              <w:t>Exercise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center"/>
              <w:ind w:left="302"/>
              <w:spacing w:after="0"/>
              <w:rPr>
                <w:sz w:val="20"/>
                <w:szCs w:val="20"/>
                <w:color w:val="auto"/>
              </w:rPr>
            </w:pPr>
            <w:r>
              <w:rPr>
                <w:rFonts w:ascii="Arial" w:cs="Arial" w:eastAsia="Arial" w:hAnsi="Arial"/>
                <w:sz w:val="12"/>
                <w:szCs w:val="12"/>
                <w:b w:val="1"/>
                <w:bCs w:val="1"/>
                <w:color w:val="auto"/>
                <w:w w:val="89"/>
              </w:rPr>
              <w:t>Contractual</w:t>
            </w:r>
          </w:p>
        </w:tc>
        <w:tc>
          <w:tcPr>
            <w:tcW w:w="460" w:type="dxa"/>
            <w:vAlign w:val="bottom"/>
          </w:tcPr>
          <w:p>
            <w:pPr>
              <w:spacing w:after="0"/>
              <w:rPr>
                <w:sz w:val="12"/>
                <w:szCs w:val="12"/>
                <w:color w:val="auto"/>
              </w:rPr>
            </w:pPr>
          </w:p>
        </w:tc>
        <w:tc>
          <w:tcPr>
            <w:tcW w:w="1260" w:type="dxa"/>
            <w:vAlign w:val="bottom"/>
          </w:tcPr>
          <w:p>
            <w:pPr>
              <w:jc w:val="right"/>
              <w:ind w:right="201"/>
              <w:spacing w:after="0"/>
              <w:rPr>
                <w:sz w:val="20"/>
                <w:szCs w:val="20"/>
                <w:color w:val="auto"/>
              </w:rPr>
            </w:pPr>
            <w:r>
              <w:rPr>
                <w:rFonts w:ascii="Arial" w:cs="Arial" w:eastAsia="Arial" w:hAnsi="Arial"/>
                <w:sz w:val="12"/>
                <w:szCs w:val="12"/>
                <w:b w:val="1"/>
                <w:bCs w:val="1"/>
                <w:color w:val="auto"/>
              </w:rPr>
              <w:t>Intrinsic</w:t>
            </w:r>
          </w:p>
        </w:tc>
      </w:tr>
      <w:tr>
        <w:trPr>
          <w:trHeight w:val="149"/>
        </w:trPr>
        <w:tc>
          <w:tcPr>
            <w:tcW w:w="3500" w:type="dxa"/>
            <w:vAlign w:val="bottom"/>
          </w:tcPr>
          <w:p>
            <w:pPr>
              <w:spacing w:after="0"/>
              <w:rPr>
                <w:sz w:val="12"/>
                <w:szCs w:val="12"/>
                <w:color w:val="auto"/>
              </w:rPr>
            </w:pPr>
          </w:p>
        </w:tc>
        <w:tc>
          <w:tcPr>
            <w:tcW w:w="1120" w:type="dxa"/>
            <w:vAlign w:val="bottom"/>
          </w:tcPr>
          <w:p>
            <w:pPr>
              <w:jc w:val="center"/>
              <w:ind w:left="418"/>
              <w:spacing w:after="0"/>
              <w:rPr>
                <w:sz w:val="20"/>
                <w:szCs w:val="20"/>
                <w:color w:val="auto"/>
              </w:rPr>
            </w:pPr>
            <w:r>
              <w:rPr>
                <w:rFonts w:ascii="Arial" w:cs="Arial" w:eastAsia="Arial" w:hAnsi="Arial"/>
                <w:sz w:val="12"/>
                <w:szCs w:val="12"/>
                <w:b w:val="1"/>
                <w:bCs w:val="1"/>
                <w:color w:val="auto"/>
                <w:w w:val="95"/>
              </w:rPr>
              <w:t>For Grant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left="417"/>
              <w:spacing w:after="0"/>
              <w:rPr>
                <w:sz w:val="20"/>
                <w:szCs w:val="20"/>
                <w:color w:val="auto"/>
              </w:rPr>
            </w:pPr>
            <w:r>
              <w:rPr>
                <w:rFonts w:ascii="Arial" w:cs="Arial" w:eastAsia="Arial" w:hAnsi="Arial"/>
                <w:sz w:val="12"/>
                <w:szCs w:val="12"/>
                <w:b w:val="1"/>
                <w:bCs w:val="1"/>
                <w:color w:val="auto"/>
                <w:w w:val="84"/>
              </w:rPr>
              <w:t>Of Shares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center"/>
              <w:ind w:left="382"/>
              <w:spacing w:after="0"/>
              <w:rPr>
                <w:sz w:val="20"/>
                <w:szCs w:val="20"/>
                <w:color w:val="auto"/>
              </w:rPr>
            </w:pPr>
            <w:r>
              <w:rPr>
                <w:rFonts w:ascii="Arial" w:cs="Arial" w:eastAsia="Arial" w:hAnsi="Arial"/>
                <w:sz w:val="12"/>
                <w:szCs w:val="12"/>
                <w:b w:val="1"/>
                <w:bCs w:val="1"/>
                <w:color w:val="auto"/>
                <w:w w:val="92"/>
              </w:rPr>
              <w:t>Price ($)</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center"/>
              <w:ind w:left="282"/>
              <w:spacing w:after="0"/>
              <w:rPr>
                <w:sz w:val="20"/>
                <w:szCs w:val="20"/>
                <w:color w:val="auto"/>
              </w:rPr>
            </w:pPr>
            <w:r>
              <w:rPr>
                <w:rFonts w:ascii="Arial" w:cs="Arial" w:eastAsia="Arial" w:hAnsi="Arial"/>
                <w:sz w:val="12"/>
                <w:szCs w:val="12"/>
                <w:b w:val="1"/>
                <w:bCs w:val="1"/>
                <w:color w:val="auto"/>
                <w:w w:val="88"/>
              </w:rPr>
              <w:t>Life (Years)</w:t>
            </w:r>
          </w:p>
        </w:tc>
        <w:tc>
          <w:tcPr>
            <w:tcW w:w="460" w:type="dxa"/>
            <w:vAlign w:val="bottom"/>
          </w:tcPr>
          <w:p>
            <w:pPr>
              <w:spacing w:after="0"/>
              <w:rPr>
                <w:sz w:val="12"/>
                <w:szCs w:val="12"/>
                <w:color w:val="auto"/>
              </w:rPr>
            </w:pPr>
          </w:p>
        </w:tc>
        <w:tc>
          <w:tcPr>
            <w:tcW w:w="1260" w:type="dxa"/>
            <w:vAlign w:val="bottom"/>
          </w:tcPr>
          <w:p>
            <w:pPr>
              <w:jc w:val="right"/>
              <w:ind w:right="181"/>
              <w:spacing w:after="0"/>
              <w:rPr>
                <w:sz w:val="20"/>
                <w:szCs w:val="20"/>
                <w:color w:val="auto"/>
              </w:rPr>
            </w:pPr>
            <w:r>
              <w:rPr>
                <w:rFonts w:ascii="Arial" w:cs="Arial" w:eastAsia="Arial" w:hAnsi="Arial"/>
                <w:sz w:val="12"/>
                <w:szCs w:val="12"/>
                <w:b w:val="1"/>
                <w:bCs w:val="1"/>
                <w:color w:val="auto"/>
              </w:rPr>
              <w:t>Value ($)</w:t>
            </w:r>
          </w:p>
        </w:tc>
      </w:tr>
      <w:tr>
        <w:trPr>
          <w:trHeight w:val="24"/>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2"/>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Balance-December 31, 2009</w:t>
            </w: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9,049</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17,205</w:t>
            </w: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3"/>
        </w:trPr>
        <w:tc>
          <w:tcPr>
            <w:tcW w:w="3500" w:type="dxa"/>
            <w:vAlign w:val="bottom"/>
          </w:tcPr>
          <w:p>
            <w:pPr>
              <w:ind w:left="460"/>
              <w:spacing w:after="0"/>
              <w:rPr>
                <w:sz w:val="20"/>
                <w:szCs w:val="20"/>
                <w:color w:val="auto"/>
              </w:rPr>
            </w:pPr>
            <w:r>
              <w:rPr>
                <w:rFonts w:ascii="Arial" w:cs="Arial" w:eastAsia="Arial" w:hAnsi="Arial"/>
                <w:sz w:val="13"/>
                <w:szCs w:val="13"/>
                <w:color w:val="auto"/>
              </w:rPr>
              <w:t>Granted</w:t>
            </w:r>
          </w:p>
        </w:tc>
        <w:tc>
          <w:tcPr>
            <w:tcW w:w="1120" w:type="dxa"/>
            <w:vAlign w:val="bottom"/>
          </w:tcPr>
          <w:p>
            <w:pPr>
              <w:jc w:val="right"/>
              <w:ind w:right="238"/>
              <w:spacing w:after="0"/>
              <w:rPr>
                <w:sz w:val="20"/>
                <w:szCs w:val="20"/>
                <w:color w:val="auto"/>
              </w:rPr>
            </w:pPr>
            <w:r>
              <w:rPr>
                <w:rFonts w:ascii="Arial" w:cs="Arial" w:eastAsia="Arial" w:hAnsi="Arial"/>
                <w:sz w:val="13"/>
                <w:szCs w:val="13"/>
                <w:color w:val="auto"/>
              </w:rPr>
              <w:t>(2,013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2,013</w:t>
            </w:r>
          </w:p>
        </w:tc>
        <w:tc>
          <w:tcPr>
            <w:tcW w:w="120" w:type="dxa"/>
            <w:vAlign w:val="bottom"/>
          </w:tcPr>
          <w:p>
            <w:pPr>
              <w:spacing w:after="0"/>
              <w:rPr>
                <w:sz w:val="15"/>
                <w:szCs w:val="15"/>
                <w:color w:val="auto"/>
              </w:rPr>
            </w:pPr>
          </w:p>
        </w:tc>
        <w:tc>
          <w:tcPr>
            <w:tcW w:w="1520" w:type="dxa"/>
            <w:vAlign w:val="bottom"/>
            <w:gridSpan w:val="2"/>
          </w:tcPr>
          <w:p>
            <w:pPr>
              <w:jc w:val="right"/>
              <w:ind w:right="222"/>
              <w:spacing w:after="0"/>
              <w:rPr>
                <w:sz w:val="20"/>
                <w:szCs w:val="20"/>
                <w:color w:val="auto"/>
              </w:rPr>
            </w:pPr>
            <w:r>
              <w:rPr>
                <w:rFonts w:ascii="Arial" w:cs="Arial" w:eastAsia="Arial" w:hAnsi="Arial"/>
                <w:sz w:val="13"/>
                <w:szCs w:val="13"/>
                <w:color w:val="auto"/>
              </w:rPr>
              <w:t>17.17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3"/>
        </w:trPr>
        <w:tc>
          <w:tcPr>
            <w:tcW w:w="35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Forfeited</w:t>
            </w: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3"/>
                <w:szCs w:val="13"/>
                <w:color w:val="auto"/>
              </w:rPr>
              <w:t>653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(653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9.41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83"/>
        </w:trPr>
        <w:tc>
          <w:tcPr>
            <w:tcW w:w="350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Exercised (aggregate intrinsic value of $88,453)</w:t>
            </w:r>
          </w:p>
        </w:tc>
        <w:tc>
          <w:tcPr>
            <w:tcW w:w="112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(6,341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CCEEFF"/>
            </w:tcBorders>
            <w:gridSpan w:val="2"/>
          </w:tcPr>
          <w:p>
            <w:pPr>
              <w:jc w:val="right"/>
              <w:ind w:right="222"/>
              <w:spacing w:after="0"/>
              <w:rPr>
                <w:sz w:val="20"/>
                <w:szCs w:val="20"/>
                <w:color w:val="auto"/>
              </w:rPr>
            </w:pPr>
            <w:r>
              <w:rPr>
                <w:rFonts w:ascii="Arial" w:cs="Arial" w:eastAsia="Arial" w:hAnsi="Arial"/>
                <w:sz w:val="13"/>
                <w:szCs w:val="13"/>
                <w:color w:val="auto"/>
              </w:rPr>
              <w:t>3.77</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r>
      <w:tr>
        <w:trPr>
          <w:trHeight w:val="201"/>
        </w:trPr>
        <w:tc>
          <w:tcPr>
            <w:tcW w:w="3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Balance—September 30, 2010</w:t>
            </w:r>
          </w:p>
        </w:tc>
        <w:tc>
          <w:tcPr>
            <w:tcW w:w="11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3"/>
                <w:szCs w:val="13"/>
                <w:color w:val="auto"/>
              </w:rPr>
              <w:t>7,689</w:t>
            </w: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12,224</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7.48</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3"/>
        </w:trPr>
        <w:tc>
          <w:tcPr>
            <w:tcW w:w="3500" w:type="dxa"/>
            <w:vAlign w:val="bottom"/>
          </w:tcPr>
          <w:p>
            <w:pPr>
              <w:ind w:left="360"/>
              <w:spacing w:after="0"/>
              <w:rPr>
                <w:sz w:val="20"/>
                <w:szCs w:val="20"/>
                <w:color w:val="auto"/>
              </w:rPr>
            </w:pPr>
            <w:r>
              <w:rPr>
                <w:rFonts w:ascii="Arial" w:cs="Arial" w:eastAsia="Arial" w:hAnsi="Arial"/>
                <w:sz w:val="13"/>
                <w:szCs w:val="13"/>
                <w:color w:val="auto"/>
                <w:w w:val="91"/>
              </w:rPr>
              <w:t>Options vested and expected to vest—September 30, 2010</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11,887</w:t>
            </w:r>
          </w:p>
        </w:tc>
        <w:tc>
          <w:tcPr>
            <w:tcW w:w="120" w:type="dxa"/>
            <w:vAlign w:val="bottom"/>
          </w:tcPr>
          <w:p>
            <w:pPr>
              <w:spacing w:after="0"/>
              <w:rPr>
                <w:sz w:val="15"/>
                <w:szCs w:val="15"/>
                <w:color w:val="auto"/>
              </w:rPr>
            </w:pPr>
          </w:p>
        </w:tc>
        <w:tc>
          <w:tcPr>
            <w:tcW w:w="1520" w:type="dxa"/>
            <w:vAlign w:val="bottom"/>
            <w:gridSpan w:val="2"/>
          </w:tcPr>
          <w:p>
            <w:pPr>
              <w:jc w:val="right"/>
              <w:ind w:right="222"/>
              <w:spacing w:after="0"/>
              <w:rPr>
                <w:sz w:val="20"/>
                <w:szCs w:val="20"/>
                <w:color w:val="auto"/>
              </w:rPr>
            </w:pPr>
            <w:r>
              <w:rPr>
                <w:rFonts w:ascii="Arial" w:cs="Arial" w:eastAsia="Arial" w:hAnsi="Arial"/>
                <w:sz w:val="13"/>
                <w:szCs w:val="13"/>
                <w:color w:val="auto"/>
              </w:rPr>
              <w:t>7.36</w:t>
            </w:r>
          </w:p>
        </w:tc>
        <w:tc>
          <w:tcPr>
            <w:tcW w:w="1840" w:type="dxa"/>
            <w:vAlign w:val="bottom"/>
            <w:gridSpan w:val="3"/>
          </w:tcPr>
          <w:p>
            <w:pPr>
              <w:jc w:val="right"/>
              <w:ind w:right="322"/>
              <w:spacing w:after="0"/>
              <w:rPr>
                <w:sz w:val="20"/>
                <w:szCs w:val="20"/>
                <w:color w:val="auto"/>
              </w:rPr>
            </w:pPr>
            <w:r>
              <w:rPr>
                <w:rFonts w:ascii="Arial" w:cs="Arial" w:eastAsia="Arial" w:hAnsi="Arial"/>
                <w:sz w:val="13"/>
                <w:szCs w:val="13"/>
                <w:color w:val="auto"/>
              </w:rPr>
              <w:t>4.87</w:t>
            </w:r>
          </w:p>
        </w:tc>
        <w:tc>
          <w:tcPr>
            <w:tcW w:w="1720" w:type="dxa"/>
            <w:vAlign w:val="bottom"/>
            <w:gridSpan w:val="2"/>
          </w:tcPr>
          <w:p>
            <w:pPr>
              <w:jc w:val="right"/>
              <w:ind w:right="341"/>
              <w:spacing w:after="0"/>
              <w:rPr>
                <w:sz w:val="20"/>
                <w:szCs w:val="20"/>
                <w:color w:val="auto"/>
              </w:rPr>
            </w:pPr>
            <w:r>
              <w:rPr>
                <w:rFonts w:ascii="Arial" w:cs="Arial" w:eastAsia="Arial" w:hAnsi="Arial"/>
                <w:sz w:val="13"/>
                <w:szCs w:val="13"/>
                <w:color w:val="auto"/>
              </w:rPr>
              <w:t>209,748</w:t>
            </w:r>
          </w:p>
        </w:tc>
      </w:tr>
      <w:tr>
        <w:trPr>
          <w:trHeight w:val="203"/>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Options exercisable—September 30, 2010</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6,518</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4.45</w:t>
            </w:r>
          </w:p>
        </w:tc>
        <w:tc>
          <w:tcPr>
            <w:tcW w:w="1840" w:type="dxa"/>
            <w:vAlign w:val="bottom"/>
            <w:gridSpan w:val="3"/>
            <w:shd w:val="clear" w:color="auto" w:fill="CCEEFF"/>
          </w:tcPr>
          <w:p>
            <w:pPr>
              <w:jc w:val="right"/>
              <w:ind w:right="322"/>
              <w:spacing w:after="0"/>
              <w:rPr>
                <w:sz w:val="20"/>
                <w:szCs w:val="20"/>
                <w:color w:val="auto"/>
              </w:rPr>
            </w:pPr>
            <w:r>
              <w:rPr>
                <w:rFonts w:ascii="Arial" w:cs="Arial" w:eastAsia="Arial" w:hAnsi="Arial"/>
                <w:sz w:val="13"/>
                <w:szCs w:val="13"/>
                <w:color w:val="auto"/>
              </w:rPr>
              <w:t>4.30</w:t>
            </w:r>
          </w:p>
        </w:tc>
        <w:tc>
          <w:tcPr>
            <w:tcW w:w="460" w:type="dxa"/>
            <w:vAlign w:val="bottom"/>
          </w:tcPr>
          <w:p>
            <w:pPr>
              <w:spacing w:after="0"/>
              <w:rPr>
                <w:sz w:val="17"/>
                <w:szCs w:val="17"/>
                <w:color w:val="auto"/>
              </w:rPr>
            </w:pPr>
          </w:p>
        </w:tc>
        <w:tc>
          <w:tcPr>
            <w:tcW w:w="1260" w:type="dxa"/>
            <w:vAlign w:val="bottom"/>
            <w:shd w:val="clear" w:color="auto" w:fill="CCEEFF"/>
          </w:tcPr>
          <w:p>
            <w:pPr>
              <w:jc w:val="right"/>
              <w:ind w:right="341"/>
              <w:spacing w:after="0"/>
              <w:rPr>
                <w:sz w:val="20"/>
                <w:szCs w:val="20"/>
                <w:color w:val="auto"/>
              </w:rPr>
            </w:pPr>
            <w:r>
              <w:rPr>
                <w:rFonts w:ascii="Arial" w:cs="Arial" w:eastAsia="Arial" w:hAnsi="Arial"/>
                <w:sz w:val="13"/>
                <w:szCs w:val="13"/>
                <w:color w:val="auto"/>
              </w:rPr>
              <w:t>133,957</w:t>
            </w:r>
          </w:p>
        </w:tc>
      </w:tr>
    </w:tbl>
    <w:p>
      <w:pPr>
        <w:spacing w:after="0" w:line="145" w:lineRule="exact"/>
        <w:rPr>
          <w:sz w:val="20"/>
          <w:szCs w:val="20"/>
          <w:color w:val="auto"/>
        </w:rPr>
      </w:pPr>
    </w:p>
    <w:p>
      <w:pPr>
        <w:ind w:right="100" w:firstLine="347"/>
        <w:spacing w:after="0" w:line="361" w:lineRule="auto"/>
        <w:rPr>
          <w:sz w:val="20"/>
          <w:szCs w:val="20"/>
          <w:color w:val="auto"/>
        </w:rPr>
      </w:pPr>
      <w:r>
        <w:rPr>
          <w:rFonts w:ascii="Arial" w:cs="Arial" w:eastAsia="Arial" w:hAnsi="Arial"/>
          <w:sz w:val="11"/>
          <w:szCs w:val="11"/>
          <w:color w:val="auto"/>
        </w:rPr>
        <w:t>At September&amp;nbs p;30, 2010, total compensation cost related to unvested stock-based awards granted to employees under our stock plans but not yet recognized was $21.3 million, net of estimated forfeitures. This cost is expected to be amortized on a straight-line basis over a weighted-average period of 2.47 years. Future option grants will increase the amount of compensation expense to be recorded in these periods.</w:t>
      </w:r>
    </w:p>
    <w:p>
      <w:pPr>
        <w:spacing w:after="0" w:line="82" w:lineRule="exact"/>
        <w:rPr>
          <w:sz w:val="20"/>
          <w:szCs w:val="20"/>
          <w:color w:val="auto"/>
        </w:rPr>
      </w:pPr>
    </w:p>
    <w:p>
      <w:pPr>
        <w:ind w:right="180" w:firstLine="347"/>
        <w:spacing w:after="0" w:line="258" w:lineRule="auto"/>
        <w:rPr>
          <w:sz w:val="20"/>
          <w:szCs w:val="20"/>
          <w:color w:val="auto"/>
        </w:rPr>
      </w:pPr>
      <w:r>
        <w:rPr>
          <w:rFonts w:ascii="Arial" w:cs="Arial" w:eastAsia="Arial" w:hAnsi="Arial"/>
          <w:sz w:val="13"/>
          <w:szCs w:val="13"/>
          <w:color w:val="auto"/>
        </w:rPr>
        <w:t>The total fair value of awards vested under our stock plans was $1.8 million and $1.4 million for the three months ended September 30, 2010 and September 30, 2009, respectively. The total fair value of awards vested under our stock plans was $6.7 million and &lt; /font&gt;$4.3 million for the nine months ended September 30, 2010 and September 30, 2009, respectively. The weighted-average fair value of options granted during the three and nine months ended September 30, 2010 was $6.63 and $6.34 per share, respectively.</w:t>
      </w:r>
    </w:p>
    <w:p>
      <w:pPr>
        <w:spacing w:after="0" w:line="131" w:lineRule="exact"/>
        <w:rPr>
          <w:sz w:val="20"/>
          <w:szCs w:val="20"/>
          <w:color w:val="auto"/>
        </w:rPr>
      </w:pPr>
    </w:p>
    <w:p>
      <w:pPr>
        <w:ind w:firstLine="347"/>
        <w:spacing w:after="0" w:line="254" w:lineRule="auto"/>
        <w:rPr>
          <w:sz w:val="20"/>
          <w:szCs w:val="20"/>
          <w:color w:val="auto"/>
        </w:rPr>
      </w:pPr>
      <w:r>
        <w:rPr>
          <w:rFonts w:ascii="Arial" w:cs="Arial" w:eastAsia="Arial" w:hAnsi="Arial"/>
          <w:sz w:val="13"/>
          <w:szCs w:val="13"/>
          <w:b w:val="1"/>
          <w:bCs w:val="1"/>
          <w:color w:val="auto"/>
        </w:rPr>
        <w:t>Non-employees</w:t>
      </w:r>
      <w:r>
        <w:rPr>
          <w:rFonts w:ascii="Arial" w:cs="Arial" w:eastAsia="Arial" w:hAnsi="Arial"/>
          <w:sz w:val="13"/>
          <w:szCs w:val="13"/>
          <w:color w:val="auto"/>
        </w:rPr>
        <w:t>—During the three months ended September 30, 2010 and September 30, 2009, no options were granted to non-employees in exchange for services. During the nine months ended September 30,</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2010, we issued options to purchase 9,400 shares of common stock, at an exercise price of $16.86 per share, to non-employees in exchange for services. No options were granted to non-employees in exchange for services during the nine months ended September 30, 2009. These options vest over periods of up to 48 months, and in accordance with ASC 505-50 (formerly referred to as EITF Issue No. 96-18, </w:t>
      </w:r>
      <w:r>
        <w:rPr>
          <w:rFonts w:ascii="Arial" w:cs="Arial" w:eastAsia="Arial" w:hAnsi="Arial"/>
          <w:sz w:val="13"/>
          <w:szCs w:val="13"/>
          <w:i w:val="1"/>
          <w:iCs w:val="1"/>
          <w:color w:val="auto"/>
        </w:rPr>
        <w:t>Accounting for Equity Instruments</w:t>
      </w:r>
      <w:r>
        <w:rPr>
          <w:rFonts w:ascii="Arial" w:cs="Arial" w:eastAsia="Arial" w:hAnsi="Arial"/>
          <w:sz w:val="13"/>
          <w:szCs w:val="13"/>
          <w:color w:val="auto"/>
        </w:rPr>
        <w:t xml:space="preserve"> </w:t>
      </w:r>
      <w:r>
        <w:rPr>
          <w:rFonts w:ascii="Arial" w:cs="Arial" w:eastAsia="Arial" w:hAnsi="Arial"/>
          <w:sz w:val="13"/>
          <w:szCs w:val="13"/>
          <w:i w:val="1"/>
          <w:iCs w:val="1"/>
          <w:color w:val="auto"/>
        </w:rPr>
        <w:t>that are Issued to Other Than Employees for Acquiring, or in Conjunction with Selling Goods or Services</w:t>
      </w:r>
      <w:r>
        <w:rPr>
          <w:rFonts w:ascii="Arial" w:cs="Arial" w:eastAsia="Arial" w:hAnsi="Arial"/>
          <w:sz w:val="13"/>
          <w:szCs w:val="13"/>
          <w:color w:val="auto"/>
        </w:rPr>
        <w:t>), we accounted for these options as variable awards. The options were valued using the Black-Scholes option pricing</w:t>
      </w:r>
      <w:r>
        <w:rPr>
          <w:rFonts w:ascii="Arial" w:cs="Arial" w:eastAsia="Arial" w:hAnsi="Arial"/>
          <w:sz w:val="13"/>
          <w:szCs w:val="13"/>
          <w:i w:val="1"/>
          <w:iCs w:val="1"/>
          <w:color w:val="auto"/>
        </w:rPr>
        <w:t xml:space="preserve"> </w:t>
      </w:r>
      <w:r>
        <w:rPr>
          <w:rFonts w:ascii="Arial" w:cs="Arial" w:eastAsia="Arial" w:hAnsi="Arial"/>
          <w:sz w:val="13"/>
          <w:szCs w:val="13"/>
          <w:color w:val="auto"/>
        </w:rPr>
        <w:t>model with the following weighted-average assumptions:</w:t>
      </w:r>
    </w:p>
    <w:p>
      <w:pPr>
        <w:spacing w:after="0" w:line="293"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480"/>
          </w:cols>
          <w:pgMar w:left="220" w:top="131" w:right="199" w:bottom="1440" w:gutter="0" w:footer="0" w:header="0"/>
        </w:sectPr>
      </w:pPr>
    </w:p>
    <w:bookmarkStart w:id="20" w:name="page21"/>
    <w:bookmarkEnd w:id="20"/>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&lt; /div&gt;</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gridSpan w:val="3"/>
          </w:tcPr>
          <w:p>
            <w:pPr>
              <w:ind w:left="400"/>
              <w:spacing w:after="0"/>
              <w:rPr>
                <w:sz w:val="20"/>
                <w:szCs w:val="20"/>
                <w:color w:val="auto"/>
              </w:rPr>
            </w:pPr>
            <w:r>
              <w:rPr>
                <w:rFonts w:ascii="Arial" w:cs="Arial" w:eastAsia="Arial" w:hAnsi="Arial"/>
                <w:sz w:val="12"/>
                <w:szCs w:val="12"/>
                <w:b w:val="1"/>
                <w:bCs w:val="1"/>
                <w:color w:val="auto"/>
                <w:w w:val="96"/>
              </w:rPr>
              <w:t>Three Months Ended</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40" w:type="dxa"/>
            <w:vAlign w:val="bottom"/>
            <w:gridSpan w:val="4"/>
          </w:tcPr>
          <w:p>
            <w:pPr>
              <w:ind w:left="140"/>
              <w:spacing w:after="0"/>
              <w:rPr>
                <w:sz w:val="20"/>
                <w:szCs w:val="20"/>
                <w:color w:val="auto"/>
              </w:rPr>
            </w:pPr>
            <w:r>
              <w:rPr>
                <w:rFonts w:ascii="Arial" w:cs="Arial" w:eastAsia="Arial" w:hAnsi="Arial"/>
                <w:sz w:val="12"/>
                <w:szCs w:val="12"/>
                <w:b w:val="1"/>
                <w:bCs w:val="1"/>
                <w:color w:val="auto"/>
              </w:rPr>
              <w:t>Nine Months Ended</w:t>
            </w:r>
          </w:p>
        </w:tc>
      </w:tr>
      <w:tr>
        <w:trPr>
          <w:trHeight w:val="24"/>
        </w:trPr>
        <w:tc>
          <w:tcPr>
            <w:tcW w:w="350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45"/>
        </w:trPr>
        <w:tc>
          <w:tcPr>
            <w:tcW w:w="3500" w:type="dxa"/>
            <w:vAlign w:val="bottom"/>
          </w:tcPr>
          <w:p>
            <w:pPr>
              <w:spacing w:after="0"/>
              <w:rPr>
                <w:sz w:val="12"/>
                <w:szCs w:val="12"/>
                <w:color w:val="auto"/>
              </w:rPr>
            </w:pPr>
          </w:p>
        </w:tc>
        <w:tc>
          <w:tcPr>
            <w:tcW w:w="2760" w:type="dxa"/>
            <w:vAlign w:val="bottom"/>
            <w:gridSpan w:val="4"/>
          </w:tcPr>
          <w:p>
            <w:pPr>
              <w:ind w:left="740"/>
              <w:spacing w:after="0"/>
              <w:rPr>
                <w:sz w:val="20"/>
                <w:szCs w:val="20"/>
                <w:color w:val="auto"/>
              </w:rPr>
            </w:pPr>
            <w:r>
              <w:rPr>
                <w:rFonts w:ascii="Arial" w:cs="Arial" w:eastAsia="Arial" w:hAnsi="Arial"/>
                <w:sz w:val="12"/>
                <w:szCs w:val="12"/>
                <w:color w:val="auto"/>
              </w:rPr>
              <w:t>September 30,</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September 30,</w:t>
            </w:r>
          </w:p>
        </w:tc>
        <w:tc>
          <w:tcPr>
            <w:tcW w:w="1340" w:type="dxa"/>
            <w:vAlign w:val="bottom"/>
          </w:tcPr>
          <w:p>
            <w:pPr>
              <w:jc w:val="right"/>
              <w:ind w:right="198"/>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September 30,</w:t>
            </w:r>
          </w:p>
        </w:tc>
      </w:tr>
      <w:tr>
        <w:trPr>
          <w:trHeight w:val="149"/>
        </w:trPr>
        <w:tc>
          <w:tcPr>
            <w:tcW w:w="3500" w:type="dxa"/>
            <w:vAlign w:val="bottom"/>
          </w:tcPr>
          <w:p>
            <w:pPr>
              <w:spacing w:after="0"/>
              <w:rPr>
                <w:sz w:val="12"/>
                <w:szCs w:val="12"/>
                <w:color w:val="auto"/>
              </w:rPr>
            </w:pPr>
          </w:p>
        </w:tc>
        <w:tc>
          <w:tcPr>
            <w:tcW w:w="1200" w:type="dxa"/>
            <w:vAlign w:val="bottom"/>
          </w:tcPr>
          <w:p>
            <w:pPr>
              <w:jc w:val="right"/>
              <w:ind w:right="118"/>
              <w:spacing w:after="0"/>
              <w:rPr>
                <w:sz w:val="20"/>
                <w:szCs w:val="20"/>
                <w:color w:val="auto"/>
              </w:rPr>
            </w:pPr>
            <w:r>
              <w:rPr>
                <w:rFonts w:ascii="Arial" w:cs="Arial" w:eastAsia="Arial" w:hAnsi="Arial"/>
                <w:sz w:val="12"/>
                <w:szCs w:val="12"/>
                <w:color w:val="auto"/>
              </w:rPr>
              <w:t>2010</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right"/>
              <w:ind w:right="638"/>
              <w:spacing w:after="0"/>
              <w:rPr>
                <w:sz w:val="20"/>
                <w:szCs w:val="20"/>
                <w:color w:val="auto"/>
              </w:rPr>
            </w:pPr>
            <w:r>
              <w:rPr>
                <w:rFonts w:ascii="Arial" w:cs="Arial" w:eastAsia="Arial" w:hAnsi="Arial"/>
                <w:sz w:val="12"/>
                <w:szCs w:val="12"/>
                <w:b w:val="1"/>
                <w:bCs w:val="1"/>
                <w:color w:val="auto"/>
              </w:rPr>
              <w:t>2009</w:t>
            </w:r>
          </w:p>
        </w:tc>
        <w:tc>
          <w:tcPr>
            <w:tcW w:w="420" w:type="dxa"/>
            <w:vAlign w:val="bottom"/>
          </w:tcPr>
          <w:p>
            <w:pPr>
              <w:spacing w:after="0"/>
              <w:rPr>
                <w:sz w:val="12"/>
                <w:szCs w:val="12"/>
                <w:color w:val="auto"/>
              </w:rPr>
            </w:pPr>
          </w:p>
        </w:tc>
        <w:tc>
          <w:tcPr>
            <w:tcW w:w="1340" w:type="dxa"/>
            <w:vAlign w:val="bottom"/>
          </w:tcPr>
          <w:p>
            <w:pPr>
              <w:jc w:val="right"/>
              <w:ind w:right="1018"/>
              <w:spacing w:after="0"/>
              <w:rPr>
                <w:sz w:val="20"/>
                <w:szCs w:val="20"/>
                <w:color w:val="auto"/>
              </w:rPr>
            </w:pPr>
            <w:r>
              <w:rPr>
                <w:rFonts w:ascii="Arial" w:cs="Arial" w:eastAsia="Arial" w:hAnsi="Arial"/>
                <w:sz w:val="12"/>
                <w:szCs w:val="12"/>
                <w:b w:val="1"/>
                <w:bCs w:val="1"/>
                <w:color w:val="auto"/>
                <w:w w:val="89"/>
              </w:rPr>
              <w:t>2010</w:t>
            </w:r>
          </w:p>
        </w:tc>
        <w:tc>
          <w:tcPr>
            <w:tcW w:w="1860" w:type="dxa"/>
            <w:vAlign w:val="bottom"/>
            <w:gridSpan w:val="3"/>
          </w:tcPr>
          <w:p>
            <w:pPr>
              <w:jc w:val="right"/>
              <w:ind w:right="218"/>
              <w:spacing w:after="0"/>
              <w:rPr>
                <w:sz w:val="20"/>
                <w:szCs w:val="20"/>
                <w:color w:val="auto"/>
              </w:rPr>
            </w:pPr>
            <w:r>
              <w:rPr>
                <w:rFonts w:ascii="Arial" w:cs="Arial" w:eastAsia="Arial" w:hAnsi="Arial"/>
                <w:sz w:val="12"/>
                <w:szCs w:val="12"/>
                <w:b w:val="1"/>
                <w:bCs w:val="1"/>
                <w:color w:val="auto"/>
              </w:rPr>
              <w:t>2009</w:t>
            </w:r>
          </w:p>
        </w:tc>
        <w:tc>
          <w:tcPr>
            <w:tcW w:w="380" w:type="dxa"/>
            <w:vAlign w:val="bottom"/>
          </w:tcPr>
          <w:p>
            <w:pPr>
              <w:spacing w:after="0"/>
              <w:rPr>
                <w:sz w:val="12"/>
                <w:szCs w:val="12"/>
                <w:color w:val="auto"/>
              </w:rPr>
            </w:pPr>
          </w:p>
        </w:tc>
      </w:tr>
      <w:tr>
        <w:trPr>
          <w:trHeight w:val="24"/>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r>
      <w:tr>
        <w:trPr>
          <w:trHeight w:val="182"/>
        </w:trPr>
        <w:tc>
          <w:tcPr>
            <w:tcW w:w="35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Volatility (%)</w:t>
            </w:r>
          </w:p>
        </w:tc>
        <w:tc>
          <w:tcPr>
            <w:tcW w:w="1820" w:type="dxa"/>
            <w:vAlign w:val="bottom"/>
            <w:tcBorders>
              <w:top w:val="single" w:sz="8" w:color="auto"/>
            </w:tcBorders>
            <w:gridSpan w:val="2"/>
            <w:shd w:val="clear" w:color="auto" w:fill="CCEEFF"/>
          </w:tcPr>
          <w:p>
            <w:pPr>
              <w:jc w:val="right"/>
              <w:ind w:right="559"/>
              <w:spacing w:after="0"/>
              <w:rPr>
                <w:sz w:val="20"/>
                <w:szCs w:val="20"/>
                <w:color w:val="auto"/>
              </w:rPr>
            </w:pPr>
            <w:r>
              <w:rPr>
                <w:rFonts w:ascii="Arial" w:cs="Arial" w:eastAsia="Arial" w:hAnsi="Arial"/>
                <w:sz w:val="13"/>
                <w:szCs w:val="13"/>
                <w:color w:val="auto"/>
              </w:rPr>
              <w:t>41.8</w:t>
            </w:r>
          </w:p>
        </w:tc>
        <w:tc>
          <w:tcPr>
            <w:tcW w:w="4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44.2</w:t>
            </w:r>
          </w:p>
        </w:tc>
        <w:tc>
          <w:tcPr>
            <w:tcW w:w="4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37.6 - 41.8</w:t>
            </w:r>
          </w:p>
        </w:tc>
        <w:tc>
          <w:tcPr>
            <w:tcW w:w="2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44.2 - 51.8</w:t>
            </w:r>
          </w:p>
        </w:tc>
        <w:tc>
          <w:tcPr>
            <w:tcW w:w="380" w:type="dxa"/>
            <w:vAlign w:val="bottom"/>
            <w:tcBorders>
              <w:top w:val="single" w:sz="8" w:color="auto"/>
            </w:tcBorders>
            <w:shd w:val="clear" w:color="auto" w:fill="CCEEFF"/>
          </w:tcPr>
          <w:p>
            <w:pPr>
              <w:spacing w:after="0"/>
              <w:rPr>
                <w:sz w:val="15"/>
                <w:szCs w:val="15"/>
                <w:color w:val="auto"/>
              </w:rPr>
            </w:pPr>
          </w:p>
        </w:tc>
      </w:tr>
      <w:tr>
        <w:trPr>
          <w:trHeight w:val="126"/>
        </w:trPr>
        <w:tc>
          <w:tcPr>
            <w:tcW w:w="3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gridSpan w:val="3"/>
          </w:tcPr>
          <w:p>
            <w:pPr>
              <w:ind w:left="340"/>
              <w:spacing w:after="0" w:line="126" w:lineRule="exact"/>
              <w:rPr>
                <w:sz w:val="20"/>
                <w:szCs w:val="20"/>
                <w:color w:val="auto"/>
              </w:rPr>
            </w:pPr>
            <w:r>
              <w:rPr>
                <w:rFonts w:ascii="Arial" w:cs="Arial" w:eastAsia="Arial" w:hAnsi="Arial"/>
                <w:sz w:val="13"/>
                <w:szCs w:val="13"/>
                <w:color w:val="auto"/>
              </w:rPr>
              <w:t>&amp;nbs</w:t>
            </w: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82"/>
        </w:trPr>
        <w:tc>
          <w:tcPr>
            <w:tcW w:w="3500" w:type="dxa"/>
            <w:vAlign w:val="bottom"/>
          </w:tcPr>
          <w:p>
            <w:pPr>
              <w:ind w:left="380"/>
              <w:spacing w:after="0"/>
              <w:rPr>
                <w:sz w:val="20"/>
                <w:szCs w:val="20"/>
                <w:color w:val="auto"/>
              </w:rPr>
            </w:pPr>
            <w:r>
              <w:rPr>
                <w:rFonts w:ascii="Arial" w:cs="Arial" w:eastAsia="Arial" w:hAnsi="Arial"/>
                <w:sz w:val="13"/>
                <w:szCs w:val="13"/>
                <w:color w:val="auto"/>
              </w:rPr>
              <w:t>Dividend rate (%)</w:t>
            </w:r>
          </w:p>
        </w:tc>
        <w:tc>
          <w:tcPr>
            <w:tcW w:w="2760" w:type="dxa"/>
            <w:vAlign w:val="bottom"/>
            <w:gridSpan w:val="4"/>
          </w:tcPr>
          <w:p>
            <w:pPr>
              <w:ind w:left="1060"/>
              <w:spacing w:after="0"/>
              <w:rPr>
                <w:sz w:val="20"/>
                <w:szCs w:val="20"/>
                <w:color w:val="auto"/>
              </w:rPr>
            </w:pPr>
            <w:r>
              <w:rPr>
                <w:rFonts w:ascii="Arial" w:cs="Arial" w:eastAsia="Arial" w:hAnsi="Arial"/>
                <w:sz w:val="13"/>
                <w:szCs w:val="13"/>
                <w:color w:val="auto"/>
              </w:rPr>
              <w:t>—p;</w:t>
            </w:r>
          </w:p>
        </w:tc>
        <w:tc>
          <w:tcPr>
            <w:tcW w:w="1540" w:type="dxa"/>
            <w:vAlign w:val="bottom"/>
            <w:gridSpan w:val="2"/>
          </w:tcPr>
          <w:p>
            <w:pPr>
              <w:jc w:val="right"/>
              <w:ind w:right="80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r>
      <w:tr>
        <w:trPr>
          <w:trHeight w:val="193"/>
        </w:trPr>
        <w:tc>
          <w:tcPr>
            <w:tcW w:w="35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Risk-free interest rate (%)</w:t>
            </w:r>
          </w:p>
        </w:tc>
        <w:tc>
          <w:tcPr>
            <w:tcW w:w="1200" w:type="dxa"/>
            <w:vAlign w:val="bottom"/>
          </w:tcPr>
          <w:p>
            <w:pPr>
              <w:jc w:val="right"/>
              <w:spacing w:after="0"/>
              <w:rPr>
                <w:sz w:val="20"/>
                <w:szCs w:val="20"/>
                <w:color w:val="auto"/>
              </w:rPr>
            </w:pPr>
            <w:r>
              <w:rPr>
                <w:rFonts w:ascii="Arial" w:cs="Arial" w:eastAsia="Arial" w:hAnsi="Arial"/>
                <w:sz w:val="13"/>
                <w:szCs w:val="13"/>
                <w:color w:val="auto"/>
              </w:rPr>
              <w:t>1.6</w:t>
            </w: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2.3</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1.6 - 2.4</w:t>
            </w:r>
          </w:p>
        </w:tc>
        <w:tc>
          <w:tcPr>
            <w:tcW w:w="224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1.3 - 2.3</w:t>
            </w:r>
          </w:p>
        </w:tc>
      </w:tr>
      <w:tr>
        <w:trPr>
          <w:trHeight w:val="173"/>
        </w:trPr>
        <w:tc>
          <w:tcPr>
            <w:tcW w:w="3500" w:type="dxa"/>
            <w:vAlign w:val="bottom"/>
          </w:tcPr>
          <w:p>
            <w:pPr>
              <w:ind w:left="380"/>
              <w:spacing w:after="0"/>
              <w:rPr>
                <w:sz w:val="20"/>
                <w:szCs w:val="20"/>
                <w:color w:val="auto"/>
              </w:rPr>
            </w:pPr>
            <w:r>
              <w:rPr>
                <w:rFonts w:ascii="Arial" w:cs="Arial" w:eastAsia="Arial" w:hAnsi="Arial"/>
                <w:sz w:val="13"/>
                <w:szCs w:val="13"/>
                <w:color w:val="auto"/>
              </w:rPr>
              <w:t>Expected term in years</w:t>
            </w:r>
          </w:p>
        </w:tc>
        <w:tc>
          <w:tcPr>
            <w:tcW w:w="1200" w:type="dxa"/>
            <w:vAlign w:val="bottom"/>
          </w:tcPr>
          <w:p>
            <w:pPr>
              <w:jc w:val="right"/>
              <w:spacing w:after="0"/>
              <w:rPr>
                <w:sz w:val="20"/>
                <w:szCs w:val="20"/>
                <w:color w:val="auto"/>
              </w:rPr>
            </w:pPr>
            <w:r>
              <w:rPr>
                <w:rFonts w:ascii="Arial" w:cs="Arial" w:eastAsia="Arial" w:hAnsi="Arial"/>
                <w:sz w:val="13"/>
                <w:szCs w:val="13"/>
                <w:color w:val="auto"/>
              </w:rPr>
              <w:t>4.6 - 6.3</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ind w:right="318"/>
              <w:spacing w:after="0"/>
              <w:rPr>
                <w:sz w:val="20"/>
                <w:szCs w:val="20"/>
                <w:color w:val="auto"/>
              </w:rPr>
            </w:pPr>
            <w:r>
              <w:rPr>
                <w:rFonts w:ascii="Arial" w:cs="Arial" w:eastAsia="Arial" w:hAnsi="Arial"/>
                <w:sz w:val="13"/>
                <w:szCs w:val="13"/>
                <w:color w:val="auto"/>
              </w:rPr>
              <w:t>5.6 - 7.0</w:t>
            </w:r>
          </w:p>
        </w:tc>
        <w:tc>
          <w:tcPr>
            <w:tcW w:w="420" w:type="dxa"/>
            <w:vAlign w:val="bottom"/>
          </w:tcPr>
          <w:p>
            <w:pPr>
              <w:spacing w:after="0"/>
              <w:rPr>
                <w:sz w:val="15"/>
                <w:szCs w:val="15"/>
                <w:color w:val="auto"/>
              </w:rPr>
            </w:pPr>
          </w:p>
        </w:tc>
        <w:tc>
          <w:tcPr>
            <w:tcW w:w="1340" w:type="dxa"/>
            <w:vAlign w:val="bottom"/>
          </w:tcPr>
          <w:p>
            <w:pPr>
              <w:jc w:val="right"/>
              <w:ind w:right="58"/>
              <w:spacing w:after="0"/>
              <w:rPr>
                <w:sz w:val="20"/>
                <w:szCs w:val="20"/>
                <w:color w:val="auto"/>
              </w:rPr>
            </w:pPr>
            <w:r>
              <w:rPr>
                <w:rFonts w:ascii="Arial" w:cs="Arial" w:eastAsia="Arial" w:hAnsi="Arial"/>
                <w:sz w:val="13"/>
                <w:szCs w:val="13"/>
                <w:color w:val="auto"/>
              </w:rPr>
              <w:t>4.6 - 6.8</w:t>
            </w:r>
          </w:p>
        </w:tc>
        <w:tc>
          <w:tcPr>
            <w:tcW w:w="2240" w:type="dxa"/>
            <w:vAlign w:val="bottom"/>
            <w:gridSpan w:val="4"/>
          </w:tcPr>
          <w:p>
            <w:pPr>
              <w:jc w:val="right"/>
              <w:ind w:right="380"/>
              <w:spacing w:after="0"/>
              <w:rPr>
                <w:sz w:val="20"/>
                <w:szCs w:val="20"/>
                <w:color w:val="auto"/>
              </w:rPr>
            </w:pPr>
            <w:r>
              <w:rPr>
                <w:rFonts w:ascii="Arial" w:cs="Arial" w:eastAsia="Arial" w:hAnsi="Arial"/>
                <w:sz w:val="13"/>
                <w:szCs w:val="13"/>
                <w:color w:val="auto"/>
              </w:rPr>
              <w:t>5.6 - 7.5</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10. INCOME TAXES</w:t>
      </w:r>
    </w:p>
    <w:p>
      <w:pPr>
        <w:spacing w:after="0" w:line="163" w:lineRule="exact"/>
        <w:rPr>
          <w:sz w:val="20"/>
          <w:szCs w:val="20"/>
          <w:color w:val="auto"/>
        </w:rPr>
      </w:pPr>
    </w:p>
    <w:p>
      <w:pPr>
        <w:ind w:right="40" w:firstLine="347"/>
        <w:spacing w:after="0" w:line="252" w:lineRule="auto"/>
        <w:rPr>
          <w:sz w:val="20"/>
          <w:szCs w:val="20"/>
          <w:color w:val="auto"/>
        </w:rPr>
      </w:pPr>
      <w:r>
        <w:rPr>
          <w:rFonts w:ascii="Arial" w:cs="Arial" w:eastAsia="Arial" w:hAnsi="Arial"/>
          <w:sz w:val="13"/>
          <w:szCs w:val="13"/>
          <w:color w:val="auto"/>
        </w:rPr>
        <w:t>The effective tax rate was 23.3% for the three months ended September 30, 2010, compared to an effective tax rate of 21.4% for the three months ended September 30, 2009. The effective tax rate was 28.8%&lt; font style="font-family:inherit;font-size:10pt;"&gt; for the nine months ended September 30, 2010, compared to an effective tax rate of 17.6% for the nine months ended September 30, 2009. The provision for income taxes for the three and nine months ended September 30, 2010 is comprised of foreign income taxes, U.S. federal and state taxes, withholding tax, nondeductible compensation and adjustments related to our intercompany transfer pricing. The provision for income taxes for the three and nine months ended September 30, 2009 is comprised primarily of foreign income taxes, U.S. federal alternative minimum tax, state income taxes, and withholding tax.</w:t>
      </w:r>
    </w:p>
    <w:p>
      <w:pPr>
        <w:spacing w:after="0" w:line="141" w:lineRule="exact"/>
        <w:rPr>
          <w:sz w:val="20"/>
          <w:szCs w:val="20"/>
          <w:color w:val="auto"/>
        </w:rPr>
      </w:pPr>
    </w:p>
    <w:p>
      <w:pPr>
        <w:ind w:right="180" w:firstLine="347"/>
        <w:spacing w:after="0" w:line="268" w:lineRule="auto"/>
        <w:rPr>
          <w:sz w:val="20"/>
          <w:szCs w:val="20"/>
          <w:color w:val="auto"/>
        </w:rPr>
      </w:pPr>
      <w:r>
        <w:rPr>
          <w:rFonts w:ascii="Arial" w:cs="Arial" w:eastAsia="Arial" w:hAnsi="Arial"/>
          <w:sz w:val="13"/>
          <w:szCs w:val="13"/>
          <w:color w:val="auto"/>
        </w:rPr>
        <w:t>As of September 30, 2010 and December 31, 2009, unrecognized tax benefits determined in accordance with authoritative guidance on accounting for uncertainty in income tax es, approximated $10.9 million and $3.4 million, respectively. The total amount of unrecognized tax benefits, if recognized, would favorably impact the effective tax rate.</w:t>
      </w:r>
    </w:p>
    <w:p>
      <w:pPr>
        <w:spacing w:after="0" w:line="129" w:lineRule="exact"/>
        <w:rPr>
          <w:sz w:val="20"/>
          <w:szCs w:val="20"/>
          <w:color w:val="auto"/>
        </w:rPr>
      </w:pPr>
    </w:p>
    <w:p>
      <w:pPr>
        <w:ind w:right="300" w:firstLine="347"/>
        <w:spacing w:after="0" w:line="310" w:lineRule="auto"/>
        <w:rPr>
          <w:sz w:val="20"/>
          <w:szCs w:val="20"/>
          <w:color w:val="auto"/>
        </w:rPr>
      </w:pPr>
      <w:r>
        <w:rPr>
          <w:rFonts w:ascii="Arial" w:cs="Arial" w:eastAsia="Arial" w:hAnsi="Arial"/>
          <w:sz w:val="12"/>
          <w:szCs w:val="12"/>
          <w:color w:val="auto"/>
        </w:rPr>
        <w:t>It is our policy to classify accrued interest and penalties related to unrecognized tax benefits in the provision for income taxes. For the three and nine months ended September 30, 2010 and Septemb er 30, 2009, interest and penalties related to unrecognized tax benefits were immaterial. We do not expect any material unrecognized tax benefits to expire within the next twelve months.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11. EMPLOYEE BENEFIT PLAN</w:t>
      </w:r>
    </w:p>
    <w:p>
      <w:pPr>
        <w:spacing w:after="0" w:line="163" w:lineRule="exact"/>
        <w:rPr>
          <w:sz w:val="20"/>
          <w:szCs w:val="20"/>
          <w:color w:val="auto"/>
        </w:rPr>
      </w:pPr>
    </w:p>
    <w:p>
      <w:pPr>
        <w:ind w:right="80" w:firstLine="347"/>
        <w:spacing w:after="0" w:line="268" w:lineRule="auto"/>
        <w:rPr>
          <w:sz w:val="20"/>
          <w:szCs w:val="20"/>
          <w:color w:val="auto"/>
        </w:rPr>
      </w:pPr>
      <w:r>
        <w:rPr>
          <w:rFonts w:ascii="Arial" w:cs="Arial" w:eastAsia="Arial" w:hAnsi="Arial"/>
          <w:sz w:val="13"/>
          <w:szCs w:val="13"/>
          <w:color w:val="auto"/>
        </w:rPr>
        <w:t>We have established a 401(k) tax-deferred savings plan (the “401(k) Plan”) which permits participants to make contributions by salary deduction pursuant to Section&amp;n bsp;401(k) of the Internal Revenue Code. We are responsible for administrative costs of the 401(k) Plan and have made no contributions to the 401(k) Plan since inception.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12. CERTAIN RELATIONSHIPS AND RELATED PARTY TRANSACTIONS</w:t>
      </w:r>
    </w:p>
    <w:p>
      <w:pPr>
        <w:spacing w:after="0" w:line="163" w:lineRule="exact"/>
        <w:rPr>
          <w:sz w:val="20"/>
          <w:szCs w:val="20"/>
          <w:color w:val="auto"/>
        </w:rPr>
      </w:pPr>
    </w:p>
    <w:p>
      <w:pPr>
        <w:ind w:right="320" w:firstLine="347"/>
        <w:spacing w:after="0" w:line="268" w:lineRule="auto"/>
        <w:rPr>
          <w:sz w:val="20"/>
          <w:szCs w:val="20"/>
          <w:color w:val="auto"/>
        </w:rPr>
      </w:pPr>
      <w:r>
        <w:rPr>
          <w:rFonts w:ascii="Arial" w:cs="Arial" w:eastAsia="Arial" w:hAnsi="Arial"/>
          <w:sz w:val="13"/>
          <w:szCs w:val="13"/>
          <w:color w:val="auto"/>
        </w:rPr>
        <w:t>During the three and nine months ended September 30, 2009, we paid compensation of $39,000 and $124,000, respectively, to two employees who are directly related to a former board member. This individual ceased being a board member as of October 2009.</w:t>
      </w:r>
    </w:p>
    <w:p>
      <w:pPr>
        <w:spacing w:after="0" w:line="129" w:lineRule="exact"/>
        <w:rPr>
          <w:sz w:val="20"/>
          <w:szCs w:val="20"/>
          <w:color w:val="auto"/>
        </w:rPr>
      </w:pPr>
    </w:p>
    <w:p>
      <w:pPr>
        <w:ind w:right="20" w:firstLine="347"/>
        <w:spacing w:after="0" w:line="258" w:lineRule="auto"/>
        <w:rPr>
          <w:sz w:val="20"/>
          <w:szCs w:val="20"/>
          <w:color w:val="auto"/>
        </w:rPr>
      </w:pPr>
      <w:r>
        <w:rPr>
          <w:rFonts w:ascii="Arial" w:cs="Arial" w:eastAsia="Arial" w:hAnsi="Arial"/>
          <w:sz w:val="13"/>
          <w:szCs w:val="13"/>
          <w:color w:val="auto"/>
        </w:rPr>
        <w:t>In February 2008, we entered into a 23-month non-cancelable facility lease agreement, determined to be an arms length transaction, with an entity affiliated with one of our former board members. Under the terms of the agreement, in 2008, we paid approximately $284,000 for tenant improvements and $316,000 for a refundable deposit. For the three and nine months ended September 30, 2009 we paid $198,000 and $696,000, respectively, for office rent and operating expenses. The lease expired on December 31, 2009.</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13. SEGMENT INFORMATION</w:t>
      </w:r>
    </w:p>
    <w:p>
      <w:pPr>
        <w:spacing w:after="0" w:line="163" w:lineRule="exact"/>
        <w:rPr>
          <w:sz w:val="20"/>
          <w:szCs w:val="20"/>
          <w:color w:val="auto"/>
        </w:rPr>
      </w:pPr>
    </w:p>
    <w:p>
      <w:pPr>
        <w:ind w:firstLine="347"/>
        <w:spacing w:after="0" w:line="278" w:lineRule="auto"/>
        <w:rPr>
          <w:sz w:val="20"/>
          <w:szCs w:val="20"/>
          <w:color w:val="auto"/>
        </w:rPr>
      </w:pPr>
      <w:r>
        <w:rPr>
          <w:rFonts w:ascii="Arial" w:cs="Arial" w:eastAsia="Arial" w:hAnsi="Arial"/>
          <w:sz w:val="12"/>
          <w:szCs w:val="12"/>
          <w:color w:val="auto"/>
        </w:rPr>
        <w:t xml:space="preserve">ASC 280 (formerly referred to as SFAS No. 131, </w:t>
      </w:r>
      <w:r>
        <w:rPr>
          <w:rFonts w:ascii="Arial" w:cs="Arial" w:eastAsia="Arial" w:hAnsi="Arial"/>
          <w:sz w:val="12"/>
          <w:szCs w:val="12"/>
          <w:i w:val="1"/>
          <w:iCs w:val="1"/>
          <w:color w:val="auto"/>
        </w:rPr>
        <w:t>Disclosures about Segments of an Enterprise and Related Information)</w:t>
      </w:r>
      <w:r>
        <w:rPr>
          <w:rFonts w:ascii="Arial" w:cs="Arial" w:eastAsia="Arial" w:hAnsi="Arial"/>
          <w:sz w:val="12"/>
          <w:szCs w:val="12"/>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 y, we are considered to be in a single reportable segment and operating unit structure.</w:t>
      </w:r>
    </w:p>
    <w:p>
      <w:pPr>
        <w:spacing w:after="0" w:line="126"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40"/>
          </w:cols>
          <w:pgMar w:left="220" w:top="131" w:right="239" w:bottom="1440" w:gutter="0" w:footer="0" w:header="0"/>
        </w:sectPr>
      </w:pPr>
    </w:p>
    <w:bookmarkStart w:id="21" w:name="page22"/>
    <w:bookmarkEnd w:id="21"/>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FORTINET, INC. AND SUBSIDIARIES</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NOTES TO CONDENSED CONSOLIDATED FINANCIAL STATEMENTS—(Continued)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(Unaudited)</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Revenue by geographic region is based on the billing address of the customer. The following tables set forth revenue, interest income and property and equipment by geographic region ($ amounts in 000's):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7"/>
          </w:tcPr>
          <w:p>
            <w:pPr>
              <w:ind w:left="60"/>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6"/>
          </w:tcPr>
          <w:p>
            <w:pPr>
              <w:jc w:val="right"/>
              <w:ind w:right="1020"/>
              <w:spacing w:after="0"/>
              <w:rPr>
                <w:sz w:val="20"/>
                <w:szCs w:val="20"/>
                <w:color w:val="auto"/>
              </w:rPr>
            </w:pPr>
            <w:r>
              <w:rPr>
                <w:rFonts w:ascii="Arial" w:cs="Arial" w:eastAsia="Arial" w:hAnsi="Arial"/>
                <w:sz w:val="12"/>
                <w:szCs w:val="12"/>
                <w:b w:val="1"/>
                <w:bCs w:val="1"/>
                <w:color w:val="auto"/>
                <w:w w:val="96"/>
              </w:rPr>
              <w:t>Nine Months Ended</w:t>
            </w:r>
          </w:p>
        </w:tc>
      </w:tr>
      <w:tr>
        <w:trPr>
          <w:trHeight w:val="24"/>
        </w:trPr>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45"/>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ind w:left="560"/>
              <w:spacing w:after="0"/>
              <w:rPr>
                <w:sz w:val="20"/>
                <w:szCs w:val="20"/>
                <w:color w:val="auto"/>
              </w:rPr>
            </w:pPr>
            <w:r>
              <w:rPr>
                <w:rFonts w:ascii="Arial" w:cs="Arial" w:eastAsia="Arial" w:hAnsi="Arial"/>
                <w:sz w:val="12"/>
                <w:szCs w:val="12"/>
                <w:b w:val="1"/>
                <w:bCs w:val="1"/>
                <w:color w:val="auto"/>
                <w:w w:val="92"/>
              </w:rPr>
              <w:t>September 30,</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ind w:left="240"/>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left="439"/>
              <w:spacing w:after="0"/>
              <w:rPr>
                <w:sz w:val="20"/>
                <w:szCs w:val="20"/>
                <w:color w:val="auto"/>
              </w:rPr>
            </w:pPr>
            <w:r>
              <w:rPr>
                <w:rFonts w:ascii="Arial" w:cs="Arial" w:eastAsia="Arial" w:hAnsi="Arial"/>
                <w:sz w:val="12"/>
                <w:szCs w:val="12"/>
                <w:b w:val="1"/>
                <w:bCs w:val="1"/>
                <w:color w:val="auto"/>
                <w:w w:val="85"/>
              </w:rPr>
              <w:t>September 30,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jc w:val="right"/>
              <w:ind w:right="200"/>
              <w:spacing w:after="0"/>
              <w:rPr>
                <w:sz w:val="20"/>
                <w:szCs w:val="20"/>
                <w:color w:val="auto"/>
              </w:rPr>
            </w:pPr>
            <w:r>
              <w:rPr>
                <w:rFonts w:ascii="Arial" w:cs="Arial" w:eastAsia="Arial" w:hAnsi="Arial"/>
                <w:sz w:val="12"/>
                <w:szCs w:val="12"/>
                <w:b w:val="1"/>
                <w:bCs w:val="1"/>
                <w:color w:val="auto"/>
              </w:rPr>
              <w:t>September 30,</w:t>
            </w:r>
          </w:p>
        </w:tc>
      </w:tr>
      <w:tr>
        <w:trPr>
          <w:trHeight w:val="125"/>
        </w:trPr>
        <w:tc>
          <w:tcPr>
            <w:tcW w:w="360" w:type="dxa"/>
            <w:vAlign w:val="bottom"/>
          </w:tcPr>
          <w:p>
            <w:pPr>
              <w:spacing w:after="0"/>
              <w:rPr>
                <w:sz w:val="10"/>
                <w:szCs w:val="10"/>
                <w:color w:val="auto"/>
              </w:rPr>
            </w:pPr>
          </w:p>
        </w:tc>
        <w:tc>
          <w:tcPr>
            <w:tcW w:w="372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Revenue</w:t>
            </w:r>
          </w:p>
        </w:tc>
        <w:tc>
          <w:tcPr>
            <w:tcW w:w="1200" w:type="dxa"/>
            <w:vAlign w:val="bottom"/>
          </w:tcPr>
          <w:p>
            <w:pPr>
              <w:jc w:val="right"/>
              <w:ind w:right="258"/>
              <w:spacing w:after="0" w:line="125" w:lineRule="exact"/>
              <w:rPr>
                <w:sz w:val="20"/>
                <w:szCs w:val="20"/>
                <w:color w:val="auto"/>
              </w:rPr>
            </w:pPr>
            <w:r>
              <w:rPr>
                <w:rFonts w:ascii="Arial" w:cs="Arial" w:eastAsia="Arial" w:hAnsi="Arial"/>
                <w:sz w:val="12"/>
                <w:szCs w:val="12"/>
                <w:b w:val="1"/>
                <w:bCs w:val="1"/>
                <w:color w:val="auto"/>
              </w:rPr>
              <w:t>2010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jc w:val="right"/>
              <w:ind w:right="498"/>
              <w:spacing w:after="0" w:line="125" w:lineRule="exact"/>
              <w:rPr>
                <w:sz w:val="20"/>
                <w:szCs w:val="20"/>
                <w:color w:val="auto"/>
              </w:rPr>
            </w:pPr>
            <w:r>
              <w:rPr>
                <w:rFonts w:ascii="Arial" w:cs="Arial" w:eastAsia="Arial" w:hAnsi="Arial"/>
                <w:sz w:val="12"/>
                <w:szCs w:val="12"/>
                <w:b w:val="1"/>
                <w:bCs w:val="1"/>
                <w:color w:val="auto"/>
              </w:rPr>
              <w:t>2009</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3"/>
          </w:tcPr>
          <w:p>
            <w:pPr>
              <w:jc w:val="right"/>
              <w:ind w:right="179"/>
              <w:spacing w:after="0" w:line="125" w:lineRule="exact"/>
              <w:rPr>
                <w:sz w:val="20"/>
                <w:szCs w:val="20"/>
                <w:color w:val="auto"/>
              </w:rPr>
            </w:pPr>
            <w:r>
              <w:rPr>
                <w:rFonts w:ascii="Arial" w:cs="Arial" w:eastAsia="Arial" w:hAnsi="Arial"/>
                <w:sz w:val="12"/>
                <w:szCs w:val="12"/>
                <w:b w:val="1"/>
                <w:bCs w:val="1"/>
                <w:color w:val="auto"/>
              </w:rPr>
              <w:t>2010</w:t>
            </w:r>
          </w:p>
        </w:tc>
        <w:tc>
          <w:tcPr>
            <w:tcW w:w="220" w:type="dxa"/>
            <w:vAlign w:val="bottom"/>
          </w:tcPr>
          <w:p>
            <w:pPr>
              <w:spacing w:after="0"/>
              <w:rPr>
                <w:sz w:val="10"/>
                <w:szCs w:val="10"/>
                <w:color w:val="auto"/>
              </w:rPr>
            </w:pPr>
          </w:p>
        </w:tc>
        <w:tc>
          <w:tcPr>
            <w:tcW w:w="2180" w:type="dxa"/>
            <w:vAlign w:val="bottom"/>
            <w:gridSpan w:val="6"/>
          </w:tcPr>
          <w:p>
            <w:pPr>
              <w:jc w:val="right"/>
              <w:ind w:right="600"/>
              <w:spacing w:after="0" w:line="125" w:lineRule="exact"/>
              <w:rPr>
                <w:sz w:val="20"/>
                <w:szCs w:val="20"/>
                <w:color w:val="auto"/>
              </w:rPr>
            </w:pPr>
            <w:r>
              <w:rPr>
                <w:rFonts w:ascii="Arial" w:cs="Arial" w:eastAsia="Arial" w:hAnsi="Arial"/>
                <w:sz w:val="12"/>
                <w:szCs w:val="12"/>
                <w:b w:val="1"/>
                <w:bCs w:val="1"/>
                <w:color w:val="auto"/>
              </w:rPr>
              <w:t>2009</w:t>
            </w:r>
          </w:p>
        </w:tc>
      </w:tr>
      <w:tr>
        <w:trPr>
          <w:trHeight w:val="28"/>
        </w:trPr>
        <w:tc>
          <w:tcPr>
            <w:tcW w:w="36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2"/>
        </w:trPr>
        <w:tc>
          <w:tcPr>
            <w:tcW w:w="360" w:type="dxa"/>
            <w:vAlign w:val="bottom"/>
            <w:shd w:val="clear" w:color="auto" w:fill="CCEEFF"/>
          </w:tcPr>
          <w:p>
            <w:pPr>
              <w:spacing w:after="0"/>
              <w:rPr>
                <w:sz w:val="15"/>
                <w:szCs w:val="15"/>
                <w:color w:val="auto"/>
              </w:rPr>
            </w:pPr>
          </w:p>
        </w:tc>
        <w:tc>
          <w:tcPr>
            <w:tcW w:w="37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Americas</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35,396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58"/>
              <w:spacing w:after="0"/>
              <w:rPr>
                <w:sz w:val="20"/>
                <w:szCs w:val="20"/>
                <w:color w:val="auto"/>
              </w:rPr>
            </w:pPr>
            <w:r>
              <w:rPr>
                <w:rFonts w:ascii="Arial" w:cs="Arial" w:eastAsia="Arial" w:hAnsi="Arial"/>
                <w:sz w:val="13"/>
                <w:szCs w:val="13"/>
                <w:color w:val="auto"/>
              </w:rPr>
              <w:t>26,085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40" w:type="dxa"/>
            <w:vAlign w:val="bottom"/>
            <w:gridSpan w:val="4"/>
            <w:shd w:val="clear" w:color="auto" w:fill="CCEEFF"/>
          </w:tcPr>
          <w:p>
            <w:pPr>
              <w:jc w:val="center"/>
              <w:ind w:left="937"/>
              <w:spacing w:after="0"/>
              <w:rPr>
                <w:sz w:val="20"/>
                <w:szCs w:val="20"/>
                <w:color w:val="auto"/>
              </w:rPr>
            </w:pPr>
            <w:r>
              <w:rPr>
                <w:rFonts w:ascii="Arial" w:cs="Arial" w:eastAsia="Arial" w:hAnsi="Arial"/>
                <w:sz w:val="13"/>
                <w:szCs w:val="13"/>
                <w:color w:val="auto"/>
                <w:w w:val="85"/>
              </w:rPr>
              <w:t>88,103</w:t>
            </w:r>
          </w:p>
        </w:tc>
        <w:tc>
          <w:tcPr>
            <w:tcW w:w="2180" w:type="dxa"/>
            <w:vAlign w:val="bottom"/>
            <w:gridSpan w:val="6"/>
            <w:shd w:val="clear" w:color="auto" w:fill="CCEEFF"/>
          </w:tcPr>
          <w:p>
            <w:pPr>
              <w:jc w:val="right"/>
              <w:ind w:right="340"/>
              <w:spacing w:after="0"/>
              <w:rPr>
                <w:sz w:val="20"/>
                <w:szCs w:val="20"/>
                <w:color w:val="auto"/>
              </w:rPr>
            </w:pPr>
            <w:r>
              <w:rPr>
                <w:rFonts w:ascii="Arial" w:cs="Arial" w:eastAsia="Arial" w:hAnsi="Arial"/>
                <w:sz w:val="13"/>
                <w:szCs w:val="13"/>
                <w:color w:val="auto"/>
              </w:rPr>
              <w:t>67,817</w:t>
            </w:r>
          </w:p>
        </w:tc>
      </w:tr>
      <w:tr>
        <w:trPr>
          <w:trHeight w:val="183"/>
        </w:trPr>
        <w:tc>
          <w:tcPr>
            <w:tcW w:w="360" w:type="dxa"/>
            <w:vAlign w:val="bottom"/>
          </w:tcPr>
          <w:p>
            <w:pPr>
              <w:spacing w:after="0"/>
              <w:rPr>
                <w:sz w:val="15"/>
                <w:szCs w:val="15"/>
                <w:color w:val="auto"/>
              </w:rPr>
            </w:pPr>
          </w:p>
        </w:tc>
        <w:tc>
          <w:tcPr>
            <w:tcW w:w="3720" w:type="dxa"/>
            <w:vAlign w:val="bottom"/>
            <w:gridSpan w:val="5"/>
          </w:tcPr>
          <w:p>
            <w:pPr>
              <w:spacing w:after="0"/>
              <w:rPr>
                <w:sz w:val="20"/>
                <w:szCs w:val="20"/>
                <w:color w:val="auto"/>
              </w:rPr>
            </w:pPr>
            <w:r>
              <w:rPr>
                <w:rFonts w:ascii="Arial" w:cs="Arial" w:eastAsia="Arial" w:hAnsi="Arial"/>
                <w:sz w:val="13"/>
                <w:szCs w:val="13"/>
                <w:color w:val="auto"/>
              </w:rPr>
              <w:t>Europe, Middle East and Africa (EMEA)</w:t>
            </w:r>
          </w:p>
        </w:tc>
        <w:tc>
          <w:tcPr>
            <w:tcW w:w="1200" w:type="dxa"/>
            <w:vAlign w:val="bottom"/>
          </w:tcPr>
          <w:p>
            <w:pPr>
              <w:jc w:val="right"/>
              <w:ind w:right="18"/>
              <w:spacing w:after="0"/>
              <w:rPr>
                <w:sz w:val="20"/>
                <w:szCs w:val="20"/>
                <w:color w:val="auto"/>
              </w:rPr>
            </w:pPr>
            <w:r>
              <w:rPr>
                <w:rFonts w:ascii="Arial" w:cs="Arial" w:eastAsia="Arial" w:hAnsi="Arial"/>
                <w:sz w:val="13"/>
                <w:szCs w:val="13"/>
                <w:color w:val="auto"/>
              </w:rPr>
              <w:t>28,926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258"/>
              <w:spacing w:after="0"/>
              <w:rPr>
                <w:sz w:val="20"/>
                <w:szCs w:val="20"/>
                <w:color w:val="auto"/>
              </w:rPr>
            </w:pPr>
            <w:r>
              <w:rPr>
                <w:rFonts w:ascii="Arial" w:cs="Arial" w:eastAsia="Arial" w:hAnsi="Arial"/>
                <w:sz w:val="13"/>
                <w:szCs w:val="13"/>
                <w:color w:val="auto"/>
              </w:rPr>
              <w:t>23,454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4"/>
          </w:tcPr>
          <w:p>
            <w:pPr>
              <w:jc w:val="center"/>
              <w:ind w:left="937"/>
              <w:spacing w:after="0"/>
              <w:rPr>
                <w:sz w:val="20"/>
                <w:szCs w:val="20"/>
                <w:color w:val="auto"/>
              </w:rPr>
            </w:pPr>
            <w:r>
              <w:rPr>
                <w:rFonts w:ascii="Arial" w:cs="Arial" w:eastAsia="Arial" w:hAnsi="Arial"/>
                <w:sz w:val="13"/>
                <w:szCs w:val="13"/>
                <w:color w:val="auto"/>
                <w:w w:val="85"/>
              </w:rPr>
              <w:t>85,482</w:t>
            </w:r>
          </w:p>
        </w:tc>
        <w:tc>
          <w:tcPr>
            <w:tcW w:w="2180" w:type="dxa"/>
            <w:vAlign w:val="bottom"/>
            <w:gridSpan w:val="6"/>
          </w:tcPr>
          <w:p>
            <w:pPr>
              <w:jc w:val="right"/>
              <w:ind w:right="340"/>
              <w:spacing w:after="0"/>
              <w:rPr>
                <w:sz w:val="20"/>
                <w:szCs w:val="20"/>
                <w:color w:val="auto"/>
              </w:rPr>
            </w:pPr>
            <w:r>
              <w:rPr>
                <w:rFonts w:ascii="Arial" w:cs="Arial" w:eastAsia="Arial" w:hAnsi="Arial"/>
                <w:sz w:val="13"/>
                <w:szCs w:val="13"/>
                <w:color w:val="auto"/>
              </w:rPr>
              <w:t>67,239</w:t>
            </w:r>
          </w:p>
        </w:tc>
      </w:tr>
      <w:tr>
        <w:trPr>
          <w:trHeight w:val="193"/>
        </w:trPr>
        <w:tc>
          <w:tcPr>
            <w:tcW w:w="360" w:type="dxa"/>
            <w:vAlign w:val="bottom"/>
            <w:shd w:val="clear" w:color="auto" w:fill="CCEEFF"/>
          </w:tcPr>
          <w:p>
            <w:pPr>
              <w:spacing w:after="0"/>
              <w:rPr>
                <w:sz w:val="16"/>
                <w:szCs w:val="16"/>
                <w:color w:val="auto"/>
              </w:rPr>
            </w:pPr>
          </w:p>
        </w:tc>
        <w:tc>
          <w:tcPr>
            <w:tcW w:w="37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Asia Pacific and Japan (APAC)</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20,649</w:t>
            </w:r>
          </w:p>
        </w:tc>
        <w:tc>
          <w:tcPr>
            <w:tcW w:w="1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3"/>
                <w:szCs w:val="13"/>
                <w:color w:val="auto"/>
              </w:rPr>
              <w:t>16,325</w:t>
            </w: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20" w:type="dxa"/>
            <w:vAlign w:val="bottom"/>
            <w:gridSpan w:val="2"/>
            <w:shd w:val="clear" w:color="auto" w:fill="CCEEFF"/>
          </w:tcPr>
          <w:p>
            <w:pPr>
              <w:spacing w:after="0"/>
              <w:rPr>
                <w:sz w:val="16"/>
                <w:szCs w:val="16"/>
                <w:color w:val="auto"/>
              </w:rPr>
            </w:pPr>
          </w:p>
        </w:tc>
        <w:tc>
          <w:tcPr>
            <w:tcW w:w="1320" w:type="dxa"/>
            <w:vAlign w:val="bottom"/>
            <w:tcBorders>
              <w:bottom w:val="single" w:sz="8" w:color="auto"/>
            </w:tcBorders>
            <w:gridSpan w:val="2"/>
            <w:shd w:val="clear" w:color="auto" w:fill="CCEEFF"/>
          </w:tcPr>
          <w:p>
            <w:pPr>
              <w:jc w:val="center"/>
              <w:ind w:left="519"/>
              <w:spacing w:after="0"/>
              <w:rPr>
                <w:sz w:val="20"/>
                <w:szCs w:val="20"/>
                <w:color w:val="auto"/>
              </w:rPr>
            </w:pPr>
            <w:r>
              <w:rPr>
                <w:rFonts w:ascii="Arial" w:cs="Arial" w:eastAsia="Arial" w:hAnsi="Arial"/>
                <w:sz w:val="13"/>
                <w:szCs w:val="13"/>
                <w:color w:val="auto"/>
                <w:w w:val="85"/>
              </w:rPr>
              <w:t>57,512</w:t>
            </w:r>
          </w:p>
        </w:tc>
        <w:tc>
          <w:tcPr>
            <w:tcW w:w="200" w:type="dxa"/>
            <w:vAlign w:val="bottom"/>
            <w:tcBorders>
              <w:bottom w:val="single" w:sz="8" w:color="auto"/>
            </w:tcBorders>
            <w:gridSpan w:val="2"/>
            <w:shd w:val="clear" w:color="auto" w:fill="CCEEFF"/>
          </w:tcPr>
          <w:p>
            <w:pPr>
              <w:spacing w:after="0"/>
              <w:rPr>
                <w:sz w:val="16"/>
                <w:szCs w:val="16"/>
                <w:color w:val="auto"/>
              </w:rPr>
            </w:pPr>
          </w:p>
        </w:tc>
        <w:tc>
          <w:tcPr>
            <w:tcW w:w="440" w:type="dxa"/>
            <w:vAlign w:val="bottom"/>
            <w:gridSpan w:val="3"/>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3"/>
                <w:szCs w:val="13"/>
                <w:color w:val="auto"/>
              </w:rPr>
              <w:t>46,347</w:t>
            </w:r>
          </w:p>
        </w:tc>
      </w:tr>
      <w:tr>
        <w:trPr>
          <w:trHeight w:val="212"/>
        </w:trPr>
        <w:tc>
          <w:tcPr>
            <w:tcW w:w="360" w:type="dxa"/>
            <w:vAlign w:val="bottom"/>
          </w:tcPr>
          <w:p>
            <w:pPr>
              <w:spacing w:after="0"/>
              <w:rPr>
                <w:sz w:val="18"/>
                <w:szCs w:val="18"/>
                <w:color w:val="auto"/>
              </w:rPr>
            </w:pPr>
          </w:p>
        </w:tc>
        <w:tc>
          <w:tcPr>
            <w:tcW w:w="3720" w:type="dxa"/>
            <w:vAlign w:val="bottom"/>
            <w:gridSpan w:val="5"/>
          </w:tcPr>
          <w:p>
            <w:pPr>
              <w:ind w:left="100"/>
              <w:spacing w:after="0"/>
              <w:rPr>
                <w:sz w:val="20"/>
                <w:szCs w:val="20"/>
                <w:color w:val="auto"/>
              </w:rPr>
            </w:pPr>
            <w:r>
              <w:rPr>
                <w:rFonts w:ascii="Arial" w:cs="Arial" w:eastAsia="Arial" w:hAnsi="Arial"/>
                <w:sz w:val="13"/>
                <w:szCs w:val="13"/>
                <w:color w:val="auto"/>
              </w:rPr>
              <w:t>Total revenue</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84,971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color w:val="auto"/>
                <w:w w:val="95"/>
              </w:rPr>
              <w:t>65,864</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gridSpan w:val="2"/>
          </w:tcPr>
          <w:p>
            <w:pPr>
              <w:spacing w:after="0"/>
              <w:rPr>
                <w:sz w:val="18"/>
                <w:szCs w:val="18"/>
                <w:color w:val="auto"/>
              </w:rPr>
            </w:pPr>
          </w:p>
        </w:tc>
        <w:tc>
          <w:tcPr>
            <w:tcW w:w="132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3"/>
                <w:szCs w:val="13"/>
                <w:color w:val="auto"/>
                <w:w w:val="85"/>
              </w:rPr>
              <w:t>231,097</w:t>
            </w:r>
          </w:p>
        </w:tc>
        <w:tc>
          <w:tcPr>
            <w:tcW w:w="200" w:type="dxa"/>
            <w:vAlign w:val="bottom"/>
            <w:tcBorders>
              <w:bottom w:val="single" w:sz="8" w:color="auto"/>
            </w:tcBorders>
            <w:gridSpan w:val="2"/>
          </w:tcPr>
          <w:p>
            <w:pPr>
              <w:spacing w:after="0"/>
              <w:rPr>
                <w:sz w:val="18"/>
                <w:szCs w:val="18"/>
                <w:color w:val="auto"/>
              </w:rPr>
            </w:pPr>
          </w:p>
        </w:tc>
        <w:tc>
          <w:tcPr>
            <w:tcW w:w="440" w:type="dxa"/>
            <w:vAlign w:val="bottom"/>
            <w:gridSpan w:val="3"/>
          </w:tcPr>
          <w:p>
            <w:pPr>
              <w:spacing w:after="0"/>
              <w:rPr>
                <w:sz w:val="18"/>
                <w:szCs w:val="18"/>
                <w:color w:val="auto"/>
              </w:rPr>
            </w:pPr>
          </w:p>
        </w:tc>
        <w:tc>
          <w:tcPr>
            <w:tcW w:w="154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color w:val="auto"/>
              </w:rPr>
              <w:t>181,403</w:t>
            </w:r>
          </w:p>
        </w:tc>
      </w:tr>
      <w:tr>
        <w:trPr>
          <w:trHeight w:val="409"/>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6"/>
          </w:tcPr>
          <w:p>
            <w:pPr>
              <w:jc w:val="center"/>
              <w:ind w:left="1078"/>
              <w:spacing w:after="0"/>
              <w:rPr>
                <w:sz w:val="20"/>
                <w:szCs w:val="20"/>
                <w:color w:val="auto"/>
              </w:rPr>
            </w:pPr>
            <w:r>
              <w:rPr>
                <w:rFonts w:ascii="Arial" w:cs="Arial" w:eastAsia="Arial" w:hAnsi="Arial"/>
                <w:sz w:val="12"/>
                <w:szCs w:val="12"/>
                <w:b w:val="1"/>
                <w:bCs w:val="1"/>
                <w:color w:val="auto"/>
                <w:w w:val="89"/>
              </w:rPr>
              <w:t>Three Months Ended</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jc w:val="right"/>
              <w:ind w:right="1040"/>
              <w:spacing w:after="0"/>
              <w:rPr>
                <w:sz w:val="20"/>
                <w:szCs w:val="20"/>
                <w:color w:val="auto"/>
              </w:rPr>
            </w:pPr>
            <w:r>
              <w:rPr>
                <w:rFonts w:ascii="Arial" w:cs="Arial" w:eastAsia="Arial" w:hAnsi="Arial"/>
                <w:sz w:val="12"/>
                <w:szCs w:val="12"/>
                <w:b w:val="1"/>
                <w:bCs w:val="1"/>
                <w:color w:val="auto"/>
                <w:w w:val="94"/>
              </w:rPr>
              <w:t>Nine Months Ended</w:t>
            </w:r>
          </w:p>
        </w:tc>
      </w:tr>
      <w:tr>
        <w:trPr>
          <w:trHeight w:val="24"/>
        </w:trPr>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45"/>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September 30,</w:t>
            </w:r>
          </w:p>
        </w:tc>
        <w:tc>
          <w:tcPr>
            <w:tcW w:w="160" w:type="dxa"/>
            <w:vAlign w:val="bottom"/>
          </w:tcPr>
          <w:p>
            <w:pPr>
              <w:spacing w:after="0"/>
              <w:rPr>
                <w:sz w:val="12"/>
                <w:szCs w:val="12"/>
                <w:color w:val="auto"/>
              </w:rPr>
            </w:pPr>
          </w:p>
        </w:tc>
        <w:tc>
          <w:tcPr>
            <w:tcW w:w="78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3"/>
              </w:rPr>
              <w:t>&amp;nbs</w:t>
            </w:r>
          </w:p>
        </w:tc>
        <w:tc>
          <w:tcPr>
            <w:tcW w:w="1200" w:type="dxa"/>
            <w:vAlign w:val="bottom"/>
            <w:gridSpan w:val="3"/>
          </w:tcPr>
          <w:p>
            <w:pPr>
              <w:ind w:left="160"/>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September 30,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jc w:val="right"/>
              <w:ind w:right="220"/>
              <w:spacing w:after="0"/>
              <w:rPr>
                <w:sz w:val="20"/>
                <w:szCs w:val="20"/>
                <w:color w:val="auto"/>
              </w:rPr>
            </w:pPr>
            <w:r>
              <w:rPr>
                <w:rFonts w:ascii="Arial" w:cs="Arial" w:eastAsia="Arial" w:hAnsi="Arial"/>
                <w:sz w:val="12"/>
                <w:szCs w:val="12"/>
                <w:b w:val="1"/>
                <w:bCs w:val="1"/>
                <w:color w:val="auto"/>
              </w:rPr>
              <w:t>September 30,</w:t>
            </w:r>
          </w:p>
        </w:tc>
      </w:tr>
      <w:tr>
        <w:trPr>
          <w:trHeight w:val="125"/>
        </w:trPr>
        <w:tc>
          <w:tcPr>
            <w:tcW w:w="360" w:type="dxa"/>
            <w:vAlign w:val="bottom"/>
          </w:tcPr>
          <w:p>
            <w:pPr>
              <w:spacing w:after="0"/>
              <w:rPr>
                <w:sz w:val="10"/>
                <w:szCs w:val="10"/>
                <w:color w:val="auto"/>
              </w:rPr>
            </w:pPr>
          </w:p>
        </w:tc>
        <w:tc>
          <w:tcPr>
            <w:tcW w:w="372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Interest Income</w:t>
            </w:r>
          </w:p>
        </w:tc>
        <w:tc>
          <w:tcPr>
            <w:tcW w:w="1200" w:type="dxa"/>
            <w:vAlign w:val="bottom"/>
          </w:tcPr>
          <w:p>
            <w:pPr>
              <w:jc w:val="right"/>
              <w:ind w:right="598"/>
              <w:spacing w:after="0" w:line="125" w:lineRule="exact"/>
              <w:rPr>
                <w:sz w:val="20"/>
                <w:szCs w:val="20"/>
                <w:color w:val="auto"/>
              </w:rPr>
            </w:pPr>
            <w:r>
              <w:rPr>
                <w:rFonts w:ascii="Arial" w:cs="Arial" w:eastAsia="Arial" w:hAnsi="Arial"/>
                <w:sz w:val="12"/>
                <w:szCs w:val="12"/>
                <w:b w:val="1"/>
                <w:bCs w:val="1"/>
                <w:color w:val="auto"/>
              </w:rPr>
              <w:t>2010</w:t>
            </w:r>
          </w:p>
        </w:tc>
        <w:tc>
          <w:tcPr>
            <w:tcW w:w="140" w:type="dxa"/>
            <w:vAlign w:val="bottom"/>
          </w:tcPr>
          <w:p>
            <w:pPr>
              <w:spacing w:after="0"/>
              <w:rPr>
                <w:sz w:val="10"/>
                <w:szCs w:val="10"/>
                <w:color w:val="auto"/>
              </w:rPr>
            </w:pPr>
          </w:p>
        </w:tc>
        <w:tc>
          <w:tcPr>
            <w:tcW w:w="940" w:type="dxa"/>
            <w:vAlign w:val="bottom"/>
            <w:gridSpan w:val="4"/>
          </w:tcPr>
          <w:p>
            <w:pPr>
              <w:ind w:left="120"/>
              <w:spacing w:after="0" w:line="125" w:lineRule="exact"/>
              <w:rPr>
                <w:sz w:val="20"/>
                <w:szCs w:val="20"/>
                <w:color w:val="auto"/>
              </w:rPr>
            </w:pPr>
            <w:r>
              <w:rPr>
                <w:rFonts w:ascii="Arial" w:cs="Arial" w:eastAsia="Arial" w:hAnsi="Arial"/>
                <w:sz w:val="12"/>
                <w:szCs w:val="12"/>
                <w:b w:val="1"/>
                <w:bCs w:val="1"/>
                <w:color w:val="auto"/>
              </w:rPr>
              <w:t>p;</w:t>
            </w:r>
          </w:p>
        </w:tc>
        <w:tc>
          <w:tcPr>
            <w:tcW w:w="1120" w:type="dxa"/>
            <w:vAlign w:val="bottom"/>
          </w:tcPr>
          <w:p>
            <w:pPr>
              <w:ind w:left="240"/>
              <w:spacing w:after="0" w:line="125" w:lineRule="exact"/>
              <w:rPr>
                <w:sz w:val="20"/>
                <w:szCs w:val="20"/>
                <w:color w:val="auto"/>
              </w:rPr>
            </w:pPr>
            <w:r>
              <w:rPr>
                <w:rFonts w:ascii="Arial" w:cs="Arial" w:eastAsia="Arial" w:hAnsi="Arial"/>
                <w:sz w:val="12"/>
                <w:szCs w:val="12"/>
                <w:b w:val="1"/>
                <w:bCs w:val="1"/>
                <w:color w:val="auto"/>
              </w:rPr>
              <w:t>2009</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3"/>
          </w:tcPr>
          <w:p>
            <w:pPr>
              <w:jc w:val="right"/>
              <w:ind w:right="219"/>
              <w:spacing w:after="0" w:line="125" w:lineRule="exact"/>
              <w:rPr>
                <w:sz w:val="20"/>
                <w:szCs w:val="20"/>
                <w:color w:val="auto"/>
              </w:rPr>
            </w:pPr>
            <w:r>
              <w:rPr>
                <w:rFonts w:ascii="Arial" w:cs="Arial" w:eastAsia="Arial" w:hAnsi="Arial"/>
                <w:sz w:val="12"/>
                <w:szCs w:val="12"/>
                <w:b w:val="1"/>
                <w:bCs w:val="1"/>
                <w:color w:val="auto"/>
              </w:rPr>
              <w:t>2010</w:t>
            </w:r>
          </w:p>
        </w:tc>
        <w:tc>
          <w:tcPr>
            <w:tcW w:w="220" w:type="dxa"/>
            <w:vAlign w:val="bottom"/>
          </w:tcPr>
          <w:p>
            <w:pPr>
              <w:spacing w:after="0"/>
              <w:rPr>
                <w:sz w:val="10"/>
                <w:szCs w:val="10"/>
                <w:color w:val="auto"/>
              </w:rPr>
            </w:pPr>
          </w:p>
        </w:tc>
        <w:tc>
          <w:tcPr>
            <w:tcW w:w="2180" w:type="dxa"/>
            <w:vAlign w:val="bottom"/>
            <w:gridSpan w:val="6"/>
          </w:tcPr>
          <w:p>
            <w:pPr>
              <w:jc w:val="right"/>
              <w:ind w:right="600"/>
              <w:spacing w:after="0" w:line="125" w:lineRule="exact"/>
              <w:rPr>
                <w:sz w:val="20"/>
                <w:szCs w:val="20"/>
                <w:color w:val="auto"/>
              </w:rPr>
            </w:pPr>
            <w:r>
              <w:rPr>
                <w:rFonts w:ascii="Arial" w:cs="Arial" w:eastAsia="Arial" w:hAnsi="Arial"/>
                <w:sz w:val="12"/>
                <w:szCs w:val="12"/>
                <w:b w:val="1"/>
                <w:bCs w:val="1"/>
                <w:color w:val="auto"/>
              </w:rPr>
              <w:t>2009</w:t>
            </w:r>
          </w:p>
        </w:tc>
      </w:tr>
      <w:tr>
        <w:trPr>
          <w:trHeight w:val="28"/>
        </w:trPr>
        <w:tc>
          <w:tcPr>
            <w:tcW w:w="36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360" w:type="dxa"/>
            <w:vAlign w:val="bottom"/>
            <w:tcBorders>
              <w:top w:val="single" w:sz="8" w:color="auto"/>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2"/>
        </w:trPr>
        <w:tc>
          <w:tcPr>
            <w:tcW w:w="360" w:type="dxa"/>
            <w:vAlign w:val="bottom"/>
            <w:shd w:val="clear" w:color="auto" w:fill="CCEEFF"/>
          </w:tcPr>
          <w:p>
            <w:pPr>
              <w:spacing w:after="0"/>
              <w:rPr>
                <w:sz w:val="15"/>
                <w:szCs w:val="15"/>
                <w:color w:val="auto"/>
              </w:rPr>
            </w:pPr>
          </w:p>
        </w:tc>
        <w:tc>
          <w:tcPr>
            <w:tcW w:w="37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Americas</w:t>
            </w:r>
          </w:p>
        </w:tc>
        <w:tc>
          <w:tcPr>
            <w:tcW w:w="12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512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423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40" w:type="dxa"/>
            <w:vAlign w:val="bottom"/>
            <w:gridSpan w:val="4"/>
            <w:shd w:val="clear" w:color="auto" w:fill="CCEEFF"/>
          </w:tcPr>
          <w:p>
            <w:pPr>
              <w:jc w:val="center"/>
              <w:ind w:left="957"/>
              <w:spacing w:after="0"/>
              <w:rPr>
                <w:sz w:val="20"/>
                <w:szCs w:val="20"/>
                <w:color w:val="auto"/>
              </w:rPr>
            </w:pPr>
            <w:r>
              <w:rPr>
                <w:rFonts w:ascii="Arial" w:cs="Arial" w:eastAsia="Arial" w:hAnsi="Arial"/>
                <w:sz w:val="13"/>
                <w:szCs w:val="13"/>
                <w:color w:val="auto"/>
                <w:w w:val="85"/>
              </w:rPr>
              <w:t>1,173</w:t>
            </w:r>
          </w:p>
        </w:tc>
        <w:tc>
          <w:tcPr>
            <w:tcW w:w="2180" w:type="dxa"/>
            <w:vAlign w:val="bottom"/>
            <w:gridSpan w:val="6"/>
            <w:shd w:val="clear" w:color="auto" w:fill="CCEEFF"/>
          </w:tcPr>
          <w:p>
            <w:pPr>
              <w:jc w:val="right"/>
              <w:ind w:right="340"/>
              <w:spacing w:after="0"/>
              <w:rPr>
                <w:sz w:val="20"/>
                <w:szCs w:val="20"/>
                <w:color w:val="auto"/>
              </w:rPr>
            </w:pPr>
            <w:r>
              <w:rPr>
                <w:rFonts w:ascii="Arial" w:cs="Arial" w:eastAsia="Arial" w:hAnsi="Arial"/>
                <w:sz w:val="13"/>
                <w:szCs w:val="13"/>
                <w:color w:val="auto"/>
              </w:rPr>
              <w:t>1,650</w:t>
            </w:r>
          </w:p>
        </w:tc>
      </w:tr>
      <w:tr>
        <w:trPr>
          <w:trHeight w:val="183"/>
        </w:trPr>
        <w:tc>
          <w:tcPr>
            <w:tcW w:w="360" w:type="dxa"/>
            <w:vAlign w:val="bottom"/>
          </w:tcPr>
          <w:p>
            <w:pPr>
              <w:spacing w:after="0"/>
              <w:rPr>
                <w:sz w:val="15"/>
                <w:szCs w:val="15"/>
                <w:color w:val="auto"/>
              </w:rPr>
            </w:pPr>
          </w:p>
        </w:tc>
        <w:tc>
          <w:tcPr>
            <w:tcW w:w="3720" w:type="dxa"/>
            <w:vAlign w:val="bottom"/>
            <w:gridSpan w:val="5"/>
          </w:tcPr>
          <w:p>
            <w:pPr>
              <w:spacing w:after="0"/>
              <w:rPr>
                <w:sz w:val="20"/>
                <w:szCs w:val="20"/>
                <w:color w:val="auto"/>
              </w:rPr>
            </w:pPr>
            <w:r>
              <w:rPr>
                <w:rFonts w:ascii="Arial" w:cs="Arial" w:eastAsia="Arial" w:hAnsi="Arial"/>
                <w:sz w:val="13"/>
                <w:szCs w:val="13"/>
                <w:color w:val="auto"/>
              </w:rPr>
              <w:t>EMEA</w:t>
            </w:r>
          </w:p>
        </w:tc>
        <w:tc>
          <w:tcPr>
            <w:tcW w:w="1200" w:type="dxa"/>
            <w:vAlign w:val="bottom"/>
          </w:tcPr>
          <w:p>
            <w:pPr>
              <w:jc w:val="right"/>
              <w:ind w:right="318"/>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318"/>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4"/>
          </w:tcPr>
          <w:p>
            <w:pPr>
              <w:jc w:val="right"/>
              <w:ind w:right="220"/>
              <w:spacing w:after="0"/>
              <w:rPr>
                <w:sz w:val="20"/>
                <w:szCs w:val="20"/>
                <w:color w:val="auto"/>
              </w:rPr>
            </w:pPr>
            <w:r>
              <w:rPr>
                <w:rFonts w:ascii="Arial" w:cs="Arial" w:eastAsia="Arial" w:hAnsi="Arial"/>
                <w:sz w:val="13"/>
                <w:szCs w:val="13"/>
                <w:color w:val="auto"/>
              </w:rPr>
              <w:t>6</w:t>
            </w:r>
          </w:p>
        </w:tc>
        <w:tc>
          <w:tcPr>
            <w:tcW w:w="2180" w:type="dxa"/>
            <w:vAlign w:val="bottom"/>
            <w:gridSpan w:val="6"/>
          </w:tcPr>
          <w:p>
            <w:pPr>
              <w:jc w:val="right"/>
              <w:ind w:right="1000"/>
              <w:spacing w:after="0"/>
              <w:rPr>
                <w:sz w:val="20"/>
                <w:szCs w:val="20"/>
                <w:color w:val="auto"/>
              </w:rPr>
            </w:pPr>
            <w:r>
              <w:rPr>
                <w:rFonts w:ascii="Arial" w:cs="Arial" w:eastAsia="Arial" w:hAnsi="Arial"/>
                <w:sz w:val="13"/>
                <w:szCs w:val="13"/>
                <w:color w:val="auto"/>
              </w:rPr>
              <w:t>26</w:t>
            </w:r>
          </w:p>
        </w:tc>
      </w:tr>
      <w:tr>
        <w:trPr>
          <w:trHeight w:val="193"/>
        </w:trPr>
        <w:tc>
          <w:tcPr>
            <w:tcW w:w="360" w:type="dxa"/>
            <w:vAlign w:val="bottom"/>
            <w:shd w:val="clear" w:color="auto" w:fill="CCEEFF"/>
          </w:tcPr>
          <w:p>
            <w:pPr>
              <w:spacing w:after="0"/>
              <w:rPr>
                <w:sz w:val="16"/>
                <w:szCs w:val="16"/>
                <w:color w:val="auto"/>
              </w:rPr>
            </w:pPr>
          </w:p>
        </w:tc>
        <w:tc>
          <w:tcPr>
            <w:tcW w:w="33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APAC</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gridSpan w:val="3"/>
            <w:shd w:val="clear" w:color="auto" w:fill="CCEEFF"/>
          </w:tcPr>
          <w:p>
            <w:pPr>
              <w:spacing w:after="0"/>
              <w:rPr>
                <w:sz w:val="16"/>
                <w:szCs w:val="16"/>
                <w:color w:val="auto"/>
              </w:rPr>
            </w:pPr>
          </w:p>
        </w:tc>
        <w:tc>
          <w:tcPr>
            <w:tcW w:w="156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r>
      <w:tr>
        <w:trPr>
          <w:trHeight w:val="201"/>
        </w:trPr>
        <w:tc>
          <w:tcPr>
            <w:tcW w:w="360" w:type="dxa"/>
            <w:vAlign w:val="bottom"/>
          </w:tcPr>
          <w:p>
            <w:pPr>
              <w:spacing w:after="0"/>
              <w:rPr>
                <w:sz w:val="17"/>
                <w:szCs w:val="17"/>
                <w:color w:val="auto"/>
              </w:rPr>
            </w:pPr>
          </w:p>
        </w:tc>
        <w:tc>
          <w:tcPr>
            <w:tcW w:w="3720" w:type="dxa"/>
            <w:vAlign w:val="bottom"/>
            <w:gridSpan w:val="5"/>
          </w:tcPr>
          <w:p>
            <w:pPr>
              <w:ind w:left="100"/>
              <w:spacing w:after="0"/>
              <w:rPr>
                <w:sz w:val="20"/>
                <w:szCs w:val="20"/>
                <w:color w:val="auto"/>
              </w:rPr>
            </w:pPr>
            <w:r>
              <w:rPr>
                <w:rFonts w:ascii="Arial" w:cs="Arial" w:eastAsia="Arial" w:hAnsi="Arial"/>
                <w:sz w:val="13"/>
                <w:szCs w:val="13"/>
                <w:color w:val="auto"/>
              </w:rPr>
              <w:t>Total interest income</w:t>
            </w:r>
          </w:p>
        </w:tc>
        <w:tc>
          <w:tcPr>
            <w:tcW w:w="1200" w:type="dxa"/>
            <w:vAlign w:val="bottom"/>
          </w:tcPr>
          <w:p>
            <w:pPr>
              <w:jc w:val="right"/>
              <w:ind w:right="318"/>
              <w:spacing w:after="0"/>
              <w:rPr>
                <w:sz w:val="20"/>
                <w:szCs w:val="20"/>
                <w:color w:val="auto"/>
              </w:rPr>
            </w:pPr>
            <w:r>
              <w:rPr>
                <w:rFonts w:ascii="Arial" w:cs="Arial" w:eastAsia="Arial" w:hAnsi="Arial"/>
                <w:sz w:val="13"/>
                <w:szCs w:val="13"/>
                <w:color w:val="auto"/>
              </w:rPr>
              <w:t>514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18"/>
              <w:spacing w:after="0"/>
              <w:rPr>
                <w:sz w:val="20"/>
                <w:szCs w:val="20"/>
                <w:color w:val="auto"/>
              </w:rPr>
            </w:pPr>
            <w:r>
              <w:rPr>
                <w:rFonts w:ascii="Arial" w:cs="Arial" w:eastAsia="Arial" w:hAnsi="Arial"/>
                <w:sz w:val="13"/>
                <w:szCs w:val="13"/>
                <w:color w:val="auto"/>
              </w:rPr>
              <w:t>428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gridSpan w:val="4"/>
          </w:tcPr>
          <w:p>
            <w:pPr>
              <w:jc w:val="center"/>
              <w:ind w:left="957"/>
              <w:spacing w:after="0"/>
              <w:rPr>
                <w:sz w:val="20"/>
                <w:szCs w:val="20"/>
                <w:color w:val="auto"/>
              </w:rPr>
            </w:pPr>
            <w:r>
              <w:rPr>
                <w:rFonts w:ascii="Arial" w:cs="Arial" w:eastAsia="Arial" w:hAnsi="Arial"/>
                <w:sz w:val="13"/>
                <w:szCs w:val="13"/>
                <w:color w:val="auto"/>
                <w:w w:val="85"/>
              </w:rPr>
              <w:t>1,181</w:t>
            </w:r>
          </w:p>
        </w:tc>
        <w:tc>
          <w:tcPr>
            <w:tcW w:w="2180" w:type="dxa"/>
            <w:vAlign w:val="bottom"/>
            <w:gridSpan w:val="6"/>
          </w:tcPr>
          <w:p>
            <w:pPr>
              <w:jc w:val="right"/>
              <w:ind w:right="340"/>
              <w:spacing w:after="0"/>
              <w:rPr>
                <w:sz w:val="20"/>
                <w:szCs w:val="20"/>
                <w:color w:val="auto"/>
              </w:rPr>
            </w:pPr>
            <w:r>
              <w:rPr>
                <w:rFonts w:ascii="Arial" w:cs="Arial" w:eastAsia="Arial" w:hAnsi="Arial"/>
                <w:sz w:val="13"/>
                <w:szCs w:val="13"/>
                <w:color w:val="auto"/>
              </w:rPr>
              <w:t>1,677</w:t>
            </w:r>
          </w:p>
        </w:tc>
      </w:tr>
      <w:tr>
        <w:trPr>
          <w:trHeight w:val="406"/>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rPr>
              <w:t>September 30,</w:t>
            </w: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December 31,</w:t>
            </w:r>
          </w:p>
        </w:tc>
      </w:tr>
      <w:tr>
        <w:trPr>
          <w:trHeight w:val="125"/>
        </w:trPr>
        <w:tc>
          <w:tcPr>
            <w:tcW w:w="360" w:type="dxa"/>
            <w:vAlign w:val="bottom"/>
          </w:tcPr>
          <w:p>
            <w:pPr>
              <w:spacing w:after="0"/>
              <w:rPr>
                <w:sz w:val="10"/>
                <w:szCs w:val="10"/>
                <w:color w:val="auto"/>
              </w:rPr>
            </w:pPr>
          </w:p>
        </w:tc>
        <w:tc>
          <w:tcPr>
            <w:tcW w:w="372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Property and Equipment</w:t>
            </w: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3"/>
          </w:tcPr>
          <w:p>
            <w:pPr>
              <w:jc w:val="right"/>
              <w:ind w:right="479"/>
              <w:spacing w:after="0" w:line="125" w:lineRule="exact"/>
              <w:rPr>
                <w:sz w:val="20"/>
                <w:szCs w:val="20"/>
                <w:color w:val="auto"/>
              </w:rPr>
            </w:pPr>
            <w:r>
              <w:rPr>
                <w:rFonts w:ascii="Arial" w:cs="Arial" w:eastAsia="Arial" w:hAnsi="Arial"/>
                <w:sz w:val="12"/>
                <w:szCs w:val="12"/>
                <w:b w:val="1"/>
                <w:bCs w:val="1"/>
                <w:color w:val="auto"/>
              </w:rPr>
              <w:t>2010</w:t>
            </w:r>
          </w:p>
        </w:tc>
        <w:tc>
          <w:tcPr>
            <w:tcW w:w="220" w:type="dxa"/>
            <w:vAlign w:val="bottom"/>
          </w:tcPr>
          <w:p>
            <w:pPr>
              <w:spacing w:after="0"/>
              <w:rPr>
                <w:sz w:val="10"/>
                <w:szCs w:val="10"/>
                <w:color w:val="auto"/>
              </w:rPr>
            </w:pPr>
          </w:p>
        </w:tc>
        <w:tc>
          <w:tcPr>
            <w:tcW w:w="2180" w:type="dxa"/>
            <w:vAlign w:val="bottom"/>
            <w:gridSpan w:val="6"/>
          </w:tcPr>
          <w:p>
            <w:pPr>
              <w:jc w:val="right"/>
              <w:ind w:right="1420"/>
              <w:spacing w:after="0" w:line="125" w:lineRule="exact"/>
              <w:rPr>
                <w:sz w:val="20"/>
                <w:szCs w:val="20"/>
                <w:color w:val="auto"/>
              </w:rPr>
            </w:pPr>
            <w:r>
              <w:rPr>
                <w:rFonts w:ascii="Arial" w:cs="Arial" w:eastAsia="Arial" w:hAnsi="Arial"/>
                <w:sz w:val="12"/>
                <w:szCs w:val="12"/>
                <w:b w:val="1"/>
                <w:bCs w:val="1"/>
                <w:color w:val="auto"/>
              </w:rPr>
              <w:t>2009</w:t>
            </w:r>
          </w:p>
        </w:tc>
      </w:tr>
      <w:tr>
        <w:trPr>
          <w:trHeight w:val="28"/>
        </w:trPr>
        <w:tc>
          <w:tcPr>
            <w:tcW w:w="36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360" w:type="dxa"/>
            <w:vAlign w:val="bottom"/>
            <w:tcBorders>
              <w:top w:val="single" w:sz="8" w:color="auto"/>
              <w:bottom w:val="single" w:sz="8" w:color="CCEEFF"/>
            </w:tcBorders>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2"/>
        </w:trPr>
        <w:tc>
          <w:tcPr>
            <w:tcW w:w="360" w:type="dxa"/>
            <w:vAlign w:val="bottom"/>
            <w:shd w:val="clear" w:color="auto" w:fill="CCEEFF"/>
          </w:tcPr>
          <w:p>
            <w:pPr>
              <w:spacing w:after="0"/>
              <w:rPr>
                <w:sz w:val="15"/>
                <w:szCs w:val="15"/>
                <w:color w:val="auto"/>
              </w:rPr>
            </w:pPr>
          </w:p>
        </w:tc>
        <w:tc>
          <w:tcPr>
            <w:tcW w:w="37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Americas</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20" w:type="dxa"/>
            <w:vAlign w:val="bottom"/>
            <w:gridSpan w:val="3"/>
            <w:shd w:val="clear" w:color="auto" w:fill="CCEEFF"/>
          </w:tcPr>
          <w:p>
            <w:pPr>
              <w:jc w:val="right"/>
              <w:ind w:right="179"/>
              <w:spacing w:after="0"/>
              <w:rPr>
                <w:sz w:val="20"/>
                <w:szCs w:val="20"/>
                <w:color w:val="auto"/>
              </w:rPr>
            </w:pPr>
            <w:r>
              <w:rPr>
                <w:rFonts w:ascii="Arial" w:cs="Arial" w:eastAsia="Arial" w:hAnsi="Arial"/>
                <w:sz w:val="13"/>
                <w:szCs w:val="13"/>
                <w:color w:val="auto"/>
              </w:rPr>
              <w:t>5,315</w:t>
            </w:r>
          </w:p>
        </w:tc>
        <w:tc>
          <w:tcPr>
            <w:tcW w:w="220" w:type="dxa"/>
            <w:vAlign w:val="bottom"/>
            <w:shd w:val="clear" w:color="auto" w:fill="CCEEFF"/>
          </w:tcPr>
          <w:p>
            <w:pPr>
              <w:spacing w:after="0"/>
              <w:rPr>
                <w:sz w:val="15"/>
                <w:szCs w:val="15"/>
                <w:color w:val="auto"/>
              </w:rPr>
            </w:pPr>
          </w:p>
        </w:tc>
        <w:tc>
          <w:tcPr>
            <w:tcW w:w="2180" w:type="dxa"/>
            <w:vAlign w:val="bottom"/>
            <w:gridSpan w:val="6"/>
            <w:shd w:val="clear" w:color="auto" w:fill="CCEEFF"/>
          </w:tcPr>
          <w:p>
            <w:pPr>
              <w:jc w:val="right"/>
              <w:ind w:right="340"/>
              <w:spacing w:after="0"/>
              <w:rPr>
                <w:sz w:val="20"/>
                <w:szCs w:val="20"/>
                <w:color w:val="auto"/>
              </w:rPr>
            </w:pPr>
            <w:r>
              <w:rPr>
                <w:rFonts w:ascii="Arial" w:cs="Arial" w:eastAsia="Arial" w:hAnsi="Arial"/>
                <w:sz w:val="13"/>
                <w:szCs w:val="13"/>
                <w:color w:val="auto"/>
              </w:rPr>
              <w:t>4,988</w:t>
            </w:r>
          </w:p>
        </w:tc>
      </w:tr>
      <w:tr>
        <w:trPr>
          <w:trHeight w:val="126"/>
        </w:trPr>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gridSpan w:val="4"/>
          </w:tcPr>
          <w:p>
            <w:pPr>
              <w:jc w:val="right"/>
              <w:ind w:right="20"/>
              <w:spacing w:after="0" w:line="126" w:lineRule="exact"/>
              <w:rPr>
                <w:sz w:val="20"/>
                <w:szCs w:val="20"/>
                <w:color w:val="auto"/>
              </w:rPr>
            </w:pPr>
            <w:r>
              <w:rPr>
                <w:rFonts w:ascii="Arial" w:cs="Arial" w:eastAsia="Arial" w:hAnsi="Arial"/>
                <w:sz w:val="13"/>
                <w:szCs w:val="13"/>
                <w:color w:val="auto"/>
              </w:rPr>
              <w:t>&amp;</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82"/>
        </w:trPr>
        <w:tc>
          <w:tcPr>
            <w:tcW w:w="360" w:type="dxa"/>
            <w:vAlign w:val="bottom"/>
          </w:tcPr>
          <w:p>
            <w:pPr>
              <w:spacing w:after="0"/>
              <w:rPr>
                <w:sz w:val="15"/>
                <w:szCs w:val="15"/>
                <w:color w:val="auto"/>
              </w:rPr>
            </w:pPr>
          </w:p>
        </w:tc>
        <w:tc>
          <w:tcPr>
            <w:tcW w:w="3720" w:type="dxa"/>
            <w:vAlign w:val="bottom"/>
            <w:gridSpan w:val="5"/>
          </w:tcPr>
          <w:p>
            <w:pPr>
              <w:spacing w:after="0"/>
              <w:rPr>
                <w:sz w:val="20"/>
                <w:szCs w:val="20"/>
                <w:color w:val="auto"/>
              </w:rPr>
            </w:pPr>
            <w:r>
              <w:rPr>
                <w:rFonts w:ascii="Arial" w:cs="Arial" w:eastAsia="Arial" w:hAnsi="Arial"/>
                <w:sz w:val="13"/>
                <w:szCs w:val="13"/>
                <w:color w:val="auto"/>
              </w:rPr>
              <w:t>EMEA</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jc w:val="center"/>
              <w:ind w:left="419"/>
              <w:spacing w:after="0"/>
              <w:rPr>
                <w:sz w:val="20"/>
                <w:szCs w:val="20"/>
                <w:color w:val="auto"/>
              </w:rPr>
            </w:pPr>
            <w:r>
              <w:rPr>
                <w:rFonts w:ascii="Arial" w:cs="Arial" w:eastAsia="Arial" w:hAnsi="Arial"/>
                <w:sz w:val="13"/>
                <w:szCs w:val="13"/>
                <w:color w:val="auto"/>
                <w:w w:val="89"/>
              </w:rPr>
              <w:t>519nbsp;</w:t>
            </w:r>
          </w:p>
        </w:tc>
        <w:tc>
          <w:tcPr>
            <w:tcW w:w="2180" w:type="dxa"/>
            <w:vAlign w:val="bottom"/>
            <w:gridSpan w:val="6"/>
          </w:tcPr>
          <w:p>
            <w:pPr>
              <w:jc w:val="right"/>
              <w:ind w:right="340"/>
              <w:spacing w:after="0"/>
              <w:rPr>
                <w:sz w:val="20"/>
                <w:szCs w:val="20"/>
                <w:color w:val="auto"/>
              </w:rPr>
            </w:pPr>
            <w:r>
              <w:rPr>
                <w:rFonts w:ascii="Arial" w:cs="Arial" w:eastAsia="Arial" w:hAnsi="Arial"/>
                <w:sz w:val="13"/>
                <w:szCs w:val="13"/>
                <w:color w:val="auto"/>
              </w:rPr>
              <w:t>504</w:t>
            </w:r>
          </w:p>
        </w:tc>
      </w:tr>
      <w:tr>
        <w:trPr>
          <w:trHeight w:val="183"/>
        </w:trPr>
        <w:tc>
          <w:tcPr>
            <w:tcW w:w="360" w:type="dxa"/>
            <w:vAlign w:val="bottom"/>
            <w:shd w:val="clear" w:color="auto" w:fill="CCEEFF"/>
          </w:tcPr>
          <w:p>
            <w:pPr>
              <w:spacing w:after="0"/>
              <w:rPr>
                <w:sz w:val="15"/>
                <w:szCs w:val="15"/>
                <w:color w:val="auto"/>
              </w:rPr>
            </w:pPr>
          </w:p>
        </w:tc>
        <w:tc>
          <w:tcPr>
            <w:tcW w:w="37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APAC</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gridSpan w:val="3"/>
            <w:shd w:val="clear" w:color="auto" w:fill="CCEEFF"/>
          </w:tcPr>
          <w:p>
            <w:pPr>
              <w:jc w:val="right"/>
              <w:ind w:right="919"/>
              <w:spacing w:after="0"/>
              <w:rPr>
                <w:sz w:val="20"/>
                <w:szCs w:val="20"/>
                <w:color w:val="auto"/>
              </w:rPr>
            </w:pPr>
            <w:r>
              <w:rPr>
                <w:rFonts w:ascii="Arial" w:cs="Arial" w:eastAsia="Arial" w:hAnsi="Arial"/>
                <w:sz w:val="13"/>
                <w:szCs w:val="13"/>
                <w:color w:val="auto"/>
              </w:rPr>
              <w:t>963</w:t>
            </w:r>
          </w:p>
        </w:tc>
        <w:tc>
          <w:tcPr>
            <w:tcW w:w="220" w:type="dxa"/>
            <w:vAlign w:val="bottom"/>
            <w:tcBorders>
              <w:bottom w:val="single" w:sz="8" w:color="auto"/>
            </w:tcBorders>
            <w:shd w:val="clear" w:color="auto" w:fill="CCEEFF"/>
          </w:tcPr>
          <w:p>
            <w:pPr>
              <w:spacing w:after="0"/>
              <w:rPr>
                <w:sz w:val="15"/>
                <w:szCs w:val="15"/>
                <w:color w:val="auto"/>
              </w:rPr>
            </w:pPr>
          </w:p>
        </w:tc>
        <w:tc>
          <w:tcPr>
            <w:tcW w:w="440" w:type="dxa"/>
            <w:vAlign w:val="bottom"/>
            <w:gridSpan w:val="3"/>
            <w:shd w:val="clear" w:color="auto" w:fill="CCEEFF"/>
          </w:tcPr>
          <w:p>
            <w:pPr>
              <w:spacing w:after="0"/>
              <w:rPr>
                <w:sz w:val="15"/>
                <w:szCs w:val="15"/>
                <w:color w:val="auto"/>
              </w:rPr>
            </w:pPr>
          </w:p>
        </w:tc>
        <w:tc>
          <w:tcPr>
            <w:tcW w:w="174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895</w:t>
            </w:r>
          </w:p>
        </w:tc>
      </w:tr>
      <w:tr>
        <w:trPr>
          <w:trHeight w:val="201"/>
        </w:trPr>
        <w:tc>
          <w:tcPr>
            <w:tcW w:w="360" w:type="dxa"/>
            <w:vAlign w:val="bottom"/>
          </w:tcPr>
          <w:p>
            <w:pPr>
              <w:spacing w:after="0"/>
              <w:rPr>
                <w:sz w:val="17"/>
                <w:szCs w:val="17"/>
                <w:color w:val="auto"/>
              </w:rPr>
            </w:pPr>
          </w:p>
        </w:tc>
        <w:tc>
          <w:tcPr>
            <w:tcW w:w="3720" w:type="dxa"/>
            <w:vAlign w:val="bottom"/>
            <w:gridSpan w:val="5"/>
          </w:tcPr>
          <w:p>
            <w:pPr>
              <w:ind w:left="100"/>
              <w:spacing w:after="0"/>
              <w:rPr>
                <w:sz w:val="20"/>
                <w:szCs w:val="20"/>
                <w:color w:val="auto"/>
              </w:rPr>
            </w:pPr>
            <w:r>
              <w:rPr>
                <w:rFonts w:ascii="Arial" w:cs="Arial" w:eastAsia="Arial" w:hAnsi="Arial"/>
                <w:sz w:val="13"/>
                <w:szCs w:val="13"/>
                <w:color w:val="auto"/>
              </w:rPr>
              <w:t>Total property and equipment—net</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3"/>
          </w:tcPr>
          <w:p>
            <w:pPr>
              <w:jc w:val="right"/>
              <w:ind w:right="179"/>
              <w:spacing w:after="0"/>
              <w:rPr>
                <w:sz w:val="20"/>
                <w:szCs w:val="20"/>
                <w:color w:val="auto"/>
              </w:rPr>
            </w:pPr>
            <w:r>
              <w:rPr>
                <w:rFonts w:ascii="Arial" w:cs="Arial" w:eastAsia="Arial" w:hAnsi="Arial"/>
                <w:sz w:val="13"/>
                <w:szCs w:val="13"/>
                <w:color w:val="auto"/>
              </w:rPr>
              <w:t>6,797</w:t>
            </w:r>
          </w:p>
        </w:tc>
        <w:tc>
          <w:tcPr>
            <w:tcW w:w="220" w:type="dxa"/>
            <w:vAlign w:val="bottom"/>
          </w:tcPr>
          <w:p>
            <w:pPr>
              <w:spacing w:after="0"/>
              <w:rPr>
                <w:sz w:val="17"/>
                <w:szCs w:val="17"/>
                <w:color w:val="auto"/>
              </w:rPr>
            </w:pPr>
          </w:p>
        </w:tc>
        <w:tc>
          <w:tcPr>
            <w:tcW w:w="2180" w:type="dxa"/>
            <w:vAlign w:val="bottom"/>
            <w:gridSpan w:val="6"/>
          </w:tcPr>
          <w:p>
            <w:pPr>
              <w:jc w:val="right"/>
              <w:ind w:right="340"/>
              <w:spacing w:after="0"/>
              <w:rPr>
                <w:sz w:val="20"/>
                <w:szCs w:val="20"/>
                <w:color w:val="auto"/>
              </w:rPr>
            </w:pPr>
            <w:r>
              <w:rPr>
                <w:rFonts w:ascii="Arial" w:cs="Arial" w:eastAsia="Arial" w:hAnsi="Arial"/>
                <w:sz w:val="13"/>
                <w:szCs w:val="13"/>
                <w:color w:val="auto"/>
              </w:rPr>
              <w:t>6,387</w:t>
            </w:r>
          </w:p>
        </w:tc>
      </w:tr>
      <w:tr>
        <w:trPr>
          <w:trHeight w:val="462"/>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3"/>
                <w:szCs w:val="13"/>
                <w:color w:val="auto"/>
              </w:rPr>
              <w:t>22</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22" w:name="page23"/>
    <w:bookmarkEnd w:id="22"/>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63" w:lineRule="exact"/>
        <w:rPr>
          <w:sz w:val="20"/>
          <w:szCs w:val="20"/>
          <w:color w:val="auto"/>
        </w:rPr>
      </w:pPr>
    </w:p>
    <w:p>
      <w:pPr>
        <w:ind w:right="380" w:firstLine="347"/>
        <w:spacing w:after="0" w:line="268" w:lineRule="auto"/>
        <w:rPr>
          <w:sz w:val="20"/>
          <w:szCs w:val="20"/>
          <w:color w:val="auto"/>
        </w:rPr>
      </w:pPr>
      <w:r>
        <w:rPr>
          <w:rFonts w:ascii="Arial" w:cs="Arial" w:eastAsia="Arial" w:hAnsi="Arial"/>
          <w:sz w:val="13"/>
          <w:szCs w:val="13"/>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statements concerning our expectations:</w:t>
      </w:r>
    </w:p>
    <w:p>
      <w:pPr>
        <w:spacing w:after="0" w:line="129" w:lineRule="exact"/>
        <w:rPr>
          <w:sz w:val="20"/>
          <w:szCs w:val="20"/>
          <w:color w:val="auto"/>
        </w:rPr>
      </w:pPr>
    </w:p>
    <w:p>
      <w:pPr>
        <w:ind w:left="1220" w:hanging="529"/>
        <w:spacing w:after="0"/>
        <w:tabs>
          <w:tab w:leader="none" w:pos="122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regarding the continued realization of efficiency gains in sales and marketing expenses;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regarding the significance of stock compensation as an expense;</w:t>
      </w:r>
    </w:p>
    <w:p>
      <w:pPr>
        <w:spacing w:after="0" w:line="159" w:lineRule="exact"/>
        <w:rPr>
          <w:rFonts w:ascii="Arial" w:cs="Arial" w:eastAsia="Arial" w:hAnsi="Arial"/>
          <w:sz w:val="13"/>
          <w:szCs w:val="13"/>
          <w:i w:val="1"/>
          <w:iCs w:val="1"/>
          <w:color w:val="auto"/>
        </w:rPr>
      </w:pPr>
    </w:p>
    <w:p>
      <w:pPr>
        <w:ind w:left="1220" w:hanging="529"/>
        <w:spacing w:after="0"/>
        <w:tabs>
          <w:tab w:leader="none" w:pos="122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regarding the proportion of our revenue that consists of our service revenues and future trends with respect to service revenue as we renew existing services cont racts and expand our customer base;</w:t>
      </w:r>
    </w:p>
    <w:p>
      <w:pPr>
        <w:spacing w:after="0" w:line="182" w:lineRule="exact"/>
        <w:rPr>
          <w:rFonts w:ascii="Arial" w:cs="Arial" w:eastAsia="Arial" w:hAnsi="Arial"/>
          <w:sz w:val="11"/>
          <w:szCs w:val="11"/>
          <w:color w:val="auto"/>
        </w:rPr>
      </w:pPr>
    </w:p>
    <w:p>
      <w:pPr>
        <w:ind w:left="1220" w:hanging="529"/>
        <w:spacing w:after="0"/>
        <w:tabs>
          <w:tab w:leader="none" w:pos="122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regarding our royalty payments to Trend Micro;</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regarding trends in our costs of services revenues, services gross margin and overall gross margin;</w:t>
      </w:r>
    </w:p>
    <w:p>
      <w:pPr>
        <w:spacing w:after="0" w:line="159" w:lineRule="exact"/>
        <w:rPr>
          <w:rFonts w:ascii="Arial" w:cs="Arial" w:eastAsia="Arial" w:hAnsi="Arial"/>
          <w:sz w:val="13"/>
          <w:szCs w:val="13"/>
          <w:color w:val="auto"/>
        </w:rPr>
      </w:pPr>
    </w:p>
    <w:p>
      <w:pPr>
        <w:ind w:left="860" w:hanging="169"/>
        <w:spacing w:after="0"/>
        <w:tabs>
          <w:tab w:leader="none" w:pos="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&lt; /div&gt;</w:t>
      </w:r>
      <w:r>
        <w:rPr>
          <w:rFonts w:ascii="Arial" w:cs="Arial" w:eastAsia="Arial" w:hAnsi="Arial"/>
          <w:sz w:val="11"/>
          <w:szCs w:val="11"/>
          <w:i w:val="1"/>
          <w:iCs w:val="1"/>
          <w:color w:val="auto"/>
        </w:rPr>
        <w:t>regarding trends in our operating expenses, including personnel costs, research and development expense, sales and marketing expense and general and administrative expense;</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regarding investments in sales and marketing to positio n ourselves for future growth;</w:t>
      </w:r>
    </w:p>
    <w:p>
      <w:pPr>
        <w:spacing w:after="0" w:line="159" w:lineRule="exact"/>
        <w:rPr>
          <w:rFonts w:ascii="Arial" w:cs="Arial" w:eastAsia="Arial" w:hAnsi="Arial"/>
          <w:sz w:val="13"/>
          <w:szCs w:val="13"/>
          <w:i w:val="1"/>
          <w:iCs w:val="1"/>
          <w:color w:val="auto"/>
        </w:rPr>
      </w:pPr>
    </w:p>
    <w:p>
      <w:pPr>
        <w:ind w:left="1220" w:hanging="529"/>
        <w:spacing w:after="0"/>
        <w:tabs>
          <w:tab w:leader="none" w:pos="122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regarding the sufficiency of our existing cash and cash equivalents to meet our cash needs for at least the next 12 months; and</w:t>
      </w:r>
    </w:p>
    <w:p>
      <w:pPr>
        <w:spacing w:after="0" w:line="187" w:lineRule="exact"/>
        <w:rPr>
          <w:rFonts w:ascii="Arial" w:cs="Arial" w:eastAsia="Arial" w:hAnsi="Arial"/>
          <w:sz w:val="13"/>
          <w:szCs w:val="13"/>
          <w:color w:val="auto"/>
        </w:rPr>
      </w:pPr>
    </w:p>
    <w:p>
      <w:pPr>
        <w:ind w:left="1240" w:hanging="549"/>
        <w:spacing w:after="0"/>
        <w:tabs>
          <w:tab w:leader="none" w:pos="124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regarding the impact of inflation and foreign currency exchange rates;</w:t>
      </w:r>
    </w:p>
    <w:p>
      <w:pPr>
        <w:spacing w:after="0" w:line="169" w:lineRule="exact"/>
        <w:rPr>
          <w:sz w:val="20"/>
          <w:szCs w:val="20"/>
          <w:color w:val="auto"/>
        </w:rPr>
      </w:pPr>
    </w:p>
    <w:p>
      <w:pPr>
        <w:ind w:right="20" w:firstLine="347"/>
        <w:spacing w:after="0" w:line="278" w:lineRule="auto"/>
        <w:rPr>
          <w:sz w:val="20"/>
          <w:szCs w:val="20"/>
          <w:color w:val="auto"/>
        </w:rPr>
      </w:pPr>
      <w:r>
        <w:rPr>
          <w:rFonts w:ascii="Arial" w:cs="Arial" w:eastAsia="Arial" w:hAnsi="Arial"/>
          <w:sz w:val="12"/>
          <w:szCs w:val="12"/>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elsewhere in this Quarterly Report on Form 10-Q and in our other Securities and Exchange Commission filings, including our Annual Report on Form 10-K for the year ended December 31, 2009, which was filed on March 5, 2010.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Business Overview</w:t>
      </w:r>
    </w:p>
    <w:p>
      <w:pPr>
        <w:spacing w:after="0" w:line="159" w:lineRule="exact"/>
        <w:rPr>
          <w:sz w:val="20"/>
          <w:szCs w:val="20"/>
          <w:color w:val="auto"/>
        </w:rPr>
      </w:pPr>
    </w:p>
    <w:p>
      <w:pPr>
        <w:ind w:right="100" w:firstLine="347"/>
        <w:spacing w:after="0" w:line="258" w:lineRule="auto"/>
        <w:rPr>
          <w:sz w:val="20"/>
          <w:szCs w:val="20"/>
          <w:color w:val="auto"/>
        </w:rPr>
      </w:pPr>
      <w:r>
        <w:rPr>
          <w:rFonts w:ascii="Arial" w:cs="Arial" w:eastAsia="Arial" w:hAnsi="Arial"/>
          <w:sz w:val="13"/>
          <w:szCs w:val="13"/>
          <w:color w:val="auto"/>
        </w:rPr>
        <w:t>We are a leading provider of network security appliances and a market leader in Unified Threat Management ("UTM") network security solutions. We provide broad, integrated and high performance protection against dynamic security threats while simplifying the IT security infrastructure for enterprises, service providers and government entities worldwide. As of September 30, 2010, we had shipped over 600,000 appliances to more than 5,000 channel partners and to more than 100,000 end-customers worldwide, including a majority o f the 2010 Fortune Global 100.</w:t>
      </w:r>
    </w:p>
    <w:p>
      <w:pPr>
        <w:spacing w:after="0" w:line="135" w:lineRule="exact"/>
        <w:rPr>
          <w:sz w:val="20"/>
          <w:szCs w:val="20"/>
          <w:color w:val="auto"/>
        </w:rPr>
      </w:pPr>
    </w:p>
    <w:p>
      <w:pPr>
        <w:ind w:firstLine="347"/>
        <w:spacing w:after="0" w:line="302" w:lineRule="auto"/>
        <w:rPr>
          <w:sz w:val="20"/>
          <w:szCs w:val="20"/>
          <w:color w:val="auto"/>
        </w:rPr>
      </w:pPr>
      <w:r>
        <w:rPr>
          <w:rFonts w:ascii="Arial" w:cs="Arial" w:eastAsia="Arial" w:hAnsi="Arial"/>
          <w:sz w:val="11"/>
          <w:szCs w:val="11"/>
          <w:color w:val="auto"/>
        </w:rPr>
        <w:t>Our core UTM product line of FortiGate appliances ships with a set of security and networking capabilities, including firewall, VPN, antivirus, intrusion prevention, Web filtering, antispam and WAN acceleration functionality. We derive a substantial majority of product sales from our FortiGate appliances, which range from the FortiGate-30, designed for small businesses and branch offices, to the FortiGate-5000 series for large enterprises and service providers. On an annual basis for each of the last three fiscal years, sales of FortiGate products have generally been balanced across entry-level (FortiGate-30 to -100 series), mid-range (FortiGate-200 to -800 series) and high-end (FortiGate-1000 to -5000 series) models with each product category representing approximately one-third of FortiGate sales, with normal variances from quarter to quarter. For example, in the third quarter of 2010 the percentage of our FortiGate related billings from the high-end category was 39% versus 29% in the third quarter of 2009, while the entry-level category decreased from 42% to 34% over the same period, and the mid-range category remained relatively flat. Our UTM solution also includes our FortiGuard security subscription services, which end-customers can subscribe to in order to obtain access to dynamic updates to the antivirus, intrusion prevention, Web filtering and antispam functionality included in our appliances. End-customers can also choose to purchase Fo rtiCare technical support services for our products. We complement our core FortiGate product line with other appliances and software that offer additional protection from security threats to other critical areas of the enterprise, such as messaging, Web-based traffic and</w:t>
      </w:r>
    </w:p>
    <w:p>
      <w:pPr>
        <w:spacing w:after="0" w:line="115"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460"/>
          </w:cols>
          <w:pgMar w:left="220" w:top="131" w:right="219" w:bottom="1440" w:gutter="0" w:footer="0" w:header="0"/>
        </w:sectPr>
      </w:pPr>
    </w:p>
    <w:bookmarkStart w:id="23" w:name="page24"/>
    <w:bookmarkEnd w:id="23"/>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240" w:firstLine="347"/>
        <w:spacing w:after="0" w:line="268" w:lineRule="auto"/>
        <w:rPr>
          <w:sz w:val="20"/>
          <w:szCs w:val="20"/>
          <w:color w:val="auto"/>
        </w:rPr>
      </w:pPr>
      <w:r>
        <w:rPr>
          <w:rFonts w:ascii="Arial" w:cs="Arial" w:eastAsia="Arial" w:hAnsi="Arial"/>
          <w:sz w:val="13"/>
          <w:szCs w:val="13"/>
          <w:color w:val="auto"/>
        </w:rPr>
        <w:t>databases, and employee computers or handheld devices. During the quarter, we introduced new technology that extended or enhanced our FortiGate, FortiAnalyzer, FortiMail, FortiWeb, FortiDB, FortiScan, an d FortiSwitch appliances.</w:t>
      </w:r>
    </w:p>
    <w:p>
      <w:pPr>
        <w:spacing w:after="0" w:line="81" w:lineRule="exact"/>
        <w:rPr>
          <w:sz w:val="20"/>
          <w:szCs w:val="20"/>
          <w:color w:val="auto"/>
        </w:rPr>
      </w:pPr>
    </w:p>
    <w:p>
      <w:pPr>
        <w:ind w:right="120" w:firstLine="347"/>
        <w:spacing w:after="0" w:line="254" w:lineRule="auto"/>
        <w:rPr>
          <w:sz w:val="20"/>
          <w:szCs w:val="20"/>
          <w:color w:val="auto"/>
        </w:rPr>
      </w:pPr>
      <w:r>
        <w:rPr>
          <w:rFonts w:ascii="Arial" w:cs="Arial" w:eastAsia="Arial" w:hAnsi="Arial"/>
          <w:sz w:val="13"/>
          <w:szCs w:val="13"/>
          <w:color w:val="auto"/>
        </w:rPr>
        <w:t>We are a global, geographically diversified business, with 58% of our total revenue generated outside of the Americas region. For the third quarter of 2010, $35.4 million, or 42%, of our total revenue was generated from the Americas, representing an increase of 36% over the same period of the p rior year. EMEA generated $28.9 million, or 34%, of our total revenue during the third quarter of 2010, representing an increase of 23% over the same period of the prior year. APAC generated $20.6 million, or 24%, of our total revenue during the third quarter of 2010, represent ing an increase of 26% compared to the same period of the prior year. We sell globally in U.S. dollars, while our international expenses are denominated in local currencies.</w:t>
      </w:r>
    </w:p>
    <w:p>
      <w:pPr>
        <w:spacing w:after="0" w:line="138" w:lineRule="exact"/>
        <w:rPr>
          <w:sz w:val="20"/>
          <w:szCs w:val="20"/>
          <w:color w:val="auto"/>
        </w:rPr>
      </w:pPr>
    </w:p>
    <w:p>
      <w:pPr>
        <w:ind w:firstLine="347"/>
        <w:spacing w:after="0" w:line="254" w:lineRule="auto"/>
        <w:rPr>
          <w:sz w:val="20"/>
          <w:szCs w:val="20"/>
          <w:color w:val="auto"/>
        </w:rPr>
      </w:pPr>
      <w:r>
        <w:rPr>
          <w:rFonts w:ascii="Arial" w:cs="Arial" w:eastAsia="Arial" w:hAnsi="Arial"/>
          <w:sz w:val="13"/>
          <w:szCs w:val="13"/>
          <w:color w:val="auto"/>
        </w:rPr>
        <w:t>Billings, a non-GAAP financial measure that we define as total revenue plus the change in deferred revenue (further described under "Non-GAAP Financial Measures"), was $94.7 million, an increase of 33% compared to the third quarter of 2009. We saw an increase in the number of deals involving sales that were greater than $100,000 and a substantial increase in the number of deals greater than $500,000 compared to the third quarter of 2009. We believe that significant factors driving this increase are increased market share due to continued product innovations, and our increased traction within the high-end enterprise segments, due in part to the investments we have made over the past year to build out our sales organization and sharpen our focus in this area.</w:t>
      </w:r>
    </w:p>
    <w:p>
      <w:pPr>
        <w:spacing w:after="0" w:line="138" w:lineRule="exact"/>
        <w:rPr>
          <w:sz w:val="20"/>
          <w:szCs w:val="20"/>
          <w:color w:val="auto"/>
        </w:rPr>
      </w:pPr>
    </w:p>
    <w:p>
      <w:pPr>
        <w:ind w:right="60" w:firstLine="347"/>
        <w:spacing w:after="0" w:line="254" w:lineRule="auto"/>
        <w:rPr>
          <w:sz w:val="20"/>
          <w:szCs w:val="20"/>
          <w:color w:val="auto"/>
        </w:rPr>
      </w:pPr>
      <w:r>
        <w:rPr>
          <w:rFonts w:ascii="Arial" w:cs="Arial" w:eastAsia="Arial" w:hAnsi="Arial"/>
          <w:sz w:val="13"/>
          <w:szCs w:val="13"/>
          <w:color w:val="auto"/>
        </w:rPr>
        <w:t>Total revenue was $85.0 million for the third quarter of 2010, an increase of 29% compared to the third quarter of 2009. Product revenue was $35.9 million, an increase of 41% compared to the third quarter of 2009. A factor in the product revenue growth was the introduction of new products over the past year. Services revenue was $44.5 million, an increase of 21% compared to the third quarter of 2009 . Services revenue is important to our future revenue and profitability as it provides a source of recurring revenue for us, representing 52% and 56% of total revenue for the third quarters of 2010 and 2009, respectively. Ratable product and services revenue was $4.5 million, an increase of 26% compared to the third quarter of 2009.</w:t>
      </w:r>
    </w:p>
    <w:p>
      <w:pPr>
        <w:spacing w:after="0" w:line="138" w:lineRule="exact"/>
        <w:rPr>
          <w:sz w:val="20"/>
          <w:szCs w:val="20"/>
          <w:color w:val="auto"/>
        </w:rPr>
      </w:pPr>
    </w:p>
    <w:p>
      <w:pPr>
        <w:ind w:right="60" w:firstLine="347"/>
        <w:spacing w:after="0" w:line="275" w:lineRule="auto"/>
        <w:rPr>
          <w:sz w:val="20"/>
          <w:szCs w:val="20"/>
          <w:color w:val="auto"/>
        </w:rPr>
      </w:pPr>
      <w:r>
        <w:rPr>
          <w:rFonts w:ascii="Arial" w:cs="Arial" w:eastAsia="Arial" w:hAnsi="Arial"/>
          <w:sz w:val="12"/>
          <w:szCs w:val="12"/>
          <w:color w:val="auto"/>
        </w:rPr>
        <w:t>Our total operating expenses were $45.4 million for the third quarter of 2010, an increase of 17% compared to the same period in the prior year. The 29% increase in revenues compared to the 15% increase in sales and marketing expense from the third quarter of 2 009 (as discussed under "Results of Operations" below) demonstrates the leverage that we are achieving from the investment in our sales force during the past year. Although we expect to continue to realize efficiency gains in sales and marketing expense, any additional leverage we realize will be at a decreasing rate, as a portion of the savings we realized in the third quarter of 2010 was due to a 12% decrease in the EUR exchange rate from the prior year, which benefited our European sales expenses. We are also seeing efficiencies in our overall headcount as our annualized third quarter of 2010 revenue per employee, defined as quarterly revenue, annualized and divided by average headcount, has reached $263,000, up from $225,000 for the third quarter of 2009. Although headcount increased slightly during the third quarter of 2010 from 1,287 at the end of the second quarter to 1,300, our pace of hiring was slower than originally targeted for the third quarter, as it was a challenge to hire qualified sales and technical staff as quickly as we had anticipated due in part to seasonality, the competitive landscape and the degree of specialized security expertise required.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Our Business Model</w:t>
      </w:r>
    </w:p>
    <w:p>
      <w:pPr>
        <w:spacing w:after="0" w:line="159" w:lineRule="exact"/>
        <w:rPr>
          <w:sz w:val="20"/>
          <w:szCs w:val="20"/>
          <w:color w:val="auto"/>
        </w:rPr>
      </w:pPr>
    </w:p>
    <w:p>
      <w:pPr>
        <w:ind w:right="60" w:firstLine="347"/>
        <w:spacing w:after="0" w:line="251" w:lineRule="auto"/>
        <w:rPr>
          <w:sz w:val="20"/>
          <w:szCs w:val="20"/>
          <w:color w:val="auto"/>
        </w:rPr>
      </w:pPr>
      <w:r>
        <w:rPr>
          <w:rFonts w:ascii="Arial" w:cs="Arial" w:eastAsia="Arial" w:hAnsi="Arial"/>
          <w:sz w:val="13"/>
          <w:szCs w:val="13"/>
          <w:color w:val="auto"/>
        </w:rPr>
        <w:t>Our sales strategy is based on a distribut 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appliances. We invoice at the time of our sale for the total price of the products and subscription and support services, and the invoice generally becomes payable within 30 to 90 days. We generally recognize product revenue up-front but defer revenue for the sale of new and renewal subscription and support services contracts. We recognize the related services revenue over the service period, which is typically one year from the date the end-customer registers for these services (the date on which the services can f irst be used by the customer); although, it could be longer as we are experiencing growth in sales of multi-year support and subscription contracts. Sales of new and renewal services increase our deferred revenue balance, which contributes significantly to our positive cash flow from operations.</w:t>
      </w:r>
    </w:p>
    <w:p>
      <w:pPr>
        <w:spacing w:after="0" w:line="294"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460"/>
          </w:cols>
          <w:pgMar w:left="220" w:top="131" w:right="219" w:bottom="1440" w:gutter="0" w:footer="0" w:header="0"/>
        </w:sectPr>
      </w:pPr>
    </w:p>
    <w:bookmarkStart w:id="24" w:name="page25"/>
    <w:bookmarkEnd w:id="24"/>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Key Metrics</w:t>
      </w:r>
    </w:p>
    <w:p>
      <w:pPr>
        <w:spacing w:after="0" w:line="163" w:lineRule="exact"/>
        <w:rPr>
          <w:sz w:val="20"/>
          <w:szCs w:val="20"/>
          <w:color w:val="auto"/>
        </w:rPr>
      </w:pPr>
    </w:p>
    <w:p>
      <w:pPr>
        <w:ind w:right="60" w:firstLine="347"/>
        <w:spacing w:after="0" w:line="276" w:lineRule="auto"/>
        <w:rPr>
          <w:sz w:val="20"/>
          <w:szCs w:val="20"/>
          <w:color w:val="auto"/>
        </w:rPr>
      </w:pPr>
      <w:r>
        <w:rPr>
          <w:rFonts w:ascii="Arial" w:cs="Arial" w:eastAsia="Arial" w:hAnsi="Arial"/>
          <w:sz w:val="12"/>
          <w:szCs w:val="12"/>
          <w:color w:val="auto"/>
        </w:rPr>
        <w:t>We monitor the key financial metrics set forth below on a quarterly basis to help us evaluate growth trends, establish budgets, measure the effectiveness of our sales and marketing efforts and assess operational efficiencies. Our total deferred revenue increased by $9.7 million from $225.5 million at June 30, 2010 to $235.3 m illion at September 30, 2010. Revenue recognized plus the change in deferred revenue from the beginning to the end of the period is a useful metric that management identifies as billings. Billings for services drive deferred revenue, which is an important indicator of the health and visibility of our business, and has historically represented a majority of the quarterly revenue that we recognize. We also ended the third quarter of 2010 with $352.3 million in cash, cash equivalents and investments and have had positive cash flow from operations every fiscal year since 2005. We discuss revenue, gross margin, and the components of operating income and margin below under “Components of Operating Results,” and we discuss our cash, cash equivalents, and investments under “Liquidity and Capital Resources.” Deferred revenue and cash flow from operations are discussed immediately below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60" w:type="dxa"/>
            <w:vAlign w:val="bottom"/>
          </w:tcPr>
          <w:p>
            <w:pPr>
              <w:spacing w:after="0"/>
              <w:rPr>
                <w:sz w:val="12"/>
                <w:szCs w:val="12"/>
                <w:color w:val="auto"/>
              </w:rPr>
            </w:pPr>
          </w:p>
        </w:tc>
        <w:tc>
          <w:tcPr>
            <w:tcW w:w="4340" w:type="dxa"/>
            <w:vAlign w:val="bottom"/>
            <w:gridSpan w:val="5"/>
          </w:tcPr>
          <w:p>
            <w:pPr>
              <w:jc w:val="center"/>
              <w:ind w:left="557"/>
              <w:spacing w:after="0"/>
              <w:rPr>
                <w:sz w:val="20"/>
                <w:szCs w:val="20"/>
                <w:color w:val="auto"/>
              </w:rPr>
            </w:pPr>
            <w:r>
              <w:rPr>
                <w:rFonts w:ascii="Arial" w:cs="Arial" w:eastAsia="Arial" w:hAnsi="Arial"/>
                <w:sz w:val="12"/>
                <w:szCs w:val="12"/>
                <w:b w:val="1"/>
                <w:bCs w:val="1"/>
                <w:color w:val="auto"/>
                <w:w w:val="89"/>
              </w:rPr>
              <w:t>For The Three Months Ended Or As Of</w:t>
            </w:r>
          </w:p>
        </w:tc>
        <w:tc>
          <w:tcPr>
            <w:tcW w:w="280" w:type="dxa"/>
            <w:vAlign w:val="bottom"/>
          </w:tcPr>
          <w:p>
            <w:pPr>
              <w:spacing w:after="0"/>
              <w:rPr>
                <w:sz w:val="12"/>
                <w:szCs w:val="12"/>
                <w:color w:val="auto"/>
              </w:rPr>
            </w:pPr>
          </w:p>
        </w:tc>
      </w:tr>
      <w:tr>
        <w:trPr>
          <w:trHeight w:val="24"/>
        </w:trPr>
        <w:tc>
          <w:tcPr>
            <w:tcW w:w="68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49"/>
        </w:trPr>
        <w:tc>
          <w:tcPr>
            <w:tcW w:w="6860" w:type="dxa"/>
            <w:vAlign w:val="bottom"/>
          </w:tcPr>
          <w:p>
            <w:pPr>
              <w:spacing w:after="0"/>
              <w:rPr>
                <w:sz w:val="12"/>
                <w:szCs w:val="12"/>
                <w:color w:val="auto"/>
              </w:rPr>
            </w:pPr>
          </w:p>
        </w:tc>
        <w:tc>
          <w:tcPr>
            <w:tcW w:w="1820" w:type="dxa"/>
            <w:vAlign w:val="bottom"/>
          </w:tcPr>
          <w:p>
            <w:pPr>
              <w:jc w:val="right"/>
              <w:ind w:right="57"/>
              <w:spacing w:after="0"/>
              <w:rPr>
                <w:sz w:val="20"/>
                <w:szCs w:val="20"/>
                <w:color w:val="auto"/>
              </w:rPr>
            </w:pPr>
            <w:r>
              <w:rPr>
                <w:rFonts w:ascii="Arial" w:cs="Arial" w:eastAsia="Arial" w:hAnsi="Arial"/>
                <w:sz w:val="12"/>
                <w:szCs w:val="12"/>
                <w:b w:val="1"/>
                <w:bCs w:val="1"/>
                <w:color w:val="auto"/>
              </w:rPr>
              <w:t>September 30, 2010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tcPr>
          <w:p>
            <w:pPr>
              <w:jc w:val="right"/>
              <w:ind w:right="56"/>
              <w:spacing w:after="0"/>
              <w:rPr>
                <w:sz w:val="20"/>
                <w:szCs w:val="20"/>
                <w:color w:val="auto"/>
              </w:rPr>
            </w:pPr>
            <w:r>
              <w:rPr>
                <w:rFonts w:ascii="Arial" w:cs="Arial" w:eastAsia="Arial" w:hAnsi="Arial"/>
                <w:sz w:val="12"/>
                <w:szCs w:val="12"/>
                <w:b w:val="1"/>
                <w:bCs w:val="1"/>
                <w:color w:val="auto"/>
                <w:w w:val="96"/>
              </w:rPr>
              <w:t>September 30, 2009</w:t>
            </w:r>
          </w:p>
        </w:tc>
        <w:tc>
          <w:tcPr>
            <w:tcW w:w="280" w:type="dxa"/>
            <w:vAlign w:val="bottom"/>
          </w:tcPr>
          <w:p>
            <w:pPr>
              <w:spacing w:after="0"/>
              <w:rPr>
                <w:sz w:val="12"/>
                <w:szCs w:val="12"/>
                <w:color w:val="auto"/>
              </w:rPr>
            </w:pPr>
          </w:p>
        </w:tc>
      </w:tr>
      <w:tr>
        <w:trPr>
          <w:trHeight w:val="24"/>
        </w:trPr>
        <w:tc>
          <w:tcPr>
            <w:tcW w:w="6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39"/>
        </w:trPr>
        <w:tc>
          <w:tcPr>
            <w:tcW w:w="6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 amounts in 000's)</w:t>
            </w: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4"/>
        </w:trPr>
        <w:tc>
          <w:tcPr>
            <w:tcW w:w="6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93"/>
        </w:trPr>
        <w:tc>
          <w:tcPr>
            <w:tcW w:w="68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Revenue</w:t>
            </w:r>
          </w:p>
        </w:tc>
        <w:tc>
          <w:tcPr>
            <w:tcW w:w="1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84,971</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65,864</w:t>
            </w:r>
          </w:p>
        </w:tc>
        <w:tc>
          <w:tcPr>
            <w:tcW w:w="280" w:type="dxa"/>
            <w:vAlign w:val="bottom"/>
            <w:shd w:val="clear" w:color="auto" w:fill="CCEEFF"/>
          </w:tcPr>
          <w:p>
            <w:pPr>
              <w:spacing w:after="0"/>
              <w:rPr>
                <w:sz w:val="16"/>
                <w:szCs w:val="16"/>
                <w:color w:val="auto"/>
              </w:rPr>
            </w:pPr>
          </w:p>
        </w:tc>
      </w:tr>
      <w:tr>
        <w:trPr>
          <w:trHeight w:val="183"/>
        </w:trPr>
        <w:tc>
          <w:tcPr>
            <w:tcW w:w="6860" w:type="dxa"/>
            <w:vAlign w:val="bottom"/>
          </w:tcPr>
          <w:p>
            <w:pPr>
              <w:ind w:left="700"/>
              <w:spacing w:after="0"/>
              <w:rPr>
                <w:sz w:val="20"/>
                <w:szCs w:val="20"/>
                <w:color w:val="auto"/>
              </w:rPr>
            </w:pPr>
            <w:r>
              <w:rPr>
                <w:rFonts w:ascii="Arial" w:cs="Arial" w:eastAsia="Arial" w:hAnsi="Arial"/>
                <w:sz w:val="13"/>
                <w:szCs w:val="13"/>
                <w:color w:val="auto"/>
              </w:rPr>
              <w:t>Gross margin</w:t>
            </w:r>
          </w:p>
        </w:tc>
        <w:tc>
          <w:tcPr>
            <w:tcW w:w="1820" w:type="dxa"/>
            <w:vAlign w:val="bottom"/>
          </w:tcPr>
          <w:p>
            <w:pPr>
              <w:jc w:val="right"/>
              <w:ind w:right="157"/>
              <w:spacing w:after="0"/>
              <w:rPr>
                <w:sz w:val="20"/>
                <w:szCs w:val="20"/>
                <w:color w:val="auto"/>
              </w:rPr>
            </w:pPr>
            <w:r>
              <w:rPr>
                <w:rFonts w:ascii="Arial" w:cs="Arial" w:eastAsia="Arial" w:hAnsi="Arial"/>
                <w:sz w:val="13"/>
                <w:szCs w:val="13"/>
                <w:color w:val="auto"/>
              </w:rPr>
              <w:t>75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74</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2"/>
        </w:trPr>
        <w:tc>
          <w:tcPr>
            <w:tcW w:w="68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income</w:t>
            </w:r>
            <w:r>
              <w:rPr>
                <w:rFonts w:ascii="Arial" w:cs="Arial" w:eastAsia="Arial" w:hAnsi="Arial"/>
                <w:sz w:val="17"/>
                <w:szCs w:val="17"/>
                <w:color w:val="auto"/>
                <w:vertAlign w:val="superscript"/>
              </w:rPr>
              <w:t>(1)</w:t>
            </w:r>
          </w:p>
        </w:tc>
        <w:tc>
          <w:tcPr>
            <w:tcW w:w="1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18,159</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9,676</w:t>
            </w:r>
          </w:p>
        </w:tc>
        <w:tc>
          <w:tcPr>
            <w:tcW w:w="280" w:type="dxa"/>
            <w:vAlign w:val="bottom"/>
            <w:shd w:val="clear" w:color="auto" w:fill="CCEEFF"/>
          </w:tcPr>
          <w:p>
            <w:pPr>
              <w:spacing w:after="0"/>
              <w:rPr>
                <w:sz w:val="18"/>
                <w:szCs w:val="18"/>
                <w:color w:val="auto"/>
              </w:rPr>
            </w:pPr>
          </w:p>
        </w:tc>
      </w:tr>
      <w:tr>
        <w:trPr>
          <w:trHeight w:val="193"/>
        </w:trPr>
        <w:tc>
          <w:tcPr>
            <w:tcW w:w="6860" w:type="dxa"/>
            <w:vAlign w:val="bottom"/>
          </w:tcPr>
          <w:p>
            <w:pPr>
              <w:ind w:left="700"/>
              <w:spacing w:after="0"/>
              <w:rPr>
                <w:sz w:val="20"/>
                <w:szCs w:val="20"/>
                <w:color w:val="auto"/>
              </w:rPr>
            </w:pPr>
            <w:r>
              <w:rPr>
                <w:rFonts w:ascii="Arial" w:cs="Arial" w:eastAsia="Arial" w:hAnsi="Arial"/>
                <w:sz w:val="13"/>
                <w:szCs w:val="13"/>
                <w:color w:val="auto"/>
              </w:rPr>
              <w:t>Operating margin</w:t>
            </w:r>
          </w:p>
        </w:tc>
        <w:tc>
          <w:tcPr>
            <w:tcW w:w="1820" w:type="dxa"/>
            <w:vAlign w:val="bottom"/>
          </w:tcPr>
          <w:p>
            <w:pPr>
              <w:jc w:val="right"/>
              <w:ind w:right="157"/>
              <w:spacing w:after="0"/>
              <w:rPr>
                <w:sz w:val="20"/>
                <w:szCs w:val="20"/>
                <w:color w:val="auto"/>
              </w:rPr>
            </w:pPr>
            <w:r>
              <w:rPr>
                <w:rFonts w:ascii="Arial" w:cs="Arial" w:eastAsia="Arial" w:hAnsi="Arial"/>
                <w:sz w:val="13"/>
                <w:szCs w:val="13"/>
                <w:color w:val="auto"/>
              </w:rPr>
              <w:t>21</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15</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68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deferred revenue</w:t>
            </w:r>
          </w:p>
        </w:tc>
        <w:tc>
          <w:tcPr>
            <w:tcW w:w="1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235,250</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190,375</w:t>
            </w:r>
          </w:p>
        </w:tc>
        <w:tc>
          <w:tcPr>
            <w:tcW w:w="280" w:type="dxa"/>
            <w:vAlign w:val="bottom"/>
            <w:shd w:val="clear" w:color="auto" w:fill="CCEEFF"/>
          </w:tcPr>
          <w:p>
            <w:pPr>
              <w:spacing w:after="0"/>
              <w:rPr>
                <w:sz w:val="16"/>
                <w:szCs w:val="16"/>
                <w:color w:val="auto"/>
              </w:rPr>
            </w:pPr>
          </w:p>
        </w:tc>
      </w:tr>
      <w:tr>
        <w:trPr>
          <w:trHeight w:val="183"/>
        </w:trPr>
        <w:tc>
          <w:tcPr>
            <w:tcW w:w="6860" w:type="dxa"/>
            <w:vAlign w:val="bottom"/>
          </w:tcPr>
          <w:p>
            <w:pPr>
              <w:ind w:left="700"/>
              <w:spacing w:after="0"/>
              <w:rPr>
                <w:sz w:val="20"/>
                <w:szCs w:val="20"/>
                <w:color w:val="auto"/>
              </w:rPr>
            </w:pPr>
            <w:r>
              <w:rPr>
                <w:rFonts w:ascii="Arial" w:cs="Arial" w:eastAsia="Arial" w:hAnsi="Arial"/>
                <w:sz w:val="13"/>
                <w:szCs w:val="13"/>
                <w:color w:val="auto"/>
              </w:rPr>
              <w:t>Increase in total deferred revenue</w:t>
            </w:r>
          </w:p>
        </w:tc>
        <w:tc>
          <w:tcPr>
            <w:tcW w:w="1820" w:type="dxa"/>
            <w:vAlign w:val="bottom"/>
          </w:tcPr>
          <w:p>
            <w:pPr>
              <w:jc w:val="right"/>
              <w:ind w:right="157"/>
              <w:spacing w:after="0"/>
              <w:rPr>
                <w:sz w:val="20"/>
                <w:szCs w:val="20"/>
                <w:color w:val="auto"/>
              </w:rPr>
            </w:pPr>
            <w:r>
              <w:rPr>
                <w:rFonts w:ascii="Arial" w:cs="Arial" w:eastAsia="Arial" w:hAnsi="Arial"/>
                <w:sz w:val="13"/>
                <w:szCs w:val="13"/>
                <w:color w:val="auto"/>
              </w:rPr>
              <w:t>9,729</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5,306</w:t>
            </w:r>
          </w:p>
        </w:tc>
        <w:tc>
          <w:tcPr>
            <w:tcW w:w="280" w:type="dxa"/>
            <w:vAlign w:val="bottom"/>
          </w:tcPr>
          <w:p>
            <w:pPr>
              <w:spacing w:after="0"/>
              <w:rPr>
                <w:sz w:val="15"/>
                <w:szCs w:val="15"/>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Cash, cash eq uivalents and investments</w:t>
            </w:r>
          </w:p>
        </w:tc>
        <w:tc>
          <w:tcPr>
            <w:tcW w:w="1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352,344</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152,390</w:t>
            </w:r>
          </w:p>
        </w:tc>
        <w:tc>
          <w:tcPr>
            <w:tcW w:w="280" w:type="dxa"/>
            <w:vAlign w:val="bottom"/>
            <w:shd w:val="clear" w:color="auto" w:fill="CCEEFF"/>
          </w:tcPr>
          <w:p>
            <w:pPr>
              <w:spacing w:after="0"/>
              <w:rPr>
                <w:sz w:val="17"/>
                <w:szCs w:val="17"/>
                <w:color w:val="auto"/>
              </w:rPr>
            </w:pPr>
          </w:p>
        </w:tc>
      </w:tr>
      <w:tr>
        <w:trPr>
          <w:trHeight w:val="183"/>
        </w:trPr>
        <w:tc>
          <w:tcPr>
            <w:tcW w:w="6860" w:type="dxa"/>
            <w:vAlign w:val="bottom"/>
          </w:tcPr>
          <w:p>
            <w:pPr>
              <w:ind w:left="360"/>
              <w:spacing w:after="0"/>
              <w:rPr>
                <w:sz w:val="20"/>
                <w:szCs w:val="20"/>
                <w:color w:val="auto"/>
              </w:rPr>
            </w:pPr>
            <w:r>
              <w:rPr>
                <w:rFonts w:ascii="Arial" w:cs="Arial" w:eastAsia="Arial" w:hAnsi="Arial"/>
                <w:sz w:val="13"/>
                <w:szCs w:val="13"/>
                <w:color w:val="auto"/>
              </w:rPr>
              <w:t>Cash flows from operating activities</w:t>
            </w:r>
          </w:p>
        </w:tc>
        <w:tc>
          <w:tcPr>
            <w:tcW w:w="1820" w:type="dxa"/>
            <w:vAlign w:val="bottom"/>
          </w:tcPr>
          <w:p>
            <w:pPr>
              <w:jc w:val="right"/>
              <w:ind w:right="157"/>
              <w:spacing w:after="0"/>
              <w:rPr>
                <w:sz w:val="20"/>
                <w:szCs w:val="20"/>
                <w:color w:val="auto"/>
              </w:rPr>
            </w:pPr>
            <w:r>
              <w:rPr>
                <w:rFonts w:ascii="Arial" w:cs="Arial" w:eastAsia="Arial" w:hAnsi="Arial"/>
                <w:sz w:val="13"/>
                <w:szCs w:val="13"/>
                <w:color w:val="auto"/>
              </w:rPr>
              <w:t>32,193</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15,863</w:t>
            </w:r>
          </w:p>
        </w:tc>
        <w:tc>
          <w:tcPr>
            <w:tcW w:w="280" w:type="dxa"/>
            <w:vAlign w:val="bottom"/>
          </w:tcPr>
          <w:p>
            <w:pPr>
              <w:spacing w:after="0"/>
              <w:rPr>
                <w:sz w:val="15"/>
                <w:szCs w:val="15"/>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Free cash flow</w:t>
            </w:r>
            <w:r>
              <w:rPr>
                <w:rFonts w:ascii="Arial" w:cs="Arial" w:eastAsia="Arial" w:hAnsi="Arial"/>
                <w:sz w:val="17"/>
                <w:szCs w:val="17"/>
                <w:color w:val="auto"/>
                <w:vertAlign w:val="superscript"/>
              </w:rPr>
              <w:t>(2)</w:t>
            </w:r>
          </w:p>
        </w:tc>
        <w:tc>
          <w:tcPr>
            <w:tcW w:w="18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31,522</w:t>
            </w:r>
          </w:p>
        </w:tc>
        <w:tc>
          <w:tcPr>
            <w:tcW w:w="26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14,621</w:t>
            </w:r>
          </w:p>
        </w:tc>
        <w:tc>
          <w:tcPr>
            <w:tcW w:w="280" w:type="dxa"/>
            <w:vAlign w:val="bottom"/>
            <w:shd w:val="clear" w:color="auto" w:fill="CCEEFF"/>
          </w:tcPr>
          <w:p>
            <w:pPr>
              <w:spacing w:after="0"/>
              <w:rPr>
                <w:sz w:val="17"/>
                <w:szCs w:val="17"/>
                <w:color w:val="auto"/>
              </w:rPr>
            </w:pPr>
          </w:p>
        </w:tc>
      </w:tr>
      <w:tr>
        <w:trPr>
          <w:trHeight w:val="173"/>
        </w:trPr>
        <w:tc>
          <w:tcPr>
            <w:tcW w:w="6860" w:type="dxa"/>
            <w:vAlign w:val="bottom"/>
          </w:tcPr>
          <w:p>
            <w:pPr>
              <w:ind w:left="360"/>
              <w:spacing w:after="0"/>
              <w:rPr>
                <w:sz w:val="20"/>
                <w:szCs w:val="20"/>
                <w:color w:val="auto"/>
              </w:rPr>
            </w:pPr>
            <w:r>
              <w:rPr>
                <w:rFonts w:ascii="Arial" w:cs="Arial" w:eastAsia="Arial" w:hAnsi="Arial"/>
                <w:sz w:val="13"/>
                <w:szCs w:val="13"/>
                <w:color w:val="auto"/>
              </w:rPr>
              <w:t>-----------</w:t>
            </w: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3"/>
        </w:trPr>
        <w:tc>
          <w:tcPr>
            <w:tcW w:w="6860" w:type="dxa"/>
            <w:vAlign w:val="bottom"/>
          </w:tcPr>
          <w:p>
            <w:pPr>
              <w:ind w:left="360"/>
              <w:spacing w:after="0"/>
              <w:rPr>
                <w:sz w:val="20"/>
                <w:szCs w:val="20"/>
                <w:color w:val="auto"/>
              </w:rPr>
            </w:pPr>
            <w:r>
              <w:rPr>
                <w:rFonts w:ascii="Arial" w:cs="Arial" w:eastAsia="Arial" w:hAnsi="Arial"/>
                <w:sz w:val="13"/>
                <w:szCs w:val="13"/>
                <w:color w:val="auto"/>
              </w:rPr>
              <w:t>(1)  Includes:</w:t>
            </w: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3"/>
        </w:trPr>
        <w:tc>
          <w:tcPr>
            <w:tcW w:w="6860" w:type="dxa"/>
            <w:vAlign w:val="bottom"/>
          </w:tcPr>
          <w:p>
            <w:pPr>
              <w:ind w:left="640"/>
              <w:spacing w:after="0"/>
              <w:rPr>
                <w:sz w:val="20"/>
                <w:szCs w:val="20"/>
                <w:color w:val="auto"/>
              </w:rPr>
            </w:pPr>
            <w:r>
              <w:rPr>
                <w:rFonts w:ascii="Arial" w:cs="Arial" w:eastAsia="Arial" w:hAnsi="Arial"/>
                <w:sz w:val="13"/>
                <w:szCs w:val="13"/>
                <w:color w:val="auto"/>
              </w:rPr>
              <w:t>Stock-based compensation expense</w:t>
            </w:r>
          </w:p>
        </w:tc>
        <w:tc>
          <w:tcPr>
            <w:tcW w:w="1820" w:type="dxa"/>
            <w:vAlign w:val="bottom"/>
          </w:tcPr>
          <w:p>
            <w:pPr>
              <w:jc w:val="right"/>
              <w:ind w:right="157"/>
              <w:spacing w:after="0"/>
              <w:rPr>
                <w:sz w:val="20"/>
                <w:szCs w:val="20"/>
                <w:color w:val="auto"/>
              </w:rPr>
            </w:pPr>
            <w:r>
              <w:rPr>
                <w:rFonts w:ascii="Arial" w:cs="Arial" w:eastAsia="Arial" w:hAnsi="Arial"/>
                <w:sz w:val="13"/>
                <w:szCs w:val="13"/>
                <w:color w:val="auto"/>
              </w:rPr>
              <w:t>2,434</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1,936</w:t>
            </w:r>
          </w:p>
        </w:tc>
        <w:tc>
          <w:tcPr>
            <w:tcW w:w="280" w:type="dxa"/>
            <w:vAlign w:val="bottom"/>
          </w:tcPr>
          <w:p>
            <w:pPr>
              <w:spacing w:after="0"/>
              <w:rPr>
                <w:sz w:val="16"/>
                <w:szCs w:val="16"/>
                <w:color w:val="auto"/>
              </w:rPr>
            </w:pPr>
          </w:p>
        </w:tc>
      </w:tr>
      <w:tr>
        <w:trPr>
          <w:trHeight w:val="193"/>
        </w:trPr>
        <w:tc>
          <w:tcPr>
            <w:tcW w:w="6860" w:type="dxa"/>
            <w:vAlign w:val="bottom"/>
          </w:tcPr>
          <w:p>
            <w:pPr>
              <w:ind w:left="640"/>
              <w:spacing w:after="0"/>
              <w:rPr>
                <w:sz w:val="20"/>
                <w:szCs w:val="20"/>
                <w:color w:val="auto"/>
              </w:rPr>
            </w:pPr>
            <w:r>
              <w:rPr>
                <w:rFonts w:ascii="Arial" w:cs="Arial" w:eastAsia="Arial" w:hAnsi="Arial"/>
                <w:sz w:val="13"/>
                <w:szCs w:val="13"/>
                <w:color w:val="auto"/>
              </w:rPr>
              <w:t>Non-cash asset acquisition related write-offs</w:t>
            </w:r>
          </w:p>
        </w:tc>
        <w:tc>
          <w:tcPr>
            <w:tcW w:w="18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color w:val="auto"/>
              </w:rPr>
              <w:t>93</w:t>
            </w:r>
          </w:p>
        </w:tc>
        <w:tc>
          <w:tcPr>
            <w:tcW w:w="280" w:type="dxa"/>
            <w:vAlign w:val="bottom"/>
          </w:tcPr>
          <w:p>
            <w:pPr>
              <w:spacing w:after="0"/>
              <w:rPr>
                <w:sz w:val="16"/>
                <w:szCs w:val="16"/>
                <w:color w:val="auto"/>
              </w:rPr>
            </w:pPr>
          </w:p>
        </w:tc>
      </w:tr>
    </w:tbl>
    <w:p>
      <w:pPr>
        <w:spacing w:after="0" w:line="30" w:lineRule="exact"/>
        <w:rPr>
          <w:sz w:val="20"/>
          <w:szCs w:val="20"/>
          <w:color w:val="auto"/>
        </w:rPr>
      </w:pPr>
    </w:p>
    <w:p>
      <w:pPr>
        <w:ind w:left="660" w:right="5160" w:hanging="296"/>
        <w:spacing w:after="0" w:line="330" w:lineRule="auto"/>
        <w:tabs>
          <w:tab w:leader="none" w:pos="636" w:val="left"/>
        </w:tabs>
        <w:numPr>
          <w:ilvl w:val="0"/>
          <w:numId w:val="6"/>
        </w:numPr>
        <w:rPr>
          <w:rFonts w:ascii="Arial" w:cs="Arial" w:eastAsia="Arial" w:hAnsi="Arial"/>
          <w:sz w:val="13"/>
          <w:szCs w:val="13"/>
          <w:color w:val="auto"/>
        </w:rPr>
      </w:pPr>
      <w:r>
        <w:rPr>
          <w:rFonts w:ascii="Arial" w:cs="Arial" w:eastAsia="Arial" w:hAnsi="Arial"/>
          <w:sz w:val="13"/>
          <w:szCs w:val="13"/>
          <w:color w:val="auto"/>
        </w:rPr>
        <w:t>Free cash flow is a non-GAAP financial measure, which we define as cash flow from operations minus capital expenditures, as further described below.</w:t>
      </w:r>
    </w:p>
    <w:p>
      <w:pPr>
        <w:spacing w:after="0" w:line="110" w:lineRule="exact"/>
        <w:rPr>
          <w:sz w:val="20"/>
          <w:szCs w:val="20"/>
          <w:color w:val="auto"/>
        </w:rPr>
      </w:pPr>
    </w:p>
    <w:p>
      <w:pPr>
        <w:ind w:right="20" w:firstLine="347"/>
        <w:spacing w:after="0" w:line="258" w:lineRule="auto"/>
        <w:rPr>
          <w:sz w:val="20"/>
          <w:szCs w:val="20"/>
          <w:color w:val="auto"/>
        </w:rPr>
      </w:pPr>
      <w:r>
        <w:rPr>
          <w:rFonts w:ascii="Arial" w:cs="Arial" w:eastAsia="Arial" w:hAnsi="Arial"/>
          <w:sz w:val="13"/>
          <w:szCs w:val="13"/>
          <w:i w:val="1"/>
          <w:iCs w:val="1"/>
          <w:color w:val="auto"/>
        </w:rPr>
        <w:t xml:space="preserve">Deferred revenue. </w:t>
      </w:r>
      <w:r>
        <w:rPr>
          <w:rFonts w:ascii="Arial" w:cs="Arial" w:eastAsia="Arial" w:hAnsi="Arial"/>
          <w:sz w:val="13"/>
          <w:szCs w:val="13"/>
          <w:color w:val="auto"/>
        </w:rPr>
        <w:t>Our deferred revenue consists of amounts that have been invoiced but that have not yet been recognized as revenue. The majority of our deferred revenue balance consists of the unamortized portion</w:t>
      </w:r>
      <w:r>
        <w:rPr>
          <w:rFonts w:ascii="Arial" w:cs="Arial" w:eastAsia="Arial" w:hAnsi="Arial"/>
          <w:sz w:val="13"/>
          <w:szCs w:val="13"/>
          <w:i w:val="1"/>
          <w:iCs w:val="1"/>
          <w:color w:val="auto"/>
        </w:rPr>
        <w:t xml:space="preserve"> </w:t>
      </w:r>
      <w:r>
        <w:rPr>
          <w:rFonts w:ascii="Arial" w:cs="Arial" w:eastAsia="Arial" w:hAnsi="Arial"/>
          <w:sz w:val="13"/>
          <w:szCs w:val="13"/>
          <w:color w:val="auto"/>
        </w:rPr>
        <w:t>of services revenue from subscription and support service contracts. We monitor our deferred revenue balance because it represents a significant portion of revenue to be recognized in future periods. We also assess the increase in our deferred revenue balance plus revenue we recognized in a particular period as a measure of our sales activity for that period.</w:t>
      </w:r>
    </w:p>
    <w:p>
      <w:pPr>
        <w:spacing w:after="0" w:line="135" w:lineRule="exact"/>
        <w:rPr>
          <w:sz w:val="20"/>
          <w:szCs w:val="20"/>
          <w:color w:val="auto"/>
        </w:rPr>
      </w:pPr>
    </w:p>
    <w:p>
      <w:pPr>
        <w:ind w:right="80" w:firstLine="347"/>
        <w:spacing w:after="0" w:line="252" w:lineRule="auto"/>
        <w:rPr>
          <w:sz w:val="20"/>
          <w:szCs w:val="20"/>
          <w:color w:val="auto"/>
        </w:rPr>
      </w:pPr>
      <w:r>
        <w:rPr>
          <w:rFonts w:ascii="Arial" w:cs="Arial" w:eastAsia="Arial" w:hAnsi="Arial"/>
          <w:sz w:val="13"/>
          <w:szCs w:val="13"/>
          <w:i w:val="1"/>
          <w:iCs w:val="1"/>
          <w:color w:val="auto"/>
        </w:rPr>
        <w:t xml:space="preserve">Cash flow from operations. </w:t>
      </w:r>
      <w:r>
        <w:rPr>
          <w:rFonts w:ascii="Arial" w:cs="Arial" w:eastAsia="Arial" w:hAnsi="Arial"/>
          <w:sz w:val="13"/>
          <w:szCs w:val="13"/>
          <w:color w:val="auto"/>
        </w:rPr>
        <w:t>We monitor cash flow from operations as a measure of our overall business performance. Our cash flow from operations is driven in large part by advance payments for both new and</w:t>
      </w:r>
      <w:r>
        <w:rPr>
          <w:rFonts w:ascii="Arial" w:cs="Arial" w:eastAsia="Arial" w:hAnsi="Arial"/>
          <w:sz w:val="13"/>
          <w:szCs w:val="13"/>
          <w:i w:val="1"/>
          <w:iCs w:val="1"/>
          <w:color w:val="auto"/>
        </w:rPr>
        <w:t xml:space="preserve"> </w:t>
      </w:r>
      <w:r>
        <w:rPr>
          <w:rFonts w:ascii="Arial" w:cs="Arial" w:eastAsia="Arial" w:hAnsi="Arial"/>
          <w:sz w:val="13"/>
          <w:szCs w:val="13"/>
          <w:color w:val="auto"/>
        </w:rPr>
        <w:t>renewal contracts for subscription and support services, consistent with our billings for the period. Monitoring cash flow from operations enables us to analyze our financial performance excluding the non-cash effects of certain items such as depreciation, amortization and stock-based compensation expenses, thereby allowing us to better understand and manage the cash needs of our business. Our cash flow from operations was $32.2 million in the third quarter of 2010 and $15.9 million in the third quarter of 2009. In the third quarter of 2010, free cash flow (a non-GAAP financial measure, described under “Non-GAAP Financial Measures” below) was $31.5 million, compared to $14.6 million in the third quarter of 2009.</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Non-GAAP Financial Measures</w:t>
      </w:r>
    </w:p>
    <w:p>
      <w:pPr>
        <w:spacing w:after="0" w:line="159" w:lineRule="exact"/>
        <w:rPr>
          <w:sz w:val="20"/>
          <w:szCs w:val="20"/>
          <w:color w:val="auto"/>
        </w:rPr>
      </w:pPr>
    </w:p>
    <w:p>
      <w:pPr>
        <w:ind w:right="20" w:firstLine="347"/>
        <w:spacing w:after="0" w:line="254" w:lineRule="auto"/>
        <w:rPr>
          <w:sz w:val="20"/>
          <w:szCs w:val="20"/>
          <w:color w:val="auto"/>
        </w:rPr>
      </w:pPr>
      <w:r>
        <w:rPr>
          <w:rFonts w:ascii="Arial" w:cs="Arial" w:eastAsia="Arial" w:hAnsi="Arial"/>
          <w:sz w:val="13"/>
          <w:szCs w:val="13"/>
          <w:color w:val="auto"/>
        </w:rPr>
        <w:t>To supplement our condensed consolidated financial statements presented in accordance with U.S. GAAP, we consider certain financial measures that are not prepared in accordance with GAAP, including non-GAAP gross margin, non-GAAP income from operations and non-GAAP operating margin, non-GAAP operating expenses, non-GAAP net income and non-GAAP free cash flow. These non-GAAP measures are not based on any standardized methodology presc ribed by GAAP and are not necessarily comparable to similar measures presented by other companies. Non-GAAP gross margin is gross margin as reported on our condensed consolidated statements of operations, excluding the impact of stock-based compensation expense,</w:t>
      </w:r>
    </w:p>
    <w:p>
      <w:pPr>
        <w:spacing w:after="0" w:line="138"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80"/>
          </w:cols>
          <w:pgMar w:left="220" w:top="131" w:right="199" w:bottom="1440" w:gutter="0" w:footer="0" w:header="0"/>
        </w:sectPr>
      </w:pPr>
    </w:p>
    <w:bookmarkStart w:id="25" w:name="page26"/>
    <w:bookmarkEnd w:id="25"/>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60" w:firstLine="347"/>
        <w:spacing w:after="0" w:line="276" w:lineRule="auto"/>
        <w:rPr>
          <w:sz w:val="20"/>
          <w:szCs w:val="20"/>
          <w:color w:val="auto"/>
        </w:rPr>
      </w:pPr>
      <w:r>
        <w:rPr>
          <w:rFonts w:ascii="Arial" w:cs="Arial" w:eastAsia="Arial" w:hAnsi="Arial"/>
          <w:sz w:val="12"/>
          <w:szCs w:val="12"/>
          <w:color w:val="auto"/>
        </w:rPr>
        <w:t>which is a non-cash charge, and for the third quarter of 2009 only, non-cash asset acquisition related write-offs. Non-GAAP income from operations is operating income, as reported on our condensed consolidated statements of operations, excluding the impact of stock-based compensation expense and for the third quarter of 2009 only, non-cash asset acquisition related write-offs. The non-cash asset acquisition related write-offs that we exclude from our third quarter of 2009 non-GAAP financial measures are charges for intangible assets that have no future value, but these charges do not include amortization related to the intangible assets that provide an ongoing benefit to our recurring operations. Non-GAAP operating margin is non-GAAP income from operations divided by revenue. Non-GAAP operating expenses exclude the impact of stock-based compensation expense. Non-GAAP net income is net income plus stock-based compensation expense and non-cash asset acquisition related write-offs, less the related tax effects. Free cash flow, an alternative non-GAAP measure of liquidity, is defined as net cash provided by operating activities less capital expenditures.</w:t>
      </w:r>
    </w:p>
    <w:p>
      <w:pPr>
        <w:spacing w:after="0" w:line="128" w:lineRule="exact"/>
        <w:rPr>
          <w:sz w:val="20"/>
          <w:szCs w:val="20"/>
          <w:color w:val="auto"/>
        </w:rPr>
      </w:pPr>
    </w:p>
    <w:p>
      <w:pPr>
        <w:ind w:right="100" w:firstLine="347"/>
        <w:spacing w:after="0" w:line="252" w:lineRule="auto"/>
        <w:rPr>
          <w:sz w:val="20"/>
          <w:szCs w:val="20"/>
          <w:color w:val="auto"/>
        </w:rPr>
      </w:pPr>
      <w:r>
        <w:rPr>
          <w:rFonts w:ascii="Arial" w:cs="Arial" w:eastAsia="Arial" w:hAnsi="Arial"/>
          <w:sz w:val="13"/>
          <w:szCs w:val="13"/>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41" w:lineRule="exact"/>
        <w:rPr>
          <w:sz w:val="20"/>
          <w:szCs w:val="20"/>
          <w:color w:val="auto"/>
        </w:rPr>
      </w:pPr>
    </w:p>
    <w:p>
      <w:pPr>
        <w:ind w:right="20" w:firstLine="347"/>
        <w:spacing w:after="0" w:line="251" w:lineRule="auto"/>
        <w:rPr>
          <w:sz w:val="20"/>
          <w:szCs w:val="20"/>
          <w:color w:val="auto"/>
        </w:rPr>
      </w:pPr>
      <w:r>
        <w:rPr>
          <w:rFonts w:ascii="Arial" w:cs="Arial" w:eastAsia="Arial" w:hAnsi="Arial"/>
          <w:sz w:val="13"/>
          <w:szCs w:val="13"/>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and asset acquisition related write-offs. Stock-based compensation has been, and will continue to be for the foreseeable future, a significant recurring expense in our business and is an important part of our employees ' compensation that reflects their performance.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142" w:lineRule="exact"/>
        <w:rPr>
          <w:sz w:val="20"/>
          <w:szCs w:val="20"/>
          <w:color w:val="auto"/>
        </w:rPr>
      </w:pPr>
    </w:p>
    <w:p>
      <w:pPr>
        <w:ind w:firstLine="347"/>
        <w:spacing w:after="0" w:line="254" w:lineRule="auto"/>
        <w:rPr>
          <w:sz w:val="20"/>
          <w:szCs w:val="20"/>
          <w:color w:val="auto"/>
        </w:rPr>
      </w:pPr>
      <w:r>
        <w:rPr>
          <w:rFonts w:ascii="Arial" w:cs="Arial" w:eastAsia="Arial" w:hAnsi="Arial"/>
          <w:sz w:val="13"/>
          <w:szCs w:val="13"/>
          <w:color w:val="auto"/>
        </w:rPr>
        <w:t>The following tables reconcile GAAP gross margin, income from operations, operating margin, certain operating expenses and net income as reported on our condensed consolidated statements of operations to non-GAAP gross margin, non-GAAP income from operations, non-GAAP operating margin, certain non- GAAP operating expenses and non-GAAP net income for the third fiscal quarters of 2010 and 2009. For the third quarter of 2010, both GAAP and non-GAAP results below include approximately $0.4 million of payroll tax expense resulting from the exercise of employee stock options during the quarter. Payroll tax expense associated with stock option exercises during the third quarter of 2009 was immaterial.</w:t>
      </w:r>
    </w:p>
    <w:p>
      <w:pPr>
        <w:spacing w:after="0" w:line="293"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60"/>
          </w:cols>
          <w:pgMar w:left="220" w:top="131" w:right="219" w:bottom="1440" w:gutter="0" w:footer="0" w:header="0"/>
        </w:sectPr>
      </w:pPr>
    </w:p>
    <w:bookmarkStart w:id="26" w:name="page27"/>
    <w:bookmarkEnd w:id="26"/>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5"/>
          </w:tcPr>
          <w:p>
            <w:pPr>
              <w:jc w:val="right"/>
              <w:ind w:right="636"/>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ind w:right="222"/>
              <w:spacing w:after="0"/>
              <w:rPr>
                <w:sz w:val="20"/>
                <w:szCs w:val="20"/>
                <w:color w:val="auto"/>
              </w:rPr>
            </w:pPr>
            <w:r>
              <w:rPr>
                <w:rFonts w:ascii="Arial" w:cs="Arial" w:eastAsia="Arial" w:hAnsi="Arial"/>
                <w:sz w:val="12"/>
                <w:szCs w:val="12"/>
                <w:b w:val="1"/>
                <w:bCs w:val="1"/>
                <w:color w:val="auto"/>
                <w:w w:val="99"/>
              </w:rPr>
              <w:t>September 30, 2010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5"/>
          </w:tcPr>
          <w:p>
            <w:pPr>
              <w:ind w:left="140"/>
              <w:spacing w:after="0"/>
              <w:rPr>
                <w:sz w:val="20"/>
                <w:szCs w:val="20"/>
                <w:color w:val="auto"/>
              </w:rPr>
            </w:pPr>
            <w:r>
              <w:rPr>
                <w:rFonts w:ascii="Arial" w:cs="Arial" w:eastAsia="Arial" w:hAnsi="Arial"/>
                <w:sz w:val="12"/>
                <w:szCs w:val="12"/>
                <w:b w:val="1"/>
                <w:bCs w:val="1"/>
                <w:color w:val="auto"/>
                <w:w w:val="92"/>
              </w:rPr>
              <w:t>September 30, 2009</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5"/>
          </w:tcPr>
          <w:p>
            <w:pPr>
              <w:ind w:left="100"/>
              <w:spacing w:after="0"/>
              <w:rPr>
                <w:sz w:val="20"/>
                <w:szCs w:val="20"/>
                <w:color w:val="auto"/>
              </w:rPr>
            </w:pPr>
            <w:r>
              <w:rPr>
                <w:rFonts w:ascii="Arial" w:cs="Arial" w:eastAsia="Arial" w:hAnsi="Arial"/>
                <w:sz w:val="12"/>
                <w:szCs w:val="12"/>
                <w:b w:val="1"/>
                <w:bCs w:val="1"/>
                <w:color w:val="auto"/>
              </w:rPr>
              <w:t>% of</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ind w:left="280"/>
              <w:spacing w:after="0"/>
              <w:rPr>
                <w:sz w:val="20"/>
                <w:szCs w:val="20"/>
                <w:color w:val="auto"/>
              </w:rPr>
            </w:pPr>
            <w:r>
              <w:rPr>
                <w:rFonts w:ascii="Arial" w:cs="Arial" w:eastAsia="Arial" w:hAnsi="Arial"/>
                <w:sz w:val="12"/>
                <w:szCs w:val="12"/>
                <w:b w:val="1"/>
                <w:bCs w:val="1"/>
                <w:color w:val="auto"/>
              </w:rPr>
              <w:t>% of</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w w:val="83"/>
              </w:rPr>
              <w:t>Amount</w:t>
            </w: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rPr>
              <w:t>Revenue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w w:val="79"/>
              </w:rPr>
              <w:t>Revenue</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5"/>
          </w:tcPr>
          <w:p>
            <w:pPr>
              <w:jc w:val="right"/>
              <w:ind w:right="676"/>
              <w:spacing w:after="0"/>
              <w:rPr>
                <w:sz w:val="20"/>
                <w:szCs w:val="20"/>
                <w:color w:val="auto"/>
              </w:rPr>
            </w:pPr>
            <w:r>
              <w:rPr>
                <w:rFonts w:ascii="Arial" w:cs="Arial" w:eastAsia="Arial" w:hAnsi="Arial"/>
                <w:sz w:val="12"/>
                <w:szCs w:val="12"/>
                <w:b w:val="1"/>
                <w:bCs w:val="1"/>
                <w:color w:val="auto"/>
              </w:rPr>
              <w:t>($ amounts in 000's)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revenue</w:t>
            </w:r>
          </w:p>
        </w:tc>
        <w:tc>
          <w:tcPr>
            <w:tcW w:w="5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84,971</w:t>
            </w:r>
          </w:p>
        </w:tc>
        <w:tc>
          <w:tcPr>
            <w:tcW w:w="340" w:type="dxa"/>
            <w:vAlign w:val="bottom"/>
            <w:tcBorders>
              <w:left w:val="single" w:sz="8" w:color="CCEEFF"/>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65,864</w:t>
            </w: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000" w:type="dxa"/>
            <w:vAlign w:val="bottom"/>
          </w:tcPr>
          <w:p>
            <w:pPr>
              <w:ind w:left="360"/>
              <w:spacing w:after="0"/>
              <w:rPr>
                <w:sz w:val="20"/>
                <w:szCs w:val="20"/>
                <w:color w:val="auto"/>
              </w:rPr>
            </w:pPr>
            <w:r>
              <w:rPr>
                <w:rFonts w:ascii="Arial" w:cs="Arial" w:eastAsia="Arial" w:hAnsi="Arial"/>
                <w:sz w:val="13"/>
                <w:szCs w:val="13"/>
                <w:color w:val="auto"/>
              </w:rPr>
              <w:t>GAAP gross profit and margin</w:t>
            </w:r>
          </w:p>
        </w:tc>
        <w:tc>
          <w:tcPr>
            <w:tcW w:w="500" w:type="dxa"/>
            <w:vAlign w:val="bottom"/>
          </w:tcPr>
          <w:p>
            <w:pPr>
              <w:spacing w:after="0"/>
              <w:rPr>
                <w:sz w:val="22"/>
                <w:szCs w:val="2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63,528</w:t>
            </w:r>
          </w:p>
        </w:tc>
        <w:tc>
          <w:tcPr>
            <w:tcW w:w="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74.8</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48,431</w:t>
            </w: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86"/>
              </w:rPr>
              <w:t>73.5</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Stock-based compensation expense</w:t>
            </w:r>
          </w:p>
        </w:tc>
        <w:tc>
          <w:tcPr>
            <w:tcW w:w="5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268</w:t>
            </w:r>
          </w:p>
        </w:tc>
        <w:tc>
          <w:tcPr>
            <w:tcW w:w="34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83"/>
        </w:trPr>
        <w:tc>
          <w:tcPr>
            <w:tcW w:w="4000" w:type="dxa"/>
            <w:vAlign w:val="bottom"/>
          </w:tcPr>
          <w:p>
            <w:pPr>
              <w:ind w:left="340"/>
              <w:spacing w:after="0"/>
              <w:rPr>
                <w:sz w:val="20"/>
                <w:szCs w:val="20"/>
                <w:color w:val="auto"/>
              </w:rPr>
            </w:pPr>
            <w:r>
              <w:rPr>
                <w:rFonts w:ascii="Arial" w:cs="Arial" w:eastAsia="Arial" w:hAnsi="Arial"/>
                <w:sz w:val="13"/>
                <w:szCs w:val="13"/>
                <w:color w:val="auto"/>
              </w:rPr>
              <w:t>Non-cash asset acquisition related write-offs</w:t>
            </w: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4"/>
          </w:tcPr>
          <w:p>
            <w:pPr>
              <w:jc w:val="right"/>
              <w:ind w:right="7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93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12"/>
        </w:trPr>
        <w:tc>
          <w:tcPr>
            <w:tcW w:w="4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Non-GAAP gross profit and margin</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63,796</w:t>
            </w:r>
          </w:p>
        </w:tc>
        <w:tc>
          <w:tcPr>
            <w:tcW w:w="34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75.1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48,718</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73.9</w:t>
            </w:r>
          </w:p>
        </w:tc>
        <w:tc>
          <w:tcPr>
            <w:tcW w:w="0" w:type="dxa"/>
            <w:vAlign w:val="bottom"/>
          </w:tcPr>
          <w:p>
            <w:pPr>
              <w:spacing w:after="0"/>
              <w:rPr>
                <w:sz w:val="1"/>
                <w:szCs w:val="1"/>
                <w:color w:val="auto"/>
              </w:rPr>
            </w:pPr>
          </w:p>
        </w:tc>
      </w:tr>
      <w:tr>
        <w:trPr>
          <w:trHeight w:val="308"/>
        </w:trPr>
        <w:tc>
          <w:tcPr>
            <w:tcW w:w="4000" w:type="dxa"/>
            <w:vAlign w:val="bottom"/>
          </w:tcPr>
          <w:p>
            <w:pPr>
              <w:ind w:left="360"/>
              <w:spacing w:after="0"/>
              <w:rPr>
                <w:sz w:val="20"/>
                <w:szCs w:val="20"/>
                <w:color w:val="auto"/>
              </w:rPr>
            </w:pPr>
            <w:r>
              <w:rPr>
                <w:rFonts w:ascii="Arial" w:cs="Arial" w:eastAsia="Arial" w:hAnsi="Arial"/>
                <w:sz w:val="13"/>
                <w:szCs w:val="13"/>
                <w:color w:val="auto"/>
              </w:rPr>
              <w:t>GAAP income from operations and margin</w:t>
            </w:r>
          </w:p>
        </w:tc>
        <w:tc>
          <w:tcPr>
            <w:tcW w:w="50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18,159</w:t>
            </w: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21.4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9,676</w:t>
            </w: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6"/>
              </w:rPr>
              <w:t>14.7</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Stock-based compensation expense:</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00" w:type="dxa"/>
            <w:vAlign w:val="bottom"/>
          </w:tcPr>
          <w:p>
            <w:pPr>
              <w:ind w:left="620"/>
              <w:spacing w:after="0"/>
              <w:rPr>
                <w:sz w:val="20"/>
                <w:szCs w:val="20"/>
                <w:color w:val="auto"/>
              </w:rPr>
            </w:pPr>
            <w:r>
              <w:rPr>
                <w:rFonts w:ascii="Arial" w:cs="Arial" w:eastAsia="Arial" w:hAnsi="Arial"/>
                <w:sz w:val="13"/>
                <w:szCs w:val="13"/>
                <w:color w:val="auto"/>
              </w:rPr>
              <w:t>Cost of revenue</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268</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93"/>
        </w:trPr>
        <w:tc>
          <w:tcPr>
            <w:tcW w:w="40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Research and development</w:t>
            </w: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34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83"/>
        </w:trPr>
        <w:tc>
          <w:tcPr>
            <w:tcW w:w="4000" w:type="dxa"/>
            <w:vAlign w:val="bottom"/>
          </w:tcPr>
          <w:p>
            <w:pPr>
              <w:ind w:left="620"/>
              <w:spacing w:after="0"/>
              <w:rPr>
                <w:sz w:val="20"/>
                <w:szCs w:val="20"/>
                <w:color w:val="auto"/>
              </w:rPr>
            </w:pPr>
            <w:r>
              <w:rPr>
                <w:rFonts w:ascii="Arial" w:cs="Arial" w:eastAsia="Arial" w:hAnsi="Arial"/>
                <w:sz w:val="13"/>
                <w:szCs w:val="13"/>
                <w:color w:val="auto"/>
              </w:rPr>
              <w:t>Sales and marketing</w:t>
            </w: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1,017</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767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93"/>
        </w:trPr>
        <w:tc>
          <w:tcPr>
            <w:tcW w:w="40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General and administrative</w:t>
            </w:r>
          </w:p>
        </w:tc>
        <w:tc>
          <w:tcPr>
            <w:tcW w:w="5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340" w:type="dxa"/>
            <w:vAlign w:val="bottom"/>
            <w:tcBorders>
              <w:left w:val="single" w:sz="8" w:color="CCEEFF"/>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82"/>
        </w:trPr>
        <w:tc>
          <w:tcPr>
            <w:tcW w:w="4000" w:type="dxa"/>
            <w:vAlign w:val="bottom"/>
          </w:tcPr>
          <w:p>
            <w:pPr>
              <w:ind w:left="540"/>
              <w:spacing w:after="0"/>
              <w:rPr>
                <w:sz w:val="20"/>
                <w:szCs w:val="20"/>
                <w:color w:val="auto"/>
              </w:rPr>
            </w:pPr>
            <w:r>
              <w:rPr>
                <w:rFonts w:ascii="Arial" w:cs="Arial" w:eastAsia="Arial" w:hAnsi="Arial"/>
                <w:sz w:val="13"/>
                <w:szCs w:val="13"/>
                <w:color w:val="auto"/>
              </w:rPr>
              <w:t>Total stock-based compensation</w:t>
            </w: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2,434</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1,936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93"/>
        </w:trPr>
        <w:tc>
          <w:tcPr>
            <w:tcW w:w="40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Non-cash asset acquisition related write-offs</w:t>
            </w: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7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1"/>
        </w:trPr>
        <w:tc>
          <w:tcPr>
            <w:tcW w:w="4000" w:type="dxa"/>
            <w:vAlign w:val="bottom"/>
          </w:tcPr>
          <w:p>
            <w:pPr>
              <w:ind w:left="360"/>
              <w:spacing w:after="0"/>
              <w:rPr>
                <w:sz w:val="20"/>
                <w:szCs w:val="20"/>
                <w:color w:val="auto"/>
              </w:rPr>
            </w:pPr>
            <w:r>
              <w:rPr>
                <w:rFonts w:ascii="Arial" w:cs="Arial" w:eastAsia="Arial" w:hAnsi="Arial"/>
                <w:sz w:val="13"/>
                <w:szCs w:val="13"/>
                <w:color w:val="auto"/>
              </w:rPr>
              <w:t>Non-GAAP income from operations and margin</w:t>
            </w:r>
          </w:p>
        </w:tc>
        <w:tc>
          <w:tcPr>
            <w:tcW w:w="500" w:type="dxa"/>
            <w:vAlign w:val="bottom"/>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20,593</w:t>
            </w:r>
          </w:p>
        </w:tc>
        <w:tc>
          <w:tcPr>
            <w:tcW w:w="3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24.2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11,705</w:t>
            </w:r>
          </w:p>
        </w:tc>
        <w:tc>
          <w:tcPr>
            <w:tcW w:w="1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17.8</w:t>
            </w:r>
          </w:p>
        </w:tc>
        <w:tc>
          <w:tcPr>
            <w:tcW w:w="0" w:type="dxa"/>
            <w:vAlign w:val="bottom"/>
          </w:tcPr>
          <w:p>
            <w:pPr>
              <w:spacing w:after="0"/>
              <w:rPr>
                <w:sz w:val="1"/>
                <w:szCs w:val="1"/>
                <w:color w:val="auto"/>
              </w:rPr>
            </w:pPr>
          </w:p>
        </w:tc>
      </w:tr>
      <w:tr>
        <w:trPr>
          <w:trHeight w:val="404"/>
        </w:trPr>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862"/>
              <w:spacing w:after="0"/>
              <w:rPr>
                <w:sz w:val="20"/>
                <w:szCs w:val="20"/>
                <w:color w:val="auto"/>
              </w:rPr>
            </w:pPr>
            <w:r>
              <w:rPr>
                <w:rFonts w:ascii="Arial" w:cs="Arial" w:eastAsia="Arial" w:hAnsi="Arial"/>
                <w:sz w:val="13"/>
                <w:szCs w:val="13"/>
                <w:color w:val="auto"/>
                <w:w w:val="98"/>
              </w:rPr>
              <w:t>&lt; /tr&gt;</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00" w:type="dxa"/>
            <w:vAlign w:val="bottom"/>
          </w:tcPr>
          <w:p>
            <w:pPr>
              <w:ind w:left="360"/>
              <w:spacing w:after="0"/>
              <w:rPr>
                <w:sz w:val="20"/>
                <w:szCs w:val="20"/>
                <w:color w:val="auto"/>
              </w:rPr>
            </w:pPr>
            <w:r>
              <w:rPr>
                <w:rFonts w:ascii="Arial" w:cs="Arial" w:eastAsia="Arial" w:hAnsi="Arial"/>
                <w:sz w:val="13"/>
                <w:szCs w:val="13"/>
                <w:color w:val="auto"/>
              </w:rPr>
              <w:t>&amp; nbsp;</w:t>
            </w: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ind w:left="320"/>
              <w:spacing w:after="0"/>
              <w:rPr>
                <w:sz w:val="20"/>
                <w:szCs w:val="20"/>
                <w:color w:val="auto"/>
              </w:rPr>
            </w:pPr>
            <w:r>
              <w:rPr>
                <w:rFonts w:ascii="Arial" w:cs="Arial" w:eastAsia="Arial" w:hAnsi="Arial"/>
                <w:sz w:val="12"/>
                <w:szCs w:val="12"/>
                <w:b w:val="1"/>
                <w:bCs w:val="1"/>
                <w:color w:val="auto"/>
                <w:w w:val="90"/>
              </w:rPr>
              <w:t>Three Months Ended</w:t>
            </w: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40" w:type="dxa"/>
            <w:vAlign w:val="bottom"/>
            <w:gridSpan w:val="6"/>
          </w:tcPr>
          <w:p>
            <w:pPr>
              <w:jc w:val="center"/>
              <w:ind w:right="422"/>
              <w:spacing w:after="0"/>
              <w:rPr>
                <w:sz w:val="20"/>
                <w:szCs w:val="20"/>
                <w:color w:val="auto"/>
              </w:rPr>
            </w:pPr>
            <w:r>
              <w:rPr>
                <w:rFonts w:ascii="Arial" w:cs="Arial" w:eastAsia="Arial" w:hAnsi="Arial"/>
                <w:sz w:val="12"/>
                <w:szCs w:val="12"/>
                <w:b w:val="1"/>
                <w:bCs w:val="1"/>
                <w:color w:val="auto"/>
                <w:w w:val="85"/>
              </w:rPr>
              <w:t>September 30, 2010</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gridSpan w:val="5"/>
          </w:tcPr>
          <w:p>
            <w:pPr>
              <w:ind w:left="60"/>
              <w:spacing w:after="0"/>
              <w:rPr>
                <w:sz w:val="20"/>
                <w:szCs w:val="20"/>
                <w:color w:val="auto"/>
              </w:rPr>
            </w:pPr>
            <w:r>
              <w:rPr>
                <w:rFonts w:ascii="Arial" w:cs="Arial" w:eastAsia="Arial" w:hAnsi="Arial"/>
                <w:sz w:val="12"/>
                <w:szCs w:val="12"/>
                <w:b w:val="1"/>
                <w:bCs w:val="1"/>
                <w:color w:val="auto"/>
                <w:w w:val="99"/>
              </w:rPr>
              <w:t>September 30, 2009</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jc w:val="center"/>
              <w:ind w:left="162"/>
              <w:spacing w:after="0"/>
              <w:rPr>
                <w:sz w:val="20"/>
                <w:szCs w:val="20"/>
                <w:color w:val="auto"/>
              </w:rPr>
            </w:pPr>
            <w:r>
              <w:rPr>
                <w:rFonts w:ascii="Arial" w:cs="Arial" w:eastAsia="Arial" w:hAnsi="Arial"/>
                <w:sz w:val="12"/>
                <w:szCs w:val="12"/>
                <w:b w:val="1"/>
                <w:bCs w:val="1"/>
                <w:color w:val="auto"/>
                <w:w w:val="94"/>
              </w:rPr>
              <w:t>% of</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ind w:left="180"/>
              <w:spacing w:after="0"/>
              <w:rPr>
                <w:sz w:val="20"/>
                <w:szCs w:val="20"/>
                <w:color w:val="auto"/>
              </w:rPr>
            </w:pPr>
            <w:r>
              <w:rPr>
                <w:rFonts w:ascii="Arial" w:cs="Arial" w:eastAsia="Arial" w:hAnsi="Arial"/>
                <w:sz w:val="12"/>
                <w:szCs w:val="12"/>
                <w:b w:val="1"/>
                <w:bCs w:val="1"/>
                <w:color w:val="auto"/>
              </w:rPr>
              <w:t>% of</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jc w:val="right"/>
              <w:ind w:right="17"/>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gridSpan w:val="6"/>
          </w:tcPr>
          <w:p>
            <w:pPr>
              <w:jc w:val="center"/>
              <w:ind w:right="1180"/>
              <w:spacing w:after="0"/>
              <w:rPr>
                <w:sz w:val="20"/>
                <w:szCs w:val="20"/>
                <w:color w:val="auto"/>
              </w:rPr>
            </w:pPr>
            <w:r>
              <w:rPr>
                <w:rFonts w:ascii="Arial" w:cs="Arial" w:eastAsia="Arial" w:hAnsi="Arial"/>
                <w:sz w:val="12"/>
                <w:szCs w:val="12"/>
                <w:b w:val="1"/>
                <w:bCs w:val="1"/>
                <w:color w:val="auto"/>
                <w:w w:val="83"/>
              </w:rPr>
              <w:t>Revenue</w:t>
            </w:r>
          </w:p>
        </w:tc>
        <w:tc>
          <w:tcPr>
            <w:tcW w:w="900" w:type="dxa"/>
            <w:vAlign w:val="bottom"/>
          </w:tcPr>
          <w:p>
            <w:pPr>
              <w:jc w:val="right"/>
              <w:ind w:right="176"/>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Revenue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0"/>
                <w:szCs w:val="10"/>
                <w:b w:val="1"/>
                <w:bCs w:val="1"/>
                <w:color w:val="auto"/>
              </w:rPr>
              <w:t>($ amounts in 000's)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Operating Expenses:</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00" w:type="dxa"/>
            <w:vAlign w:val="bottom"/>
          </w:tcPr>
          <w:p>
            <w:pPr>
              <w:ind w:left="460"/>
              <w:spacing w:after="0"/>
              <w:rPr>
                <w:sz w:val="20"/>
                <w:szCs w:val="20"/>
                <w:color w:val="auto"/>
              </w:rPr>
            </w:pPr>
            <w:r>
              <w:rPr>
                <w:rFonts w:ascii="Arial" w:cs="Arial" w:eastAsia="Arial" w:hAnsi="Arial"/>
                <w:sz w:val="13"/>
                <w:szCs w:val="13"/>
                <w:color w:val="auto"/>
              </w:rPr>
              <w:t>Research and development expenses:</w:t>
            </w: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620"/>
              <w:spacing w:after="0"/>
              <w:rPr>
                <w:sz w:val="20"/>
                <w:szCs w:val="20"/>
                <w:color w:val="auto"/>
              </w:rPr>
            </w:pPr>
            <w:r>
              <w:rPr>
                <w:rFonts w:ascii="Arial" w:cs="Arial" w:eastAsia="Arial" w:hAnsi="Arial"/>
                <w:sz w:val="13"/>
                <w:szCs w:val="13"/>
                <w:color w:val="auto"/>
              </w:rPr>
              <w:t>GAAP research and development expenses</w:t>
            </w:r>
          </w:p>
        </w:tc>
        <w:tc>
          <w:tcPr>
            <w:tcW w:w="12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12,389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tcBorders>
              <w:left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10,797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Stock-based compensation</w:t>
            </w:r>
          </w:p>
        </w:tc>
        <w:tc>
          <w:tcPr>
            <w:tcW w:w="12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(600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(0.7</w:t>
            </w:r>
          </w:p>
        </w:tc>
        <w:tc>
          <w:tcPr>
            <w:tcW w:w="38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w w:val="91"/>
              </w:rPr>
              <w:t>)</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(516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8"/>
        </w:trPr>
        <w:tc>
          <w:tcPr>
            <w:tcW w:w="40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Non-GAAP research and development expenses</w:t>
            </w:r>
          </w:p>
        </w:tc>
        <w:tc>
          <w:tcPr>
            <w:tcW w:w="50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11,789&lt; /td&gt;</w:t>
            </w:r>
          </w:p>
        </w:tc>
        <w:tc>
          <w:tcPr>
            <w:tcW w:w="1420" w:type="dxa"/>
            <w:vAlign w:val="bottom"/>
            <w:tcBorders>
              <w:left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3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10,281</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15.6</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00" w:type="dxa"/>
            <w:vAlign w:val="bottom"/>
            <w:tcBorders>
              <w:top w:val="single" w:sz="8" w:color="CCEEFF"/>
            </w:tcBorders>
          </w:tcPr>
          <w:p>
            <w:pPr>
              <w:ind w:left="460"/>
              <w:spacing w:after="0"/>
              <w:rPr>
                <w:sz w:val="20"/>
                <w:szCs w:val="20"/>
                <w:color w:val="auto"/>
              </w:rPr>
            </w:pPr>
            <w:r>
              <w:rPr>
                <w:rFonts w:ascii="Arial" w:cs="Arial" w:eastAsia="Arial" w:hAnsi="Arial"/>
                <w:sz w:val="13"/>
                <w:szCs w:val="13"/>
                <w:color w:val="auto"/>
              </w:rPr>
              <w:t>Sales and marketing expenses:</w:t>
            </w:r>
          </w:p>
        </w:tc>
        <w:tc>
          <w:tcPr>
            <w:tcW w:w="5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GAAP sales and marketing expenses</w:t>
            </w:r>
          </w:p>
        </w:tc>
        <w:tc>
          <w:tcPr>
            <w:tcW w:w="12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26,987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tcBorders>
              <w:left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23,468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Stock-based compensation</w:t>
            </w:r>
          </w:p>
        </w:tc>
        <w:tc>
          <w:tcPr>
            <w:tcW w:w="12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(1,017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(1.2</w:t>
            </w:r>
          </w:p>
        </w:tc>
        <w:tc>
          <w:tcPr>
            <w:tcW w:w="38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w w:val="91"/>
              </w:rPr>
              <w:t>)</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(767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( 1.2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Non-GAAP sales and marketing expenses</w:t>
            </w:r>
          </w:p>
        </w:tc>
        <w:tc>
          <w:tcPr>
            <w:tcW w:w="12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25,970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left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22,701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4000" w:type="dxa"/>
            <w:vAlign w:val="bottom"/>
            <w:tcBorders>
              <w:top w:val="single" w:sz="8" w:color="CCEEFF"/>
            </w:tcBorders>
          </w:tcPr>
          <w:p>
            <w:pPr>
              <w:ind w:left="460"/>
              <w:spacing w:after="0"/>
              <w:rPr>
                <w:sz w:val="20"/>
                <w:szCs w:val="20"/>
                <w:color w:val="auto"/>
              </w:rPr>
            </w:pPr>
            <w:r>
              <w:rPr>
                <w:rFonts w:ascii="Arial" w:cs="Arial" w:eastAsia="Arial" w:hAnsi="Arial"/>
                <w:sz w:val="13"/>
                <w:szCs w:val="13"/>
                <w:color w:val="auto"/>
              </w:rPr>
              <w:t>General and administrative expenses:</w:t>
            </w:r>
          </w:p>
        </w:tc>
        <w:tc>
          <w:tcPr>
            <w:tcW w:w="5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GAAP general and administrative expenses</w:t>
            </w:r>
          </w:p>
        </w:tc>
        <w:tc>
          <w:tcPr>
            <w:tcW w:w="12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5,993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gridSpan w:val="3"/>
          </w:tcPr>
          <w:p>
            <w:pPr>
              <w:jc w:val="right"/>
              <w:spacing w:after="0"/>
              <w:rPr>
                <w:sz w:val="20"/>
                <w:szCs w:val="20"/>
                <w:color w:val="auto"/>
              </w:rPr>
            </w:pPr>
            <w:r>
              <w:rPr>
                <w:rFonts w:ascii="Arial" w:cs="Arial" w:eastAsia="Arial" w:hAnsi="Arial"/>
                <w:sz w:val="13"/>
                <w:szCs w:val="13"/>
                <w:color w:val="auto"/>
              </w:rPr>
              <w:t>7.1</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4,490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Stock-based compensation</w:t>
            </w:r>
          </w:p>
        </w:tc>
        <w:tc>
          <w:tcPr>
            <w:tcW w:w="12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(549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(0.6</w:t>
            </w:r>
          </w:p>
        </w:tc>
        <w:tc>
          <w:tcPr>
            <w:tcW w:w="38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w w:val="91"/>
              </w:rPr>
              <w:t>)</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(459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40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5,444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tcBorders>
              <w:left w:val="single" w:sz="8" w:color="CCEEFF"/>
              <w:right w:val="single" w:sz="8" w:color="CCEEFF"/>
            </w:tcBorders>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&amp;n</w:t>
            </w:r>
          </w:p>
        </w:tc>
        <w:tc>
          <w:tcPr>
            <w:tcW w:w="90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rPr>
              <w:t>4,031</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6.1</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Non-GAAP general and administrative expenses</w:t>
            </w:r>
          </w:p>
        </w:tc>
        <w:tc>
          <w:tcPr>
            <w:tcW w:w="12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tcBorders>
              <w:left w:val="single" w:sz="8" w:color="CCEEFF"/>
              <w:right w:val="single" w:sz="8" w:color="CCEEFF"/>
            </w:tcBorders>
            <w:gridSpan w:val="4"/>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bsp;</w:t>
            </w: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000" w:type="dxa"/>
            <w:vAlign w:val="bottom"/>
            <w:tcBorders>
              <w:top w:val="single" w:sz="8" w:color="CCEEFF"/>
            </w:tcBorders>
          </w:tcPr>
          <w:p>
            <w:pPr>
              <w:ind w:left="460"/>
              <w:spacing w:after="0"/>
              <w:rPr>
                <w:sz w:val="20"/>
                <w:szCs w:val="20"/>
                <w:color w:val="auto"/>
              </w:rPr>
            </w:pPr>
            <w:r>
              <w:rPr>
                <w:rFonts w:ascii="Arial" w:cs="Arial" w:eastAsia="Arial" w:hAnsi="Arial"/>
                <w:sz w:val="13"/>
                <w:szCs w:val="13"/>
                <w:color w:val="auto"/>
              </w:rPr>
              <w:t>Total operating expenses:</w:t>
            </w:r>
          </w:p>
        </w:tc>
        <w:tc>
          <w:tcPr>
            <w:tcW w:w="5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GAAP operating expenses</w:t>
            </w:r>
          </w:p>
        </w:tc>
        <w:tc>
          <w:tcPr>
            <w:tcW w:w="12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45,369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tcBorders>
              <w:left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38,755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58.8</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Stock-based compensation</w:t>
            </w:r>
          </w:p>
        </w:tc>
        <w:tc>
          <w:tcPr>
            <w:tcW w:w="12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color w:val="auto"/>
              </w:rPr>
              <w:t>(2,166&lt; /font&gt;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(2.5</w:t>
            </w:r>
          </w:p>
        </w:tc>
        <w:tc>
          <w:tcPr>
            <w:tcW w:w="38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w w:val="91"/>
              </w:rPr>
              <w:t>)</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(1,742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Non-GAAP operating expenses</w:t>
            </w:r>
          </w:p>
        </w:tc>
        <w:tc>
          <w:tcPr>
            <w:tcW w:w="12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43,203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left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37,013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0"/>
        </w:trPr>
        <w:tc>
          <w:tcPr>
            <w:tcW w:w="40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jc w:val="center"/>
              <w:ind w:left="96"/>
              <w:spacing w:after="0"/>
              <w:rPr>
                <w:sz w:val="20"/>
                <w:szCs w:val="20"/>
                <w:color w:val="auto"/>
              </w:rPr>
            </w:pPr>
            <w:r>
              <w:rPr>
                <w:rFonts w:ascii="Arial" w:cs="Arial" w:eastAsia="Arial" w:hAnsi="Arial"/>
                <w:sz w:val="13"/>
                <w:szCs w:val="13"/>
                <w:color w:val="auto"/>
                <w:w w:val="96"/>
              </w:rPr>
              <w:t>27</w:t>
            </w: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31" w:right="199" w:bottom="1440" w:gutter="0" w:footer="0" w:header="0"/>
        </w:sectPr>
      </w:pPr>
    </w:p>
    <w:bookmarkStart w:id="27" w:name="page28"/>
    <w:bookmarkEnd w:id="27"/>
    <w:p>
      <w:pPr>
        <w:ind w:left="343"/>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75" w:lineRule="exact"/>
        <w:rPr>
          <w:sz w:val="20"/>
          <w:szCs w:val="20"/>
          <w:color w:val="auto"/>
        </w:rPr>
      </w:pPr>
    </w:p>
    <w:tbl>
      <w:tblPr>
        <w:tblLayout w:type="fixed"/>
        <w:tblInd w:w="23" w:type="dxa"/>
        <w:tblCellMar>
          <w:top w:w="0" w:type="dxa"/>
          <w:left w:w="0" w:type="dxa"/>
          <w:bottom w:w="0" w:type="dxa"/>
          <w:right w:w="0" w:type="dxa"/>
        </w:tblCellMar>
      </w:tblPr>
      <w:tr>
        <w:trPr>
          <w:trHeight w:val="149"/>
        </w:trPr>
        <w:tc>
          <w:tcPr>
            <w:tcW w:w="6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Three Months Ended</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4"/>
        </w:trPr>
        <w:tc>
          <w:tcPr>
            <w:tcW w:w="672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49"/>
        </w:trPr>
        <w:tc>
          <w:tcPr>
            <w:tcW w:w="6720" w:type="dxa"/>
            <w:vAlign w:val="bottom"/>
          </w:tcPr>
          <w:p>
            <w:pPr>
              <w:spacing w:after="0"/>
              <w:rPr>
                <w:sz w:val="12"/>
                <w:szCs w:val="12"/>
                <w:color w:val="auto"/>
              </w:rPr>
            </w:pP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w w:val="98"/>
              </w:rPr>
              <w:t>September 30, 2010</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September 30, 2009</w:t>
            </w:r>
          </w:p>
        </w:tc>
        <w:tc>
          <w:tcPr>
            <w:tcW w:w="260" w:type="dxa"/>
            <w:vAlign w:val="bottom"/>
          </w:tcPr>
          <w:p>
            <w:pPr>
              <w:spacing w:after="0"/>
              <w:rPr>
                <w:sz w:val="12"/>
                <w:szCs w:val="12"/>
                <w:color w:val="auto"/>
              </w:rPr>
            </w:pPr>
          </w:p>
        </w:tc>
      </w:tr>
      <w:tr>
        <w:trPr>
          <w:trHeight w:val="24"/>
        </w:trPr>
        <w:tc>
          <w:tcPr>
            <w:tcW w:w="67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49"/>
        </w:trPr>
        <w:tc>
          <w:tcPr>
            <w:tcW w:w="6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 amounts in 000's)</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4"/>
        </w:trPr>
        <w:tc>
          <w:tcPr>
            <w:tcW w:w="67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93"/>
        </w:trPr>
        <w:tc>
          <w:tcPr>
            <w:tcW w:w="67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Income:</w:t>
            </w:r>
          </w:p>
        </w:tc>
        <w:tc>
          <w:tcPr>
            <w:tcW w:w="1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3"/>
        </w:trPr>
        <w:tc>
          <w:tcPr>
            <w:tcW w:w="6720" w:type="dxa"/>
            <w:vAlign w:val="bottom"/>
          </w:tcPr>
          <w:p>
            <w:pPr>
              <w:ind w:left="540"/>
              <w:spacing w:after="0"/>
              <w:rPr>
                <w:sz w:val="20"/>
                <w:szCs w:val="20"/>
                <w:color w:val="auto"/>
              </w:rPr>
            </w:pPr>
            <w:r>
              <w:rPr>
                <w:rFonts w:ascii="Arial" w:cs="Arial" w:eastAsia="Arial" w:hAnsi="Arial"/>
                <w:sz w:val="13"/>
                <w:szCs w:val="13"/>
                <w:color w:val="auto"/>
              </w:rPr>
              <w:t>GAAP net income</w:t>
            </w:r>
          </w:p>
        </w:tc>
        <w:tc>
          <w:tcPr>
            <w:tcW w:w="1720" w:type="dxa"/>
            <w:vAlign w:val="bottom"/>
          </w:tcPr>
          <w:p>
            <w:pPr>
              <w:jc w:val="right"/>
              <w:spacing w:after="0"/>
              <w:rPr>
                <w:sz w:val="20"/>
                <w:szCs w:val="20"/>
                <w:color w:val="auto"/>
              </w:rPr>
            </w:pPr>
            <w:r>
              <w:rPr>
                <w:rFonts w:ascii="Arial" w:cs="Arial" w:eastAsia="Arial" w:hAnsi="Arial"/>
                <w:sz w:val="13"/>
                <w:szCs w:val="13"/>
                <w:color w:val="auto"/>
              </w:rPr>
              <w:t>14,017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7,889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67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Stock-based compensation expense</w:t>
            </w:r>
            <w:r>
              <w:rPr>
                <w:rFonts w:ascii="Arial" w:cs="Arial" w:eastAsia="Arial" w:hAnsi="Arial"/>
                <w:sz w:val="17"/>
                <w:szCs w:val="17"/>
                <w:color w:val="auto"/>
                <w:vertAlign w:val="superscript"/>
              </w:rPr>
              <w:t>(1)</w:t>
            </w:r>
          </w:p>
        </w:tc>
        <w:tc>
          <w:tcPr>
            <w:tcW w:w="1720" w:type="dxa"/>
            <w:vAlign w:val="bottom"/>
          </w:tcPr>
          <w:p>
            <w:pPr>
              <w:jc w:val="right"/>
              <w:spacing w:after="0"/>
              <w:rPr>
                <w:sz w:val="20"/>
                <w:szCs w:val="20"/>
                <w:color w:val="auto"/>
              </w:rPr>
            </w:pPr>
            <w:r>
              <w:rPr>
                <w:rFonts w:ascii="Arial" w:cs="Arial" w:eastAsia="Arial" w:hAnsi="Arial"/>
                <w:sz w:val="13"/>
                <w:szCs w:val="13"/>
                <w:color w:val="auto"/>
              </w:rPr>
              <w:t>2,434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93"/>
        </w:trPr>
        <w:tc>
          <w:tcPr>
            <w:tcW w:w="6720" w:type="dxa"/>
            <w:vAlign w:val="bottom"/>
          </w:tcPr>
          <w:p>
            <w:pPr>
              <w:ind w:left="620"/>
              <w:spacing w:after="0" w:line="193" w:lineRule="exact"/>
              <w:rPr>
                <w:sz w:val="20"/>
                <w:szCs w:val="20"/>
                <w:color w:val="auto"/>
              </w:rPr>
            </w:pPr>
            <w:r>
              <w:rPr>
                <w:rFonts w:ascii="Arial" w:cs="Arial" w:eastAsia="Arial" w:hAnsi="Arial"/>
                <w:sz w:val="13"/>
                <w:szCs w:val="13"/>
                <w:color w:val="auto"/>
              </w:rPr>
              <w:t>Non-cash asset acquisition related write-offs</w:t>
            </w:r>
            <w:r>
              <w:rPr>
                <w:rFonts w:ascii="Arial" w:cs="Arial" w:eastAsia="Arial" w:hAnsi="Arial"/>
                <w:sz w:val="17"/>
                <w:szCs w:val="17"/>
                <w:color w:val="auto"/>
                <w:vertAlign w:val="superscript"/>
              </w:rPr>
              <w:t>(1)</w:t>
            </w:r>
          </w:p>
        </w:tc>
        <w:tc>
          <w:tcPr>
            <w:tcW w:w="1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3"/>
                <w:szCs w:val="13"/>
                <w:color w:val="auto"/>
              </w:rPr>
              <w:t>93</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3"/>
        </w:trPr>
        <w:tc>
          <w:tcPr>
            <w:tcW w:w="6720" w:type="dxa"/>
            <w:vAlign w:val="bottom"/>
            <w:shd w:val="clear" w:color="auto" w:fill="CCEEFF"/>
          </w:tcPr>
          <w:p>
            <w:pPr>
              <w:ind w:left="620"/>
              <w:spacing w:after="0" w:line="193" w:lineRule="exact"/>
              <w:rPr>
                <w:sz w:val="20"/>
                <w:szCs w:val="20"/>
                <w:color w:val="auto"/>
              </w:rPr>
            </w:pPr>
            <w:r>
              <w:rPr>
                <w:rFonts w:ascii="Arial" w:cs="Arial" w:eastAsia="Arial" w:hAnsi="Arial"/>
                <w:sz w:val="13"/>
                <w:szCs w:val="13"/>
                <w:color w:val="auto"/>
              </w:rPr>
              <w:t>Provision for income taxes</w:t>
            </w:r>
            <w:r>
              <w:rPr>
                <w:rFonts w:ascii="Arial" w:cs="Arial" w:eastAsia="Arial" w:hAnsi="Arial"/>
                <w:sz w:val="17"/>
                <w:szCs w:val="17"/>
                <w:color w:val="auto"/>
                <w:vertAlign w:val="superscript"/>
              </w:rPr>
              <w:t>(2)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4,254</w:t>
            </w:r>
          </w:p>
        </w:tc>
        <w:tc>
          <w:tcPr>
            <w:tcW w:w="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2,151</w:t>
            </w:r>
          </w:p>
        </w:tc>
        <w:tc>
          <w:tcPr>
            <w:tcW w:w="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r>
      <w:tr>
        <w:trPr>
          <w:trHeight w:val="173"/>
        </w:trPr>
        <w:tc>
          <w:tcPr>
            <w:tcW w:w="6720" w:type="dxa"/>
            <w:vAlign w:val="bottom"/>
          </w:tcPr>
          <w:p>
            <w:pPr>
              <w:ind w:left="620"/>
              <w:spacing w:after="0"/>
              <w:rPr>
                <w:sz w:val="20"/>
                <w:szCs w:val="20"/>
                <w:color w:val="auto"/>
              </w:rPr>
            </w:pPr>
            <w:r>
              <w:rPr>
                <w:rFonts w:ascii="Arial" w:cs="Arial" w:eastAsia="Arial" w:hAnsi="Arial"/>
                <w:sz w:val="13"/>
                <w:szCs w:val="13"/>
                <w:color w:val="auto"/>
              </w:rPr>
              <w:t>Non-GAAP income before provision for income taxes</w:t>
            </w:r>
          </w:p>
        </w:tc>
        <w:tc>
          <w:tcPr>
            <w:tcW w:w="1720" w:type="dxa"/>
            <w:vAlign w:val="bottom"/>
          </w:tcPr>
          <w:p>
            <w:pPr>
              <w:jc w:val="right"/>
              <w:spacing w:after="0"/>
              <w:rPr>
                <w:sz w:val="20"/>
                <w:szCs w:val="20"/>
                <w:color w:val="auto"/>
              </w:rPr>
            </w:pPr>
            <w:r>
              <w:rPr>
                <w:rFonts w:ascii="Arial" w:cs="Arial" w:eastAsia="Arial" w:hAnsi="Arial"/>
                <w:sz w:val="13"/>
                <w:szCs w:val="13"/>
                <w:color w:val="auto"/>
              </w:rPr>
              <w:t>20,705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12,069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67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Tax effects related to non-GAAP adjustments</w:t>
            </w:r>
            <w:r>
              <w:rPr>
                <w:rFonts w:ascii="Arial" w:cs="Arial" w:eastAsia="Arial" w:hAnsi="Arial"/>
                <w:sz w:val="17"/>
                <w:szCs w:val="17"/>
                <w:color w:val="auto"/>
                <w:vertAlign w:val="superscript"/>
              </w:rPr>
              <w:t>(3)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(7,247</w:t>
            </w: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(2,865</w:t>
            </w:r>
          </w:p>
        </w:tc>
        <w:tc>
          <w:tcPr>
            <w:tcW w:w="1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6720" w:type="dxa"/>
            <w:vAlign w:val="bottom"/>
          </w:tcPr>
          <w:p>
            <w:pPr>
              <w:ind w:left="540"/>
              <w:spacing w:after="0"/>
              <w:rPr>
                <w:sz w:val="20"/>
                <w:szCs w:val="20"/>
                <w:color w:val="auto"/>
              </w:rPr>
            </w:pPr>
            <w:r>
              <w:rPr>
                <w:rFonts w:ascii="Arial" w:cs="Arial" w:eastAsia="Arial" w:hAnsi="Arial"/>
                <w:sz w:val="13"/>
                <w:szCs w:val="13"/>
                <w:color w:val="auto"/>
              </w:rPr>
              <w:t>Non-GAAP net income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13,458</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9,204</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87"/>
        </w:trPr>
        <w:tc>
          <w:tcPr>
            <w:tcW w:w="67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202"/>
        </w:trPr>
        <w:tc>
          <w:tcPr>
            <w:tcW w:w="6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Non-GAAP net income per share - diluted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r>
      <w:tr>
        <w:trPr>
          <w:trHeight w:val="289"/>
        </w:trPr>
        <w:tc>
          <w:tcPr>
            <w:tcW w:w="6720" w:type="dxa"/>
            <w:vAlign w:val="bottom"/>
          </w:tcPr>
          <w:p>
            <w:pPr>
              <w:ind w:left="540"/>
              <w:spacing w:after="0"/>
              <w:rPr>
                <w:sz w:val="20"/>
                <w:szCs w:val="20"/>
                <w:color w:val="auto"/>
              </w:rPr>
            </w:pPr>
            <w:r>
              <w:rPr>
                <w:rFonts w:ascii="Arial" w:cs="Arial" w:eastAsia="Arial" w:hAnsi="Arial"/>
                <w:sz w:val="13"/>
                <w:szCs w:val="13"/>
                <w:color w:val="auto"/>
              </w:rPr>
              <w:t>Shares used in per share calculation - diluted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77,921</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64,167</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r>
        <w:trPr>
          <w:trHeight w:val="173"/>
        </w:trPr>
        <w:tc>
          <w:tcPr>
            <w:tcW w:w="6720" w:type="dxa"/>
            <w:vAlign w:val="bottom"/>
          </w:tcPr>
          <w:p>
            <w:pPr>
              <w:ind w:left="360"/>
              <w:spacing w:after="0"/>
              <w:rPr>
                <w:sz w:val="20"/>
                <w:szCs w:val="20"/>
                <w:color w:val="auto"/>
              </w:rPr>
            </w:pPr>
            <w:r>
              <w:rPr>
                <w:rFonts w:ascii="Arial" w:cs="Arial" w:eastAsia="Arial" w:hAnsi="Arial"/>
                <w:sz w:val="13"/>
                <w:szCs w:val="13"/>
                <w:color w:val="auto"/>
              </w:rPr>
              <w:t>-----------</w:t>
            </w: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r>
    </w:tbl>
    <w:p>
      <w:pPr>
        <w:spacing w:after="0" w:line="11" w:lineRule="exact"/>
        <w:rPr>
          <w:sz w:val="20"/>
          <w:szCs w:val="20"/>
          <w:color w:val="auto"/>
        </w:rPr>
      </w:pPr>
    </w:p>
    <w:p>
      <w:pPr>
        <w:ind w:left="283" w:hanging="283"/>
        <w:spacing w:after="0"/>
        <w:tabs>
          <w:tab w:leader="none" w:pos="283" w:val="left"/>
        </w:tabs>
        <w:numPr>
          <w:ilvl w:val="0"/>
          <w:numId w:val="7"/>
        </w:numPr>
        <w:rPr>
          <w:rFonts w:ascii="Arial" w:cs="Arial" w:eastAsia="Arial" w:hAnsi="Arial"/>
          <w:sz w:val="13"/>
          <w:szCs w:val="13"/>
          <w:color w:val="auto"/>
        </w:rPr>
      </w:pPr>
      <w:r>
        <w:rPr>
          <w:rFonts w:ascii="Arial" w:cs="Arial" w:eastAsia="Arial" w:hAnsi="Arial"/>
          <w:sz w:val="13"/>
          <w:szCs w:val="13"/>
          <w:color w:val="auto"/>
        </w:rPr>
        <w:t>Stock-based compensation expense and non-cash asset acquisition related write-offs are added back to GAAP net income to reconcile to non-GAAP income before taxes.</w:t>
      </w:r>
    </w:p>
    <w:p>
      <w:pPr>
        <w:spacing w:after="0" w:line="13" w:lineRule="exact"/>
        <w:rPr>
          <w:rFonts w:ascii="Arial" w:cs="Arial" w:eastAsia="Arial" w:hAnsi="Arial"/>
          <w:sz w:val="13"/>
          <w:szCs w:val="13"/>
          <w:color w:val="auto"/>
        </w:rPr>
      </w:pPr>
    </w:p>
    <w:p>
      <w:pPr>
        <w:ind w:left="283" w:hanging="283"/>
        <w:spacing w:after="0"/>
        <w:tabs>
          <w:tab w:leader="none" w:pos="283"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Provision for income taxes is our GAAP provision that must be added to GAAP net income to reconcile to non-GAAP income before taxes.</w:t>
      </w:r>
    </w:p>
    <w:p>
      <w:pPr>
        <w:spacing w:after="0" w:line="4" w:lineRule="exact"/>
        <w:rPr>
          <w:rFonts w:ascii="Arial" w:cs="Arial" w:eastAsia="Arial" w:hAnsi="Arial"/>
          <w:sz w:val="13"/>
          <w:szCs w:val="13"/>
          <w:color w:val="auto"/>
        </w:rPr>
      </w:pPr>
    </w:p>
    <w:p>
      <w:pPr>
        <w:ind w:left="343" w:right="20" w:hanging="343"/>
        <w:spacing w:after="0" w:line="251" w:lineRule="auto"/>
        <w:tabs>
          <w:tab w:leader="none" w:pos="272"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used a 35% effective tax rate in 2010 to calculate non-GAAP net income for the third quarter of 2010. We believe the 35% effective tax rate is a reasonable estimate of an intermediate normalized tax rate under our existing global operating structure. Our effective tax rate for the third quarter of 2009 was 24% which reflects only our foreign tax provision as our US operations had net operating losses to of fset any taxable income.</w:t>
      </w:r>
    </w:p>
    <w:p>
      <w:pPr>
        <w:spacing w:after="0" w:line="255"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80" w:type="dxa"/>
            <w:vAlign w:val="bottom"/>
            <w:gridSpan w:val="5"/>
          </w:tcPr>
          <w:p>
            <w:pPr>
              <w:ind w:left="140"/>
              <w:spacing w:after="0"/>
              <w:rPr>
                <w:sz w:val="20"/>
                <w:szCs w:val="20"/>
                <w:color w:val="auto"/>
              </w:rPr>
            </w:pPr>
            <w:r>
              <w:rPr>
                <w:rFonts w:ascii="Arial" w:cs="Arial" w:eastAsia="Arial" w:hAnsi="Arial"/>
                <w:sz w:val="12"/>
                <w:szCs w:val="12"/>
                <w:b w:val="1"/>
                <w:bCs w:val="1"/>
                <w:color w:val="auto"/>
              </w:rPr>
              <w:t>Three Months Ended</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4"/>
        </w:trPr>
        <w:tc>
          <w:tcPr>
            <w:tcW w:w="6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45"/>
        </w:trPr>
        <w:tc>
          <w:tcPr>
            <w:tcW w:w="6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right"/>
              <w:ind w:right="218"/>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jc w:val="right"/>
              <w:ind w:right="258"/>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2"/>
                <w:szCs w:val="12"/>
                <w:color w:val="auto"/>
              </w:rPr>
            </w:pPr>
          </w:p>
        </w:tc>
      </w:tr>
      <w:tr>
        <w:trPr>
          <w:trHeight w:val="149"/>
        </w:trPr>
        <w:tc>
          <w:tcPr>
            <w:tcW w:w="6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right"/>
              <w:ind w:right="598"/>
              <w:spacing w:after="0"/>
              <w:rPr>
                <w:sz w:val="20"/>
                <w:szCs w:val="20"/>
                <w:color w:val="auto"/>
              </w:rPr>
            </w:pPr>
            <w:r>
              <w:rPr>
                <w:rFonts w:ascii="Arial" w:cs="Arial" w:eastAsia="Arial" w:hAnsi="Arial"/>
                <w:sz w:val="12"/>
                <w:szCs w:val="12"/>
                <w:b w:val="1"/>
                <w:bCs w:val="1"/>
                <w:color w:val="auto"/>
              </w:rPr>
              <w:t>2010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jc w:val="right"/>
              <w:ind w:right="658"/>
              <w:spacing w:after="0"/>
              <w:rPr>
                <w:sz w:val="20"/>
                <w:szCs w:val="20"/>
                <w:color w:val="auto"/>
              </w:rPr>
            </w:pPr>
            <w:r>
              <w:rPr>
                <w:rFonts w:ascii="Arial" w:cs="Arial" w:eastAsia="Arial" w:hAnsi="Arial"/>
                <w:sz w:val="12"/>
                <w:szCs w:val="12"/>
                <w:b w:val="1"/>
                <w:bCs w:val="1"/>
                <w:color w:val="auto"/>
              </w:rPr>
              <w:t>2009</w:t>
            </w:r>
          </w:p>
        </w:tc>
        <w:tc>
          <w:tcPr>
            <w:tcW w:w="220" w:type="dxa"/>
            <w:vAlign w:val="bottom"/>
          </w:tcPr>
          <w:p>
            <w:pPr>
              <w:spacing w:after="0"/>
              <w:rPr>
                <w:sz w:val="12"/>
                <w:szCs w:val="12"/>
                <w:color w:val="auto"/>
              </w:rPr>
            </w:pPr>
          </w:p>
        </w:tc>
      </w:tr>
      <w:tr>
        <w:trPr>
          <w:trHeight w:val="24"/>
        </w:trPr>
        <w:tc>
          <w:tcPr>
            <w:tcW w:w="6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49"/>
        </w:trPr>
        <w:tc>
          <w:tcPr>
            <w:tcW w:w="6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80" w:type="dxa"/>
            <w:vAlign w:val="bottom"/>
            <w:gridSpan w:val="5"/>
          </w:tcPr>
          <w:p>
            <w:pPr>
              <w:ind w:left="180"/>
              <w:spacing w:after="0"/>
              <w:rPr>
                <w:sz w:val="20"/>
                <w:szCs w:val="20"/>
                <w:color w:val="auto"/>
              </w:rPr>
            </w:pPr>
            <w:r>
              <w:rPr>
                <w:rFonts w:ascii="Arial" w:cs="Arial" w:eastAsia="Arial" w:hAnsi="Arial"/>
                <w:sz w:val="12"/>
                <w:szCs w:val="12"/>
                <w:b w:val="1"/>
                <w:bCs w:val="1"/>
                <w:color w:val="auto"/>
              </w:rPr>
              <w:t>($ amounts in 000's)</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4"/>
        </w:trPr>
        <w:tc>
          <w:tcPr>
            <w:tcW w:w="6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3"/>
                <w:szCs w:val="13"/>
                <w:b w:val="1"/>
                <w:bCs w:val="1"/>
                <w:color w:val="auto"/>
              </w:rPr>
              <w:t>Billings:</w:t>
            </w:r>
          </w:p>
        </w:tc>
        <w:tc>
          <w:tcPr>
            <w:tcW w:w="1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3"/>
        </w:trPr>
        <w:tc>
          <w:tcPr>
            <w:tcW w:w="6760" w:type="dxa"/>
            <w:vAlign w:val="bottom"/>
            <w:gridSpan w:val="2"/>
          </w:tcPr>
          <w:p>
            <w:pPr>
              <w:ind w:left="360"/>
              <w:spacing w:after="0"/>
              <w:rPr>
                <w:sz w:val="20"/>
                <w:szCs w:val="20"/>
                <w:color w:val="auto"/>
              </w:rPr>
            </w:pPr>
            <w:r>
              <w:rPr>
                <w:rFonts w:ascii="Arial" w:cs="Arial" w:eastAsia="Arial" w:hAnsi="Arial"/>
                <w:sz w:val="13"/>
                <w:szCs w:val="13"/>
                <w:color w:val="auto"/>
              </w:rPr>
              <w:t>Revenue</w:t>
            </w:r>
          </w:p>
        </w:tc>
        <w:tc>
          <w:tcPr>
            <w:tcW w:w="1840" w:type="dxa"/>
            <w:vAlign w:val="bottom"/>
          </w:tcPr>
          <w:p>
            <w:pPr>
              <w:jc w:val="right"/>
              <w:ind w:right="38"/>
              <w:spacing w:after="0"/>
              <w:rPr>
                <w:sz w:val="20"/>
                <w:szCs w:val="20"/>
                <w:color w:val="auto"/>
              </w:rPr>
            </w:pPr>
            <w:r>
              <w:rPr>
                <w:rFonts w:ascii="Arial" w:cs="Arial" w:eastAsia="Arial" w:hAnsi="Arial"/>
                <w:sz w:val="13"/>
                <w:szCs w:val="13"/>
                <w:color w:val="auto"/>
              </w:rPr>
              <w:t>84,971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jc w:val="right"/>
              <w:ind w:right="98"/>
              <w:spacing w:after="0"/>
              <w:rPr>
                <w:sz w:val="20"/>
                <w:szCs w:val="20"/>
                <w:color w:val="auto"/>
              </w:rPr>
            </w:pPr>
            <w:r>
              <w:rPr>
                <w:rFonts w:ascii="Arial" w:cs="Arial" w:eastAsia="Arial" w:hAnsi="Arial"/>
                <w:sz w:val="13"/>
                <w:szCs w:val="13"/>
                <w:color w:val="auto"/>
              </w:rPr>
              <w:t>65,864</w:t>
            </w:r>
          </w:p>
        </w:tc>
        <w:tc>
          <w:tcPr>
            <w:tcW w:w="220" w:type="dxa"/>
            <w:vAlign w:val="bottom"/>
          </w:tcPr>
          <w:p>
            <w:pPr>
              <w:spacing w:after="0"/>
              <w:rPr>
                <w:sz w:val="15"/>
                <w:szCs w:val="15"/>
                <w:color w:val="auto"/>
              </w:rPr>
            </w:pPr>
          </w:p>
        </w:tc>
      </w:tr>
      <w:tr>
        <w:trPr>
          <w:trHeight w:val="202"/>
        </w:trPr>
        <w:tc>
          <w:tcPr>
            <w:tcW w:w="6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Increase in deferred revenue</w:t>
            </w:r>
          </w:p>
        </w:tc>
        <w:tc>
          <w:tcPr>
            <w:tcW w:w="1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9,729</w:t>
            </w:r>
          </w:p>
        </w:tc>
        <w:tc>
          <w:tcPr>
            <w:tcW w:w="2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5,306</w:t>
            </w:r>
          </w:p>
        </w:tc>
        <w:tc>
          <w:tcPr>
            <w:tcW w:w="220" w:type="dxa"/>
            <w:vAlign w:val="bottom"/>
            <w:tcBorders>
              <w:bottom w:val="single" w:sz="8" w:color="auto"/>
            </w:tcBorders>
            <w:shd w:val="clear" w:color="auto" w:fill="CCEEFF"/>
          </w:tcPr>
          <w:p>
            <w:pPr>
              <w:spacing w:after="0"/>
              <w:rPr>
                <w:sz w:val="17"/>
                <w:szCs w:val="17"/>
                <w:color w:val="auto"/>
              </w:rPr>
            </w:pPr>
          </w:p>
        </w:tc>
      </w:tr>
      <w:tr>
        <w:trPr>
          <w:trHeight w:val="202"/>
        </w:trPr>
        <w:tc>
          <w:tcPr>
            <w:tcW w:w="6760" w:type="dxa"/>
            <w:vAlign w:val="bottom"/>
            <w:gridSpan w:val="2"/>
          </w:tcPr>
          <w:p>
            <w:pPr>
              <w:ind w:left="360"/>
              <w:spacing w:after="0"/>
              <w:rPr>
                <w:sz w:val="20"/>
                <w:szCs w:val="20"/>
                <w:color w:val="auto"/>
              </w:rPr>
            </w:pPr>
            <w:r>
              <w:rPr>
                <w:rFonts w:ascii="Arial" w:cs="Arial" w:eastAsia="Arial" w:hAnsi="Arial"/>
                <w:sz w:val="13"/>
                <w:szCs w:val="13"/>
                <w:color w:val="auto"/>
              </w:rPr>
              <w:t>Total Billings (Non-GAAP)</w:t>
            </w:r>
          </w:p>
        </w:tc>
        <w:tc>
          <w:tcPr>
            <w:tcW w:w="18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94,700</w:t>
            </w: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71,170</w:t>
            </w:r>
          </w:p>
        </w:tc>
        <w:tc>
          <w:tcPr>
            <w:tcW w:w="220" w:type="dxa"/>
            <w:vAlign w:val="bottom"/>
            <w:tcBorders>
              <w:bottom w:val="single" w:sz="8" w:color="auto"/>
            </w:tcBorders>
          </w:tcPr>
          <w:p>
            <w:pPr>
              <w:spacing w:after="0"/>
              <w:rPr>
                <w:sz w:val="17"/>
                <w:szCs w:val="17"/>
                <w:color w:val="auto"/>
              </w:rPr>
            </w:pPr>
          </w:p>
        </w:tc>
      </w:tr>
      <w:tr>
        <w:trPr>
          <w:trHeight w:val="400"/>
        </w:trPr>
        <w:tc>
          <w:tcPr>
            <w:tcW w:w="6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80" w:type="dxa"/>
            <w:vAlign w:val="bottom"/>
            <w:gridSpan w:val="5"/>
          </w:tcPr>
          <w:p>
            <w:pPr>
              <w:ind w:left="120"/>
              <w:spacing w:after="0"/>
              <w:rPr>
                <w:sz w:val="20"/>
                <w:szCs w:val="20"/>
                <w:color w:val="auto"/>
              </w:rPr>
            </w:pPr>
            <w:r>
              <w:rPr>
                <w:rFonts w:ascii="Arial" w:cs="Arial" w:eastAsia="Arial" w:hAnsi="Arial"/>
                <w:sz w:val="12"/>
                <w:szCs w:val="12"/>
                <w:b w:val="1"/>
                <w:bCs w:val="1"/>
                <w:color w:val="auto"/>
              </w:rPr>
              <w:t>Three Months Ended</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
        </w:trPr>
        <w:tc>
          <w:tcPr>
            <w:tcW w:w="67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45"/>
        </w:trPr>
        <w:tc>
          <w:tcPr>
            <w:tcW w:w="6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right"/>
              <w:ind w:right="238"/>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jc w:val="right"/>
              <w:ind w:right="278"/>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2"/>
                <w:szCs w:val="12"/>
                <w:color w:val="auto"/>
              </w:rPr>
            </w:pPr>
          </w:p>
        </w:tc>
      </w:tr>
      <w:tr>
        <w:trPr>
          <w:trHeight w:val="149"/>
        </w:trPr>
        <w:tc>
          <w:tcPr>
            <w:tcW w:w="6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right"/>
              <w:ind w:right="638"/>
              <w:spacing w:after="0"/>
              <w:rPr>
                <w:sz w:val="20"/>
                <w:szCs w:val="20"/>
                <w:color w:val="auto"/>
              </w:rPr>
            </w:pPr>
            <w:r>
              <w:rPr>
                <w:rFonts w:ascii="Arial" w:cs="Arial" w:eastAsia="Arial" w:hAnsi="Arial"/>
                <w:sz w:val="12"/>
                <w:szCs w:val="12"/>
                <w:b w:val="1"/>
                <w:bCs w:val="1"/>
                <w:color w:val="auto"/>
              </w:rPr>
              <w:t>2010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jc w:val="right"/>
              <w:ind w:right="678"/>
              <w:spacing w:after="0"/>
              <w:rPr>
                <w:sz w:val="20"/>
                <w:szCs w:val="20"/>
                <w:color w:val="auto"/>
              </w:rPr>
            </w:pPr>
            <w:r>
              <w:rPr>
                <w:rFonts w:ascii="Arial" w:cs="Arial" w:eastAsia="Arial" w:hAnsi="Arial"/>
                <w:sz w:val="12"/>
                <w:szCs w:val="12"/>
                <w:b w:val="1"/>
                <w:bCs w:val="1"/>
                <w:color w:val="auto"/>
              </w:rPr>
              <w:t>2009</w:t>
            </w:r>
          </w:p>
        </w:tc>
        <w:tc>
          <w:tcPr>
            <w:tcW w:w="220" w:type="dxa"/>
            <w:vAlign w:val="bottom"/>
          </w:tcPr>
          <w:p>
            <w:pPr>
              <w:spacing w:after="0"/>
              <w:rPr>
                <w:sz w:val="12"/>
                <w:szCs w:val="12"/>
                <w:color w:val="auto"/>
              </w:rPr>
            </w:pPr>
          </w:p>
        </w:tc>
      </w:tr>
      <w:tr>
        <w:trPr>
          <w:trHeight w:val="24"/>
        </w:trPr>
        <w:tc>
          <w:tcPr>
            <w:tcW w:w="67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49"/>
        </w:trPr>
        <w:tc>
          <w:tcPr>
            <w:tcW w:w="6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80" w:type="dxa"/>
            <w:vAlign w:val="bottom"/>
            <w:gridSpan w:val="5"/>
          </w:tcPr>
          <w:p>
            <w:pPr>
              <w:ind w:left="160"/>
              <w:spacing w:after="0"/>
              <w:rPr>
                <w:sz w:val="20"/>
                <w:szCs w:val="20"/>
                <w:color w:val="auto"/>
              </w:rPr>
            </w:pPr>
            <w:r>
              <w:rPr>
                <w:rFonts w:ascii="Arial" w:cs="Arial" w:eastAsia="Arial" w:hAnsi="Arial"/>
                <w:sz w:val="12"/>
                <w:szCs w:val="12"/>
                <w:b w:val="1"/>
                <w:bCs w:val="1"/>
                <w:color w:val="auto"/>
              </w:rPr>
              <w:t>($ amounts in 000's)</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4"/>
        </w:trPr>
        <w:tc>
          <w:tcPr>
            <w:tcW w:w="6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3"/>
                <w:szCs w:val="13"/>
                <w:b w:val="1"/>
                <w:bCs w:val="1"/>
                <w:color w:val="auto"/>
              </w:rPr>
              <w:t>Cash Flow:</w:t>
            </w:r>
          </w:p>
        </w:tc>
        <w:tc>
          <w:tcPr>
            <w:tcW w:w="1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83"/>
        </w:trPr>
        <w:tc>
          <w:tcPr>
            <w:tcW w:w="6760" w:type="dxa"/>
            <w:vAlign w:val="bottom"/>
            <w:gridSpan w:val="2"/>
          </w:tcPr>
          <w:p>
            <w:pPr>
              <w:ind w:left="360"/>
              <w:spacing w:after="0"/>
              <w:rPr>
                <w:sz w:val="20"/>
                <w:szCs w:val="20"/>
                <w:color w:val="auto"/>
              </w:rPr>
            </w:pPr>
            <w:r>
              <w:rPr>
                <w:rFonts w:ascii="Arial" w:cs="Arial" w:eastAsia="Arial" w:hAnsi="Arial"/>
                <w:sz w:val="13"/>
                <w:szCs w:val="13"/>
                <w:color w:val="auto"/>
              </w:rPr>
              <w:t>Net cash provided by operating activities</w:t>
            </w:r>
          </w:p>
        </w:tc>
        <w:tc>
          <w:tcPr>
            <w:tcW w:w="1840" w:type="dxa"/>
            <w:vAlign w:val="bottom"/>
          </w:tcPr>
          <w:p>
            <w:pPr>
              <w:jc w:val="right"/>
              <w:ind w:right="98"/>
              <w:spacing w:after="0"/>
              <w:rPr>
                <w:sz w:val="20"/>
                <w:szCs w:val="20"/>
                <w:color w:val="auto"/>
              </w:rPr>
            </w:pPr>
            <w:r>
              <w:rPr>
                <w:rFonts w:ascii="Arial" w:cs="Arial" w:eastAsia="Arial" w:hAnsi="Arial"/>
                <w:sz w:val="13"/>
                <w:szCs w:val="13"/>
                <w:color w:val="auto"/>
              </w:rPr>
              <w:t>32,193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jc w:val="right"/>
              <w:ind w:right="138"/>
              <w:spacing w:after="0"/>
              <w:rPr>
                <w:sz w:val="20"/>
                <w:szCs w:val="20"/>
                <w:color w:val="auto"/>
              </w:rPr>
            </w:pPr>
            <w:r>
              <w:rPr>
                <w:rFonts w:ascii="Arial" w:cs="Arial" w:eastAsia="Arial" w:hAnsi="Arial"/>
                <w:sz w:val="13"/>
                <w:szCs w:val="13"/>
                <w:color w:val="auto"/>
              </w:rPr>
              <w:t>15,863</w:t>
            </w:r>
          </w:p>
        </w:tc>
        <w:tc>
          <w:tcPr>
            <w:tcW w:w="220" w:type="dxa"/>
            <w:vAlign w:val="bottom"/>
          </w:tcPr>
          <w:p>
            <w:pPr>
              <w:spacing w:after="0"/>
              <w:rPr>
                <w:sz w:val="15"/>
                <w:szCs w:val="15"/>
                <w:color w:val="auto"/>
              </w:rPr>
            </w:pPr>
          </w:p>
        </w:tc>
      </w:tr>
      <w:tr>
        <w:trPr>
          <w:trHeight w:val="193"/>
        </w:trPr>
        <w:tc>
          <w:tcPr>
            <w:tcW w:w="67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Less purchases of property and equipment</w:t>
            </w:r>
          </w:p>
        </w:tc>
        <w:tc>
          <w:tcPr>
            <w:tcW w:w="6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(671</w:t>
            </w:r>
          </w:p>
        </w:tc>
        <w:tc>
          <w:tcPr>
            <w:tcW w:w="2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rPr>
              <w:t>(1,242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7"/>
        </w:trPr>
        <w:tc>
          <w:tcPr>
            <w:tcW w:w="670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Free cash flow (Non-GAAP)</w:t>
            </w:r>
          </w:p>
        </w:tc>
        <w:tc>
          <w:tcPr>
            <w:tcW w:w="6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31,522</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rPr>
              <w:t>14,621</w:t>
            </w:r>
          </w:p>
        </w:tc>
        <w:tc>
          <w:tcPr>
            <w:tcW w:w="220" w:type="dxa"/>
            <w:vAlign w:val="bottom"/>
            <w:tcBorders>
              <w:bottom w:val="single" w:sz="8" w:color="auto"/>
            </w:tcBorders>
          </w:tcPr>
          <w:p>
            <w:pPr>
              <w:spacing w:after="0"/>
              <w:rPr>
                <w:sz w:val="18"/>
                <w:szCs w:val="18"/>
                <w:color w:val="auto"/>
              </w:rPr>
            </w:pPr>
          </w:p>
        </w:tc>
      </w:tr>
      <w:tr>
        <w:trPr>
          <w:trHeight w:val="202"/>
        </w:trPr>
        <w:tc>
          <w:tcPr>
            <w:tcW w:w="6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Net cash provided by (used in) investing activities*</w:t>
            </w: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18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(84,943</w:t>
            </w:r>
          </w:p>
        </w:tc>
        <w:tc>
          <w:tcPr>
            <w:tcW w:w="2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w w:val="91"/>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rPr>
              <w:t>3,850</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r>
      <w:tr>
        <w:trPr>
          <w:trHeight w:val="191"/>
        </w:trPr>
        <w:tc>
          <w:tcPr>
            <w:tcW w:w="6700" w:type="dxa"/>
            <w:vAlign w:val="bottom"/>
          </w:tcPr>
          <w:p>
            <w:pPr>
              <w:ind w:left="360"/>
              <w:spacing w:after="0"/>
              <w:rPr>
                <w:sz w:val="20"/>
                <w:szCs w:val="20"/>
                <w:color w:val="auto"/>
              </w:rPr>
            </w:pPr>
            <w:r>
              <w:rPr>
                <w:rFonts w:ascii="Arial" w:cs="Arial" w:eastAsia="Arial" w:hAnsi="Arial"/>
                <w:sz w:val="13"/>
                <w:szCs w:val="13"/>
                <w:color w:val="auto"/>
              </w:rPr>
              <w:t>Net cash provided by financing activities</w:t>
            </w:r>
          </w:p>
        </w:tc>
        <w:tc>
          <w:tcPr>
            <w:tcW w:w="6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3"/>
                <w:szCs w:val="13"/>
                <w:color w:val="auto"/>
              </w:rPr>
              <w:t>11,890</w:t>
            </w:r>
          </w:p>
        </w:tc>
        <w:tc>
          <w:tcPr>
            <w:tcW w:w="2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3"/>
                <w:szCs w:val="13"/>
                <w:color w:val="auto"/>
              </w:rPr>
              <w:t>1,025</w:t>
            </w:r>
          </w:p>
        </w:tc>
        <w:tc>
          <w:tcPr>
            <w:tcW w:w="220" w:type="dxa"/>
            <w:vAlign w:val="bottom"/>
            <w:tcBorders>
              <w:top w:val="single" w:sz="8" w:color="auto"/>
              <w:bottom w:val="single" w:sz="8" w:color="auto"/>
            </w:tcBorders>
          </w:tcPr>
          <w:p>
            <w:pPr>
              <w:spacing w:after="0"/>
              <w:rPr>
                <w:sz w:val="16"/>
                <w:szCs w:val="16"/>
                <w:color w:val="auto"/>
              </w:rPr>
            </w:pPr>
          </w:p>
        </w:tc>
      </w:tr>
      <w:tr>
        <w:trPr>
          <w:trHeight w:val="173"/>
        </w:trPr>
        <w:tc>
          <w:tcPr>
            <w:tcW w:w="6700" w:type="dxa"/>
            <w:vAlign w:val="bottom"/>
          </w:tcPr>
          <w:p>
            <w:pPr>
              <w:ind w:lef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r>
    </w:tbl>
    <w:p>
      <w:pPr>
        <w:spacing w:after="0" w:line="11" w:lineRule="exact"/>
        <w:rPr>
          <w:sz w:val="20"/>
          <w:szCs w:val="20"/>
          <w:color w:val="auto"/>
        </w:rPr>
      </w:pPr>
    </w:p>
    <w:p>
      <w:pPr>
        <w:ind w:left="3"/>
        <w:spacing w:after="0"/>
        <w:tabs>
          <w:tab w:leader="none" w:pos="162"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Includes purchases of property and equipment</w:t>
      </w:r>
    </w:p>
    <w:p>
      <w:pPr>
        <w:spacing w:after="0" w:line="159" w:lineRule="exact"/>
        <w:rPr>
          <w:sz w:val="20"/>
          <w:szCs w:val="20"/>
          <w:color w:val="auto"/>
        </w:rPr>
      </w:pPr>
    </w:p>
    <w:p>
      <w:pPr>
        <w:ind w:left="343"/>
        <w:spacing w:after="0"/>
        <w:rPr>
          <w:sz w:val="20"/>
          <w:szCs w:val="20"/>
          <w:color w:val="auto"/>
        </w:rPr>
      </w:pPr>
      <w:r>
        <w:rPr>
          <w:rFonts w:ascii="Arial" w:cs="Arial" w:eastAsia="Arial" w:hAnsi="Arial"/>
          <w:sz w:val="13"/>
          <w:szCs w:val="13"/>
          <w:b w:val="1"/>
          <w:bCs w:val="1"/>
          <w:i w:val="1"/>
          <w:iCs w:val="1"/>
          <w:color w:val="auto"/>
        </w:rPr>
        <w:t>Components of Operating Results</w:t>
      </w:r>
    </w:p>
    <w:p>
      <w:pPr>
        <w:spacing w:after="0" w:line="159" w:lineRule="exact"/>
        <w:rPr>
          <w:sz w:val="20"/>
          <w:szCs w:val="20"/>
          <w:color w:val="auto"/>
        </w:rPr>
      </w:pPr>
    </w:p>
    <w:p>
      <w:pPr>
        <w:ind w:left="343"/>
        <w:spacing w:after="0"/>
        <w:rPr>
          <w:sz w:val="20"/>
          <w:szCs w:val="20"/>
          <w:color w:val="auto"/>
        </w:rPr>
      </w:pPr>
      <w:r>
        <w:rPr>
          <w:rFonts w:ascii="Arial" w:cs="Arial" w:eastAsia="Arial" w:hAnsi="Arial"/>
          <w:sz w:val="13"/>
          <w:szCs w:val="13"/>
          <w:i w:val="1"/>
          <w:iCs w:val="1"/>
          <w:color w:val="auto"/>
        </w:rPr>
        <w:t>Revenue</w:t>
      </w:r>
    </w:p>
    <w:p>
      <w:pPr>
        <w:spacing w:after="0" w:line="159" w:lineRule="exact"/>
        <w:rPr>
          <w:sz w:val="20"/>
          <w:szCs w:val="20"/>
          <w:color w:val="auto"/>
        </w:rPr>
      </w:pPr>
    </w:p>
    <w:p>
      <w:pPr>
        <w:ind w:left="3" w:right="180" w:firstLine="347"/>
        <w:spacing w:after="0" w:line="268" w:lineRule="auto"/>
        <w:rPr>
          <w:sz w:val="20"/>
          <w:szCs w:val="20"/>
          <w:color w:val="auto"/>
        </w:rPr>
      </w:pPr>
      <w:r>
        <w:rPr>
          <w:rFonts w:ascii="Arial" w:cs="Arial" w:eastAsia="Arial" w:hAnsi="Arial"/>
          <w:sz w:val="13"/>
          <w:szCs w:val="13"/>
          <w:color w:val="auto"/>
        </w:rPr>
        <w:t xml:space="preserve">We derive our revenue from sales of our products and subscription and support services. We recognize our revenue in accordance with the guidance in ASC 985-605-25 (formerly referred to as SOP 97-2, </w:t>
      </w:r>
      <w:r>
        <w:rPr>
          <w:rFonts w:ascii="Arial" w:cs="Arial" w:eastAsia="Arial" w:hAnsi="Arial"/>
          <w:sz w:val="13"/>
          <w:szCs w:val="13"/>
          <w:i w:val="1"/>
          <w:iCs w:val="1"/>
          <w:color w:val="auto"/>
        </w:rPr>
        <w:t>Software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and SOP 98-9, Modification of SOP 97-2, Software Revenue Recognition, With Respect to Certain Transactions) which is discussed in</w:t>
      </w:r>
    </w:p>
    <w:p>
      <w:pPr>
        <w:spacing w:after="0" w:line="129"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463"/>
          </w:cols>
          <w:pgMar w:left="217" w:top="131" w:right="219" w:bottom="1440" w:gutter="0" w:footer="0" w:header="0"/>
        </w:sectPr>
      </w:pPr>
    </w:p>
    <w:bookmarkStart w:id="28" w:name="page29"/>
    <w:bookmarkEnd w:id="28"/>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220" w:firstLine="347"/>
        <w:spacing w:after="0" w:line="268" w:lineRule="auto"/>
        <w:rPr>
          <w:sz w:val="20"/>
          <w:szCs w:val="20"/>
          <w:color w:val="auto"/>
        </w:rPr>
      </w:pPr>
      <w:r>
        <w:rPr>
          <w:rFonts w:ascii="Arial" w:cs="Arial" w:eastAsia="Arial" w:hAnsi="Arial"/>
          <w:sz w:val="13"/>
          <w:szCs w:val="13"/>
          <w:color w:val="auto"/>
        </w:rPr>
        <w:t>further detail in “Critical Accounting Policies and Estimates - Revenue Recognition” below. According to ASC 985-605-25, revenue is recognized when persuasive evidence of an arrangement exists, delivery has occurred, the price is fixed or determinable and collectability is probable.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total revenue is comprised of the following:</w:t>
      </w:r>
    </w:p>
    <w:p>
      <w:pPr>
        <w:spacing w:after="0" w:line="159" w:lineRule="exact"/>
        <w:rPr>
          <w:sz w:val="20"/>
          <w:szCs w:val="20"/>
          <w:color w:val="auto"/>
        </w:rPr>
      </w:pPr>
    </w:p>
    <w:p>
      <w:pPr>
        <w:ind w:left="860" w:hanging="169"/>
        <w:spacing w:after="0" w:line="276" w:lineRule="auto"/>
        <w:tabs>
          <w:tab w:leader="none" w:pos="1207"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Product revenue</w:t>
      </w:r>
      <w:r>
        <w:rPr>
          <w:rFonts w:ascii="Arial" w:cs="Arial" w:eastAsia="Arial" w:hAnsi="Arial"/>
          <w:sz w:val="12"/>
          <w:szCs w:val="12"/>
          <w:color w:val="auto"/>
        </w:rPr>
        <w:t>. Product revenue is generated from sales of our appliances and software. The substantial majority of our product revenue has been generated by our FortiGate line of appliances, and</w:t>
      </w:r>
      <w:r>
        <w:rPr>
          <w:rFonts w:ascii="Arial" w:cs="Arial" w:eastAsia="Arial" w:hAnsi="Arial"/>
          <w:sz w:val="12"/>
          <w:szCs w:val="12"/>
          <w:i w:val="1"/>
          <w:iCs w:val="1"/>
          <w:color w:val="auto"/>
        </w:rPr>
        <w:t xml:space="preserve"> </w:t>
      </w:r>
      <w:r>
        <w:rPr>
          <w:rFonts w:ascii="Arial" w:cs="Arial" w:eastAsia="Arial" w:hAnsi="Arial"/>
          <w:sz w:val="12"/>
          <w:szCs w:val="12"/>
          <w:color w:val="auto"/>
        </w:rPr>
        <w:t>we do not expect this to change in the foreseeable future. Product revenue also includes revenue derived from sales of FortiManager, FortiAnalyzer, FortiSwitch, FortiMail, FortiDB, FortiWeb, FortiAP, FortiScan, FortiCarrier, and FortiBridge appliances, and our FortiClient and virtual domain, or VDOM, software. We generally recognize revenue for products sold to distributors through the “sell-in” metho d upon shipment to the distributor, and for “sell-through” distributors, upon sale to their end-customer. As a percentage of total revenue, we expect our product revenue may vary from quarter-to-quarter based on seasonal and cyclical factors discussed below under “Quarterly Results of Operations” but generally may remain at comparable levels or decline modestly over time, as services revenue becomes a larger portion of our business as our customers renew existing services contracts and we expand our customer base.</w:t>
      </w:r>
    </w:p>
    <w:p>
      <w:pPr>
        <w:spacing w:after="0" w:line="127" w:lineRule="exact"/>
        <w:rPr>
          <w:rFonts w:ascii="Arial" w:cs="Arial" w:eastAsia="Arial" w:hAnsi="Arial"/>
          <w:sz w:val="12"/>
          <w:szCs w:val="12"/>
          <w:color w:val="auto"/>
        </w:rPr>
      </w:pPr>
    </w:p>
    <w:p>
      <w:pPr>
        <w:ind w:left="860" w:right="20" w:hanging="169"/>
        <w:spacing w:after="0" w:line="276" w:lineRule="auto"/>
        <w:tabs>
          <w:tab w:leader="none" w:pos="1207"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Services revenue</w:t>
      </w:r>
      <w:r>
        <w:rPr>
          <w:rFonts w:ascii="Arial" w:cs="Arial" w:eastAsia="Arial" w:hAnsi="Arial"/>
          <w:sz w:val="12"/>
          <w:szCs w:val="12"/>
          <w:color w:val="auto"/>
        </w:rPr>
        <w:t>. Services revenue is generated primarily from FortiCare technical support services for software updates, maintenance releases and patches, Internet access to technical content,</w:t>
      </w:r>
      <w:r>
        <w:rPr>
          <w:rFonts w:ascii="Arial" w:cs="Arial" w:eastAsia="Arial" w:hAnsi="Arial"/>
          <w:sz w:val="12"/>
          <w:szCs w:val="12"/>
          <w:i w:val="1"/>
          <w:iCs w:val="1"/>
          <w:color w:val="auto"/>
        </w:rPr>
        <w:t xml:space="preserve"> </w:t>
      </w:r>
      <w:r>
        <w:rPr>
          <w:rFonts w:ascii="Arial" w:cs="Arial" w:eastAsia="Arial" w:hAnsi="Arial"/>
          <w:sz w:val="12"/>
          <w:szCs w:val="12"/>
          <w:color w:val="auto"/>
        </w:rPr>
        <w:t>telephone and Internet access to technical support personnel and hardware support, and FortiGuard security subscription services related to antivirus, intrusion prevention, Web filtering and antispam updates. We recognize revenue from subscription and support services over the service performance period. Our typical contractual support and subscription term is one year from the date of registration, although, it could be longer as we are experiencing growth in the sales of multi-year support and subscription contracts. We also generate a small portion of our r evenue from professional services and training services, and we recognize this revenue as service is provided. As a percentage of total revenue, although we expect our services revenue to remain at comparable levels or increase as our customers renew existing service contracts, our services revenue growth rate depends significantly on our billings growth rate, as well as the growth of our customer base.</w:t>
      </w:r>
    </w:p>
    <w:p>
      <w:pPr>
        <w:spacing w:after="0" w:line="127" w:lineRule="exact"/>
        <w:rPr>
          <w:rFonts w:ascii="Arial" w:cs="Arial" w:eastAsia="Arial" w:hAnsi="Arial"/>
          <w:sz w:val="12"/>
          <w:szCs w:val="12"/>
          <w:color w:val="auto"/>
        </w:rPr>
      </w:pPr>
    </w:p>
    <w:p>
      <w:pPr>
        <w:ind w:left="860" w:right="40" w:hanging="169"/>
        <w:spacing w:after="0" w:line="297" w:lineRule="auto"/>
        <w:tabs>
          <w:tab w:leader="none" w:pos="1207" w:val="left"/>
        </w:tabs>
        <w:numPr>
          <w:ilvl w:val="0"/>
          <w:numId w:val="8"/>
        </w:numPr>
        <w:rPr>
          <w:rFonts w:ascii="Arial" w:cs="Arial" w:eastAsia="Arial" w:hAnsi="Arial"/>
          <w:sz w:val="11"/>
          <w:szCs w:val="11"/>
          <w:color w:val="auto"/>
        </w:rPr>
      </w:pPr>
      <w:r>
        <w:rPr>
          <w:rFonts w:ascii="Arial" w:cs="Arial" w:eastAsia="Arial" w:hAnsi="Arial"/>
          <w:sz w:val="11"/>
          <w:szCs w:val="11"/>
          <w:i w:val="1"/>
          <w:iCs w:val="1"/>
          <w:color w:val="auto"/>
        </w:rPr>
        <w:t>Ratable product and services revenue</w:t>
      </w:r>
      <w:r>
        <w:rPr>
          <w:rFonts w:ascii="Arial" w:cs="Arial" w:eastAsia="Arial" w:hAnsi="Arial"/>
          <w:sz w:val="11"/>
          <w:szCs w:val="11"/>
          <w:color w:val="auto"/>
        </w:rPr>
        <w:t>. Ratable product and services revenue is generated from sales of our products and services in cases where the fair value of the services being provided cannot be</w:t>
      </w:r>
      <w:r>
        <w:rPr>
          <w:rFonts w:ascii="Arial" w:cs="Arial" w:eastAsia="Arial" w:hAnsi="Arial"/>
          <w:sz w:val="11"/>
          <w:szCs w:val="11"/>
          <w:i w:val="1"/>
          <w:iCs w:val="1"/>
          <w:color w:val="auto"/>
        </w:rPr>
        <w:t xml:space="preserve"> </w:t>
      </w:r>
      <w:r>
        <w:rPr>
          <w:rFonts w:ascii="Arial" w:cs="Arial" w:eastAsia="Arial" w:hAnsi="Arial"/>
          <w:sz w:val="11"/>
          <w:szCs w:val="11"/>
          <w:color w:val="auto"/>
        </w:rPr>
        <w:t>segregated from the value of the entire sale. In these cases, the value of the entire sale is deferred and recognized ratably over the life of the service performance period. See “Critical Accounting Policies and Estimates - Revenue Recognition.” In fiscal 2009 and the first nine months of fiscal 2010, ratable product and service revenue represented approximately five to six percent of total revenue.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&amp;nbs p;</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Cost of revenue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total cost of revenue is comprised of the following:</w:t>
      </w:r>
    </w:p>
    <w:p>
      <w:pPr>
        <w:spacing w:after="0" w:line="159" w:lineRule="exact"/>
        <w:rPr>
          <w:sz w:val="20"/>
          <w:szCs w:val="20"/>
          <w:color w:val="auto"/>
        </w:rPr>
      </w:pPr>
    </w:p>
    <w:p>
      <w:pPr>
        <w:ind w:left="860" w:right="140" w:hanging="169"/>
        <w:spacing w:after="0" w:line="278" w:lineRule="auto"/>
        <w:tabs>
          <w:tab w:leader="none" w:pos="1207"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 xml:space="preserve">Cost of product revenue. </w:t>
      </w:r>
      <w:r>
        <w:rPr>
          <w:rFonts w:ascii="Arial" w:cs="Arial" w:eastAsia="Arial" w:hAnsi="Arial"/>
          <w:sz w:val="12"/>
          <w:szCs w:val="12"/>
          <w:color w:val="auto"/>
        </w:rPr>
        <w:t>A substantial majority of the cost of product revenue consists of third-party manufacturing costs. Our cost of product revenue also includes product testing costs, write-offs</w:t>
      </w:r>
      <w:r>
        <w:rPr>
          <w:rFonts w:ascii="Arial" w:cs="Arial" w:eastAsia="Arial" w:hAnsi="Arial"/>
          <w:sz w:val="12"/>
          <w:szCs w:val="12"/>
          <w:i w:val="1"/>
          <w:iCs w:val="1"/>
          <w:color w:val="auto"/>
        </w:rPr>
        <w:t xml:space="preserve"> </w:t>
      </w:r>
      <w:r>
        <w:rPr>
          <w:rFonts w:ascii="Arial" w:cs="Arial" w:eastAsia="Arial" w:hAnsi="Arial"/>
          <w:sz w:val="12"/>
          <w:szCs w:val="12"/>
          <w:color w:val="auto"/>
        </w:rPr>
        <w:t>for excess and obsolete inventory, royalty payments, amortization and any impairment of applicable acquired intangible assets, warranty costs, shipping and allocated facilities costs, stock-based compensation costs, and personnel costs associated with logistics and quality control. Personnel costs include cash-based personnel costs such as salaries, benefits and bonuses. Royalties reflect amounts related to Trend Micro since 2006, which Trend Micro claims are owed through 2015, as discussed in “Item 1 - Legal Proceedings.” For fiscal 2008 and fiscal 2009, this royalty represented approximately one percent of total revenue and we do not expect this percentage to increase substantially in the foreseeable future.</w:t>
      </w:r>
    </w:p>
    <w:p>
      <w:pPr>
        <w:spacing w:after="0" w:line="126" w:lineRule="exact"/>
        <w:rPr>
          <w:rFonts w:ascii="Arial" w:cs="Arial" w:eastAsia="Arial" w:hAnsi="Arial"/>
          <w:sz w:val="12"/>
          <w:szCs w:val="12"/>
          <w:color w:val="auto"/>
        </w:rPr>
      </w:pPr>
    </w:p>
    <w:p>
      <w:pPr>
        <w:ind w:left="860" w:right="40" w:hanging="169"/>
        <w:spacing w:after="0" w:line="258" w:lineRule="auto"/>
        <w:tabs>
          <w:tab w:leader="none" w:pos="1207"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Cost of services revenue. </w:t>
      </w:r>
      <w:r>
        <w:rPr>
          <w:rFonts w:ascii="Arial" w:cs="Arial" w:eastAsia="Arial" w:hAnsi="Arial"/>
          <w:sz w:val="13"/>
          <w:szCs w:val="13"/>
          <w:color w:val="auto"/>
        </w:rPr>
        <w:t>Cost of services revenue is primarily comprised of cash-based personnel costs associated with our FortiGuard Labs team and our technical support, professional services and</w:t>
      </w:r>
      <w:r>
        <w:rPr>
          <w:rFonts w:ascii="Arial" w:cs="Arial" w:eastAsia="Arial" w:hAnsi="Arial"/>
          <w:sz w:val="13"/>
          <w:szCs w:val="13"/>
          <w:i w:val="1"/>
          <w:iCs w:val="1"/>
          <w:color w:val="auto"/>
        </w:rPr>
        <w:t xml:space="preserve"> </w:t>
      </w:r>
      <w:r>
        <w:rPr>
          <w:rFonts w:ascii="Arial" w:cs="Arial" w:eastAsia="Arial" w:hAnsi="Arial"/>
          <w:sz w:val="13"/>
          <w:szCs w:val="13"/>
          <w:color w:val="auto"/>
        </w:rPr>
        <w:t>training teams, as well as depreciation, supplies, data center, data communications, facility-related costs and stock-based compensation costs. We expect our cost of services revenue will increase as we continue to invest in subscription and support services to meet the needs of our growing customer base.</w:t>
      </w:r>
    </w:p>
    <w:p>
      <w:pPr>
        <w:spacing w:after="0" w:line="134" w:lineRule="exact"/>
        <w:rPr>
          <w:rFonts w:ascii="Arial" w:cs="Arial" w:eastAsia="Arial" w:hAnsi="Arial"/>
          <w:sz w:val="13"/>
          <w:szCs w:val="13"/>
          <w:color w:val="auto"/>
        </w:rPr>
      </w:pPr>
    </w:p>
    <w:p>
      <w:pPr>
        <w:ind w:left="1220" w:hanging="529"/>
        <w:spacing w:after="0"/>
        <w:tabs>
          <w:tab w:leader="none" w:pos="122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Cost of ratable product and services revenue</w:t>
      </w:r>
      <w:r>
        <w:rPr>
          <w:rFonts w:ascii="Arial" w:cs="Arial" w:eastAsia="Arial" w:hAnsi="Arial"/>
          <w:sz w:val="13"/>
          <w:szCs w:val="13"/>
          <w:color w:val="auto"/>
        </w:rPr>
        <w:t>. Cost of ratable product and services revenue is comprised primarily of deferred product costs and services-related costs.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Gross profit</w:t>
      </w:r>
      <w:r>
        <w:rPr>
          <w:rFonts w:ascii="Arial" w:cs="Arial" w:eastAsia="Arial" w:hAnsi="Arial"/>
          <w:sz w:val="13"/>
          <w:szCs w:val="13"/>
          <w:color w:val="auto"/>
        </w:rPr>
        <w:t>. Gross profit as a percentage of revenue, or gross margin, has been and will continue to be affected by a</w:t>
      </w:r>
    </w:p>
    <w:p>
      <w:pPr>
        <w:spacing w:after="0" w:line="159"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460"/>
          </w:cols>
          <w:pgMar w:left="220" w:top="131" w:right="219" w:bottom="1440" w:gutter="0" w:footer="0" w:header="0"/>
        </w:sectPr>
      </w:pPr>
    </w:p>
    <w:bookmarkStart w:id="29" w:name="page30"/>
    <w:bookmarkEnd w:id="29"/>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140" w:firstLine="347"/>
        <w:spacing w:after="0" w:line="268" w:lineRule="auto"/>
        <w:rPr>
          <w:sz w:val="20"/>
          <w:szCs w:val="20"/>
          <w:color w:val="auto"/>
        </w:rPr>
      </w:pPr>
      <w:r>
        <w:rPr>
          <w:rFonts w:ascii="Arial" w:cs="Arial" w:eastAsia="Arial" w:hAnsi="Arial"/>
          <w:sz w:val="13"/>
          <w:szCs w:val="13"/>
          <w:color w:val="auto"/>
        </w:rPr>
        <w:t>variety of factors, including the average sales price of our products, any excess inventory write-offs, manufacturing costs, the mix of products sold and the mix of revenue between products and services. We believe our overall gross margin for the near term may decline modestly compared to that achieved through the first three quarters of 2010.</w:t>
      </w:r>
    </w:p>
    <w:p>
      <w:pPr>
        <w:spacing w:after="0" w:line="129" w:lineRule="exact"/>
        <w:rPr>
          <w:sz w:val="20"/>
          <w:szCs w:val="20"/>
          <w:color w:val="auto"/>
        </w:rPr>
      </w:pPr>
    </w:p>
    <w:p>
      <w:pPr>
        <w:ind w:right="60" w:firstLine="347"/>
        <w:spacing w:after="0" w:line="289" w:lineRule="auto"/>
        <w:rPr>
          <w:sz w:val="20"/>
          <w:szCs w:val="20"/>
          <w:color w:val="auto"/>
        </w:rPr>
      </w:pPr>
      <w:r>
        <w:rPr>
          <w:rFonts w:ascii="Arial" w:cs="Arial" w:eastAsia="Arial" w:hAnsi="Arial"/>
          <w:sz w:val="12"/>
          <w:szCs w:val="12"/>
          <w:color w:val="auto"/>
        </w:rPr>
        <w:t>Services revenue has historically increased as a percentage of total revenue since inception, and this trend has had a positive effect on our total gross margin given the higher services gross margins compared to product gross margins. Our services gross margins increased from the second quarter of fiscal 2007 through the fourth quarter of fiscal 2008 and we have generally maintained services gross margins at those levels in fiscal 2009 and the first three quarters of fiscal 2010. We do not, however, expect these margins to increase, in a meaningful way, in the future as we continue to invest in our support infrastructure.</w:t>
      </w:r>
    </w:p>
    <w:p>
      <w:pPr>
        <w:spacing w:after="0" w:line="119" w:lineRule="exact"/>
        <w:rPr>
          <w:sz w:val="20"/>
          <w:szCs w:val="20"/>
          <w:color w:val="auto"/>
        </w:rPr>
      </w:pPr>
    </w:p>
    <w:p>
      <w:pPr>
        <w:ind w:right="140" w:firstLine="347"/>
        <w:spacing w:after="0" w:line="258" w:lineRule="auto"/>
        <w:rPr>
          <w:sz w:val="20"/>
          <w:szCs w:val="20"/>
          <w:color w:val="auto"/>
        </w:rPr>
      </w:pPr>
      <w:r>
        <w:rPr>
          <w:rFonts w:ascii="Arial" w:cs="Arial" w:eastAsia="Arial" w:hAnsi="Arial"/>
          <w:sz w:val="13"/>
          <w:szCs w:val="13"/>
          <w:i w:val="1"/>
          <w:iCs w:val="1"/>
          <w:color w:val="auto"/>
        </w:rPr>
        <w:t>Operating expenses</w:t>
      </w:r>
      <w:r>
        <w:rPr>
          <w:rFonts w:ascii="Arial" w:cs="Arial" w:eastAsia="Arial" w:hAnsi="Arial"/>
          <w:sz w:val="13"/>
          <w:szCs w:val="13"/>
          <w:color w:val="auto"/>
        </w:rPr>
        <w:t>. Our operating expenses consist of research and development, sales and ma rketing and general and administrative expenses. Personnel costs are the most significant component of operating</w:t>
      </w:r>
      <w:r>
        <w:rPr>
          <w:rFonts w:ascii="Arial" w:cs="Arial" w:eastAsia="Arial" w:hAnsi="Arial"/>
          <w:sz w:val="13"/>
          <w:szCs w:val="13"/>
          <w:i w:val="1"/>
          <w:iCs w:val="1"/>
          <w:color w:val="auto"/>
        </w:rPr>
        <w:t xml:space="preserve"> </w:t>
      </w:r>
      <w:r>
        <w:rPr>
          <w:rFonts w:ascii="Arial" w:cs="Arial" w:eastAsia="Arial" w:hAnsi="Arial"/>
          <w:sz w:val="13"/>
          <w:szCs w:val="13"/>
          <w:color w:val="auto"/>
        </w:rPr>
        <w:t>expenses and consist of cash-based personnel costs such as salaries, benefits, bonuses and, with regard to the sales and marketing expense, sales commissions. They also include non-cash charges, specifically, stock-based compensation. We expect personnel costs to continue to increase in absolute dollars as we hire new employees.</w:t>
      </w:r>
    </w:p>
    <w:p>
      <w:pPr>
        <w:spacing w:after="0" w:line="135" w:lineRule="exact"/>
        <w:rPr>
          <w:sz w:val="20"/>
          <w:szCs w:val="20"/>
          <w:color w:val="auto"/>
        </w:rPr>
      </w:pPr>
    </w:p>
    <w:p>
      <w:pPr>
        <w:ind w:left="860" w:right="20" w:hanging="169"/>
        <w:spacing w:after="0" w:line="252" w:lineRule="auto"/>
        <w:tabs>
          <w:tab w:leader="none" w:pos="1207"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 consists primarily of cash-based personnel costs. Additional research and development expenses include ASIC and system prototypes</w:t>
      </w:r>
      <w:r>
        <w:rPr>
          <w:rFonts w:ascii="Arial" w:cs="Arial" w:eastAsia="Arial" w:hAnsi="Arial"/>
          <w:sz w:val="13"/>
          <w:szCs w:val="13"/>
          <w:i w:val="1"/>
          <w:iCs w:val="1"/>
          <w:color w:val="auto"/>
        </w:rPr>
        <w:t xml:space="preserve"> </w:t>
      </w:r>
      <w:r>
        <w:rPr>
          <w:rFonts w:ascii="Arial" w:cs="Arial" w:eastAsia="Arial" w:hAnsi="Arial"/>
          <w:sz w:val="13"/>
          <w:szCs w:val="13"/>
          <w:color w:val="auto"/>
        </w:rPr>
        <w:t>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California. We expect our spending for research and development to increase in absolute dollars but intend for research and development expenses to remain comparable to recent periods as a percentage of total revenue.</w:t>
      </w:r>
    </w:p>
    <w:p>
      <w:pPr>
        <w:spacing w:after="0" w:line="140" w:lineRule="exact"/>
        <w:rPr>
          <w:rFonts w:ascii="Arial" w:cs="Arial" w:eastAsia="Arial" w:hAnsi="Arial"/>
          <w:sz w:val="13"/>
          <w:szCs w:val="13"/>
          <w:color w:val="auto"/>
        </w:rPr>
      </w:pPr>
    </w:p>
    <w:p>
      <w:pPr>
        <w:ind w:left="860" w:hanging="169"/>
        <w:spacing w:after="0" w:line="282" w:lineRule="auto"/>
        <w:tabs>
          <w:tab w:leader="none" w:pos="1207"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Sales and marketing</w:t>
      </w:r>
      <w:r>
        <w:rPr>
          <w:rFonts w:ascii="Arial" w:cs="Arial" w:eastAsia="Arial" w:hAnsi="Arial"/>
          <w:sz w:val="12"/>
          <w:szCs w:val="12"/>
          <w:color w:val="auto"/>
        </w:rPr>
        <w:t>. Sales and marketing expense is the largest component of our operating expenses and primarily consists of cash-based personnel costs. Additional sales and marketing expenses</w:t>
      </w:r>
      <w:r>
        <w:rPr>
          <w:rFonts w:ascii="Arial" w:cs="Arial" w:eastAsia="Arial" w:hAnsi="Arial"/>
          <w:sz w:val="12"/>
          <w:szCs w:val="12"/>
          <w:i w:val="1"/>
          <w:iCs w:val="1"/>
          <w:color w:val="auto"/>
        </w:rPr>
        <w:t xml:space="preserve"> </w:t>
      </w:r>
      <w:r>
        <w:rPr>
          <w:rFonts w:ascii="Arial" w:cs="Arial" w:eastAsia="Arial" w:hAnsi="Arial"/>
          <w:sz w:val="12"/>
          <w:szCs w:val="12"/>
          <w:color w:val="auto"/>
        </w:rPr>
        <w:t>include stock-based compensation, promotional and other marketing expenses, travel, depreciation of capital equipment and facility-related expense s. We intend to hire additional personnel focused on sales and marketing and expand our sales and marketing efforts worldwide in order to increase our presence in new geographic markets and enterprise verticals, add new customers and increase penetration within our existing customer base. Accordingly, we expect sales and marketing expenses to increase in absolute dollars and to continue to be our largest operating expense.</w:t>
      </w:r>
    </w:p>
    <w:p>
      <w:pPr>
        <w:spacing w:after="0" w:line="122" w:lineRule="exact"/>
        <w:rPr>
          <w:rFonts w:ascii="Arial" w:cs="Arial" w:eastAsia="Arial" w:hAnsi="Arial"/>
          <w:sz w:val="12"/>
          <w:szCs w:val="12"/>
          <w:color w:val="auto"/>
        </w:rPr>
      </w:pPr>
    </w:p>
    <w:p>
      <w:pPr>
        <w:ind w:left="860" w:hanging="169"/>
        <w:spacing w:after="0" w:line="278" w:lineRule="auto"/>
        <w:tabs>
          <w:tab w:leader="none" w:pos="1207"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General and administrative</w:t>
      </w:r>
      <w:r>
        <w:rPr>
          <w:rFonts w:ascii="Arial" w:cs="Arial" w:eastAsia="Arial" w:hAnsi="Arial"/>
          <w:sz w:val="12"/>
          <w:szCs w:val="12"/>
          <w:color w:val="auto"/>
        </w:rPr>
        <w:t>. General and administrative expense consists of cash-based personnel costs as well as professional fees, stock-based compensation, depreciation of capital equipment and</w:t>
      </w:r>
      <w:r>
        <w:rPr>
          <w:rFonts w:ascii="Arial" w:cs="Arial" w:eastAsia="Arial" w:hAnsi="Arial"/>
          <w:sz w:val="12"/>
          <w:szCs w:val="12"/>
          <w:i w:val="1"/>
          <w:iCs w:val="1"/>
          <w:color w:val="auto"/>
        </w:rPr>
        <w:t xml:space="preserve"> </w:t>
      </w:r>
      <w:r>
        <w:rPr>
          <w:rFonts w:ascii="Arial" w:cs="Arial" w:eastAsia="Arial" w:hAnsi="Arial"/>
          <w:sz w:val="12"/>
          <w:szCs w:val="12"/>
          <w:color w:val="auto"/>
        </w:rPr>
        <w:t>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 We expect that general and administrative expense will increase in absolute dollars as we hire additional personnel, make improvements to our information technology infrastructure, defend our intellectual property, and incur significant additional costs for the compliance requirements of operating as a public company, including the costs associated with SEC reporting, Sarbanes-Oxley Act compliance and insurance.</w:t>
      </w:r>
    </w:p>
    <w:p>
      <w:pPr>
        <w:spacing w:after="0" w:line="126" w:lineRule="exact"/>
        <w:rPr>
          <w:sz w:val="20"/>
          <w:szCs w:val="20"/>
          <w:color w:val="auto"/>
        </w:rPr>
      </w:pPr>
    </w:p>
    <w:p>
      <w:pPr>
        <w:ind w:right="140" w:firstLine="347"/>
        <w:spacing w:after="0" w:line="268"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consists of income earned on our cash, cash equivalents and investments. We have historically invested our cash in money market funds, commercial paper, corporate debt 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and U.S. government debt securities.</w:t>
      </w:r>
    </w:p>
    <w:p>
      <w:pPr>
        <w:spacing w:after="0" w:line="129" w:lineRule="exact"/>
        <w:rPr>
          <w:sz w:val="20"/>
          <w:szCs w:val="20"/>
          <w:color w:val="auto"/>
        </w:rPr>
      </w:pPr>
    </w:p>
    <w:p>
      <w:pPr>
        <w:ind w:right="340" w:firstLine="347"/>
        <w:spacing w:after="0" w:line="268" w:lineRule="auto"/>
        <w:rPr>
          <w:sz w:val="20"/>
          <w:szCs w:val="20"/>
          <w:color w:val="auto"/>
        </w:rPr>
      </w:pPr>
      <w:r>
        <w:rPr>
          <w:rFonts w:ascii="Arial" w:cs="Arial" w:eastAsia="Arial" w:hAnsi="Arial"/>
          <w:sz w:val="13"/>
          <w:szCs w:val="13"/>
          <w:i w:val="1"/>
          <w:iCs w:val="1"/>
          <w:color w:val="auto"/>
        </w:rPr>
        <w:t>Other income (expense), net</w:t>
      </w:r>
      <w:r>
        <w:rPr>
          <w:rFonts w:ascii="Arial" w:cs="Arial" w:eastAsia="Arial" w:hAnsi="Arial"/>
          <w:sz w:val="13"/>
          <w:szCs w:val="13"/>
          <w:color w:val="auto"/>
        </w:rPr>
        <w:t>. Ot her income (expense), net consists primarily of foreign exchange and related hedging gains and losses. Foreign exchange gains and losses relate to foreign currency exchange re-measurement. The hedging gains and losses are related to our settled balance sheet hedges.</w:t>
      </w:r>
    </w:p>
    <w:p>
      <w:pPr>
        <w:spacing w:after="0" w:line="129" w:lineRule="exact"/>
        <w:rPr>
          <w:sz w:val="20"/>
          <w:szCs w:val="20"/>
          <w:color w:val="auto"/>
        </w:rPr>
      </w:pPr>
    </w:p>
    <w:p>
      <w:pPr>
        <w:ind w:firstLine="347"/>
        <w:spacing w:after="0" w:line="326" w:lineRule="auto"/>
        <w:rPr>
          <w:sz w:val="20"/>
          <w:szCs w:val="20"/>
          <w:color w:val="auto"/>
        </w:rPr>
      </w:pPr>
      <w:r>
        <w:rPr>
          <w:rFonts w:ascii="Arial" w:cs="Arial" w:eastAsia="Arial" w:hAnsi="Arial"/>
          <w:sz w:val="11"/>
          <w:szCs w:val="11"/>
          <w:i w:val="1"/>
          <w:iCs w:val="1"/>
          <w:color w:val="auto"/>
        </w:rPr>
        <w:t xml:space="preserve">Provision for income taxes. </w:t>
      </w:r>
      <w:r>
        <w:rPr>
          <w:rFonts w:ascii="Arial" w:cs="Arial" w:eastAsia="Arial" w:hAnsi="Arial"/>
          <w:sz w:val="11"/>
          <w:szCs w:val="11"/>
          <w:color w:val="auto"/>
        </w:rPr>
        <w:t>Our income tax provision is based on our worldwide estimated annualized effective tax rate. We are subject to tax in the United States as well as other tax jurisdictions or countries in</w:t>
      </w:r>
      <w:r>
        <w:rPr>
          <w:rFonts w:ascii="Arial" w:cs="Arial" w:eastAsia="Arial" w:hAnsi="Arial"/>
          <w:sz w:val="11"/>
          <w:szCs w:val="11"/>
          <w:i w:val="1"/>
          <w:iCs w:val="1"/>
          <w:color w:val="auto"/>
        </w:rPr>
        <w:t xml:space="preserve"> </w:t>
      </w:r>
      <w:r>
        <w:rPr>
          <w:rFonts w:ascii="Arial" w:cs="Arial" w:eastAsia="Arial" w:hAnsi="Arial"/>
          <w:sz w:val="11"/>
          <w:szCs w:val="11"/>
          <w:color w:val="auto"/>
        </w:rPr>
        <w:t>which we conduct business. Earnings from our non-U.S. activities are subject to local country income tax and may be subject to current U.S. income tax. Our effective tax rates differ from the s tatutory rate primarily due to foreign income subject to different tax rates than the U.S., research and development tax credits (when applicable), withholding tax, nondeductible compensation and adjustments related to our intercompany transfer pricing.</w:t>
      </w:r>
    </w:p>
    <w:p>
      <w:pPr>
        <w:spacing w:after="0" w:line="102"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460"/>
          </w:cols>
          <w:pgMar w:left="220" w:top="131" w:right="219" w:bottom="1440" w:gutter="0" w:footer="0" w:header="0"/>
        </w:sectPr>
      </w:pPr>
    </w:p>
    <w:bookmarkStart w:id="30" w:name="page31"/>
    <w:bookmarkEnd w:id="30"/>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313"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Critica l Accounting Policies and Estimates</w:t>
      </w:r>
    </w:p>
    <w:p>
      <w:pPr>
        <w:spacing w:after="0" w:line="159" w:lineRule="exact"/>
        <w:rPr>
          <w:sz w:val="20"/>
          <w:szCs w:val="20"/>
          <w:color w:val="auto"/>
        </w:rPr>
      </w:pPr>
    </w:p>
    <w:p>
      <w:pPr>
        <w:ind w:right="80" w:firstLine="347"/>
        <w:spacing w:after="0" w:line="252" w:lineRule="auto"/>
        <w:rPr>
          <w:sz w:val="20"/>
          <w:szCs w:val="20"/>
          <w:color w:val="auto"/>
        </w:rPr>
      </w:pPr>
      <w:r>
        <w:rPr>
          <w:rFonts w:ascii="Arial" w:cs="Arial" w:eastAsia="Arial" w:hAnsi="Arial"/>
          <w:sz w:val="13"/>
          <w:szCs w:val="13"/>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 r from these estimates. To the extent that there are material differences between these estimates and our actual results, our future financial statements will be affected.</w:t>
      </w:r>
    </w:p>
    <w:p>
      <w:pPr>
        <w:spacing w:after="0" w:line="141" w:lineRule="exact"/>
        <w:rPr>
          <w:sz w:val="20"/>
          <w:szCs w:val="20"/>
          <w:color w:val="auto"/>
        </w:rPr>
      </w:pPr>
    </w:p>
    <w:p>
      <w:pPr>
        <w:ind w:right="60" w:firstLine="347"/>
        <w:spacing w:after="0" w:line="258" w:lineRule="auto"/>
        <w:rPr>
          <w:sz w:val="20"/>
          <w:szCs w:val="20"/>
          <w:color w:val="auto"/>
        </w:rPr>
      </w:pPr>
      <w:r>
        <w:rPr>
          <w:rFonts w:ascii="Arial" w:cs="Arial" w:eastAsia="Arial" w:hAnsi="Arial"/>
          <w:sz w:val="13"/>
          <w:szCs w:val="13"/>
          <w:color w:val="auto"/>
        </w:rPr>
        <w:t>We believe the accounting policies and estimates discussed under Item 7, “Management's Discussion and Analysis of Financial Condition and Results of Operations” in our Annual Report on Form 10-K for the fiscal year ended December 31, 2009 reflect our more significant judgments and estimates used in the preparation of the consolidated financial statements. There have been no material chang es to the critical accounting policies and estimates as filed in such report.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Results of Operations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Three Months Ended September 30, 2010 and September 30, 2009</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Revenue</w:t>
      </w:r>
    </w:p>
    <w:p>
      <w:pPr>
        <w:spacing w:after="0" w:line="25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&lt; /td&gt;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0" w:type="dxa"/>
            <w:vAlign w:val="bottom"/>
            <w:gridSpan w:val="5"/>
          </w:tcPr>
          <w:p>
            <w:pPr>
              <w:ind w:left="900"/>
              <w:spacing w:after="0"/>
              <w:rPr>
                <w:sz w:val="20"/>
                <w:szCs w:val="20"/>
                <w:color w:val="auto"/>
              </w:rPr>
            </w:pPr>
            <w:r>
              <w:rPr>
                <w:rFonts w:ascii="Arial" w:cs="Arial" w:eastAsia="Arial" w:hAnsi="Arial"/>
                <w:sz w:val="12"/>
                <w:szCs w:val="12"/>
                <w:b w:val="1"/>
                <w:bCs w:val="1"/>
                <w:color w:val="auto"/>
              </w:rPr>
              <w:t>Three Months Ended</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80" w:type="dxa"/>
            <w:vAlign w:val="bottom"/>
            <w:gridSpan w:val="3"/>
          </w:tcPr>
          <w:p>
            <w:pPr>
              <w:jc w:val="right"/>
              <w:ind w:right="639"/>
              <w:spacing w:after="0"/>
              <w:rPr>
                <w:sz w:val="20"/>
                <w:szCs w:val="20"/>
                <w:color w:val="auto"/>
              </w:rPr>
            </w:pPr>
            <w:r>
              <w:rPr>
                <w:rFonts w:ascii="Arial" w:cs="Arial" w:eastAsia="Arial" w:hAnsi="Arial"/>
                <w:sz w:val="12"/>
                <w:szCs w:val="12"/>
                <w:b w:val="1"/>
                <w:bCs w:val="1"/>
                <w:color w:val="auto"/>
                <w:w w:val="85"/>
              </w:rPr>
              <w:t>September 30, 2010</w:t>
            </w:r>
          </w:p>
        </w:tc>
        <w:tc>
          <w:tcPr>
            <w:tcW w:w="420" w:type="dxa"/>
            <w:vAlign w:val="bottom"/>
          </w:tcPr>
          <w:p>
            <w:pPr>
              <w:spacing w:after="0"/>
              <w:rPr>
                <w:sz w:val="12"/>
                <w:szCs w:val="12"/>
                <w:color w:val="auto"/>
              </w:rPr>
            </w:pPr>
          </w:p>
        </w:tc>
        <w:tc>
          <w:tcPr>
            <w:tcW w:w="2180" w:type="dxa"/>
            <w:vAlign w:val="bottom"/>
            <w:gridSpan w:val="3"/>
          </w:tcPr>
          <w:p>
            <w:pPr>
              <w:ind w:left="1100"/>
              <w:spacing w:after="0"/>
              <w:rPr>
                <w:sz w:val="20"/>
                <w:szCs w:val="20"/>
                <w:color w:val="auto"/>
              </w:rPr>
            </w:pPr>
            <w:r>
              <w:rPr>
                <w:rFonts w:ascii="Arial" w:cs="Arial" w:eastAsia="Arial" w:hAnsi="Arial"/>
                <w:sz w:val="12"/>
                <w:szCs w:val="12"/>
                <w:b w:val="1"/>
                <w:bCs w:val="1"/>
                <w:color w:val="auto"/>
                <w:w w:val="94"/>
              </w:rPr>
              <w:t>September 30, 2009</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ind w:right="139"/>
              <w:spacing w:after="0"/>
              <w:rPr>
                <w:sz w:val="20"/>
                <w:szCs w:val="20"/>
                <w:color w:val="auto"/>
              </w:rPr>
            </w:pPr>
            <w:r>
              <w:rPr>
                <w:rFonts w:ascii="Arial" w:cs="Arial" w:eastAsia="Arial" w:hAnsi="Arial"/>
                <w:sz w:val="12"/>
                <w:szCs w:val="12"/>
                <w:b w:val="1"/>
                <w:bCs w:val="1"/>
                <w:color w:val="auto"/>
              </w:rPr>
              <w:t>% of</w:t>
            </w: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jc w:val="right"/>
              <w:ind w:right="137"/>
              <w:spacing w:after="0"/>
              <w:rPr>
                <w:sz w:val="20"/>
                <w:szCs w:val="20"/>
                <w:color w:val="auto"/>
              </w:rPr>
            </w:pPr>
            <w:r>
              <w:rPr>
                <w:rFonts w:ascii="Arial" w:cs="Arial" w:eastAsia="Arial" w:hAnsi="Arial"/>
                <w:sz w:val="12"/>
                <w:szCs w:val="12"/>
                <w:b w:val="1"/>
                <w:bCs w:val="1"/>
                <w:color w:val="auto"/>
              </w:rPr>
              <w:t>% of</w:t>
            </w:r>
          </w:p>
        </w:tc>
        <w:tc>
          <w:tcPr>
            <w:tcW w:w="420" w:type="dxa"/>
            <w:vAlign w:val="bottom"/>
          </w:tcPr>
          <w:p>
            <w:pPr>
              <w:spacing w:after="0"/>
              <w:rPr>
                <w:sz w:val="12"/>
                <w:szCs w:val="12"/>
                <w:color w:val="auto"/>
              </w:rPr>
            </w:pPr>
          </w:p>
        </w:tc>
        <w:tc>
          <w:tcPr>
            <w:tcW w:w="174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rPr>
              <w:t>$ Change</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340" w:type="dxa"/>
            <w:vAlign w:val="bottom"/>
          </w:tcPr>
          <w:p>
            <w:pPr>
              <w:spacing w:after="0"/>
              <w:rPr>
                <w:sz w:val="6"/>
                <w:szCs w:val="6"/>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Revenue</w:t>
            </w:r>
          </w:p>
        </w:tc>
        <w:tc>
          <w:tcPr>
            <w:tcW w:w="420" w:type="dxa"/>
            <w:vAlign w:val="bottom"/>
          </w:tcPr>
          <w:p>
            <w:pPr>
              <w:spacing w:after="0"/>
              <w:rPr>
                <w:sz w:val="6"/>
                <w:szCs w:val="6"/>
                <w:color w:val="auto"/>
              </w:rPr>
            </w:pPr>
          </w:p>
        </w:tc>
        <w:tc>
          <w:tcPr>
            <w:tcW w:w="2180" w:type="dxa"/>
            <w:vAlign w:val="bottom"/>
            <w:gridSpan w:val="3"/>
            <w:vMerge w:val="restart"/>
          </w:tcPr>
          <w:p>
            <w:pPr>
              <w:ind w:left="3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auto"/>
                <w:w w:val="91"/>
              </w:rPr>
              <w:t>Revenue</w:t>
            </w:r>
          </w:p>
        </w:tc>
        <w:tc>
          <w:tcPr>
            <w:tcW w:w="42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77"/>
        </w:trPr>
        <w:tc>
          <w:tcPr>
            <w:tcW w:w="23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80" w:type="dxa"/>
            <w:vAlign w:val="bottom"/>
            <w:gridSpan w:val="3"/>
          </w:tcPr>
          <w:p>
            <w:pPr>
              <w:ind w:left="1100"/>
              <w:spacing w:after="0"/>
              <w:rPr>
                <w:sz w:val="20"/>
                <w:szCs w:val="20"/>
                <w:color w:val="auto"/>
              </w:rPr>
            </w:pPr>
            <w:r>
              <w:rPr>
                <w:rFonts w:ascii="Arial" w:cs="Arial" w:eastAsia="Arial" w:hAnsi="Arial"/>
                <w:sz w:val="12"/>
                <w:szCs w:val="12"/>
                <w:b w:val="1"/>
                <w:bCs w:val="1"/>
                <w:color w:val="auto"/>
                <w:w w:val="92"/>
              </w:rPr>
              <w:t>($ amounts in 000's)</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Revenue:</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40" w:type="dxa"/>
            <w:vAlign w:val="bottom"/>
          </w:tcPr>
          <w:p>
            <w:pPr>
              <w:ind w:left="540"/>
              <w:spacing w:after="0"/>
              <w:rPr>
                <w:sz w:val="20"/>
                <w:szCs w:val="20"/>
                <w:color w:val="auto"/>
              </w:rPr>
            </w:pPr>
            <w:r>
              <w:rPr>
                <w:rFonts w:ascii="Arial" w:cs="Arial" w:eastAsia="Arial" w:hAnsi="Arial"/>
                <w:sz w:val="13"/>
                <w:szCs w:val="13"/>
                <w:color w:val="auto"/>
              </w:rPr>
              <w:t>Product</w:t>
            </w: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35,913</w:t>
            </w:r>
          </w:p>
        </w:tc>
        <w:tc>
          <w:tcPr>
            <w:tcW w:w="1680" w:type="dxa"/>
            <w:vAlign w:val="bottom"/>
            <w:gridSpan w:val="3"/>
          </w:tcPr>
          <w:p>
            <w:pPr>
              <w:jc w:val="right"/>
              <w:spacing w:after="0"/>
              <w:rPr>
                <w:sz w:val="20"/>
                <w:szCs w:val="20"/>
                <w:color w:val="auto"/>
              </w:rPr>
            </w:pPr>
            <w:r>
              <w:rPr>
                <w:rFonts w:ascii="Arial" w:cs="Arial" w:eastAsia="Arial" w:hAnsi="Arial"/>
                <w:sz w:val="13"/>
                <w:szCs w:val="13"/>
                <w:color w:val="auto"/>
              </w:rPr>
              <w:t>42.3</w:t>
            </w:r>
          </w:p>
        </w:tc>
        <w:tc>
          <w:tcPr>
            <w:tcW w:w="1740" w:type="dxa"/>
            <w:vAlign w:val="bottom"/>
            <w:gridSpan w:val="2"/>
          </w:tcPr>
          <w:p>
            <w:pPr>
              <w:jc w:val="right"/>
              <w:ind w:right="359"/>
              <w:spacing w:after="0"/>
              <w:rPr>
                <w:sz w:val="20"/>
                <w:szCs w:val="20"/>
                <w:color w:val="auto"/>
              </w:rPr>
            </w:pPr>
            <w:r>
              <w:rPr>
                <w:rFonts w:ascii="Arial" w:cs="Arial" w:eastAsia="Arial" w:hAnsi="Arial"/>
                <w:sz w:val="13"/>
                <w:szCs w:val="13"/>
                <w:color w:val="auto"/>
              </w:rPr>
              <w:t>25,550</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38.8</w:t>
            </w:r>
          </w:p>
        </w:tc>
        <w:tc>
          <w:tcPr>
            <w:tcW w:w="1700" w:type="dxa"/>
            <w:vAlign w:val="bottom"/>
            <w:gridSpan w:val="2"/>
          </w:tcPr>
          <w:p>
            <w:pPr>
              <w:jc w:val="right"/>
              <w:ind w:right="317"/>
              <w:spacing w:after="0"/>
              <w:rPr>
                <w:sz w:val="20"/>
                <w:szCs w:val="20"/>
                <w:color w:val="auto"/>
              </w:rPr>
            </w:pPr>
            <w:r>
              <w:rPr>
                <w:rFonts w:ascii="Arial" w:cs="Arial" w:eastAsia="Arial" w:hAnsi="Arial"/>
                <w:sz w:val="13"/>
                <w:szCs w:val="13"/>
                <w:color w:val="auto"/>
              </w:rPr>
              <w:t>10,363</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Services</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44,527</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1740" w:type="dxa"/>
            <w:vAlign w:val="bottom"/>
            <w:gridSpan w:val="2"/>
            <w:shd w:val="clear" w:color="auto" w:fill="CCEEFF"/>
          </w:tcPr>
          <w:p>
            <w:pPr>
              <w:jc w:val="right"/>
              <w:ind w:right="359"/>
              <w:spacing w:after="0"/>
              <w:rPr>
                <w:sz w:val="20"/>
                <w:szCs w:val="20"/>
                <w:color w:val="auto"/>
              </w:rPr>
            </w:pPr>
            <w:r>
              <w:rPr>
                <w:rFonts w:ascii="Arial" w:cs="Arial" w:eastAsia="Arial" w:hAnsi="Arial"/>
                <w:sz w:val="13"/>
                <w:szCs w:val="13"/>
                <w:color w:val="auto"/>
              </w:rPr>
              <w:t>36,712</w:t>
            </w: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700" w:type="dxa"/>
            <w:vAlign w:val="bottom"/>
            <w:gridSpan w:val="2"/>
            <w:shd w:val="clear" w:color="auto" w:fill="CCEEFF"/>
          </w:tcPr>
          <w:p>
            <w:pPr>
              <w:jc w:val="right"/>
              <w:ind w:right="317"/>
              <w:spacing w:after="0"/>
              <w:rPr>
                <w:sz w:val="20"/>
                <w:szCs w:val="20"/>
                <w:color w:val="auto"/>
              </w:rPr>
            </w:pPr>
            <w:r>
              <w:rPr>
                <w:rFonts w:ascii="Arial" w:cs="Arial" w:eastAsia="Arial" w:hAnsi="Arial"/>
                <w:sz w:val="13"/>
                <w:szCs w:val="13"/>
                <w:color w:val="auto"/>
              </w:rPr>
              <w:t>7,815</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Ratable product and services</w:t>
            </w: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4,531</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4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color w:val="auto"/>
              </w:rPr>
              <w:t>3,602</w:t>
            </w:r>
          </w:p>
        </w:tc>
        <w:tc>
          <w:tcPr>
            <w:tcW w:w="4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4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929</w:t>
            </w:r>
          </w:p>
        </w:tc>
        <w:tc>
          <w:tcPr>
            <w:tcW w:w="4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revenue</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84,971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740" w:type="dxa"/>
            <w:vAlign w:val="bottom"/>
            <w:gridSpan w:val="2"/>
            <w:shd w:val="clear" w:color="auto" w:fill="CCEEFF"/>
          </w:tcPr>
          <w:p>
            <w:pPr>
              <w:jc w:val="right"/>
              <w:ind w:right="359"/>
              <w:spacing w:after="0"/>
              <w:rPr>
                <w:sz w:val="20"/>
                <w:szCs w:val="20"/>
                <w:color w:val="auto"/>
              </w:rPr>
            </w:pPr>
            <w:r>
              <w:rPr>
                <w:rFonts w:ascii="Arial" w:cs="Arial" w:eastAsia="Arial" w:hAnsi="Arial"/>
                <w:sz w:val="13"/>
                <w:szCs w:val="13"/>
                <w:color w:val="auto"/>
              </w:rPr>
              <w:t>65,864</w:t>
            </w: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700" w:type="dxa"/>
            <w:vAlign w:val="bottom"/>
            <w:gridSpan w:val="2"/>
            <w:shd w:val="clear" w:color="auto" w:fill="CCEEFF"/>
          </w:tcPr>
          <w:p>
            <w:pPr>
              <w:jc w:val="right"/>
              <w:ind w:right="317"/>
              <w:spacing w:after="0"/>
              <w:rPr>
                <w:sz w:val="20"/>
                <w:szCs w:val="20"/>
                <w:color w:val="auto"/>
              </w:rPr>
            </w:pPr>
            <w:r>
              <w:rPr>
                <w:rFonts w:ascii="Arial" w:cs="Arial" w:eastAsia="Arial" w:hAnsi="Arial"/>
                <w:sz w:val="13"/>
                <w:szCs w:val="13"/>
                <w:color w:val="auto"/>
              </w:rPr>
              <w:t>19,107</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25"/>
        </w:trPr>
        <w:tc>
          <w:tcPr>
            <w:tcW w:w="2340" w:type="dxa"/>
            <w:vAlign w:val="bottom"/>
            <w:tcBorders>
              <w:top w:val="single" w:sz="8" w:color="CCEEFF"/>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Revenue by Geography:</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40" w:type="dxa"/>
            <w:vAlign w:val="bottom"/>
          </w:tcPr>
          <w:p>
            <w:pPr>
              <w:ind w:left="540"/>
              <w:spacing w:after="0"/>
              <w:rPr>
                <w:sz w:val="20"/>
                <w:szCs w:val="20"/>
                <w:color w:val="auto"/>
              </w:rPr>
            </w:pPr>
            <w:r>
              <w:rPr>
                <w:rFonts w:ascii="Arial" w:cs="Arial" w:eastAsia="Arial" w:hAnsi="Arial"/>
                <w:sz w:val="13"/>
                <w:szCs w:val="13"/>
                <w:color w:val="auto"/>
              </w:rPr>
              <w:t>Americas</w:t>
            </w:r>
          </w:p>
        </w:tc>
        <w:tc>
          <w:tcPr>
            <w:tcW w:w="1040" w:type="dxa"/>
            <w:vAlign w:val="bottom"/>
          </w:tcPr>
          <w:p>
            <w:pPr>
              <w:jc w:val="right"/>
              <w:ind w:right="96"/>
              <w:spacing w:after="0"/>
              <w:rPr>
                <w:sz w:val="20"/>
                <w:szCs w:val="20"/>
                <w:color w:val="auto"/>
              </w:rPr>
            </w:pPr>
            <w:r>
              <w:rPr>
                <w:rFonts w:ascii="Arial" w:cs="Arial" w:eastAsia="Arial" w:hAnsi="Arial"/>
                <w:sz w:val="13"/>
                <w:szCs w:val="13"/>
                <w:color w:val="auto"/>
              </w:rPr>
              <w:t>35,396</w:t>
            </w:r>
          </w:p>
        </w:tc>
        <w:tc>
          <w:tcPr>
            <w:tcW w:w="1680" w:type="dxa"/>
            <w:vAlign w:val="bottom"/>
            <w:gridSpan w:val="3"/>
          </w:tcPr>
          <w:p>
            <w:pPr>
              <w:jc w:val="right"/>
              <w:spacing w:after="0"/>
              <w:rPr>
                <w:sz w:val="20"/>
                <w:szCs w:val="20"/>
                <w:color w:val="auto"/>
              </w:rPr>
            </w:pPr>
            <w:r>
              <w:rPr>
                <w:rFonts w:ascii="Arial" w:cs="Arial" w:eastAsia="Arial" w:hAnsi="Arial"/>
                <w:sz w:val="13"/>
                <w:szCs w:val="13"/>
                <w:color w:val="auto"/>
              </w:rPr>
              <w:t>41.7</w:t>
            </w:r>
          </w:p>
        </w:tc>
        <w:tc>
          <w:tcPr>
            <w:tcW w:w="1740" w:type="dxa"/>
            <w:vAlign w:val="bottom"/>
            <w:gridSpan w:val="2"/>
          </w:tcPr>
          <w:p>
            <w:pPr>
              <w:jc w:val="right"/>
              <w:ind w:right="359"/>
              <w:spacing w:after="0"/>
              <w:rPr>
                <w:sz w:val="20"/>
                <w:szCs w:val="20"/>
                <w:color w:val="auto"/>
              </w:rPr>
            </w:pPr>
            <w:r>
              <w:rPr>
                <w:rFonts w:ascii="Arial" w:cs="Arial" w:eastAsia="Arial" w:hAnsi="Arial"/>
                <w:sz w:val="13"/>
                <w:szCs w:val="13"/>
                <w:color w:val="auto"/>
              </w:rPr>
              <w:t>26,085</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39.6</w:t>
            </w:r>
          </w:p>
        </w:tc>
        <w:tc>
          <w:tcPr>
            <w:tcW w:w="1700" w:type="dxa"/>
            <w:vAlign w:val="bottom"/>
            <w:gridSpan w:val="2"/>
          </w:tcPr>
          <w:p>
            <w:pPr>
              <w:jc w:val="right"/>
              <w:ind w:right="317"/>
              <w:spacing w:after="0"/>
              <w:rPr>
                <w:sz w:val="20"/>
                <w:szCs w:val="20"/>
                <w:color w:val="auto"/>
              </w:rPr>
            </w:pPr>
            <w:r>
              <w:rPr>
                <w:rFonts w:ascii="Arial" w:cs="Arial" w:eastAsia="Arial" w:hAnsi="Arial"/>
                <w:sz w:val="13"/>
                <w:szCs w:val="13"/>
                <w:color w:val="auto"/>
              </w:rPr>
              <w:t>9,311</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EMEA</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28,926</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740" w:type="dxa"/>
            <w:vAlign w:val="bottom"/>
            <w:gridSpan w:val="2"/>
            <w:shd w:val="clear" w:color="auto" w:fill="CCEEFF"/>
          </w:tcPr>
          <w:p>
            <w:pPr>
              <w:jc w:val="right"/>
              <w:ind w:right="359"/>
              <w:spacing w:after="0"/>
              <w:rPr>
                <w:sz w:val="20"/>
                <w:szCs w:val="20"/>
                <w:color w:val="auto"/>
              </w:rPr>
            </w:pPr>
            <w:r>
              <w:rPr>
                <w:rFonts w:ascii="Arial" w:cs="Arial" w:eastAsia="Arial" w:hAnsi="Arial"/>
                <w:sz w:val="13"/>
                <w:szCs w:val="13"/>
                <w:color w:val="auto"/>
              </w:rPr>
              <w:t>23,454</w:t>
            </w: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1700" w:type="dxa"/>
            <w:vAlign w:val="bottom"/>
            <w:gridSpan w:val="2"/>
            <w:shd w:val="clear" w:color="auto" w:fill="CCEEFF"/>
          </w:tcPr>
          <w:p>
            <w:pPr>
              <w:jc w:val="right"/>
              <w:ind w:right="317"/>
              <w:spacing w:after="0"/>
              <w:rPr>
                <w:sz w:val="20"/>
                <w:szCs w:val="20"/>
                <w:color w:val="auto"/>
              </w:rPr>
            </w:pPr>
            <w:r>
              <w:rPr>
                <w:rFonts w:ascii="Arial" w:cs="Arial" w:eastAsia="Arial" w:hAnsi="Arial"/>
                <w:sz w:val="13"/>
                <w:szCs w:val="13"/>
                <w:color w:val="auto"/>
              </w:rPr>
              <w:t>5,472</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APAC</w:t>
            </w: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20,649</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w:t>
            </w:r>
          </w:p>
        </w:tc>
        <w:tc>
          <w:tcPr>
            <w:tcW w:w="4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color w:val="auto"/>
              </w:rPr>
              <w:t>16,325</w:t>
            </w:r>
          </w:p>
        </w:tc>
        <w:tc>
          <w:tcPr>
            <w:tcW w:w="4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w:t>
            </w:r>
          </w:p>
        </w:tc>
        <w:tc>
          <w:tcPr>
            <w:tcW w:w="4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4,324</w:t>
            </w:r>
          </w:p>
        </w:tc>
        <w:tc>
          <w:tcPr>
            <w:tcW w:w="4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317"/>
        </w:trPr>
        <w:tc>
          <w:tcPr>
            <w:tcW w:w="2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revenue</w:t>
            </w: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84,971</w:t>
            </w:r>
          </w:p>
        </w:tc>
        <w:tc>
          <w:tcPr>
            <w:tcW w:w="2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4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65,864&lt; /td&gt;</w:t>
            </w:r>
          </w:p>
        </w:tc>
        <w:tc>
          <w:tcPr>
            <w:tcW w:w="4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4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19,107</w:t>
            </w:r>
          </w:p>
        </w:tc>
        <w:tc>
          <w:tcPr>
            <w:tcW w:w="4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140" w:firstLine="347"/>
        <w:spacing w:after="0" w:line="276" w:lineRule="auto"/>
        <w:rPr>
          <w:sz w:val="20"/>
          <w:szCs w:val="20"/>
          <w:color w:val="auto"/>
        </w:rPr>
      </w:pPr>
      <w:r>
        <w:rPr>
          <w:rFonts w:ascii="Arial" w:cs="Arial" w:eastAsia="Arial" w:hAnsi="Arial"/>
          <w:sz w:val="12"/>
          <w:szCs w:val="12"/>
          <w:color w:val="auto"/>
        </w:rPr>
        <w:t>Total revenue increased $19.1 million, or 29.0%, in the third quarter of 2010 as compared to the third quarter of 2009. The Americas region contributed the largest portion of this growth with increased sales to enterprise and s ervice provider customers, while the APAC and EMEA regions demonstrated significant year-over-year growth as well. Product revenue increased $10.4 million, or 40.6%, compared to the third quarter of 2009. The increase in product revenue was primarily driven by higher product sales volume and a greater mix of our high-end products due to increased sales to enterprise and service provider customers, exemplified by a 50 percen t increase in deals over $100,000. Services revenue increased $7.8 million, or 21.3%, in the third quarter of 2010 compared to the third quarter of 2009 due to recognition of revenue from our growing deferred revenue balance consisting of subscription and support contracts sold to a larger customer base. The growth in ratable product and services revenue was due to a slight decrease in the weighted-average service period over which such revenue was recognized, as the result of a decrease in the average contractual term of support contracts related to these arrangements.</w:t>
      </w:r>
    </w:p>
    <w:p>
      <w:pPr>
        <w:spacing w:after="0" w:line="128"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480"/>
          </w:cols>
          <w:pgMar w:left="220" w:top="131" w:right="199" w:bottom="1440" w:gutter="0" w:footer="0" w:header="0"/>
        </w:sectPr>
      </w:pPr>
    </w:p>
    <w:bookmarkStart w:id="31" w:name="page32"/>
    <w:bookmarkEnd w:id="31"/>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313"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Cost of revenue and gross margin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40" w:type="dxa"/>
            <w:vAlign w:val="bottom"/>
            <w:gridSpan w:val="3"/>
          </w:tcPr>
          <w:p>
            <w:pPr>
              <w:jc w:val="right"/>
              <w:ind w:right="858"/>
              <w:spacing w:after="0"/>
              <w:rPr>
                <w:sz w:val="20"/>
                <w:szCs w:val="20"/>
                <w:color w:val="auto"/>
              </w:rPr>
            </w:pPr>
            <w:r>
              <w:rPr>
                <w:rFonts w:ascii="Arial" w:cs="Arial" w:eastAsia="Arial" w:hAnsi="Arial"/>
                <w:sz w:val="12"/>
                <w:szCs w:val="12"/>
                <w:b w:val="1"/>
                <w:bCs w:val="1"/>
                <w:color w:val="auto"/>
                <w:w w:val="92"/>
              </w:rPr>
              <w:t>Three Months Ended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24"/>
        </w:trPr>
        <w:tc>
          <w:tcPr>
            <w:tcW w:w="37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45"/>
        </w:trPr>
        <w:tc>
          <w:tcPr>
            <w:tcW w:w="3780" w:type="dxa"/>
            <w:vAlign w:val="bottom"/>
          </w:tcPr>
          <w:p>
            <w:pPr>
              <w:spacing w:after="0"/>
              <w:rPr>
                <w:sz w:val="12"/>
                <w:szCs w:val="12"/>
                <w:color w:val="auto"/>
              </w:rPr>
            </w:pPr>
          </w:p>
        </w:tc>
        <w:tc>
          <w:tcPr>
            <w:tcW w:w="1360" w:type="dxa"/>
            <w:vAlign w:val="bottom"/>
          </w:tcPr>
          <w:p>
            <w:pPr>
              <w:jc w:val="right"/>
              <w:ind w:right="17"/>
              <w:spacing w:after="0"/>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ind w:right="58"/>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9"/>
        </w:trPr>
        <w:tc>
          <w:tcPr>
            <w:tcW w:w="3780" w:type="dxa"/>
            <w:vAlign w:val="bottom"/>
          </w:tcPr>
          <w:p>
            <w:pPr>
              <w:spacing w:after="0"/>
              <w:rPr>
                <w:sz w:val="12"/>
                <w:szCs w:val="12"/>
                <w:color w:val="auto"/>
              </w:rPr>
            </w:pPr>
          </w:p>
        </w:tc>
        <w:tc>
          <w:tcPr>
            <w:tcW w:w="1360" w:type="dxa"/>
            <w:vAlign w:val="bottom"/>
          </w:tcPr>
          <w:p>
            <w:pPr>
              <w:jc w:val="right"/>
              <w:ind w:right="397"/>
              <w:spacing w:after="0"/>
              <w:rPr>
                <w:sz w:val="20"/>
                <w:szCs w:val="20"/>
                <w:color w:val="auto"/>
              </w:rPr>
            </w:pPr>
            <w:r>
              <w:rPr>
                <w:rFonts w:ascii="Arial" w:cs="Arial" w:eastAsia="Arial" w:hAnsi="Arial"/>
                <w:sz w:val="12"/>
                <w:szCs w:val="12"/>
                <w:b w:val="1"/>
                <w:bCs w:val="1"/>
                <w:color w:val="auto"/>
              </w:rPr>
              <w:t>2010</w:t>
            </w:r>
          </w:p>
        </w:tc>
        <w:tc>
          <w:tcPr>
            <w:tcW w:w="2040" w:type="dxa"/>
            <w:vAlign w:val="bottom"/>
            <w:gridSpan w:val="3"/>
          </w:tcPr>
          <w:p>
            <w:pPr>
              <w:jc w:val="right"/>
              <w:ind w:right="458"/>
              <w:spacing w:after="0"/>
              <w:rPr>
                <w:sz w:val="20"/>
                <w:szCs w:val="20"/>
                <w:color w:val="auto"/>
              </w:rPr>
            </w:pPr>
            <w:r>
              <w:rPr>
                <w:rFonts w:ascii="Arial" w:cs="Arial" w:eastAsia="Arial" w:hAnsi="Arial"/>
                <w:sz w:val="12"/>
                <w:szCs w:val="12"/>
                <w:b w:val="1"/>
                <w:bCs w:val="1"/>
                <w:color w:val="auto"/>
              </w:rPr>
              <w:t>2009</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60" w:type="dxa"/>
            <w:vAlign w:val="bottom"/>
          </w:tcPr>
          <w:p>
            <w:pPr>
              <w:jc w:val="right"/>
              <w:ind w:right="258"/>
              <w:spacing w:after="0"/>
              <w:rPr>
                <w:sz w:val="20"/>
                <w:szCs w:val="20"/>
                <w:color w:val="auto"/>
              </w:rPr>
            </w:pPr>
            <w:r>
              <w:rPr>
                <w:rFonts w:ascii="Arial" w:cs="Arial" w:eastAsia="Arial" w:hAnsi="Arial"/>
                <w:sz w:val="12"/>
                <w:szCs w:val="12"/>
                <w:b w:val="1"/>
                <w:bCs w:val="1"/>
                <w:color w:val="auto"/>
              </w:rPr>
              <w:t>$ Change</w:t>
            </w:r>
          </w:p>
        </w:tc>
        <w:tc>
          <w:tcPr>
            <w:tcW w:w="1660" w:type="dxa"/>
            <w:vAlign w:val="bottom"/>
          </w:tcPr>
          <w:p>
            <w:pPr>
              <w:jc w:val="right"/>
              <w:ind w:right="137"/>
              <w:spacing w:after="0"/>
              <w:rPr>
                <w:sz w:val="20"/>
                <w:szCs w:val="20"/>
                <w:color w:val="auto"/>
              </w:rPr>
            </w:pPr>
            <w:r>
              <w:rPr>
                <w:rFonts w:ascii="Arial" w:cs="Arial" w:eastAsia="Arial" w:hAnsi="Arial"/>
                <w:sz w:val="12"/>
                <w:szCs w:val="12"/>
                <w:b w:val="1"/>
                <w:bCs w:val="1"/>
                <w:color w:val="auto"/>
              </w:rPr>
              <w:t>% Change</w:t>
            </w:r>
          </w:p>
        </w:tc>
      </w:tr>
      <w:tr>
        <w:trPr>
          <w:trHeight w:val="24"/>
        </w:trPr>
        <w:tc>
          <w:tcPr>
            <w:tcW w:w="37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49"/>
        </w:trPr>
        <w:tc>
          <w:tcPr>
            <w:tcW w:w="3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40" w:type="dxa"/>
            <w:vAlign w:val="bottom"/>
            <w:gridSpan w:val="3"/>
          </w:tcPr>
          <w:p>
            <w:pPr>
              <w:jc w:val="right"/>
              <w:ind w:right="1458"/>
              <w:spacing w:after="0"/>
              <w:rPr>
                <w:sz w:val="20"/>
                <w:szCs w:val="20"/>
                <w:color w:val="auto"/>
              </w:rPr>
            </w:pPr>
            <w:r>
              <w:rPr>
                <w:rFonts w:ascii="Arial" w:cs="Arial" w:eastAsia="Arial" w:hAnsi="Arial"/>
                <w:sz w:val="12"/>
                <w:szCs w:val="12"/>
                <w:b w:val="1"/>
                <w:bCs w:val="1"/>
                <w:color w:val="auto"/>
                <w:w w:val="95"/>
              </w:rPr>
              <w:t>($ amounts in 000's)</w:t>
            </w:r>
          </w:p>
        </w:tc>
        <w:tc>
          <w:tcPr>
            <w:tcW w:w="1660" w:type="dxa"/>
            <w:vAlign w:val="bottom"/>
          </w:tcPr>
          <w:p>
            <w:pPr>
              <w:spacing w:after="0"/>
              <w:rPr>
                <w:sz w:val="12"/>
                <w:szCs w:val="12"/>
                <w:color w:val="auto"/>
              </w:rPr>
            </w:pPr>
          </w:p>
        </w:tc>
      </w:tr>
      <w:tr>
        <w:trPr>
          <w:trHeight w:val="24"/>
        </w:trPr>
        <w:tc>
          <w:tcPr>
            <w:tcW w:w="3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347"/>
        </w:trPr>
        <w:tc>
          <w:tcPr>
            <w:tcW w:w="3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Cost of revenue:</w:t>
            </w:r>
          </w:p>
        </w:tc>
        <w:tc>
          <w:tcPr>
            <w:tcW w:w="1360" w:type="dxa"/>
            <w:vAlign w:val="bottom"/>
            <w:shd w:val="clear" w:color="auto" w:fill="CCEEFF"/>
          </w:tcPr>
          <w:p>
            <w:pPr>
              <w:jc w:val="right"/>
              <w:ind w:right="977"/>
              <w:spacing w:after="0"/>
              <w:rPr>
                <w:sz w:val="20"/>
                <w:szCs w:val="20"/>
                <w:color w:val="auto"/>
              </w:rPr>
            </w:pPr>
            <w:r>
              <w:rPr>
                <w:rFonts w:ascii="Arial" w:cs="Arial" w:eastAsia="Arial" w:hAnsi="Arial"/>
                <w:sz w:val="13"/>
                <w:szCs w:val="13"/>
                <w:color w:val="auto"/>
                <w:w w:val="90"/>
              </w:rPr>
              <w:t>&lt; /td&gt;</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183"/>
        </w:trPr>
        <w:tc>
          <w:tcPr>
            <w:tcW w:w="3780" w:type="dxa"/>
            <w:vAlign w:val="bottom"/>
          </w:tcPr>
          <w:p>
            <w:pPr>
              <w:ind w:left="540"/>
              <w:spacing w:after="0"/>
              <w:rPr>
                <w:sz w:val="20"/>
                <w:szCs w:val="20"/>
                <w:color w:val="auto"/>
              </w:rPr>
            </w:pPr>
            <w:r>
              <w:rPr>
                <w:rFonts w:ascii="Arial" w:cs="Arial" w:eastAsia="Arial" w:hAnsi="Arial"/>
                <w:sz w:val="13"/>
                <w:szCs w:val="13"/>
                <w:color w:val="auto"/>
              </w:rPr>
              <w:t>Product</w:t>
            </w:r>
          </w:p>
        </w:tc>
        <w:tc>
          <w:tcPr>
            <w:tcW w:w="1360" w:type="dxa"/>
            <w:vAlign w:val="bottom"/>
          </w:tcPr>
          <w:p>
            <w:pPr>
              <w:jc w:val="right"/>
              <w:ind w:right="117"/>
              <w:spacing w:after="0"/>
              <w:rPr>
                <w:sz w:val="20"/>
                <w:szCs w:val="20"/>
                <w:color w:val="auto"/>
              </w:rPr>
            </w:pPr>
            <w:r>
              <w:rPr>
                <w:rFonts w:ascii="Arial" w:cs="Arial" w:eastAsia="Arial" w:hAnsi="Arial"/>
                <w:sz w:val="13"/>
                <w:szCs w:val="13"/>
                <w:color w:val="auto"/>
              </w:rPr>
              <w:t>13,263</w:t>
            </w:r>
          </w:p>
        </w:tc>
        <w:tc>
          <w:tcPr>
            <w:tcW w:w="2040" w:type="dxa"/>
            <w:vAlign w:val="bottom"/>
            <w:gridSpan w:val="3"/>
          </w:tcPr>
          <w:p>
            <w:pPr>
              <w:jc w:val="right"/>
              <w:ind w:right="178"/>
              <w:spacing w:after="0"/>
              <w:rPr>
                <w:sz w:val="20"/>
                <w:szCs w:val="20"/>
                <w:color w:val="auto"/>
              </w:rPr>
            </w:pPr>
            <w:r>
              <w:rPr>
                <w:rFonts w:ascii="Arial" w:cs="Arial" w:eastAsia="Arial" w:hAnsi="Arial"/>
                <w:sz w:val="13"/>
                <w:szCs w:val="13"/>
                <w:color w:val="auto"/>
              </w:rPr>
              <w:t>10,428</w:t>
            </w:r>
          </w:p>
        </w:tc>
        <w:tc>
          <w:tcPr>
            <w:tcW w:w="2640" w:type="dxa"/>
            <w:vAlign w:val="bottom"/>
            <w:gridSpan w:val="3"/>
          </w:tcPr>
          <w:p>
            <w:pPr>
              <w:jc w:val="right"/>
              <w:ind w:right="338"/>
              <w:spacing w:after="0"/>
              <w:rPr>
                <w:sz w:val="20"/>
                <w:szCs w:val="20"/>
                <w:color w:val="auto"/>
              </w:rPr>
            </w:pPr>
            <w:r>
              <w:rPr>
                <w:rFonts w:ascii="Arial" w:cs="Arial" w:eastAsia="Arial" w:hAnsi="Arial"/>
                <w:sz w:val="13"/>
                <w:szCs w:val="13"/>
                <w:color w:val="auto"/>
              </w:rPr>
              <w:t>2,835</w:t>
            </w:r>
          </w:p>
        </w:tc>
        <w:tc>
          <w:tcPr>
            <w:tcW w:w="1660" w:type="dxa"/>
            <w:vAlign w:val="bottom"/>
          </w:tcPr>
          <w:p>
            <w:pPr>
              <w:jc w:val="right"/>
              <w:spacing w:after="0"/>
              <w:rPr>
                <w:sz w:val="20"/>
                <w:szCs w:val="20"/>
                <w:color w:val="auto"/>
              </w:rPr>
            </w:pPr>
            <w:r>
              <w:rPr>
                <w:rFonts w:ascii="Arial" w:cs="Arial" w:eastAsia="Arial" w:hAnsi="Arial"/>
                <w:sz w:val="13"/>
                <w:szCs w:val="13"/>
                <w:color w:val="auto"/>
              </w:rPr>
              <w:t>27.2</w:t>
            </w:r>
          </w:p>
        </w:tc>
      </w:tr>
      <w:tr>
        <w:trPr>
          <w:trHeight w:val="203"/>
        </w:trPr>
        <w:tc>
          <w:tcPr>
            <w:tcW w:w="37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Services</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6,565</w:t>
            </w:r>
          </w:p>
        </w:tc>
        <w:tc>
          <w:tcPr>
            <w:tcW w:w="2040" w:type="dxa"/>
            <w:vAlign w:val="bottom"/>
            <w:gridSpan w:val="3"/>
            <w:shd w:val="clear" w:color="auto" w:fill="CCEEFF"/>
          </w:tcPr>
          <w:p>
            <w:pPr>
              <w:jc w:val="right"/>
              <w:ind w:right="178"/>
              <w:spacing w:after="0"/>
              <w:rPr>
                <w:sz w:val="20"/>
                <w:szCs w:val="20"/>
                <w:color w:val="auto"/>
              </w:rPr>
            </w:pPr>
            <w:r>
              <w:rPr>
                <w:rFonts w:ascii="Arial" w:cs="Arial" w:eastAsia="Arial" w:hAnsi="Arial"/>
                <w:sz w:val="13"/>
                <w:szCs w:val="13"/>
                <w:color w:val="auto"/>
              </w:rPr>
              <w:t>5,550</w:t>
            </w:r>
          </w:p>
        </w:tc>
        <w:tc>
          <w:tcPr>
            <w:tcW w:w="2640" w:type="dxa"/>
            <w:vAlign w:val="bottom"/>
            <w:gridSpan w:val="3"/>
            <w:shd w:val="clear" w:color="auto" w:fill="CCEEFF"/>
          </w:tcPr>
          <w:p>
            <w:pPr>
              <w:jc w:val="right"/>
              <w:ind w:right="338"/>
              <w:spacing w:after="0"/>
              <w:rPr>
                <w:sz w:val="20"/>
                <w:szCs w:val="20"/>
                <w:color w:val="auto"/>
              </w:rPr>
            </w:pPr>
            <w:r>
              <w:rPr>
                <w:rFonts w:ascii="Arial" w:cs="Arial" w:eastAsia="Arial" w:hAnsi="Arial"/>
                <w:sz w:val="13"/>
                <w:szCs w:val="13"/>
                <w:color w:val="auto"/>
              </w:rPr>
              <w:t>1,015</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r>
      <w:tr>
        <w:trPr>
          <w:trHeight w:val="183"/>
        </w:trPr>
        <w:tc>
          <w:tcPr>
            <w:tcW w:w="378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Ratable product and services</w:t>
            </w: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1,615</w:t>
            </w: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color w:val="auto"/>
              </w:rPr>
              <w:t>1,455</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color w:val="auto"/>
              </w:rPr>
              <w:t>160</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11.0</w:t>
            </w:r>
          </w:p>
        </w:tc>
      </w:tr>
      <w:tr>
        <w:trPr>
          <w:trHeight w:val="212"/>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cost of revenue</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21,443</w:t>
            </w: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3"/>
                <w:szCs w:val="13"/>
                <w:color w:val="auto"/>
              </w:rPr>
              <w:t>17,433</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3"/>
                <w:szCs w:val="13"/>
                <w:color w:val="auto"/>
              </w:rPr>
              <w:t>4,010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23.0</w:t>
            </w:r>
          </w:p>
        </w:tc>
      </w:tr>
      <w:tr>
        <w:trPr>
          <w:trHeight w:val="115"/>
        </w:trPr>
        <w:tc>
          <w:tcPr>
            <w:tcW w:w="3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00" w:type="dxa"/>
            <w:vAlign w:val="bottom"/>
            <w:gridSpan w:val="2"/>
          </w:tcPr>
          <w:p>
            <w:pPr>
              <w:jc w:val="right"/>
              <w:ind w:right="1758"/>
              <w:spacing w:after="0" w:line="115" w:lineRule="exact"/>
              <w:rPr>
                <w:sz w:val="20"/>
                <w:szCs w:val="20"/>
                <w:color w:val="auto"/>
              </w:rPr>
            </w:pPr>
            <w:r>
              <w:rPr>
                <w:rFonts w:ascii="Arial" w:cs="Arial" w:eastAsia="Arial" w:hAnsi="Arial"/>
                <w:sz w:val="13"/>
                <w:szCs w:val="13"/>
                <w:color w:val="auto"/>
              </w:rPr>
              <w:t>&lt; font</w:t>
            </w:r>
          </w:p>
        </w:tc>
        <w:tc>
          <w:tcPr>
            <w:tcW w:w="1660" w:type="dxa"/>
            <w:vAlign w:val="bottom"/>
          </w:tcPr>
          <w:p>
            <w:pPr>
              <w:spacing w:after="0"/>
              <w:rPr>
                <w:sz w:val="9"/>
                <w:szCs w:val="9"/>
                <w:color w:val="auto"/>
              </w:rPr>
            </w:pPr>
          </w:p>
        </w:tc>
      </w:tr>
      <w:tr>
        <w:trPr>
          <w:trHeight w:val="193"/>
        </w:trPr>
        <w:tc>
          <w:tcPr>
            <w:tcW w:w="3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Gross margin (%):</w:t>
            </w: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165"/>
        </w:trPr>
        <w:tc>
          <w:tcPr>
            <w:tcW w:w="3780" w:type="dxa"/>
            <w:vAlign w:val="bottom"/>
          </w:tcPr>
          <w:p>
            <w:pPr>
              <w:ind w:left="540"/>
              <w:spacing w:after="0"/>
              <w:rPr>
                <w:sz w:val="20"/>
                <w:szCs w:val="20"/>
                <w:color w:val="auto"/>
              </w:rPr>
            </w:pPr>
            <w:r>
              <w:rPr>
                <w:rFonts w:ascii="Arial" w:cs="Arial" w:eastAsia="Arial" w:hAnsi="Arial"/>
                <w:sz w:val="13"/>
                <w:szCs w:val="13"/>
                <w:color w:val="auto"/>
              </w:rPr>
              <w:t>Product</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3780" w:type="dxa"/>
            <w:vAlign w:val="bottom"/>
          </w:tcPr>
          <w:p>
            <w:pPr>
              <w:ind w:left="200"/>
              <w:spacing w:after="0"/>
              <w:rPr>
                <w:sz w:val="20"/>
                <w:szCs w:val="20"/>
                <w:color w:val="auto"/>
              </w:rPr>
            </w:pPr>
            <w:r>
              <w:rPr>
                <w:rFonts w:ascii="Arial" w:cs="Arial" w:eastAsia="Arial" w:hAnsi="Arial"/>
                <w:sz w:val="13"/>
                <w:szCs w:val="13"/>
                <w:color w:val="auto"/>
              </w:rPr>
              <w:t>&lt; /td&gt;</w:t>
            </w:r>
          </w:p>
        </w:tc>
        <w:tc>
          <w:tcPr>
            <w:tcW w:w="1360" w:type="dxa"/>
            <w:vAlign w:val="bottom"/>
          </w:tcPr>
          <w:p>
            <w:pPr>
              <w:jc w:val="right"/>
              <w:ind w:right="117"/>
              <w:spacing w:after="0"/>
              <w:rPr>
                <w:sz w:val="20"/>
                <w:szCs w:val="20"/>
                <w:color w:val="auto"/>
              </w:rPr>
            </w:pPr>
            <w:r>
              <w:rPr>
                <w:rFonts w:ascii="Arial" w:cs="Arial" w:eastAsia="Arial" w:hAnsi="Arial"/>
                <w:sz w:val="13"/>
                <w:szCs w:val="13"/>
                <w:color w:val="auto"/>
              </w:rPr>
              <w:t>63.1</w:t>
            </w:r>
          </w:p>
        </w:tc>
        <w:tc>
          <w:tcPr>
            <w:tcW w:w="2040" w:type="dxa"/>
            <w:vAlign w:val="bottom"/>
            <w:gridSpan w:val="3"/>
          </w:tcPr>
          <w:p>
            <w:pPr>
              <w:jc w:val="right"/>
              <w:ind w:right="178"/>
              <w:spacing w:after="0"/>
              <w:rPr>
                <w:sz w:val="20"/>
                <w:szCs w:val="20"/>
                <w:color w:val="auto"/>
              </w:rPr>
            </w:pPr>
            <w:r>
              <w:rPr>
                <w:rFonts w:ascii="Arial" w:cs="Arial" w:eastAsia="Arial" w:hAnsi="Arial"/>
                <w:sz w:val="13"/>
                <w:szCs w:val="13"/>
                <w:color w:val="auto"/>
              </w:rPr>
              <w:t>59.2</w:t>
            </w:r>
          </w:p>
        </w:tc>
        <w:tc>
          <w:tcPr>
            <w:tcW w:w="2640" w:type="dxa"/>
            <w:vAlign w:val="bottom"/>
            <w:gridSpan w:val="3"/>
          </w:tcPr>
          <w:p>
            <w:pPr>
              <w:jc w:val="right"/>
              <w:ind w:right="338"/>
              <w:spacing w:after="0"/>
              <w:rPr>
                <w:sz w:val="20"/>
                <w:szCs w:val="20"/>
                <w:color w:val="auto"/>
              </w:rPr>
            </w:pPr>
            <w:r>
              <w:rPr>
                <w:rFonts w:ascii="Arial" w:cs="Arial" w:eastAsia="Arial" w:hAnsi="Arial"/>
                <w:sz w:val="13"/>
                <w:szCs w:val="13"/>
                <w:color w:val="auto"/>
              </w:rPr>
              <w:t>3.9</w:t>
            </w:r>
          </w:p>
        </w:tc>
        <w:tc>
          <w:tcPr>
            <w:tcW w:w="1660" w:type="dxa"/>
            <w:vAlign w:val="bottom"/>
          </w:tcPr>
          <w:p>
            <w:pPr>
              <w:spacing w:after="0"/>
              <w:rPr>
                <w:sz w:val="14"/>
                <w:szCs w:val="14"/>
                <w:color w:val="auto"/>
              </w:rPr>
            </w:pPr>
          </w:p>
        </w:tc>
      </w:tr>
      <w:tr>
        <w:trPr>
          <w:trHeight w:val="203"/>
        </w:trPr>
        <w:tc>
          <w:tcPr>
            <w:tcW w:w="37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Services</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85.3</w:t>
            </w:r>
          </w:p>
        </w:tc>
        <w:tc>
          <w:tcPr>
            <w:tcW w:w="2040" w:type="dxa"/>
            <w:vAlign w:val="bottom"/>
            <w:gridSpan w:val="3"/>
            <w:shd w:val="clear" w:color="auto" w:fill="CCEEFF"/>
          </w:tcPr>
          <w:p>
            <w:pPr>
              <w:jc w:val="right"/>
              <w:ind w:right="178"/>
              <w:spacing w:after="0"/>
              <w:rPr>
                <w:sz w:val="20"/>
                <w:szCs w:val="20"/>
                <w:color w:val="auto"/>
              </w:rPr>
            </w:pPr>
            <w:r>
              <w:rPr>
                <w:rFonts w:ascii="Arial" w:cs="Arial" w:eastAsia="Arial" w:hAnsi="Arial"/>
                <w:sz w:val="13"/>
                <w:szCs w:val="13"/>
                <w:color w:val="auto"/>
              </w:rPr>
              <w:t>84.9</w:t>
            </w:r>
          </w:p>
        </w:tc>
        <w:tc>
          <w:tcPr>
            <w:tcW w:w="2640" w:type="dxa"/>
            <w:vAlign w:val="bottom"/>
            <w:gridSpan w:val="3"/>
            <w:shd w:val="clear" w:color="auto" w:fill="CCEEFF"/>
          </w:tcPr>
          <w:p>
            <w:pPr>
              <w:jc w:val="right"/>
              <w:ind w:right="338"/>
              <w:spacing w:after="0"/>
              <w:rPr>
                <w:sz w:val="20"/>
                <w:szCs w:val="20"/>
                <w:color w:val="auto"/>
              </w:rPr>
            </w:pPr>
            <w:r>
              <w:rPr>
                <w:rFonts w:ascii="Arial" w:cs="Arial" w:eastAsia="Arial" w:hAnsi="Arial"/>
                <w:sz w:val="13"/>
                <w:szCs w:val="13"/>
                <w:color w:val="auto"/>
              </w:rPr>
              <w:t>0.4</w:t>
            </w:r>
          </w:p>
        </w:tc>
        <w:tc>
          <w:tcPr>
            <w:tcW w:w="1660" w:type="dxa"/>
            <w:vAlign w:val="bottom"/>
            <w:shd w:val="clear" w:color="auto" w:fill="CCEEFF"/>
          </w:tcPr>
          <w:p>
            <w:pPr>
              <w:spacing w:after="0"/>
              <w:rPr>
                <w:sz w:val="17"/>
                <w:szCs w:val="17"/>
                <w:color w:val="auto"/>
              </w:rPr>
            </w:pPr>
          </w:p>
        </w:tc>
      </w:tr>
      <w:tr>
        <w:trPr>
          <w:trHeight w:val="183"/>
        </w:trPr>
        <w:tc>
          <w:tcPr>
            <w:tcW w:w="3780" w:type="dxa"/>
            <w:vAlign w:val="bottom"/>
          </w:tcPr>
          <w:p>
            <w:pPr>
              <w:ind w:left="540"/>
              <w:spacing w:after="0"/>
              <w:rPr>
                <w:sz w:val="20"/>
                <w:szCs w:val="20"/>
                <w:color w:val="auto"/>
              </w:rPr>
            </w:pPr>
            <w:r>
              <w:rPr>
                <w:rFonts w:ascii="Arial" w:cs="Arial" w:eastAsia="Arial" w:hAnsi="Arial"/>
                <w:sz w:val="13"/>
                <w:szCs w:val="13"/>
                <w:color w:val="auto"/>
              </w:rPr>
              <w:t>Ratable product and services</w:t>
            </w:r>
          </w:p>
        </w:tc>
        <w:tc>
          <w:tcPr>
            <w:tcW w:w="1360" w:type="dxa"/>
            <w:vAlign w:val="bottom"/>
          </w:tcPr>
          <w:p>
            <w:pPr>
              <w:jc w:val="right"/>
              <w:ind w:right="117"/>
              <w:spacing w:after="0"/>
              <w:rPr>
                <w:sz w:val="20"/>
                <w:szCs w:val="20"/>
                <w:color w:val="auto"/>
              </w:rPr>
            </w:pPr>
            <w:r>
              <w:rPr>
                <w:rFonts w:ascii="Arial" w:cs="Arial" w:eastAsia="Arial" w:hAnsi="Arial"/>
                <w:sz w:val="13"/>
                <w:szCs w:val="13"/>
                <w:color w:val="auto"/>
              </w:rPr>
              <w:t>64.4</w:t>
            </w:r>
          </w:p>
        </w:tc>
        <w:tc>
          <w:tcPr>
            <w:tcW w:w="2040" w:type="dxa"/>
            <w:vAlign w:val="bottom"/>
            <w:gridSpan w:val="3"/>
          </w:tcPr>
          <w:p>
            <w:pPr>
              <w:jc w:val="right"/>
              <w:ind w:right="178"/>
              <w:spacing w:after="0"/>
              <w:rPr>
                <w:sz w:val="20"/>
                <w:szCs w:val="20"/>
                <w:color w:val="auto"/>
              </w:rPr>
            </w:pPr>
            <w:r>
              <w:rPr>
                <w:rFonts w:ascii="Arial" w:cs="Arial" w:eastAsia="Arial" w:hAnsi="Arial"/>
                <w:sz w:val="13"/>
                <w:szCs w:val="13"/>
                <w:color w:val="auto"/>
              </w:rPr>
              <w:t>59.6</w:t>
            </w:r>
          </w:p>
        </w:tc>
        <w:tc>
          <w:tcPr>
            <w:tcW w:w="2640" w:type="dxa"/>
            <w:vAlign w:val="bottom"/>
            <w:gridSpan w:val="3"/>
          </w:tcPr>
          <w:p>
            <w:pPr>
              <w:jc w:val="right"/>
              <w:ind w:right="338"/>
              <w:spacing w:after="0"/>
              <w:rPr>
                <w:sz w:val="20"/>
                <w:szCs w:val="20"/>
                <w:color w:val="auto"/>
              </w:rPr>
            </w:pPr>
            <w:r>
              <w:rPr>
                <w:rFonts w:ascii="Arial" w:cs="Arial" w:eastAsia="Arial" w:hAnsi="Arial"/>
                <w:sz w:val="13"/>
                <w:szCs w:val="13"/>
                <w:color w:val="auto"/>
              </w:rPr>
              <w:t>4.8</w:t>
            </w:r>
          </w:p>
        </w:tc>
        <w:tc>
          <w:tcPr>
            <w:tcW w:w="1660" w:type="dxa"/>
            <w:vAlign w:val="bottom"/>
          </w:tcPr>
          <w:p>
            <w:pPr>
              <w:spacing w:after="0"/>
              <w:rPr>
                <w:sz w:val="15"/>
                <w:szCs w:val="15"/>
                <w:color w:val="auto"/>
              </w:rPr>
            </w:pPr>
          </w:p>
        </w:tc>
      </w:tr>
      <w:tr>
        <w:trPr>
          <w:trHeight w:val="203"/>
        </w:trPr>
        <w:tc>
          <w:tcPr>
            <w:tcW w:w="3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gross margin</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74.8</w:t>
            </w:r>
          </w:p>
        </w:tc>
        <w:tc>
          <w:tcPr>
            <w:tcW w:w="2040" w:type="dxa"/>
            <w:vAlign w:val="bottom"/>
            <w:gridSpan w:val="3"/>
            <w:shd w:val="clear" w:color="auto" w:fill="CCEEFF"/>
          </w:tcPr>
          <w:p>
            <w:pPr>
              <w:jc w:val="right"/>
              <w:ind w:right="178"/>
              <w:spacing w:after="0"/>
              <w:rPr>
                <w:sz w:val="20"/>
                <w:szCs w:val="20"/>
                <w:color w:val="auto"/>
              </w:rPr>
            </w:pPr>
            <w:r>
              <w:rPr>
                <w:rFonts w:ascii="Arial" w:cs="Arial" w:eastAsia="Arial" w:hAnsi="Arial"/>
                <w:sz w:val="13"/>
                <w:szCs w:val="13"/>
                <w:color w:val="auto"/>
              </w:rPr>
              <w:t>73.5</w:t>
            </w:r>
          </w:p>
        </w:tc>
        <w:tc>
          <w:tcPr>
            <w:tcW w:w="2640" w:type="dxa"/>
            <w:vAlign w:val="bottom"/>
            <w:gridSpan w:val="3"/>
            <w:shd w:val="clear" w:color="auto" w:fill="CCEEFF"/>
          </w:tcPr>
          <w:p>
            <w:pPr>
              <w:jc w:val="right"/>
              <w:ind w:right="338"/>
              <w:spacing w:after="0"/>
              <w:rPr>
                <w:sz w:val="20"/>
                <w:szCs w:val="20"/>
                <w:color w:val="auto"/>
              </w:rPr>
            </w:pPr>
            <w:r>
              <w:rPr>
                <w:rFonts w:ascii="Arial" w:cs="Arial" w:eastAsia="Arial" w:hAnsi="Arial"/>
                <w:sz w:val="13"/>
                <w:szCs w:val="13"/>
                <w:color w:val="auto"/>
              </w:rPr>
              <w:t>1.3</w:t>
            </w:r>
          </w:p>
        </w:tc>
        <w:tc>
          <w:tcPr>
            <w:tcW w:w="1660" w:type="dxa"/>
            <w:vAlign w:val="bottom"/>
            <w:shd w:val="clear" w:color="auto" w:fill="CCEEFF"/>
          </w:tcPr>
          <w:p>
            <w:pPr>
              <w:spacing w:after="0"/>
              <w:rPr>
                <w:sz w:val="17"/>
                <w:szCs w:val="17"/>
                <w:color w:val="auto"/>
              </w:rPr>
            </w:pPr>
          </w:p>
        </w:tc>
      </w:tr>
    </w:tbl>
    <w:p>
      <w:pPr>
        <w:spacing w:after="0" w:line="145" w:lineRule="exact"/>
        <w:rPr>
          <w:sz w:val="20"/>
          <w:szCs w:val="20"/>
          <w:color w:val="auto"/>
        </w:rPr>
      </w:pPr>
    </w:p>
    <w:p>
      <w:pPr>
        <w:ind w:right="20" w:firstLine="347"/>
        <w:spacing w:after="0" w:line="275" w:lineRule="auto"/>
        <w:rPr>
          <w:sz w:val="20"/>
          <w:szCs w:val="20"/>
          <w:color w:val="auto"/>
        </w:rPr>
      </w:pPr>
      <w:r>
        <w:rPr>
          <w:rFonts w:ascii="Arial" w:cs="Arial" w:eastAsia="Arial" w:hAnsi="Arial"/>
          <w:sz w:val="12"/>
          <w:szCs w:val="12"/>
          <w:color w:val="auto"/>
        </w:rPr>
        <w:t>Total gross margin increased 1.3 percentage points in the third quarter of 2010 primarily due to improved product margins. Product gross margin increased 3.9 percentage points in the third quarter of 2010 compared to 2009 primarily due to an increase in the mix of high-end product sales to enterprise and service provider customers. The increased m argin was also partly attributed to indirect product costs and warranty-related costs increasing $0.4 million, but representing a lower percentage of product revenue compared to the third quarter of 2009. From time to time, we have experienced sales of previously reserved inventory. During the third quarter of 2010, we experienced a positive impact of 0.7 percentage points due to the sale of fully reserved inventory compared to 1.1 percentage points in the third quarter of 2009. The 0.4 percentage point increase in services gross margin was primarily due to our services business model and increased leverage in our cost structure. Services cost increased by $1.0 million primarily due to $0.7 million of higher cash-based personnel costs. Travel, depreciation, and occupancy-related costs increased a combined $0.3 million. Ratable product and services gross margin increased 4.8 percentage points, relatively in line with product gross margins, as a result of leveraging our indirect product cost structure, such as manufacturing overhead, and lower direct product costs as a percentage of revenue.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60" w:type="dxa"/>
            <w:vAlign w:val="bottom"/>
            <w:gridSpan w:val="4"/>
          </w:tcPr>
          <w:p>
            <w:pPr>
              <w:ind w:left="86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4"/>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49"/>
        </w:trPr>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4"/>
          </w:tcPr>
          <w:p>
            <w:pPr>
              <w:ind w:left="20"/>
              <w:spacing w:after="0"/>
              <w:rPr>
                <w:sz w:val="20"/>
                <w:szCs w:val="20"/>
                <w:color w:val="auto"/>
              </w:rPr>
            </w:pPr>
            <w:r>
              <w:rPr>
                <w:rFonts w:ascii="Arial" w:cs="Arial" w:eastAsia="Arial" w:hAnsi="Arial"/>
                <w:sz w:val="12"/>
                <w:szCs w:val="12"/>
                <w:b w:val="1"/>
                <w:bCs w:val="1"/>
                <w:color w:val="auto"/>
              </w:rPr>
              <w:t>September 30, 2010</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3"/>
          </w:tcPr>
          <w:p>
            <w:pPr>
              <w:ind w:left="40"/>
              <w:spacing w:after="0"/>
              <w:rPr>
                <w:sz w:val="20"/>
                <w:szCs w:val="20"/>
                <w:color w:val="auto"/>
              </w:rPr>
            </w:pPr>
            <w:r>
              <w:rPr>
                <w:rFonts w:ascii="Arial" w:cs="Arial" w:eastAsia="Arial" w:hAnsi="Arial"/>
                <w:sz w:val="12"/>
                <w:szCs w:val="12"/>
                <w:b w:val="1"/>
                <w:bCs w:val="1"/>
                <w:color w:val="auto"/>
              </w:rPr>
              <w:t>September 30, 2009</w:t>
            </w: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4"/>
        </w:trPr>
        <w:tc>
          <w:tcPr>
            <w:tcW w:w="2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45"/>
        </w:trPr>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 of</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139"/>
              <w:spacing w:after="0"/>
              <w:rPr>
                <w:sz w:val="20"/>
                <w:szCs w:val="20"/>
                <w:color w:val="auto"/>
              </w:rPr>
            </w:pPr>
            <w:r>
              <w:rPr>
                <w:rFonts w:ascii="Arial" w:cs="Arial" w:eastAsia="Arial" w:hAnsi="Arial"/>
                <w:sz w:val="12"/>
                <w:szCs w:val="12"/>
                <w:b w:val="1"/>
                <w:bCs w:val="1"/>
                <w:color w:val="auto"/>
              </w:rPr>
              <w:t>% of</w:t>
            </w: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2380" w:type="dxa"/>
            <w:vAlign w:val="bottom"/>
          </w:tcPr>
          <w:p>
            <w:pPr>
              <w:spacing w:after="0"/>
              <w:rPr>
                <w:sz w:val="14"/>
                <w:szCs w:val="14"/>
                <w:color w:val="auto"/>
              </w:rPr>
            </w:pPr>
          </w:p>
        </w:tc>
        <w:tc>
          <w:tcPr>
            <w:tcW w:w="1040" w:type="dxa"/>
            <w:vAlign w:val="bottom"/>
            <w:tcBorders>
              <w:bottom w:val="single" w:sz="8" w:color="auto"/>
            </w:tcBorders>
            <w:gridSpan w:val="2"/>
          </w:tcPr>
          <w:p>
            <w:pPr>
              <w:ind w:left="620"/>
              <w:spacing w:after="0"/>
              <w:rPr>
                <w:sz w:val="20"/>
                <w:szCs w:val="20"/>
                <w:color w:val="auto"/>
              </w:rPr>
            </w:pPr>
            <w:r>
              <w:rPr>
                <w:rFonts w:ascii="Arial" w:cs="Arial" w:eastAsia="Arial" w:hAnsi="Arial"/>
                <w:sz w:val="12"/>
                <w:szCs w:val="12"/>
                <w:b w:val="1"/>
                <w:bCs w:val="1"/>
                <w:color w:val="auto"/>
                <w:w w:val="88"/>
              </w:rPr>
              <w:t>Amount</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83"/>
              </w:rPr>
              <w:t>Revenue</w:t>
            </w:r>
          </w:p>
        </w:tc>
        <w:tc>
          <w:tcPr>
            <w:tcW w:w="1040" w:type="dxa"/>
            <w:vAlign w:val="bottom"/>
            <w:tcBorders>
              <w:bottom w:val="single" w:sz="8" w:color="auto"/>
            </w:tcBorders>
            <w:gridSpan w:val="2"/>
          </w:tcPr>
          <w:p>
            <w:pPr>
              <w:ind w:left="620"/>
              <w:spacing w:after="0"/>
              <w:rPr>
                <w:sz w:val="20"/>
                <w:szCs w:val="20"/>
                <w:color w:val="auto"/>
              </w:rPr>
            </w:pPr>
            <w:r>
              <w:rPr>
                <w:rFonts w:ascii="Arial" w:cs="Arial" w:eastAsia="Arial" w:hAnsi="Arial"/>
                <w:sz w:val="12"/>
                <w:szCs w:val="12"/>
                <w:b w:val="1"/>
                <w:bCs w:val="1"/>
                <w:color w:val="auto"/>
                <w:w w:val="88"/>
              </w:rPr>
              <w:t>Amount</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Revenue</w:t>
            </w: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2"/>
                <w:szCs w:val="12"/>
                <w:b w:val="1"/>
                <w:bCs w:val="1"/>
                <w:color w:val="auto"/>
              </w:rPr>
              <w:t>$ Change</w:t>
            </w:r>
          </w:p>
        </w:tc>
        <w:tc>
          <w:tcPr>
            <w:tcW w:w="152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b w:val="1"/>
                <w:bCs w:val="1"/>
                <w:color w:val="auto"/>
              </w:rPr>
              <w:t>% Change</w:t>
            </w:r>
          </w:p>
        </w:tc>
      </w:tr>
      <w:tr>
        <w:trPr>
          <w:trHeight w:val="151"/>
        </w:trPr>
        <w:tc>
          <w:tcPr>
            <w:tcW w:w="2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3"/>
          </w:tcPr>
          <w:p>
            <w:pPr>
              <w:ind w:left="40"/>
              <w:spacing w:after="0"/>
              <w:rPr>
                <w:sz w:val="20"/>
                <w:szCs w:val="20"/>
                <w:color w:val="auto"/>
              </w:rPr>
            </w:pPr>
            <w:r>
              <w:rPr>
                <w:rFonts w:ascii="Arial" w:cs="Arial" w:eastAsia="Arial" w:hAnsi="Arial"/>
                <w:sz w:val="12"/>
                <w:szCs w:val="12"/>
                <w:b w:val="1"/>
                <w:bCs w:val="1"/>
                <w:color w:val="auto"/>
              </w:rPr>
              <w:t>($ amounts in 000's)</w:t>
            </w: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4"/>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3"/>
        </w:trPr>
        <w:tc>
          <w:tcPr>
            <w:tcW w:w="2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expenses:</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3"/>
        </w:trPr>
        <w:tc>
          <w:tcPr>
            <w:tcW w:w="2380" w:type="dxa"/>
            <w:vAlign w:val="bottom"/>
          </w:tcPr>
          <w:p>
            <w:pPr>
              <w:ind w:left="540"/>
              <w:spacing w:after="0"/>
              <w:rPr>
                <w:sz w:val="20"/>
                <w:szCs w:val="20"/>
                <w:color w:val="auto"/>
              </w:rPr>
            </w:pPr>
            <w:r>
              <w:rPr>
                <w:rFonts w:ascii="Arial" w:cs="Arial" w:eastAsia="Arial" w:hAnsi="Arial"/>
                <w:sz w:val="13"/>
                <w:szCs w:val="13"/>
                <w:color w:val="auto"/>
              </w:rPr>
              <w:t>Research and development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12,389</w:t>
            </w:r>
          </w:p>
        </w:tc>
        <w:tc>
          <w:tcPr>
            <w:tcW w:w="14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color w:val="auto"/>
              </w:rPr>
              <w:t>14.6</w:t>
            </w:r>
          </w:p>
        </w:tc>
        <w:tc>
          <w:tcPr>
            <w:tcW w:w="42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10,797</w:t>
            </w:r>
          </w:p>
        </w:tc>
        <w:tc>
          <w:tcPr>
            <w:tcW w:w="14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color w:val="auto"/>
              </w:rPr>
              <w:t>16.4</w:t>
            </w:r>
          </w:p>
        </w:tc>
        <w:tc>
          <w:tcPr>
            <w:tcW w:w="1680" w:type="dxa"/>
            <w:vAlign w:val="bottom"/>
            <w:gridSpan w:val="2"/>
          </w:tcPr>
          <w:p>
            <w:pPr>
              <w:jc w:val="right"/>
              <w:ind w:right="537"/>
              <w:spacing w:after="0"/>
              <w:rPr>
                <w:sz w:val="20"/>
                <w:szCs w:val="20"/>
                <w:color w:val="auto"/>
              </w:rPr>
            </w:pPr>
            <w:r>
              <w:rPr>
                <w:rFonts w:ascii="Arial" w:cs="Arial" w:eastAsia="Arial" w:hAnsi="Arial"/>
                <w:sz w:val="13"/>
                <w:szCs w:val="13"/>
                <w:color w:val="auto"/>
              </w:rPr>
              <w:t>1,592</w:t>
            </w:r>
          </w:p>
        </w:tc>
        <w:tc>
          <w:tcPr>
            <w:tcW w:w="1520" w:type="dxa"/>
            <w:vAlign w:val="bottom"/>
          </w:tcPr>
          <w:p>
            <w:pPr>
              <w:jc w:val="right"/>
              <w:spacing w:after="0"/>
              <w:rPr>
                <w:sz w:val="20"/>
                <w:szCs w:val="20"/>
                <w:color w:val="auto"/>
              </w:rPr>
            </w:pPr>
            <w:r>
              <w:rPr>
                <w:rFonts w:ascii="Arial" w:cs="Arial" w:eastAsia="Arial" w:hAnsi="Arial"/>
                <w:sz w:val="13"/>
                <w:szCs w:val="13"/>
                <w:color w:val="auto"/>
              </w:rPr>
              <w:t>14.7</w:t>
            </w:r>
          </w:p>
        </w:tc>
      </w:tr>
      <w:tr>
        <w:trPr>
          <w:trHeight w:val="203"/>
        </w:trPr>
        <w:tc>
          <w:tcPr>
            <w:tcW w:w="23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Sales and marketing</w:t>
            </w:r>
          </w:p>
        </w:tc>
        <w:tc>
          <w:tcPr>
            <w:tcW w:w="900" w:type="dxa"/>
            <w:vAlign w:val="bottom"/>
          </w:tcPr>
          <w:p>
            <w:pPr>
              <w:jc w:val="right"/>
              <w:spacing w:after="0"/>
              <w:rPr>
                <w:sz w:val="20"/>
                <w:szCs w:val="20"/>
                <w:color w:val="auto"/>
              </w:rPr>
            </w:pPr>
            <w:r>
              <w:rPr>
                <w:rFonts w:ascii="Arial" w:cs="Arial" w:eastAsia="Arial" w:hAnsi="Arial"/>
                <w:sz w:val="13"/>
                <w:szCs w:val="13"/>
                <w:color w:val="auto"/>
              </w:rPr>
              <w:t>26,987</w:t>
            </w:r>
          </w:p>
        </w:tc>
        <w:tc>
          <w:tcPr>
            <w:tcW w:w="14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4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23,468</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420" w:type="dxa"/>
            <w:vAlign w:val="bottom"/>
          </w:tcPr>
          <w:p>
            <w:pPr>
              <w:spacing w:after="0"/>
              <w:rPr>
                <w:sz w:val="17"/>
                <w:szCs w:val="17"/>
                <w:color w:val="auto"/>
              </w:rPr>
            </w:pPr>
          </w:p>
        </w:tc>
        <w:tc>
          <w:tcPr>
            <w:tcW w:w="12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3,519</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83"/>
        </w:trPr>
        <w:tc>
          <w:tcPr>
            <w:tcW w:w="238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General and administrative</w:t>
            </w: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5,993</w:t>
            </w: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4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4,490</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color w:val="auto"/>
              </w:rPr>
              <w:t>6.8</w:t>
            </w:r>
          </w:p>
        </w:tc>
        <w:tc>
          <w:tcPr>
            <w:tcW w:w="4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1,503</w:t>
            </w:r>
          </w:p>
        </w:tc>
        <w:tc>
          <w:tcPr>
            <w:tcW w:w="1520" w:type="dxa"/>
            <w:vAlign w:val="bottom"/>
            <w:tcBorders>
              <w:bottom w:val="single" w:sz="8" w:color="CCEEFF"/>
            </w:tcBorders>
          </w:tcPr>
          <w:p>
            <w:pPr>
              <w:jc w:val="right"/>
              <w:ind w:right="397"/>
              <w:spacing w:after="0"/>
              <w:rPr>
                <w:sz w:val="20"/>
                <w:szCs w:val="20"/>
                <w:color w:val="auto"/>
              </w:rPr>
            </w:pPr>
            <w:r>
              <w:rPr>
                <w:rFonts w:ascii="Arial" w:cs="Arial" w:eastAsia="Arial" w:hAnsi="Arial"/>
                <w:sz w:val="13"/>
                <w:szCs w:val="13"/>
                <w:color w:val="auto"/>
              </w:rPr>
              <w:t>33.5</w:t>
            </w:r>
          </w:p>
        </w:tc>
      </w:tr>
      <w:tr>
        <w:trPr>
          <w:trHeight w:val="201"/>
        </w:trPr>
        <w:tc>
          <w:tcPr>
            <w:tcW w:w="2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45,369</w:t>
            </w:r>
          </w:p>
        </w:tc>
        <w:tc>
          <w:tcPr>
            <w:tcW w:w="2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53.5</w:t>
            </w:r>
          </w:p>
        </w:tc>
        <w:tc>
          <w:tcPr>
            <w:tcW w:w="4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38,755</w:t>
            </w: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6,614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w:t>
            </w:r>
          </w:p>
        </w:tc>
      </w:tr>
    </w:tbl>
    <w:p>
      <w:pPr>
        <w:spacing w:after="0" w:line="145"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Research and development expense</w:t>
      </w:r>
    </w:p>
    <w:p>
      <w:pPr>
        <w:spacing w:after="0" w:line="159" w:lineRule="exact"/>
        <w:rPr>
          <w:sz w:val="20"/>
          <w:szCs w:val="20"/>
          <w:color w:val="auto"/>
        </w:rPr>
      </w:pPr>
    </w:p>
    <w:p>
      <w:pPr>
        <w:ind w:right="140" w:firstLine="347"/>
        <w:spacing w:after="0" w:line="326" w:lineRule="auto"/>
        <w:rPr>
          <w:sz w:val="20"/>
          <w:szCs w:val="20"/>
          <w:color w:val="auto"/>
        </w:rPr>
      </w:pPr>
      <w:r>
        <w:rPr>
          <w:rFonts w:ascii="Arial" w:cs="Arial" w:eastAsia="Arial" w:hAnsi="Arial"/>
          <w:sz w:val="11"/>
          <w:szCs w:val="11"/>
          <w:color w:val="auto"/>
        </w:rPr>
        <w:t>Research and development expense increased $1.6 million, or 14.7%, in the third quarter of 2010 compared to the third quarter of 2009 primarily due to an increase of $0.8 million in cash-based personnel costs as a result of increased headcount to support the development of new products and continued enhancements of our existing products. Occupancy-related costs increased $0.5 million due to expansion into a new office facility and product development expenses increased $0.3 million. A 6% increase in the Canadian dollar exchange rate against the US dollar als o significantly contributed to the increase in research and development expense.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Sales and marketing expense</w:t>
      </w:r>
    </w:p>
    <w:p>
      <w:pPr>
        <w:spacing w:after="0" w:line="313"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480"/>
          </w:cols>
          <w:pgMar w:left="220" w:top="131" w:right="199" w:bottom="1440" w:gutter="0" w:footer="0" w:header="0"/>
        </w:sectPr>
      </w:pPr>
    </w:p>
    <w:bookmarkStart w:id="32" w:name="page33"/>
    <w:bookmarkEnd w:id="32"/>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firstLine="347"/>
        <w:spacing w:after="0" w:line="251" w:lineRule="auto"/>
        <w:rPr>
          <w:sz w:val="20"/>
          <w:szCs w:val="20"/>
          <w:color w:val="auto"/>
        </w:rPr>
      </w:pPr>
      <w:r>
        <w:rPr>
          <w:rFonts w:ascii="Arial" w:cs="Arial" w:eastAsia="Arial" w:hAnsi="Arial"/>
          <w:sz w:val="13"/>
          <w:szCs w:val="13"/>
          <w:color w:val="auto"/>
        </w:rPr>
        <w:t>Sales and marketing expense increased $3.5 million, or 15.0%, in the third quarter of 2010 compared to the third quarter of 2009 primarily due to increased cash-based personnel costs of $3.5 million based on increased headcount in our sales organization in order to expand our global footprint, a $0.3 million increase in travel expense and a $0.3 million increase in stock-based compensation expense. These increases were offset by $0.6 million of lower marketing related expenses as a result of continued focus around expense control. A 12% decrease in the Euro exchange rate against the US dollar also contributed to the decrease in sales and marketing expense. As a percentage of revenue, sales and marketing expenses decreased 3.9 percentage points due to the leverage we are achieving from the investment in our salesforce during the past year, as evidenced by our revenue growth of 29.0% outpacing our sales and marketing expenses growth of 15.0%. However, we intend to continue to make investments in sales and marketing in the near term to position ourselves for future growth.</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General and administrative expense</w:t>
      </w:r>
    </w:p>
    <w:p>
      <w:pPr>
        <w:spacing w:after="0" w:line="159" w:lineRule="exact"/>
        <w:rPr>
          <w:sz w:val="20"/>
          <w:szCs w:val="20"/>
          <w:color w:val="auto"/>
        </w:rPr>
      </w:pPr>
    </w:p>
    <w:p>
      <w:pPr>
        <w:ind w:right="80" w:firstLine="347"/>
        <w:spacing w:after="0" w:line="268" w:lineRule="auto"/>
        <w:rPr>
          <w:sz w:val="20"/>
          <w:szCs w:val="20"/>
          <w:color w:val="auto"/>
        </w:rPr>
      </w:pPr>
      <w:r>
        <w:rPr>
          <w:rFonts w:ascii="Arial" w:cs="Arial" w:eastAsia="Arial" w:hAnsi="Arial"/>
          <w:sz w:val="13"/>
          <w:szCs w:val="13"/>
          <w:color w:val="auto"/>
        </w:rPr>
        <w:t>In the third quarter of 2010, general and administrative expense increased $1.5 million, or 33.5%, compared to the third quarter of 2009. The increase was primarily due to a $1.2 million increase in legal expenses to support various patent litigation matters, increased cash-based personnel costs of $0.2 million, and a $0.1 million increase in stock-based compensation.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Interest income and other income (expense), net</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40" w:type="dxa"/>
            <w:vAlign w:val="bottom"/>
            <w:gridSpan w:val="2"/>
          </w:tcPr>
          <w:p>
            <w:pPr>
              <w:ind w:left="60"/>
              <w:spacing w:after="0"/>
              <w:rPr>
                <w:sz w:val="20"/>
                <w:szCs w:val="20"/>
                <w:color w:val="auto"/>
              </w:rPr>
            </w:pPr>
            <w:r>
              <w:rPr>
                <w:rFonts w:ascii="Arial" w:cs="Arial" w:eastAsia="Arial" w:hAnsi="Arial"/>
                <w:sz w:val="12"/>
                <w:szCs w:val="12"/>
                <w:b w:val="1"/>
                <w:bCs w:val="1"/>
                <w:color w:val="auto"/>
              </w:rPr>
              <w:t>Three Months Ended</w:t>
            </w: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4"/>
        </w:trPr>
        <w:tc>
          <w:tcPr>
            <w:tcW w:w="36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5"/>
        </w:trPr>
        <w:tc>
          <w:tcPr>
            <w:tcW w:w="3660" w:type="dxa"/>
            <w:vAlign w:val="bottom"/>
          </w:tcPr>
          <w:p>
            <w:pPr>
              <w:spacing w:after="0"/>
              <w:rPr>
                <w:sz w:val="12"/>
                <w:szCs w:val="12"/>
                <w:color w:val="auto"/>
              </w:rPr>
            </w:pPr>
          </w:p>
        </w:tc>
        <w:tc>
          <w:tcPr>
            <w:tcW w:w="1460" w:type="dxa"/>
            <w:vAlign w:val="bottom"/>
          </w:tcPr>
          <w:p>
            <w:pPr>
              <w:jc w:val="right"/>
              <w:ind w:right="59"/>
              <w:spacing w:after="0"/>
              <w:rPr>
                <w:sz w:val="20"/>
                <w:szCs w:val="20"/>
                <w:color w:val="auto"/>
              </w:rPr>
            </w:pPr>
            <w:r>
              <w:rPr>
                <w:rFonts w:ascii="Arial" w:cs="Arial" w:eastAsia="Arial" w:hAnsi="Arial"/>
                <w:sz w:val="12"/>
                <w:szCs w:val="12"/>
                <w:b w:val="1"/>
                <w:bCs w:val="1"/>
                <w:color w:val="auto"/>
              </w:rPr>
              <w:t>September 30,</w:t>
            </w:r>
          </w:p>
        </w:tc>
        <w:tc>
          <w:tcPr>
            <w:tcW w:w="240" w:type="dxa"/>
            <w:vAlign w:val="bottom"/>
          </w:tcPr>
          <w:p>
            <w:pPr>
              <w:spacing w:after="0"/>
              <w:rPr>
                <w:sz w:val="12"/>
                <w:szCs w:val="12"/>
                <w:color w:val="auto"/>
              </w:rPr>
            </w:pPr>
          </w:p>
        </w:tc>
        <w:tc>
          <w:tcPr>
            <w:tcW w:w="3240" w:type="dxa"/>
            <w:vAlign w:val="bottom"/>
            <w:gridSpan w:val="2"/>
          </w:tcPr>
          <w:p>
            <w:pPr>
              <w:ind w:left="1260"/>
              <w:spacing w:after="0"/>
              <w:rPr>
                <w:sz w:val="20"/>
                <w:szCs w:val="20"/>
                <w:color w:val="auto"/>
              </w:rPr>
            </w:pPr>
            <w:r>
              <w:rPr>
                <w:rFonts w:ascii="Arial" w:cs="Arial" w:eastAsia="Arial" w:hAnsi="Arial"/>
                <w:sz w:val="12"/>
                <w:szCs w:val="12"/>
                <w:b w:val="1"/>
                <w:bCs w:val="1"/>
                <w:color w:val="auto"/>
              </w:rPr>
              <w:t>September 30,</w:t>
            </w: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1460" w:type="dxa"/>
            <w:vAlign w:val="bottom"/>
          </w:tcPr>
          <w:p>
            <w:pPr>
              <w:jc w:val="right"/>
              <w:ind w:right="459"/>
              <w:spacing w:after="0"/>
              <w:rPr>
                <w:sz w:val="20"/>
                <w:szCs w:val="20"/>
                <w:color w:val="auto"/>
              </w:rPr>
            </w:pPr>
            <w:r>
              <w:rPr>
                <w:rFonts w:ascii="Arial" w:cs="Arial" w:eastAsia="Arial" w:hAnsi="Arial"/>
                <w:sz w:val="12"/>
                <w:szCs w:val="12"/>
                <w:b w:val="1"/>
                <w:bCs w:val="1"/>
                <w:color w:val="auto"/>
              </w:rPr>
              <w:t>2010</w:t>
            </w:r>
          </w:p>
        </w:tc>
        <w:tc>
          <w:tcPr>
            <w:tcW w:w="240" w:type="dxa"/>
            <w:vAlign w:val="bottom"/>
          </w:tcPr>
          <w:p>
            <w:pPr>
              <w:spacing w:after="0"/>
              <w:rPr>
                <w:sz w:val="12"/>
                <w:szCs w:val="12"/>
                <w:color w:val="auto"/>
              </w:rPr>
            </w:pPr>
          </w:p>
        </w:tc>
        <w:tc>
          <w:tcPr>
            <w:tcW w:w="2520" w:type="dxa"/>
            <w:vAlign w:val="bottom"/>
          </w:tcPr>
          <w:p>
            <w:pPr>
              <w:ind w:left="1340"/>
              <w:spacing w:after="0"/>
              <w:rPr>
                <w:sz w:val="20"/>
                <w:szCs w:val="20"/>
                <w:color w:val="auto"/>
              </w:rPr>
            </w:pPr>
            <w:r>
              <w:rPr>
                <w:rFonts w:ascii="Arial" w:cs="Arial" w:eastAsia="Arial" w:hAnsi="Arial"/>
                <w:sz w:val="12"/>
                <w:szCs w:val="12"/>
                <w:b w:val="1"/>
                <w:bCs w:val="1"/>
                <w:color w:val="auto"/>
              </w:rPr>
              <w:t>2009</w:t>
            </w:r>
          </w:p>
        </w:tc>
        <w:tc>
          <w:tcPr>
            <w:tcW w:w="720" w:type="dxa"/>
            <w:vAlign w:val="bottom"/>
          </w:tcPr>
          <w:p>
            <w:pPr>
              <w:spacing w:after="0"/>
              <w:rPr>
                <w:sz w:val="12"/>
                <w:szCs w:val="12"/>
                <w:color w:val="auto"/>
              </w:rPr>
            </w:pPr>
          </w:p>
        </w:tc>
        <w:tc>
          <w:tcPr>
            <w:tcW w:w="980" w:type="dxa"/>
            <w:vAlign w:val="bottom"/>
          </w:tcPr>
          <w:p>
            <w:pPr>
              <w:jc w:val="right"/>
              <w:ind w:right="78"/>
              <w:spacing w:after="0"/>
              <w:rPr>
                <w:sz w:val="20"/>
                <w:szCs w:val="20"/>
                <w:color w:val="auto"/>
              </w:rPr>
            </w:pPr>
            <w:r>
              <w:rPr>
                <w:rFonts w:ascii="Arial" w:cs="Arial" w:eastAsia="Arial" w:hAnsi="Arial"/>
                <w:sz w:val="12"/>
                <w:szCs w:val="12"/>
                <w:b w:val="1"/>
                <w:bCs w:val="1"/>
                <w:color w:val="auto"/>
              </w:rPr>
              <w:t>$ Change</w:t>
            </w:r>
          </w:p>
        </w:tc>
        <w:tc>
          <w:tcPr>
            <w:tcW w:w="660" w:type="dxa"/>
            <w:vAlign w:val="bottom"/>
          </w:tcPr>
          <w:p>
            <w:pPr>
              <w:spacing w:after="0"/>
              <w:rPr>
                <w:sz w:val="12"/>
                <w:szCs w:val="12"/>
                <w:color w:val="auto"/>
              </w:rPr>
            </w:pPr>
          </w:p>
        </w:tc>
        <w:tc>
          <w:tcPr>
            <w:tcW w:w="1200" w:type="dxa"/>
            <w:vAlign w:val="bottom"/>
          </w:tcPr>
          <w:p>
            <w:pPr>
              <w:ind w:left="480"/>
              <w:spacing w:after="0"/>
              <w:rPr>
                <w:sz w:val="20"/>
                <w:szCs w:val="20"/>
                <w:color w:val="auto"/>
              </w:rPr>
            </w:pPr>
            <w:r>
              <w:rPr>
                <w:rFonts w:ascii="Arial" w:cs="Arial" w:eastAsia="Arial" w:hAnsi="Arial"/>
                <w:sz w:val="12"/>
                <w:szCs w:val="12"/>
                <w:b w:val="1"/>
                <w:bCs w:val="1"/>
                <w:color w:val="auto"/>
              </w:rPr>
              <w:t>% Change</w:t>
            </w:r>
          </w:p>
        </w:tc>
      </w:tr>
      <w:tr>
        <w:trPr>
          <w:trHeight w:val="24"/>
        </w:trPr>
        <w:tc>
          <w:tcPr>
            <w:tcW w:w="36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9"/>
        </w:trPr>
        <w:tc>
          <w:tcPr>
            <w:tcW w:w="3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40" w:type="dxa"/>
            <w:vAlign w:val="bottom"/>
            <w:gridSpan w:val="2"/>
          </w:tcPr>
          <w:p>
            <w:pPr>
              <w:ind w:left="1860"/>
              <w:spacing w:after="0"/>
              <w:rPr>
                <w:sz w:val="20"/>
                <w:szCs w:val="20"/>
                <w:color w:val="auto"/>
              </w:rPr>
            </w:pPr>
            <w:r>
              <w:rPr>
                <w:rFonts w:ascii="Arial" w:cs="Arial" w:eastAsia="Arial" w:hAnsi="Arial"/>
                <w:sz w:val="12"/>
                <w:szCs w:val="12"/>
                <w:b w:val="1"/>
                <w:bCs w:val="1"/>
                <w:color w:val="auto"/>
              </w:rPr>
              <w:t>($ amounts in 000's)</w:t>
            </w: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4"/>
        </w:trPr>
        <w:tc>
          <w:tcPr>
            <w:tcW w:w="3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3"/>
        </w:trPr>
        <w:tc>
          <w:tcPr>
            <w:tcW w:w="36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Interest income</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3"/>
                <w:szCs w:val="13"/>
                <w:color w:val="auto"/>
              </w:rPr>
              <w:t>514</w:t>
            </w:r>
          </w:p>
        </w:tc>
        <w:tc>
          <w:tcPr>
            <w:tcW w:w="240" w:type="dxa"/>
            <w:vAlign w:val="bottom"/>
            <w:shd w:val="clear" w:color="auto" w:fill="CCEEFF"/>
          </w:tcPr>
          <w:p>
            <w:pPr>
              <w:spacing w:after="0"/>
              <w:rPr>
                <w:sz w:val="16"/>
                <w:szCs w:val="16"/>
                <w:color w:val="auto"/>
              </w:rPr>
            </w:pPr>
          </w:p>
        </w:tc>
        <w:tc>
          <w:tcPr>
            <w:tcW w:w="25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428</w:t>
            </w: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86</w:t>
            </w:r>
          </w:p>
        </w:tc>
        <w:tc>
          <w:tcPr>
            <w:tcW w:w="6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r>
      <w:tr>
        <w:trPr>
          <w:trHeight w:val="165"/>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40" w:type="dxa"/>
            <w:vAlign w:val="bottom"/>
            <w:gridSpan w:val="2"/>
          </w:tcPr>
          <w:p>
            <w:pPr>
              <w:ind w:left="1860"/>
              <w:spacing w:after="0"/>
              <w:rPr>
                <w:sz w:val="20"/>
                <w:szCs w:val="20"/>
                <w:color w:val="auto"/>
              </w:rPr>
            </w:pPr>
            <w:r>
              <w:rPr>
                <w:rFonts w:ascii="Arial" w:cs="Arial" w:eastAsia="Arial" w:hAnsi="Arial"/>
                <w:sz w:val="13"/>
                <w:szCs w:val="13"/>
                <w:color w:val="auto"/>
              </w:rPr>
              <w:t>&lt; font</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4"/>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40" w:type="dxa"/>
            <w:vAlign w:val="bottom"/>
            <w:gridSpan w:val="2"/>
          </w:tcPr>
          <w:p>
            <w:pPr>
              <w:ind w:left="1500"/>
              <w:spacing w:after="0"/>
              <w:rPr>
                <w:sz w:val="20"/>
                <w:szCs w:val="20"/>
                <w:color w:val="auto"/>
              </w:rPr>
            </w:pPr>
            <w:r>
              <w:rPr>
                <w:rFonts w:ascii="Arial" w:cs="Arial" w:eastAsia="Arial" w:hAnsi="Arial"/>
                <w:sz w:val="13"/>
                <w:szCs w:val="13"/>
                <w:color w:val="auto"/>
              </w:rPr>
              <w:t>style="font-</w:t>
            </w: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4"/>
        </w:trPr>
        <w:tc>
          <w:tcPr>
            <w:tcW w:w="3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40" w:type="dxa"/>
            <w:vAlign w:val="bottom"/>
            <w:gridSpan w:val="2"/>
          </w:tcPr>
          <w:p>
            <w:pPr>
              <w:ind w:left="1500"/>
              <w:spacing w:after="0"/>
              <w:rPr>
                <w:sz w:val="20"/>
                <w:szCs w:val="20"/>
                <w:color w:val="auto"/>
              </w:rPr>
            </w:pPr>
            <w:r>
              <w:rPr>
                <w:rFonts w:ascii="Arial" w:cs="Arial" w:eastAsia="Arial" w:hAnsi="Arial"/>
                <w:sz w:val="13"/>
                <w:szCs w:val="13"/>
                <w:color w:val="auto"/>
              </w:rPr>
              <w:t>family:inherit;font-</w:t>
            </w: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3"/>
        </w:trPr>
        <w:tc>
          <w:tcPr>
            <w:tcW w:w="3660" w:type="dxa"/>
            <w:vAlign w:val="bottom"/>
          </w:tcPr>
          <w:p>
            <w:pPr>
              <w:ind w:left="360"/>
              <w:spacing w:after="0"/>
              <w:rPr>
                <w:sz w:val="20"/>
                <w:szCs w:val="20"/>
                <w:color w:val="auto"/>
              </w:rPr>
            </w:pPr>
            <w:r>
              <w:rPr>
                <w:rFonts w:ascii="Arial" w:cs="Arial" w:eastAsia="Arial" w:hAnsi="Arial"/>
                <w:sz w:val="13"/>
                <w:szCs w:val="13"/>
                <w:color w:val="auto"/>
              </w:rPr>
              <w:t>Other income (expense), net</w:t>
            </w:r>
          </w:p>
        </w:tc>
        <w:tc>
          <w:tcPr>
            <w:tcW w:w="1460" w:type="dxa"/>
            <w:vAlign w:val="bottom"/>
          </w:tcPr>
          <w:p>
            <w:pPr>
              <w:jc w:val="right"/>
              <w:ind w:right="159"/>
              <w:spacing w:after="0"/>
              <w:rPr>
                <w:sz w:val="20"/>
                <w:szCs w:val="20"/>
                <w:color w:val="auto"/>
              </w:rPr>
            </w:pPr>
            <w:r>
              <w:rPr>
                <w:rFonts w:ascii="Arial" w:cs="Arial" w:eastAsia="Arial" w:hAnsi="Arial"/>
                <w:sz w:val="13"/>
                <w:szCs w:val="13"/>
                <w:color w:val="auto"/>
              </w:rPr>
              <w:t>(402</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3240" w:type="dxa"/>
            <w:vAlign w:val="bottom"/>
            <w:gridSpan w:val="2"/>
          </w:tcPr>
          <w:p>
            <w:pPr>
              <w:ind w:left="1340"/>
              <w:spacing w:after="0"/>
              <w:rPr>
                <w:sz w:val="20"/>
                <w:szCs w:val="20"/>
                <w:color w:val="auto"/>
              </w:rPr>
            </w:pPr>
            <w:r>
              <w:rPr>
                <w:rFonts w:ascii="Arial" w:cs="Arial" w:eastAsia="Arial" w:hAnsi="Arial"/>
                <w:sz w:val="13"/>
                <w:szCs w:val="13"/>
                <w:color w:val="auto"/>
              </w:rPr>
              <w:t>(64size:10pt;"&gt;)</w:t>
            </w:r>
          </w:p>
        </w:tc>
        <w:tc>
          <w:tcPr>
            <w:tcW w:w="980" w:type="dxa"/>
            <w:vAlign w:val="bottom"/>
          </w:tcPr>
          <w:p>
            <w:pPr>
              <w:jc w:val="right"/>
              <w:ind w:right="158"/>
              <w:spacing w:after="0"/>
              <w:rPr>
                <w:sz w:val="20"/>
                <w:szCs w:val="20"/>
                <w:color w:val="auto"/>
              </w:rPr>
            </w:pPr>
            <w:r>
              <w:rPr>
                <w:rFonts w:ascii="Arial" w:cs="Arial" w:eastAsia="Arial" w:hAnsi="Arial"/>
                <w:sz w:val="13"/>
                <w:szCs w:val="13"/>
                <w:color w:val="auto"/>
              </w:rPr>
              <w:t>(338</w:t>
            </w:r>
          </w:p>
        </w:tc>
        <w:tc>
          <w:tcPr>
            <w:tcW w:w="660" w:type="dxa"/>
            <w:vAlign w:val="bottom"/>
          </w:tcPr>
          <w:p>
            <w:pPr>
              <w:jc w:val="right"/>
              <w:ind w:right="43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528.1</w:t>
            </w:r>
          </w:p>
        </w:tc>
      </w:tr>
    </w:tbl>
    <w:p>
      <w:pPr>
        <w:spacing w:after="0" w:line="165" w:lineRule="exact"/>
        <w:rPr>
          <w:sz w:val="20"/>
          <w:szCs w:val="20"/>
          <w:color w:val="auto"/>
        </w:rPr>
      </w:pPr>
    </w:p>
    <w:p>
      <w:pPr>
        <w:jc w:val="both"/>
        <w:ind w:firstLine="347"/>
        <w:spacing w:after="0" w:line="258" w:lineRule="auto"/>
        <w:rPr>
          <w:sz w:val="20"/>
          <w:szCs w:val="20"/>
          <w:color w:val="auto"/>
        </w:rPr>
      </w:pPr>
      <w:r>
        <w:rPr>
          <w:rFonts w:ascii="Arial" w:cs="Arial" w:eastAsia="Arial" w:hAnsi="Arial"/>
          <w:sz w:val="13"/>
          <w:szCs w:val="13"/>
          <w:color w:val="auto"/>
        </w:rPr>
        <w:t>The $0.1 million increase in interest income in the third quarter of 2010 compared to the third quarter of 2009 was due to interest earned on higher invested balances. The change in other income (expense), net for the third quarter of 2010 when compared to the third quarter of 2009 was the res ult of foreign exchange losses in the third quarter of 2010 due to the weakening of the U.S. dollar against the Australian Dollar, Japanese Yen and Swedish Krona.</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180" w:type="dxa"/>
            <w:vAlign w:val="bottom"/>
            <w:gridSpan w:val="2"/>
          </w:tcPr>
          <w:p>
            <w:pPr>
              <w:ind w:left="100"/>
              <w:spacing w:after="0"/>
              <w:rPr>
                <w:sz w:val="20"/>
                <w:szCs w:val="20"/>
                <w:color w:val="auto"/>
              </w:rPr>
            </w:pPr>
            <w:r>
              <w:rPr>
                <w:rFonts w:ascii="Arial" w:cs="Arial" w:eastAsia="Arial" w:hAnsi="Arial"/>
                <w:sz w:val="12"/>
                <w:szCs w:val="12"/>
                <w:b w:val="1"/>
                <w:bCs w:val="1"/>
                <w:color w:val="auto"/>
              </w:rPr>
              <w:t>Three Months Ended</w:t>
            </w: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4"/>
        </w:trPr>
        <w:tc>
          <w:tcPr>
            <w:tcW w:w="40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45"/>
        </w:trPr>
        <w:tc>
          <w:tcPr>
            <w:tcW w:w="4020" w:type="dxa"/>
            <w:vAlign w:val="bottom"/>
          </w:tcPr>
          <w:p>
            <w:pPr>
              <w:spacing w:after="0"/>
              <w:rPr>
                <w:sz w:val="12"/>
                <w:szCs w:val="12"/>
                <w:color w:val="auto"/>
              </w:rPr>
            </w:pPr>
          </w:p>
        </w:tc>
        <w:tc>
          <w:tcPr>
            <w:tcW w:w="1460" w:type="dxa"/>
            <w:vAlign w:val="bottom"/>
          </w:tcPr>
          <w:p>
            <w:pPr>
              <w:jc w:val="right"/>
              <w:ind w:right="19"/>
              <w:spacing w:after="0"/>
              <w:rPr>
                <w:sz w:val="20"/>
                <w:szCs w:val="20"/>
                <w:color w:val="auto"/>
              </w:rPr>
            </w:pPr>
            <w:r>
              <w:rPr>
                <w:rFonts w:ascii="Arial" w:cs="Arial" w:eastAsia="Arial" w:hAnsi="Arial"/>
                <w:sz w:val="12"/>
                <w:szCs w:val="12"/>
                <w:b w:val="1"/>
                <w:bCs w:val="1"/>
                <w:color w:val="auto"/>
              </w:rPr>
              <w:t>September 3 0,</w:t>
            </w:r>
          </w:p>
        </w:tc>
        <w:tc>
          <w:tcPr>
            <w:tcW w:w="3180" w:type="dxa"/>
            <w:vAlign w:val="bottom"/>
            <w:gridSpan w:val="2"/>
          </w:tcPr>
          <w:p>
            <w:pPr>
              <w:ind w:left="1320"/>
              <w:spacing w:after="0"/>
              <w:rPr>
                <w:sz w:val="20"/>
                <w:szCs w:val="20"/>
                <w:color w:val="auto"/>
              </w:rPr>
            </w:pPr>
            <w:r>
              <w:rPr>
                <w:rFonts w:ascii="Arial" w:cs="Arial" w:eastAsia="Arial" w:hAnsi="Arial"/>
                <w:sz w:val="12"/>
                <w:szCs w:val="12"/>
                <w:b w:val="1"/>
                <w:bCs w:val="1"/>
                <w:color w:val="auto"/>
              </w:rPr>
              <w:t>September 30,</w:t>
            </w: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4020" w:type="dxa"/>
            <w:vAlign w:val="bottom"/>
          </w:tcPr>
          <w:p>
            <w:pPr>
              <w:spacing w:after="0"/>
              <w:rPr>
                <w:sz w:val="12"/>
                <w:szCs w:val="12"/>
                <w:color w:val="auto"/>
              </w:rPr>
            </w:pPr>
          </w:p>
        </w:tc>
        <w:tc>
          <w:tcPr>
            <w:tcW w:w="1460" w:type="dxa"/>
            <w:vAlign w:val="bottom"/>
          </w:tcPr>
          <w:p>
            <w:pPr>
              <w:jc w:val="right"/>
              <w:ind w:right="439"/>
              <w:spacing w:after="0"/>
              <w:rPr>
                <w:sz w:val="20"/>
                <w:szCs w:val="20"/>
                <w:color w:val="auto"/>
              </w:rPr>
            </w:pPr>
            <w:r>
              <w:rPr>
                <w:rFonts w:ascii="Arial" w:cs="Arial" w:eastAsia="Arial" w:hAnsi="Arial"/>
                <w:sz w:val="12"/>
                <w:szCs w:val="12"/>
                <w:b w:val="1"/>
                <w:bCs w:val="1"/>
                <w:color w:val="auto"/>
              </w:rPr>
              <w:t>2010</w:t>
            </w:r>
          </w:p>
        </w:tc>
        <w:tc>
          <w:tcPr>
            <w:tcW w:w="2340" w:type="dxa"/>
            <w:vAlign w:val="bottom"/>
          </w:tcPr>
          <w:p>
            <w:pPr>
              <w:jc w:val="right"/>
              <w:ind w:right="659"/>
              <w:spacing w:after="0"/>
              <w:rPr>
                <w:sz w:val="20"/>
                <w:szCs w:val="20"/>
                <w:color w:val="auto"/>
              </w:rPr>
            </w:pPr>
            <w:r>
              <w:rPr>
                <w:rFonts w:ascii="Arial" w:cs="Arial" w:eastAsia="Arial" w:hAnsi="Arial"/>
                <w:sz w:val="12"/>
                <w:szCs w:val="12"/>
                <w:b w:val="1"/>
                <w:bCs w:val="1"/>
                <w:color w:val="auto"/>
              </w:rPr>
              <w:t>2009</w:t>
            </w:r>
          </w:p>
        </w:tc>
        <w:tc>
          <w:tcPr>
            <w:tcW w:w="840" w:type="dxa"/>
            <w:vAlign w:val="bottom"/>
          </w:tcPr>
          <w:p>
            <w:pPr>
              <w:spacing w:after="0"/>
              <w:rPr>
                <w:sz w:val="12"/>
                <w:szCs w:val="12"/>
                <w:color w:val="auto"/>
              </w:rPr>
            </w:pPr>
          </w:p>
        </w:tc>
        <w:tc>
          <w:tcPr>
            <w:tcW w:w="1080" w:type="dxa"/>
            <w:vAlign w:val="bottom"/>
          </w:tcPr>
          <w:p>
            <w:pPr>
              <w:jc w:val="right"/>
              <w:ind w:right="279"/>
              <w:spacing w:after="0"/>
              <w:rPr>
                <w:sz w:val="20"/>
                <w:szCs w:val="20"/>
                <w:color w:val="auto"/>
              </w:rPr>
            </w:pPr>
            <w:r>
              <w:rPr>
                <w:rFonts w:ascii="Arial" w:cs="Arial" w:eastAsia="Arial" w:hAnsi="Arial"/>
                <w:sz w:val="12"/>
                <w:szCs w:val="12"/>
                <w:b w:val="1"/>
                <w:bCs w:val="1"/>
                <w:color w:val="auto"/>
              </w:rPr>
              <w:t>$ Change</w:t>
            </w:r>
          </w:p>
        </w:tc>
        <w:tc>
          <w:tcPr>
            <w:tcW w:w="420" w:type="dxa"/>
            <w:vAlign w:val="bottom"/>
          </w:tcPr>
          <w:p>
            <w:pPr>
              <w:spacing w:after="0"/>
              <w:rPr>
                <w:sz w:val="12"/>
                <w:szCs w:val="12"/>
                <w:color w:val="auto"/>
              </w:rPr>
            </w:pPr>
          </w:p>
        </w:tc>
        <w:tc>
          <w:tcPr>
            <w:tcW w:w="1280" w:type="dxa"/>
            <w:vAlign w:val="bottom"/>
          </w:tcPr>
          <w:p>
            <w:pPr>
              <w:jc w:val="center"/>
              <w:ind w:left="279"/>
              <w:spacing w:after="0"/>
              <w:rPr>
                <w:sz w:val="20"/>
                <w:szCs w:val="20"/>
                <w:color w:val="auto"/>
              </w:rPr>
            </w:pPr>
            <w:r>
              <w:rPr>
                <w:rFonts w:ascii="Arial" w:cs="Arial" w:eastAsia="Arial" w:hAnsi="Arial"/>
                <w:sz w:val="12"/>
                <w:szCs w:val="12"/>
                <w:b w:val="1"/>
                <w:bCs w:val="1"/>
                <w:color w:val="auto"/>
                <w:w w:val="93"/>
              </w:rPr>
              <w:t>% Change</w:t>
            </w:r>
          </w:p>
        </w:tc>
      </w:tr>
      <w:tr>
        <w:trPr>
          <w:trHeight w:val="24"/>
        </w:trPr>
        <w:tc>
          <w:tcPr>
            <w:tcW w:w="40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49"/>
        </w:trPr>
        <w:tc>
          <w:tcPr>
            <w:tcW w:w="4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180" w:type="dxa"/>
            <w:vAlign w:val="bottom"/>
            <w:gridSpan w:val="2"/>
          </w:tcPr>
          <w:p>
            <w:pPr>
              <w:ind w:left="1920"/>
              <w:spacing w:after="0"/>
              <w:rPr>
                <w:sz w:val="20"/>
                <w:szCs w:val="20"/>
                <w:color w:val="auto"/>
              </w:rPr>
            </w:pPr>
            <w:r>
              <w:rPr>
                <w:rFonts w:ascii="Arial" w:cs="Arial" w:eastAsia="Arial" w:hAnsi="Arial"/>
                <w:sz w:val="12"/>
                <w:szCs w:val="12"/>
                <w:b w:val="1"/>
                <w:bCs w:val="1"/>
                <w:color w:val="auto"/>
              </w:rPr>
              <w:t>($ amounts in 000's)</w:t>
            </w: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4"/>
        </w:trPr>
        <w:tc>
          <w:tcPr>
            <w:tcW w:w="4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3"/>
        </w:trPr>
        <w:tc>
          <w:tcPr>
            <w:tcW w:w="4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Provision for income taxes</w:t>
            </w:r>
          </w:p>
        </w:tc>
        <w:tc>
          <w:tcPr>
            <w:tcW w:w="146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4,254</w:t>
            </w:r>
          </w:p>
        </w:tc>
        <w:tc>
          <w:tcPr>
            <w:tcW w:w="234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2,151</w:t>
            </w:r>
          </w:p>
        </w:tc>
        <w:tc>
          <w:tcPr>
            <w:tcW w:w="8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2,103</w:t>
            </w:r>
          </w:p>
        </w:tc>
        <w:tc>
          <w:tcPr>
            <w:tcW w:w="420" w:type="dxa"/>
            <w:vAlign w:val="bottom"/>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w:t>
            </w:r>
          </w:p>
        </w:tc>
      </w:tr>
      <w:tr>
        <w:trPr>
          <w:trHeight w:val="126"/>
        </w:trPr>
        <w:tc>
          <w:tcPr>
            <w:tcW w:w="40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180" w:type="dxa"/>
            <w:vAlign w:val="bottom"/>
            <w:gridSpan w:val="2"/>
          </w:tcPr>
          <w:p>
            <w:pPr>
              <w:ind w:left="80"/>
              <w:spacing w:after="0" w:line="126" w:lineRule="exact"/>
              <w:rPr>
                <w:sz w:val="20"/>
                <w:szCs w:val="20"/>
                <w:color w:val="auto"/>
              </w:rPr>
            </w:pPr>
            <w:r>
              <w:rPr>
                <w:rFonts w:ascii="Arial" w:cs="Arial" w:eastAsia="Arial" w:hAnsi="Arial"/>
                <w:sz w:val="13"/>
                <w:szCs w:val="13"/>
                <w:color w:val="auto"/>
              </w:rPr>
              <w:t>&amp;n</w:t>
            </w: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82"/>
        </w:trPr>
        <w:tc>
          <w:tcPr>
            <w:tcW w:w="4020" w:type="dxa"/>
            <w:vAlign w:val="bottom"/>
          </w:tcPr>
          <w:p>
            <w:pPr>
              <w:ind w:left="360"/>
              <w:spacing w:after="0"/>
              <w:rPr>
                <w:sz w:val="20"/>
                <w:szCs w:val="20"/>
                <w:color w:val="auto"/>
              </w:rPr>
            </w:pPr>
            <w:r>
              <w:rPr>
                <w:rFonts w:ascii="Arial" w:cs="Arial" w:eastAsia="Arial" w:hAnsi="Arial"/>
                <w:sz w:val="13"/>
                <w:szCs w:val="13"/>
                <w:color w:val="auto"/>
              </w:rPr>
              <w:t>Effective tax rate (%)</w:t>
            </w:r>
          </w:p>
        </w:tc>
        <w:tc>
          <w:tcPr>
            <w:tcW w:w="1460" w:type="dxa"/>
            <w:vAlign w:val="bottom"/>
          </w:tcPr>
          <w:p>
            <w:pPr>
              <w:jc w:val="right"/>
              <w:spacing w:after="0"/>
              <w:rPr>
                <w:sz w:val="20"/>
                <w:szCs w:val="20"/>
                <w:color w:val="auto"/>
              </w:rPr>
            </w:pPr>
            <w:r>
              <w:rPr>
                <w:rFonts w:ascii="Arial" w:cs="Arial" w:eastAsia="Arial" w:hAnsi="Arial"/>
                <w:sz w:val="13"/>
                <w:szCs w:val="13"/>
                <w:color w:val="auto"/>
              </w:rPr>
              <w:t>23.3bsp;</w:t>
            </w:r>
          </w:p>
        </w:tc>
        <w:tc>
          <w:tcPr>
            <w:tcW w:w="2340" w:type="dxa"/>
            <w:vAlign w:val="bottom"/>
          </w:tcPr>
          <w:p>
            <w:pPr>
              <w:jc w:val="right"/>
              <w:ind w:right="319"/>
              <w:spacing w:after="0"/>
              <w:rPr>
                <w:sz w:val="20"/>
                <w:szCs w:val="20"/>
                <w:color w:val="auto"/>
              </w:rPr>
            </w:pPr>
            <w:r>
              <w:rPr>
                <w:rFonts w:ascii="Arial" w:cs="Arial" w:eastAsia="Arial" w:hAnsi="Arial"/>
                <w:sz w:val="13"/>
                <w:szCs w:val="13"/>
                <w:color w:val="auto"/>
              </w:rPr>
              <w:t>21.4</w:t>
            </w: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00" w:type="dxa"/>
            <w:vAlign w:val="bottom"/>
            <w:gridSpan w:val="2"/>
          </w:tcPr>
          <w:p>
            <w:pPr>
              <w:jc w:val="right"/>
              <w:ind w:right="379"/>
              <w:spacing w:after="0"/>
              <w:rPr>
                <w:sz w:val="20"/>
                <w:szCs w:val="20"/>
                <w:color w:val="auto"/>
              </w:rPr>
            </w:pPr>
            <w:r>
              <w:rPr>
                <w:rFonts w:ascii="Arial" w:cs="Arial" w:eastAsia="Arial" w:hAnsi="Arial"/>
                <w:sz w:val="13"/>
                <w:szCs w:val="13"/>
                <w:color w:val="auto"/>
              </w:rPr>
              <w:t>*</w:t>
            </w:r>
          </w:p>
        </w:tc>
      </w:tr>
      <w:tr>
        <w:trPr>
          <w:trHeight w:val="174"/>
        </w:trPr>
        <w:tc>
          <w:tcPr>
            <w:tcW w:w="4020" w:type="dxa"/>
            <w:vAlign w:val="bottom"/>
          </w:tcPr>
          <w:p>
            <w:pPr>
              <w:ind w:left="360"/>
              <w:spacing w:after="0"/>
              <w:rPr>
                <w:sz w:val="20"/>
                <w:szCs w:val="20"/>
                <w:color w:val="auto"/>
              </w:rPr>
            </w:pPr>
            <w:r>
              <w:rPr>
                <w:rFonts w:ascii="Arial" w:cs="Arial" w:eastAsia="Arial" w:hAnsi="Arial"/>
                <w:sz w:val="13"/>
                <w:szCs w:val="13"/>
                <w:color w:val="auto"/>
              </w:rPr>
              <w:t>-----------</w:t>
            </w: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4"/>
        </w:trPr>
        <w:tc>
          <w:tcPr>
            <w:tcW w:w="4020" w:type="dxa"/>
            <w:vAlign w:val="bottom"/>
          </w:tcPr>
          <w:p>
            <w:pPr>
              <w:ind w:left="320"/>
              <w:spacing w:after="0"/>
              <w:rPr>
                <w:sz w:val="20"/>
                <w:szCs w:val="20"/>
                <w:color w:val="auto"/>
              </w:rPr>
            </w:pPr>
            <w:r>
              <w:rPr>
                <w:rFonts w:ascii="Arial" w:cs="Arial" w:eastAsia="Arial" w:hAnsi="Arial"/>
                <w:sz w:val="13"/>
                <w:szCs w:val="13"/>
                <w:color w:val="auto"/>
              </w:rPr>
              <w:t>* not meaningful</w:t>
            </w:r>
          </w:p>
        </w:tc>
        <w:tc>
          <w:tcPr>
            <w:tcW w:w="1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146" w:lineRule="exact"/>
        <w:rPr>
          <w:sz w:val="20"/>
          <w:szCs w:val="20"/>
          <w:color w:val="auto"/>
        </w:rPr>
      </w:pPr>
    </w:p>
    <w:p>
      <w:pPr>
        <w:ind w:firstLine="347"/>
        <w:spacing w:after="0" w:line="275" w:lineRule="auto"/>
        <w:rPr>
          <w:sz w:val="20"/>
          <w:szCs w:val="20"/>
          <w:color w:val="auto"/>
        </w:rPr>
      </w:pPr>
      <w:r>
        <w:rPr>
          <w:rFonts w:ascii="Arial" w:cs="Arial" w:eastAsia="Arial" w:hAnsi="Arial"/>
          <w:sz w:val="12"/>
          <w:szCs w:val="12"/>
          <w:color w:val="auto"/>
        </w:rPr>
        <w:t>The effective tax rate was 23.3% for the quarter ended September 30, 2010, compared with an effective tax rate of 21.4% for the quarter ended September 30, 2009. The provision for income taxes for the quarter ended September 30, 2010 is comprised of foreign income taxes, U.S. federal and state taxes, withholding tax, and includes the benefit from adjustments in our intercompany transfer pricing associated with the benefit of stock options exercised by employees in various of our foreign subsidiaries. The 23.3% tax rate for the third quarter of fiscal 2010 was impacted by a decrease in our year-to- date effective tax rate, from 34.7% at June 30, 2010 to 28.8% at September 30, 2010, due to adjustments in our intercompany transfer pricing discussed above. The current quarter tax rate of 23.3% is a result of taxes provided for in the previous two quarters of 2010 at a 34.7% tax rate versus a revised year-to-date tax rate of 28.8%. The provision for income taxes for the quarter ended September 30, 2009 is comprised primarily of foreign income taxes, U.S. federal alternative minimum tax, state income taxes, and withholding tax. The increase in the effective tax rate for the quarter ended September 30, 2010, compared with the same period in the prior year, is attributable primarily to the use of net operat ing loss carryforwards to reduce our tax rate in 2009, prior to releasing our valuation allowance at the end of fiscal 2009.</w:t>
      </w:r>
    </w:p>
    <w:p>
      <w:pPr>
        <w:spacing w:after="0" w:line="282"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460"/>
          </w:cols>
          <w:pgMar w:left="220" w:top="131" w:right="219" w:bottom="1440" w:gutter="0" w:footer="0" w:header="0"/>
        </w:sectPr>
      </w:pPr>
    </w:p>
    <w:bookmarkStart w:id="33" w:name="page34"/>
    <w:bookmarkEnd w:id="33"/>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Nine Months Ended September 30, 2010 and September 30, 2009</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Revenue</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&lt; td style="vertical-align:bottom;padding-left:2px;padding-top:2px;padding-bottom:2px;padding-right:2px;"&gt;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1"/>
              </w:rPr>
              <w:t>Nine Months Ended</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166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80" w:type="dxa"/>
            <w:vAlign w:val="bottom"/>
            <w:gridSpan w:val="3"/>
          </w:tcPr>
          <w:p>
            <w:pPr>
              <w:ind w:left="1040"/>
              <w:spacing w:after="0"/>
              <w:rPr>
                <w:sz w:val="20"/>
                <w:szCs w:val="20"/>
                <w:color w:val="auto"/>
              </w:rPr>
            </w:pPr>
            <w:r>
              <w:rPr>
                <w:rFonts w:ascii="Arial" w:cs="Arial" w:eastAsia="Arial" w:hAnsi="Arial"/>
                <w:sz w:val="12"/>
                <w:szCs w:val="12"/>
                <w:b w:val="1"/>
                <w:bCs w:val="1"/>
                <w:color w:val="auto"/>
                <w:w w:val="90"/>
              </w:rPr>
              <w:t>September 30, 2010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3"/>
          </w:tcPr>
          <w:p>
            <w:pPr>
              <w:ind w:left="80"/>
              <w:spacing w:after="0"/>
              <w:rPr>
                <w:sz w:val="20"/>
                <w:szCs w:val="20"/>
                <w:color w:val="auto"/>
              </w:rPr>
            </w:pPr>
            <w:r>
              <w:rPr>
                <w:rFonts w:ascii="Arial" w:cs="Arial" w:eastAsia="Arial" w:hAnsi="Arial"/>
                <w:sz w:val="12"/>
                <w:szCs w:val="12"/>
                <w:b w:val="1"/>
                <w:bCs w:val="1"/>
                <w:color w:val="auto"/>
                <w:w w:val="88"/>
              </w:rPr>
              <w:t>September&amp;n bsp;30, 2009</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16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1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4"/>
              </w:rPr>
              <w:t>% of</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97"/>
              <w:spacing w:after="0"/>
              <w:rPr>
                <w:sz w:val="20"/>
                <w:szCs w:val="20"/>
                <w:color w:val="auto"/>
              </w:rPr>
            </w:pPr>
            <w:r>
              <w:rPr>
                <w:rFonts w:ascii="Arial" w:cs="Arial" w:eastAsia="Arial" w:hAnsi="Arial"/>
                <w:sz w:val="12"/>
                <w:szCs w:val="12"/>
                <w:color w:val="auto"/>
              </w:rPr>
              <w:t>% of</w:t>
            </w: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80" w:type="dxa"/>
            <w:vAlign w:val="bottom"/>
            <w:gridSpan w:val="3"/>
          </w:tcPr>
          <w:p>
            <w:pPr>
              <w:ind w:left="62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Revenue</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gridSpan w:val="4"/>
          </w:tcPr>
          <w:p>
            <w:pPr>
              <w:ind w:left="2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87"/>
              </w:rPr>
              <w:t>Revenue</w:t>
            </w:r>
          </w:p>
        </w:tc>
        <w:tc>
          <w:tcPr>
            <w:tcW w:w="720" w:type="dxa"/>
            <w:vAlign w:val="bottom"/>
          </w:tcPr>
          <w:p>
            <w:pPr>
              <w:spacing w:after="0"/>
              <w:rPr>
                <w:sz w:val="12"/>
                <w:szCs w:val="12"/>
                <w:color w:val="auto"/>
              </w:rPr>
            </w:pPr>
          </w:p>
        </w:tc>
        <w:tc>
          <w:tcPr>
            <w:tcW w:w="1280" w:type="dxa"/>
            <w:vAlign w:val="bottom"/>
          </w:tcPr>
          <w:p>
            <w:pPr>
              <w:jc w:val="right"/>
              <w:ind w:right="177"/>
              <w:spacing w:after="0"/>
              <w:rPr>
                <w:sz w:val="20"/>
                <w:szCs w:val="20"/>
                <w:color w:val="auto"/>
              </w:rPr>
            </w:pPr>
            <w:r>
              <w:rPr>
                <w:rFonts w:ascii="Arial" w:cs="Arial" w:eastAsia="Arial" w:hAnsi="Arial"/>
                <w:sz w:val="12"/>
                <w:szCs w:val="12"/>
                <w:b w:val="1"/>
                <w:bCs w:val="1"/>
                <w:color w:val="auto"/>
              </w:rPr>
              <w:t>$ Change</w:t>
            </w:r>
          </w:p>
        </w:tc>
        <w:tc>
          <w:tcPr>
            <w:tcW w:w="1600" w:type="dxa"/>
            <w:vAlign w:val="bottom"/>
          </w:tcPr>
          <w:p>
            <w:pPr>
              <w:jc w:val="right"/>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24"/>
        </w:trPr>
        <w:tc>
          <w:tcPr>
            <w:tcW w:w="16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3"/>
          </w:tcPr>
          <w:p>
            <w:pPr>
              <w:ind w:left="340"/>
              <w:spacing w:after="0"/>
              <w:rPr>
                <w:sz w:val="20"/>
                <w:szCs w:val="20"/>
                <w:color w:val="auto"/>
              </w:rPr>
            </w:pPr>
            <w:r>
              <w:rPr>
                <w:rFonts w:ascii="Arial" w:cs="Arial" w:eastAsia="Arial" w:hAnsi="Arial"/>
                <w:sz w:val="12"/>
                <w:szCs w:val="12"/>
                <w:b w:val="1"/>
                <w:bCs w:val="1"/>
                <w:color w:val="auto"/>
                <w:w w:val="95"/>
              </w:rPr>
              <w:t>($ amounts in 000's)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6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Revenue:</w:t>
            </w:r>
          </w:p>
        </w:tc>
        <w:tc>
          <w:tcPr>
            <w:tcW w:w="1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540"/>
              <w:spacing w:after="0"/>
              <w:rPr>
                <w:sz w:val="20"/>
                <w:szCs w:val="20"/>
                <w:color w:val="auto"/>
              </w:rPr>
            </w:pPr>
            <w:r>
              <w:rPr>
                <w:rFonts w:ascii="Arial" w:cs="Arial" w:eastAsia="Arial" w:hAnsi="Arial"/>
                <w:sz w:val="13"/>
                <w:szCs w:val="13"/>
                <w:color w:val="auto"/>
              </w:rPr>
              <w:t>Product</w:t>
            </w:r>
          </w:p>
        </w:tc>
        <w:tc>
          <w:tcPr>
            <w:tcW w:w="1300" w:type="dxa"/>
            <w:vAlign w:val="bottom"/>
          </w:tcPr>
          <w:p>
            <w:pPr>
              <w:jc w:val="right"/>
              <w:ind w:right="377"/>
              <w:spacing w:after="0"/>
              <w:rPr>
                <w:sz w:val="20"/>
                <w:szCs w:val="20"/>
                <w:color w:val="auto"/>
              </w:rPr>
            </w:pPr>
            <w:r>
              <w:rPr>
                <w:rFonts w:ascii="Arial" w:cs="Arial" w:eastAsia="Arial" w:hAnsi="Arial"/>
                <w:sz w:val="13"/>
                <w:szCs w:val="13"/>
                <w:color w:val="auto"/>
              </w:rPr>
              <w:t>94,060</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2"/>
          </w:tcPr>
          <w:p>
            <w:pPr>
              <w:jc w:val="right"/>
              <w:ind w:right="402"/>
              <w:spacing w:after="0"/>
              <w:rPr>
                <w:sz w:val="20"/>
                <w:szCs w:val="20"/>
                <w:color w:val="auto"/>
              </w:rPr>
            </w:pPr>
            <w:r>
              <w:rPr>
                <w:rFonts w:ascii="Arial" w:cs="Arial" w:eastAsia="Arial" w:hAnsi="Arial"/>
                <w:sz w:val="13"/>
                <w:szCs w:val="13"/>
                <w:color w:val="auto"/>
              </w:rPr>
              <w:t>69,327</w:t>
            </w: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38.2</w:t>
            </w:r>
          </w:p>
        </w:tc>
        <w:tc>
          <w:tcPr>
            <w:tcW w:w="2000" w:type="dxa"/>
            <w:vAlign w:val="bottom"/>
            <w:gridSpan w:val="2"/>
          </w:tcPr>
          <w:p>
            <w:pPr>
              <w:jc w:val="right"/>
              <w:ind w:right="397"/>
              <w:spacing w:after="0"/>
              <w:rPr>
                <w:sz w:val="20"/>
                <w:szCs w:val="20"/>
                <w:color w:val="auto"/>
              </w:rPr>
            </w:pPr>
            <w:r>
              <w:rPr>
                <w:rFonts w:ascii="Arial" w:cs="Arial" w:eastAsia="Arial" w:hAnsi="Arial"/>
                <w:sz w:val="13"/>
                <w:szCs w:val="13"/>
                <w:color w:val="auto"/>
              </w:rPr>
              <w:t>24,733</w:t>
            </w:r>
          </w:p>
        </w:tc>
        <w:tc>
          <w:tcPr>
            <w:tcW w:w="1600" w:type="dxa"/>
            <w:vAlign w:val="bottom"/>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Services</w:t>
            </w:r>
          </w:p>
        </w:tc>
        <w:tc>
          <w:tcPr>
            <w:tcW w:w="13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124,116</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2"/>
              <w:spacing w:after="0"/>
              <w:rPr>
                <w:sz w:val="20"/>
                <w:szCs w:val="20"/>
                <w:color w:val="auto"/>
              </w:rPr>
            </w:pPr>
            <w:r>
              <w:rPr>
                <w:rFonts w:ascii="Arial" w:cs="Arial" w:eastAsia="Arial" w:hAnsi="Arial"/>
                <w:sz w:val="13"/>
                <w:szCs w:val="13"/>
                <w:color w:val="auto"/>
                <w:w w:val="89"/>
              </w:rPr>
              <w:t>101,758</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2000" w:type="dxa"/>
            <w:vAlign w:val="bottom"/>
            <w:gridSpan w:val="2"/>
            <w:shd w:val="clear" w:color="auto" w:fill="CCEEFF"/>
          </w:tcPr>
          <w:p>
            <w:pPr>
              <w:jc w:val="right"/>
              <w:ind w:right="397"/>
              <w:spacing w:after="0"/>
              <w:rPr>
                <w:sz w:val="20"/>
                <w:szCs w:val="20"/>
                <w:color w:val="auto"/>
              </w:rPr>
            </w:pPr>
            <w:r>
              <w:rPr>
                <w:rFonts w:ascii="Arial" w:cs="Arial" w:eastAsia="Arial" w:hAnsi="Arial"/>
                <w:sz w:val="13"/>
                <w:szCs w:val="13"/>
                <w:color w:val="auto"/>
              </w:rPr>
              <w:t>22,358</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65"/>
        </w:trPr>
        <w:tc>
          <w:tcPr>
            <w:tcW w:w="1660" w:type="dxa"/>
            <w:vAlign w:val="bottom"/>
          </w:tcPr>
          <w:p>
            <w:pPr>
              <w:ind w:left="540"/>
              <w:spacing w:after="0"/>
              <w:rPr>
                <w:sz w:val="20"/>
                <w:szCs w:val="20"/>
                <w:color w:val="auto"/>
              </w:rPr>
            </w:pPr>
            <w:r>
              <w:rPr>
                <w:rFonts w:ascii="Arial" w:cs="Arial" w:eastAsia="Arial" w:hAnsi="Arial"/>
                <w:sz w:val="13"/>
                <w:szCs w:val="13"/>
                <w:color w:val="auto"/>
                <w:w w:val="93"/>
              </w:rPr>
              <w:t>Ratable product and</w:t>
            </w: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1660" w:type="dxa"/>
            <w:vAlign w:val="bottom"/>
            <w:vMerge w:val="restart"/>
          </w:tcPr>
          <w:p>
            <w:pPr>
              <w:ind w:left="200"/>
              <w:spacing w:after="0"/>
              <w:rPr>
                <w:sz w:val="20"/>
                <w:szCs w:val="20"/>
                <w:color w:val="auto"/>
              </w:rPr>
            </w:pPr>
            <w:r>
              <w:rPr>
                <w:rFonts w:ascii="Arial" w:cs="Arial" w:eastAsia="Arial" w:hAnsi="Arial"/>
                <w:sz w:val="13"/>
                <w:szCs w:val="13"/>
                <w:color w:val="auto"/>
              </w:rPr>
              <w:t>services</w:t>
            </w:r>
          </w:p>
        </w:tc>
        <w:tc>
          <w:tcPr>
            <w:tcW w:w="1300" w:type="dxa"/>
            <w:vAlign w:val="bottom"/>
            <w:vMerge w:val="restart"/>
          </w:tcPr>
          <w:p>
            <w:pPr>
              <w:jc w:val="right"/>
              <w:ind w:right="377"/>
              <w:spacing w:after="0"/>
              <w:rPr>
                <w:sz w:val="20"/>
                <w:szCs w:val="20"/>
                <w:color w:val="auto"/>
              </w:rPr>
            </w:pPr>
            <w:r>
              <w:rPr>
                <w:rFonts w:ascii="Arial" w:cs="Arial" w:eastAsia="Arial" w:hAnsi="Arial"/>
                <w:sz w:val="13"/>
                <w:szCs w:val="13"/>
                <w:color w:val="auto"/>
              </w:rPr>
              <w:t>12,921</w:t>
            </w: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gridSpan w:val="2"/>
            <w:vMerge w:val="restart"/>
          </w:tcPr>
          <w:p>
            <w:pPr>
              <w:jc w:val="right"/>
              <w:ind w:right="402"/>
              <w:spacing w:after="0"/>
              <w:rPr>
                <w:sz w:val="20"/>
                <w:szCs w:val="20"/>
                <w:color w:val="auto"/>
              </w:rPr>
            </w:pPr>
            <w:r>
              <w:rPr>
                <w:rFonts w:ascii="Arial" w:cs="Arial" w:eastAsia="Arial" w:hAnsi="Arial"/>
                <w:sz w:val="13"/>
                <w:szCs w:val="13"/>
                <w:color w:val="auto"/>
              </w:rPr>
              <w:t>10,318</w:t>
            </w: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20" w:type="dxa"/>
            <w:vAlign w:val="bottom"/>
            <w:vMerge w:val="restart"/>
          </w:tcPr>
          <w:p>
            <w:pPr>
              <w:spacing w:after="0"/>
              <w:rPr>
                <w:sz w:val="7"/>
                <w:szCs w:val="7"/>
                <w:color w:val="auto"/>
              </w:rPr>
            </w:pPr>
          </w:p>
        </w:tc>
        <w:tc>
          <w:tcPr>
            <w:tcW w:w="1280" w:type="dxa"/>
            <w:vAlign w:val="bottom"/>
            <w:vMerge w:val="restart"/>
          </w:tcPr>
          <w:p>
            <w:pPr>
              <w:jc w:val="right"/>
              <w:ind w:right="397"/>
              <w:spacing w:after="0"/>
              <w:rPr>
                <w:sz w:val="20"/>
                <w:szCs w:val="20"/>
                <w:color w:val="auto"/>
              </w:rPr>
            </w:pPr>
            <w:r>
              <w:rPr>
                <w:rFonts w:ascii="Arial" w:cs="Arial" w:eastAsia="Arial" w:hAnsi="Arial"/>
                <w:sz w:val="13"/>
                <w:szCs w:val="13"/>
                <w:color w:val="auto"/>
              </w:rPr>
              <w:t>2,603</w:t>
            </w:r>
          </w:p>
        </w:tc>
        <w:tc>
          <w:tcPr>
            <w:tcW w:w="1600" w:type="dxa"/>
            <w:vAlign w:val="bottom"/>
            <w:vMerge w:val="restart"/>
          </w:tcPr>
          <w:p>
            <w:pPr>
              <w:jc w:val="right"/>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87"/>
        </w:trPr>
        <w:tc>
          <w:tcPr>
            <w:tcW w:w="1660" w:type="dxa"/>
            <w:vAlign w:val="bottom"/>
            <w:tcBorders>
              <w:bottom w:val="single" w:sz="8" w:color="CCEEFF"/>
            </w:tcBorders>
            <w:vMerge w:val="continue"/>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46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64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62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20" w:type="dxa"/>
            <w:vAlign w:val="bottom"/>
            <w:tcBorders>
              <w:bottom w:val="single" w:sz="8" w:color="CCEEFF"/>
            </w:tcBorders>
            <w:vMerge w:val="continue"/>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600" w:type="dxa"/>
            <w:vAlign w:val="bottom"/>
            <w:tcBorders>
              <w:bottom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6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revenue</w:t>
            </w:r>
          </w:p>
        </w:tc>
        <w:tc>
          <w:tcPr>
            <w:tcW w:w="13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231,097</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2"/>
              <w:spacing w:after="0"/>
              <w:rPr>
                <w:sz w:val="20"/>
                <w:szCs w:val="20"/>
                <w:color w:val="auto"/>
              </w:rPr>
            </w:pPr>
            <w:r>
              <w:rPr>
                <w:rFonts w:ascii="Arial" w:cs="Arial" w:eastAsia="Arial" w:hAnsi="Arial"/>
                <w:sz w:val="13"/>
                <w:szCs w:val="13"/>
                <w:color w:val="auto"/>
                <w:w w:val="89"/>
              </w:rPr>
              <w:t>181,403</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00" w:type="dxa"/>
            <w:vAlign w:val="bottom"/>
            <w:gridSpan w:val="2"/>
            <w:shd w:val="clear" w:color="auto" w:fill="CCEEFF"/>
          </w:tcPr>
          <w:p>
            <w:pPr>
              <w:jc w:val="right"/>
              <w:ind w:right="397"/>
              <w:spacing w:after="0"/>
              <w:rPr>
                <w:sz w:val="20"/>
                <w:szCs w:val="20"/>
                <w:color w:val="auto"/>
              </w:rPr>
            </w:pPr>
            <w:r>
              <w:rPr>
                <w:rFonts w:ascii="Arial" w:cs="Arial" w:eastAsia="Arial" w:hAnsi="Arial"/>
                <w:sz w:val="13"/>
                <w:szCs w:val="13"/>
                <w:color w:val="auto"/>
              </w:rPr>
              <w:t>49,694</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25"/>
        </w:trPr>
        <w:tc>
          <w:tcPr>
            <w:tcW w:w="1660" w:type="dxa"/>
            <w:vAlign w:val="bottom"/>
            <w:tcBorders>
              <w:top w:val="single" w:sz="8" w:color="CCEEFF"/>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66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0"/>
              </w:rPr>
              <w:t>Revenue by Geography:</w:t>
            </w:r>
          </w:p>
        </w:tc>
        <w:tc>
          <w:tcPr>
            <w:tcW w:w="1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rPr>
                <w:sz w:val="20"/>
                <w:szCs w:val="20"/>
                <w:color w:val="auto"/>
              </w:rPr>
            </w:pPr>
            <w:r>
              <w:rPr>
                <w:rFonts w:ascii="Arial" w:cs="Arial" w:eastAsia="Arial" w:hAnsi="Arial"/>
                <w:sz w:val="13"/>
                <w:szCs w:val="13"/>
                <w:color w:val="auto"/>
              </w:rPr>
              <w:t>Americas</w:t>
            </w:r>
          </w:p>
        </w:tc>
        <w:tc>
          <w:tcPr>
            <w:tcW w:w="1300" w:type="dxa"/>
            <w:vAlign w:val="bottom"/>
          </w:tcPr>
          <w:p>
            <w:pPr>
              <w:jc w:val="right"/>
              <w:ind w:right="377"/>
              <w:spacing w:after="0"/>
              <w:rPr>
                <w:sz w:val="20"/>
                <w:szCs w:val="20"/>
                <w:color w:val="auto"/>
              </w:rPr>
            </w:pPr>
            <w:r>
              <w:rPr>
                <w:rFonts w:ascii="Arial" w:cs="Arial" w:eastAsia="Arial" w:hAnsi="Arial"/>
                <w:sz w:val="13"/>
                <w:szCs w:val="13"/>
                <w:color w:val="auto"/>
              </w:rPr>
              <w:t>88,103</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38.1</w:t>
            </w:r>
          </w:p>
        </w:tc>
        <w:tc>
          <w:tcPr>
            <w:tcW w:w="8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67,817</w:t>
            </w:r>
          </w:p>
        </w:tc>
        <w:tc>
          <w:tcPr>
            <w:tcW w:w="1520" w:type="dxa"/>
            <w:vAlign w:val="bottom"/>
            <w:gridSpan w:val="3"/>
          </w:tcPr>
          <w:p>
            <w:pPr>
              <w:jc w:val="right"/>
              <w:ind w:right="20"/>
              <w:spacing w:after="0"/>
              <w:rPr>
                <w:sz w:val="20"/>
                <w:szCs w:val="20"/>
                <w:color w:val="auto"/>
              </w:rPr>
            </w:pPr>
            <w:r>
              <w:rPr>
                <w:rFonts w:ascii="Arial" w:cs="Arial" w:eastAsia="Arial" w:hAnsi="Arial"/>
                <w:sz w:val="13"/>
                <w:szCs w:val="13"/>
                <w:color w:val="auto"/>
              </w:rPr>
              <w:t>37.4</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0" w:type="dxa"/>
            <w:vAlign w:val="bottom"/>
            <w:gridSpan w:val="2"/>
          </w:tcPr>
          <w:p>
            <w:pPr>
              <w:jc w:val="right"/>
              <w:ind w:right="1217"/>
              <w:spacing w:after="0"/>
              <w:rPr>
                <w:sz w:val="20"/>
                <w:szCs w:val="20"/>
                <w:color w:val="auto"/>
              </w:rPr>
            </w:pPr>
            <w:r>
              <w:rPr>
                <w:rFonts w:ascii="Arial" w:cs="Arial" w:eastAsia="Arial" w:hAnsi="Arial"/>
                <w:sz w:val="13"/>
                <w:szCs w:val="13"/>
                <w:color w:val="auto"/>
              </w:rPr>
              <w:t>20,286</w:t>
            </w:r>
          </w:p>
        </w:tc>
        <w:tc>
          <w:tcPr>
            <w:tcW w:w="1600" w:type="dxa"/>
            <w:vAlign w:val="bottom"/>
          </w:tcPr>
          <w:p>
            <w:pPr>
              <w:jc w:val="right"/>
              <w:ind w:right="956"/>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EMEA</w:t>
            </w:r>
          </w:p>
        </w:tc>
        <w:tc>
          <w:tcPr>
            <w:tcW w:w="13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85,482</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37.0</w:t>
            </w: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2"/>
              <w:spacing w:after="0"/>
              <w:rPr>
                <w:sz w:val="20"/>
                <w:szCs w:val="20"/>
                <w:color w:val="auto"/>
              </w:rPr>
            </w:pPr>
            <w:r>
              <w:rPr>
                <w:rFonts w:ascii="Arial" w:cs="Arial" w:eastAsia="Arial" w:hAnsi="Arial"/>
                <w:sz w:val="13"/>
                <w:szCs w:val="13"/>
                <w:color w:val="auto"/>
              </w:rPr>
              <w:t>67,239</w:t>
            </w: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2000" w:type="dxa"/>
            <w:vAlign w:val="bottom"/>
            <w:gridSpan w:val="2"/>
            <w:shd w:val="clear" w:color="auto" w:fill="CCEEFF"/>
          </w:tcPr>
          <w:p>
            <w:pPr>
              <w:jc w:val="right"/>
              <w:ind w:right="397"/>
              <w:spacing w:after="0"/>
              <w:rPr>
                <w:sz w:val="20"/>
                <w:szCs w:val="20"/>
                <w:color w:val="auto"/>
              </w:rPr>
            </w:pPr>
            <w:r>
              <w:rPr>
                <w:rFonts w:ascii="Arial" w:cs="Arial" w:eastAsia="Arial" w:hAnsi="Arial"/>
                <w:sz w:val="13"/>
                <w:szCs w:val="13"/>
                <w:color w:val="auto"/>
              </w:rPr>
              <w:t>18,243</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26"/>
        </w:trPr>
        <w:tc>
          <w:tcPr>
            <w:tcW w:w="1660" w:type="dxa"/>
            <w:vAlign w:val="bottom"/>
          </w:tcPr>
          <w:p>
            <w:pPr>
              <w:spacing w:after="0"/>
              <w:rPr>
                <w:sz w:val="10"/>
                <w:szCs w:val="10"/>
                <w:color w:val="auto"/>
              </w:rPr>
            </w:pPr>
          </w:p>
        </w:tc>
        <w:tc>
          <w:tcPr>
            <w:tcW w:w="1300" w:type="dxa"/>
            <w:vAlign w:val="bottom"/>
          </w:tcPr>
          <w:p>
            <w:pPr>
              <w:jc w:val="right"/>
              <w:spacing w:after="0" w:line="126" w:lineRule="exact"/>
              <w:rPr>
                <w:sz w:val="20"/>
                <w:szCs w:val="20"/>
                <w:color w:val="auto"/>
              </w:rPr>
            </w:pPr>
            <w:r>
              <w:rPr>
                <w:rFonts w:ascii="Arial" w:cs="Arial" w:eastAsia="Arial" w:hAnsi="Arial"/>
                <w:sz w:val="13"/>
                <w:szCs w:val="13"/>
                <w:color w:val="auto"/>
              </w:rPr>
              <w:t>&lt;</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66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APAC</w:t>
            </w:r>
          </w:p>
        </w:tc>
        <w:tc>
          <w:tcPr>
            <w:tcW w:w="13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57,512/div&gt;</w:t>
            </w:r>
          </w:p>
        </w:tc>
        <w:tc>
          <w:tcPr>
            <w:tcW w:w="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3"/>
                <w:szCs w:val="13"/>
                <w:color w:val="auto"/>
              </w:rPr>
              <w:t>46,347</w:t>
            </w:r>
          </w:p>
        </w:tc>
        <w:tc>
          <w:tcPr>
            <w:tcW w:w="6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w:t>
            </w:r>
          </w:p>
        </w:tc>
        <w:tc>
          <w:tcPr>
            <w:tcW w:w="7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11,165</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revenue</w:t>
            </w:r>
          </w:p>
        </w:tc>
        <w:tc>
          <w:tcPr>
            <w:tcW w:w="130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3"/>
                <w:szCs w:val="13"/>
                <w:color w:val="auto"/>
              </w:rPr>
              <w:t>231,097</w:t>
            </w:r>
          </w:p>
        </w:tc>
        <w:tc>
          <w:tcPr>
            <w:tcW w:w="4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402"/>
              <w:spacing w:after="0"/>
              <w:rPr>
                <w:sz w:val="20"/>
                <w:szCs w:val="20"/>
                <w:color w:val="auto"/>
              </w:rPr>
            </w:pPr>
            <w:r>
              <w:rPr>
                <w:rFonts w:ascii="Arial" w:cs="Arial" w:eastAsia="Arial" w:hAnsi="Arial"/>
                <w:sz w:val="13"/>
                <w:szCs w:val="13"/>
                <w:color w:val="auto"/>
                <w:w w:val="89"/>
              </w:rPr>
              <w:t>181,403</w:t>
            </w:r>
          </w:p>
        </w:tc>
        <w:tc>
          <w:tcPr>
            <w:tcW w:w="6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7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3"/>
                <w:szCs w:val="13"/>
                <w:color w:val="auto"/>
              </w:rPr>
              <w:t>49,694</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160" w:firstLine="347"/>
        <w:spacing w:after="0" w:line="276" w:lineRule="auto"/>
        <w:rPr>
          <w:sz w:val="20"/>
          <w:szCs w:val="20"/>
          <w:color w:val="auto"/>
        </w:rPr>
      </w:pPr>
      <w:r>
        <w:rPr>
          <w:rFonts w:ascii="Arial" w:cs="Arial" w:eastAsia="Arial" w:hAnsi="Arial"/>
          <w:sz w:val="12"/>
          <w:szCs w:val="12"/>
          <w:color w:val="auto"/>
        </w:rPr>
        <w:t>Total revenue increased $49.7 million, or 27.4%, in the nine months ended September 30, 2010 compared to the nine months ended September 30, 2009, with all three regions growing over the prior year. Product revenue increased $24.7 million, or 35.7%, compared to the nine months ended September 30, 2009. The increase in product revenue was primarily driven by higher product sales volume across all regions with a greater mix of our high-end product line due to increased sales to enterprise and service provider customers. Services revenue increased $22.4 million, or 0.0%, in the nine months ended September 30, 2010 compared to the nine months ended September 30, 2009, due to recognition of revenue from our growing deferred revenue balance consisting of subscription and support contracts sold to a larger customer base. The growth in ratable product and services revenue was due to a sligh t decrease in the weighted-average service period over which such revenue was recognized, as the result of a decrease in the average contractual term of support contracts for arrangements in which we recognized product and services revenue ratably over the performance period.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Cost of revenue and gross margin</w:t>
      </w:r>
    </w:p>
    <w:p>
      <w:pPr>
        <w:spacing w:after="0" w:line="255" w:lineRule="exact"/>
        <w:rPr>
          <w:sz w:val="20"/>
          <w:szCs w:val="20"/>
          <w:color w:val="auto"/>
        </w:rPr>
      </w:pPr>
    </w:p>
    <w:p>
      <w:pPr>
        <w:ind w:left="6480"/>
        <w:spacing w:after="0"/>
        <w:rPr>
          <w:sz w:val="20"/>
          <w:szCs w:val="20"/>
          <w:color w:val="auto"/>
        </w:rPr>
      </w:pPr>
      <w:r>
        <w:rPr>
          <w:rFonts w:ascii="Arial" w:cs="Arial" w:eastAsia="Arial" w:hAnsi="Arial"/>
          <w:sz w:val="13"/>
          <w:szCs w:val="13"/>
          <w:color w:val="auto"/>
        </w:rPr>
        <w:t>&lt; /td&gt;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80" w:type="dxa"/>
            <w:vAlign w:val="bottom"/>
            <w:gridSpan w:val="3"/>
          </w:tcPr>
          <w:p>
            <w:pPr>
              <w:jc w:val="right"/>
              <w:ind w:right="739"/>
              <w:spacing w:after="0"/>
              <w:rPr>
                <w:sz w:val="20"/>
                <w:szCs w:val="20"/>
                <w:color w:val="auto"/>
              </w:rPr>
            </w:pPr>
            <w:r>
              <w:rPr>
                <w:rFonts w:ascii="Arial" w:cs="Arial" w:eastAsia="Arial" w:hAnsi="Arial"/>
                <w:sz w:val="12"/>
                <w:szCs w:val="12"/>
                <w:b w:val="1"/>
                <w:bCs w:val="1"/>
                <w:color w:val="auto"/>
                <w:w w:val="94"/>
              </w:rPr>
              <w:t>Nine Months Ended</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4"/>
        </w:trPr>
        <w:tc>
          <w:tcPr>
            <w:tcW w:w="4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45"/>
        </w:trPr>
        <w:tc>
          <w:tcPr>
            <w:tcW w:w="4100" w:type="dxa"/>
            <w:vAlign w:val="bottom"/>
          </w:tcPr>
          <w:p>
            <w:pPr>
              <w:spacing w:after="0"/>
              <w:rPr>
                <w:sz w:val="12"/>
                <w:szCs w:val="12"/>
                <w:color w:val="auto"/>
              </w:rPr>
            </w:pPr>
          </w:p>
        </w:tc>
        <w:tc>
          <w:tcPr>
            <w:tcW w:w="1420" w:type="dxa"/>
            <w:vAlign w:val="bottom"/>
          </w:tcPr>
          <w:p>
            <w:pPr>
              <w:jc w:val="right"/>
              <w:ind w:right="17"/>
              <w:spacing w:after="0"/>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20" w:type="dxa"/>
            <w:vAlign w:val="bottom"/>
            <w:gridSpan w:val="4"/>
          </w:tcPr>
          <w:p>
            <w:pPr>
              <w:ind w:left="62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1420" w:type="dxa"/>
            <w:vAlign w:val="bottom"/>
          </w:tcPr>
          <w:p>
            <w:pPr>
              <w:jc w:val="right"/>
              <w:ind w:right="437"/>
              <w:spacing w:after="0"/>
              <w:rPr>
                <w:sz w:val="20"/>
                <w:szCs w:val="20"/>
                <w:color w:val="auto"/>
              </w:rPr>
            </w:pPr>
            <w:r>
              <w:rPr>
                <w:rFonts w:ascii="Arial" w:cs="Arial" w:eastAsia="Arial" w:hAnsi="Arial"/>
                <w:sz w:val="12"/>
                <w:szCs w:val="12"/>
                <w:b w:val="1"/>
                <w:bCs w:val="1"/>
                <w:color w:val="auto"/>
              </w:rPr>
              <w:t>2010</w:t>
            </w:r>
          </w:p>
        </w:tc>
        <w:tc>
          <w:tcPr>
            <w:tcW w:w="1880" w:type="dxa"/>
            <w:vAlign w:val="bottom"/>
            <w:gridSpan w:val="3"/>
          </w:tcPr>
          <w:p>
            <w:pPr>
              <w:jc w:val="right"/>
              <w:ind w:right="279"/>
              <w:spacing w:after="0"/>
              <w:rPr>
                <w:sz w:val="20"/>
                <w:szCs w:val="20"/>
                <w:color w:val="auto"/>
              </w:rPr>
            </w:pPr>
            <w:r>
              <w:rPr>
                <w:rFonts w:ascii="Arial" w:cs="Arial" w:eastAsia="Arial" w:hAnsi="Arial"/>
                <w:sz w:val="12"/>
                <w:szCs w:val="12"/>
                <w:b w:val="1"/>
                <w:bCs w:val="1"/>
                <w:color w:val="auto"/>
              </w:rPr>
              <w:t>2009</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right"/>
              <w:ind w:right="76"/>
              <w:spacing w:after="0"/>
              <w:rPr>
                <w:sz w:val="20"/>
                <w:szCs w:val="20"/>
                <w:color w:val="auto"/>
              </w:rPr>
            </w:pPr>
            <w:r>
              <w:rPr>
                <w:rFonts w:ascii="Arial" w:cs="Arial" w:eastAsia="Arial" w:hAnsi="Arial"/>
                <w:sz w:val="12"/>
                <w:szCs w:val="12"/>
                <w:b w:val="1"/>
                <w:bCs w:val="1"/>
                <w:color w:val="auto"/>
              </w:rPr>
              <w:t>$ Change</w:t>
            </w:r>
          </w:p>
        </w:tc>
        <w:tc>
          <w:tcPr>
            <w:tcW w:w="220" w:type="dxa"/>
            <w:vAlign w:val="bottom"/>
          </w:tcPr>
          <w:p>
            <w:pPr>
              <w:spacing w:after="0"/>
              <w:rPr>
                <w:sz w:val="12"/>
                <w:szCs w:val="12"/>
                <w:color w:val="auto"/>
              </w:rPr>
            </w:pPr>
          </w:p>
        </w:tc>
        <w:tc>
          <w:tcPr>
            <w:tcW w:w="1700" w:type="dxa"/>
            <w:vAlign w:val="bottom"/>
          </w:tcPr>
          <w:p>
            <w:pPr>
              <w:jc w:val="right"/>
              <w:ind w:right="139"/>
              <w:spacing w:after="0"/>
              <w:rPr>
                <w:sz w:val="20"/>
                <w:szCs w:val="20"/>
                <w:color w:val="auto"/>
              </w:rPr>
            </w:pPr>
            <w:r>
              <w:rPr>
                <w:rFonts w:ascii="Arial" w:cs="Arial" w:eastAsia="Arial" w:hAnsi="Arial"/>
                <w:sz w:val="12"/>
                <w:szCs w:val="12"/>
                <w:b w:val="1"/>
                <w:bCs w:val="1"/>
                <w:color w:val="auto"/>
              </w:rPr>
              <w:t>% Change</w:t>
            </w:r>
          </w:p>
        </w:tc>
      </w:tr>
      <w:tr>
        <w:trPr>
          <w:trHeight w:val="24"/>
        </w:trPr>
        <w:tc>
          <w:tcPr>
            <w:tcW w:w="4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49"/>
        </w:trPr>
        <w:tc>
          <w:tcPr>
            <w:tcW w:w="4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 amounts in 000's)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4"/>
        </w:trPr>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93"/>
        </w:trPr>
        <w:tc>
          <w:tcPr>
            <w:tcW w:w="4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Cost of revenue:</w:t>
            </w: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83"/>
        </w:trPr>
        <w:tc>
          <w:tcPr>
            <w:tcW w:w="4100" w:type="dxa"/>
            <w:vAlign w:val="bottom"/>
          </w:tcPr>
          <w:p>
            <w:pPr>
              <w:ind w:left="540"/>
              <w:spacing w:after="0"/>
              <w:rPr>
                <w:sz w:val="20"/>
                <w:szCs w:val="20"/>
                <w:color w:val="auto"/>
              </w:rPr>
            </w:pPr>
            <w:r>
              <w:rPr>
                <w:rFonts w:ascii="Arial" w:cs="Arial" w:eastAsia="Arial" w:hAnsi="Arial"/>
                <w:sz w:val="13"/>
                <w:szCs w:val="13"/>
                <w:color w:val="auto"/>
              </w:rPr>
              <w:t>Product</w:t>
            </w:r>
          </w:p>
        </w:tc>
        <w:tc>
          <w:tcPr>
            <w:tcW w:w="1420" w:type="dxa"/>
            <w:vAlign w:val="bottom"/>
          </w:tcPr>
          <w:p>
            <w:pPr>
              <w:jc w:val="right"/>
              <w:ind w:right="137"/>
              <w:spacing w:after="0"/>
              <w:rPr>
                <w:sz w:val="20"/>
                <w:szCs w:val="20"/>
                <w:color w:val="auto"/>
              </w:rPr>
            </w:pPr>
            <w:r>
              <w:rPr>
                <w:rFonts w:ascii="Arial" w:cs="Arial" w:eastAsia="Arial" w:hAnsi="Arial"/>
                <w:sz w:val="13"/>
                <w:szCs w:val="13"/>
                <w:color w:val="auto"/>
              </w:rPr>
              <w:t>36,399</w:t>
            </w:r>
          </w:p>
        </w:tc>
        <w:tc>
          <w:tcPr>
            <w:tcW w:w="1880" w:type="dxa"/>
            <w:vAlign w:val="bottom"/>
            <w:gridSpan w:val="3"/>
          </w:tcPr>
          <w:p>
            <w:pPr>
              <w:jc w:val="right"/>
              <w:spacing w:after="0"/>
              <w:rPr>
                <w:sz w:val="20"/>
                <w:szCs w:val="20"/>
                <w:color w:val="auto"/>
              </w:rPr>
            </w:pPr>
            <w:r>
              <w:rPr>
                <w:rFonts w:ascii="Arial" w:cs="Arial" w:eastAsia="Arial" w:hAnsi="Arial"/>
                <w:sz w:val="13"/>
                <w:szCs w:val="13"/>
                <w:color w:val="auto"/>
              </w:rPr>
              <w:t>29,049</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116"/>
              <w:spacing w:after="0"/>
              <w:rPr>
                <w:sz w:val="20"/>
                <w:szCs w:val="20"/>
                <w:color w:val="auto"/>
              </w:rPr>
            </w:pPr>
            <w:r>
              <w:rPr>
                <w:rFonts w:ascii="Arial" w:cs="Arial" w:eastAsia="Arial" w:hAnsi="Arial"/>
                <w:sz w:val="13"/>
                <w:szCs w:val="13"/>
                <w:color w:val="auto"/>
              </w:rPr>
              <w:t>7,350</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25.3</w:t>
            </w:r>
          </w:p>
        </w:tc>
      </w:tr>
      <w:tr>
        <w:trPr>
          <w:trHeight w:val="203"/>
        </w:trPr>
        <w:tc>
          <w:tcPr>
            <w:tcW w:w="41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Services</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19,851</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15,955</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3,896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24.4</w:t>
            </w:r>
          </w:p>
        </w:tc>
      </w:tr>
      <w:tr>
        <w:trPr>
          <w:trHeight w:val="183"/>
        </w:trPr>
        <w:tc>
          <w:tcPr>
            <w:tcW w:w="4100" w:type="dxa"/>
            <w:vAlign w:val="bottom"/>
            <w:tcBorders>
              <w:bottom w:val="single" w:sz="8" w:color="CCEEFF"/>
            </w:tcBorders>
          </w:tcPr>
          <w:p>
            <w:pPr>
              <w:ind w:left="540"/>
              <w:spacing w:after="0"/>
              <w:rPr>
                <w:sz w:val="20"/>
                <w:szCs w:val="20"/>
                <w:color w:val="auto"/>
              </w:rPr>
            </w:pPr>
            <w:r>
              <w:rPr>
                <w:rFonts w:ascii="Arial" w:cs="Arial" w:eastAsia="Arial" w:hAnsi="Arial"/>
                <w:sz w:val="13"/>
                <w:szCs w:val="13"/>
                <w:color w:val="auto"/>
              </w:rPr>
              <w:t>Ratable product and services</w:t>
            </w: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4,733</w:t>
            </w: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4,062</w:t>
            </w: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671</w:t>
            </w: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16.5</w:t>
            </w:r>
          </w:p>
        </w:tc>
      </w:tr>
      <w:tr>
        <w:trPr>
          <w:trHeight w:val="201"/>
        </w:trPr>
        <w:tc>
          <w:tcPr>
            <w:tcW w:w="4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cost of revenue</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60,983</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49,066</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11,917</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24.3</w:t>
            </w:r>
          </w:p>
        </w:tc>
      </w:tr>
      <w:tr>
        <w:trPr>
          <w:trHeight w:val="125"/>
        </w:trPr>
        <w:tc>
          <w:tcPr>
            <w:tcW w:w="4100" w:type="dxa"/>
            <w:vAlign w:val="bottom"/>
            <w:tcBorders>
              <w:top w:val="single" w:sz="8" w:color="CCEEFF"/>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700" w:type="dxa"/>
            <w:vAlign w:val="bottom"/>
            <w:tcBorders>
              <w:top w:val="single" w:sz="8" w:color="CCEEFF"/>
            </w:tcBorders>
          </w:tcPr>
          <w:p>
            <w:pPr>
              <w:spacing w:after="0"/>
              <w:rPr>
                <w:sz w:val="10"/>
                <w:szCs w:val="10"/>
                <w:color w:val="auto"/>
              </w:rPr>
            </w:pPr>
          </w:p>
        </w:tc>
      </w:tr>
      <w:tr>
        <w:trPr>
          <w:trHeight w:val="193"/>
        </w:trPr>
        <w:tc>
          <w:tcPr>
            <w:tcW w:w="4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Gross margin (%):</w:t>
            </w: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83"/>
        </w:trPr>
        <w:tc>
          <w:tcPr>
            <w:tcW w:w="4100" w:type="dxa"/>
            <w:vAlign w:val="bottom"/>
          </w:tcPr>
          <w:p>
            <w:pPr>
              <w:ind w:left="540"/>
              <w:spacing w:after="0"/>
              <w:rPr>
                <w:sz w:val="20"/>
                <w:szCs w:val="20"/>
                <w:color w:val="auto"/>
              </w:rPr>
            </w:pPr>
            <w:r>
              <w:rPr>
                <w:rFonts w:ascii="Arial" w:cs="Arial" w:eastAsia="Arial" w:hAnsi="Arial"/>
                <w:sz w:val="13"/>
                <w:szCs w:val="13"/>
                <w:color w:val="auto"/>
              </w:rPr>
              <w:t>Product</w:t>
            </w:r>
          </w:p>
        </w:tc>
        <w:tc>
          <w:tcPr>
            <w:tcW w:w="1420" w:type="dxa"/>
            <w:vAlign w:val="bottom"/>
          </w:tcPr>
          <w:p>
            <w:pPr>
              <w:jc w:val="right"/>
              <w:ind w:right="137"/>
              <w:spacing w:after="0"/>
              <w:rPr>
                <w:sz w:val="20"/>
                <w:szCs w:val="20"/>
                <w:color w:val="auto"/>
              </w:rPr>
            </w:pPr>
            <w:r>
              <w:rPr>
                <w:rFonts w:ascii="Arial" w:cs="Arial" w:eastAsia="Arial" w:hAnsi="Arial"/>
                <w:sz w:val="13"/>
                <w:szCs w:val="13"/>
                <w:color w:val="auto"/>
              </w:rPr>
              <w:t>61.3</w:t>
            </w:r>
          </w:p>
        </w:tc>
        <w:tc>
          <w:tcPr>
            <w:tcW w:w="1880" w:type="dxa"/>
            <w:vAlign w:val="bottom"/>
            <w:gridSpan w:val="3"/>
          </w:tcPr>
          <w:p>
            <w:pPr>
              <w:jc w:val="right"/>
              <w:spacing w:after="0"/>
              <w:rPr>
                <w:sz w:val="20"/>
                <w:szCs w:val="20"/>
                <w:color w:val="auto"/>
              </w:rPr>
            </w:pPr>
            <w:r>
              <w:rPr>
                <w:rFonts w:ascii="Arial" w:cs="Arial" w:eastAsia="Arial" w:hAnsi="Arial"/>
                <w:sz w:val="13"/>
                <w:szCs w:val="13"/>
                <w:color w:val="auto"/>
              </w:rPr>
              <w:t>58.1</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116"/>
              <w:spacing w:after="0"/>
              <w:rPr>
                <w:sz w:val="20"/>
                <w:szCs w:val="20"/>
                <w:color w:val="auto"/>
              </w:rPr>
            </w:pPr>
            <w:r>
              <w:rPr>
                <w:rFonts w:ascii="Arial" w:cs="Arial" w:eastAsia="Arial" w:hAnsi="Arial"/>
                <w:sz w:val="13"/>
                <w:szCs w:val="13"/>
                <w:color w:val="auto"/>
              </w:rPr>
              <w:t>3.2</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57"/>
        </w:trPr>
        <w:tc>
          <w:tcPr>
            <w:tcW w:w="41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Services</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84.0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(0.3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00" w:type="dxa"/>
            <w:vAlign w:val="bottom"/>
            <w:shd w:val="clear" w:color="auto" w:fill="CCEEFF"/>
          </w:tcPr>
          <w:p>
            <w:pPr>
              <w:spacing w:after="0"/>
              <w:rPr>
                <w:sz w:val="24"/>
                <w:szCs w:val="24"/>
                <w:color w:val="auto"/>
              </w:rPr>
            </w:pPr>
          </w:p>
        </w:tc>
      </w:tr>
      <w:tr>
        <w:trPr>
          <w:trHeight w:val="183"/>
        </w:trPr>
        <w:tc>
          <w:tcPr>
            <w:tcW w:w="4100" w:type="dxa"/>
            <w:vAlign w:val="bottom"/>
          </w:tcPr>
          <w:p>
            <w:pPr>
              <w:ind w:left="340"/>
              <w:spacing w:after="0"/>
              <w:rPr>
                <w:sz w:val="20"/>
                <w:szCs w:val="20"/>
                <w:color w:val="auto"/>
              </w:rPr>
            </w:pPr>
            <w:r>
              <w:rPr>
                <w:rFonts w:ascii="Arial" w:cs="Arial" w:eastAsia="Arial" w:hAnsi="Arial"/>
                <w:sz w:val="13"/>
                <w:szCs w:val="13"/>
                <w:color w:val="auto"/>
              </w:rPr>
              <w:t>Ratable product and services</w:t>
            </w:r>
          </w:p>
        </w:tc>
        <w:tc>
          <w:tcPr>
            <w:tcW w:w="1420" w:type="dxa"/>
            <w:vAlign w:val="bottom"/>
          </w:tcPr>
          <w:p>
            <w:pPr>
              <w:jc w:val="right"/>
              <w:ind w:right="137"/>
              <w:spacing w:after="0"/>
              <w:rPr>
                <w:sz w:val="20"/>
                <w:szCs w:val="20"/>
                <w:color w:val="auto"/>
              </w:rPr>
            </w:pPr>
            <w:r>
              <w:rPr>
                <w:rFonts w:ascii="Arial" w:cs="Arial" w:eastAsia="Arial" w:hAnsi="Arial"/>
                <w:sz w:val="13"/>
                <w:szCs w:val="13"/>
                <w:color w:val="auto"/>
              </w:rPr>
              <w:t>63.4</w:t>
            </w:r>
          </w:p>
        </w:tc>
        <w:tc>
          <w:tcPr>
            <w:tcW w:w="1880" w:type="dxa"/>
            <w:vAlign w:val="bottom"/>
            <w:gridSpan w:val="3"/>
          </w:tcPr>
          <w:p>
            <w:pPr>
              <w:jc w:val="right"/>
              <w:spacing w:after="0"/>
              <w:rPr>
                <w:sz w:val="20"/>
                <w:szCs w:val="20"/>
                <w:color w:val="auto"/>
              </w:rPr>
            </w:pPr>
            <w:r>
              <w:rPr>
                <w:rFonts w:ascii="Arial" w:cs="Arial" w:eastAsia="Arial" w:hAnsi="Arial"/>
                <w:sz w:val="13"/>
                <w:szCs w:val="13"/>
                <w:color w:val="auto"/>
              </w:rPr>
              <w:t>60.6</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116"/>
              <w:spacing w:after="0"/>
              <w:rPr>
                <w:sz w:val="20"/>
                <w:szCs w:val="20"/>
                <w:color w:val="auto"/>
              </w:rPr>
            </w:pPr>
            <w:r>
              <w:rPr>
                <w:rFonts w:ascii="Arial" w:cs="Arial" w:eastAsia="Arial" w:hAnsi="Arial"/>
                <w:sz w:val="13"/>
                <w:szCs w:val="13"/>
                <w:color w:val="auto"/>
              </w:rPr>
              <w:t>2.8</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3"/>
        </w:trPr>
        <w:tc>
          <w:tcPr>
            <w:tcW w:w="41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gross margin</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73.6</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(0.4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00" w:type="dxa"/>
            <w:vAlign w:val="bottom"/>
            <w:shd w:val="clear" w:color="auto" w:fill="CCEEFF"/>
          </w:tcPr>
          <w:p>
            <w:pPr>
              <w:spacing w:after="0"/>
              <w:rPr>
                <w:sz w:val="17"/>
                <w:szCs w:val="17"/>
                <w:color w:val="auto"/>
              </w:rPr>
            </w:pPr>
          </w:p>
        </w:tc>
      </w:tr>
    </w:tbl>
    <w:p>
      <w:pPr>
        <w:spacing w:after="0" w:line="145" w:lineRule="exact"/>
        <w:rPr>
          <w:sz w:val="20"/>
          <w:szCs w:val="20"/>
          <w:color w:val="auto"/>
        </w:rPr>
      </w:pPr>
    </w:p>
    <w:p>
      <w:pPr>
        <w:jc w:val="both"/>
        <w:ind w:right="40" w:firstLine="347"/>
        <w:spacing w:after="0" w:line="258" w:lineRule="auto"/>
        <w:rPr>
          <w:sz w:val="20"/>
          <w:szCs w:val="20"/>
          <w:color w:val="auto"/>
        </w:rPr>
      </w:pPr>
      <w:r>
        <w:rPr>
          <w:rFonts w:ascii="Arial" w:cs="Arial" w:eastAsia="Arial" w:hAnsi="Arial"/>
          <w:sz w:val="13"/>
          <w:szCs w:val="13"/>
          <w:color w:val="auto"/>
        </w:rPr>
        <w:t>Total gross margin did not change significantly when comparing the nine months ended September 30, 2010 to the nine months ended September 30, 2009 as improved product gross margins offset the 2.5 percentage point increase in the product revenue mix, which typically reduces the overall gross margin. Product gross margin increased 3.2 percentage points in the nine months ended September 30, 2010 compared to the nine months ended September 30, 2009 while the product mix remained</w:t>
      </w:r>
    </w:p>
    <w:p>
      <w:pPr>
        <w:spacing w:after="0" w:line="135"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480"/>
          </w:cols>
          <w:pgMar w:left="220" w:top="131" w:right="199" w:bottom="1440" w:gutter="0" w:footer="0" w:header="0"/>
        </w:sectPr>
      </w:pPr>
    </w:p>
    <w:bookmarkStart w:id="34" w:name="page35"/>
    <w:bookmarkEnd w:id="34"/>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20" w:firstLine="347"/>
        <w:spacing w:after="0" w:line="276" w:lineRule="auto"/>
        <w:rPr>
          <w:sz w:val="20"/>
          <w:szCs w:val="20"/>
          <w:color w:val="auto"/>
        </w:rPr>
      </w:pPr>
      <w:r>
        <w:rPr>
          <w:rFonts w:ascii="Arial" w:cs="Arial" w:eastAsia="Arial" w:hAnsi="Arial"/>
          <w:sz w:val="12"/>
          <w:szCs w:val="12"/>
          <w:color w:val="auto"/>
        </w:rPr>
        <w:t>consistent. The increased margin was due to relatively flat indirect costs on an increased product revenue base, as higher warranty related costs were offset by lower royalties and the absence of asset acquisition related write-offs compared to a $0.7 million write-off in the first nine months of 2009. From time to time, we have experienced sales of previously reserved inventory. During the nine months ended September 30, 2010, we experienced a positive impact of 0.6 percentage points due to the sale of fully reserved inventory compared to 1.0 percentage point in the same period prior year. Services gross margin was relatively flat as we continued to make investments in our Americas support, professional services and For tiGuard global security research organizations. Services cost increased by $3.9 million primarily due to $2.3 million of higher cash-based personnel costs. Travel, depreciation and other expenses increased a combined $0.8 million. In addition, occupancy-related costs increased $0.6 million and stock-based compensation increased $0.2 million. Ratable product and services gross margin increased 2.8 percentage points, as a result of leverage achieved from our indirect product cost structure, such as manufacturing overhead.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0" w:type="dxa"/>
            <w:vAlign w:val="bottom"/>
            <w:tcBorders>
              <w:right w:val="single" w:sz="8" w:color="CCEEFF"/>
            </w:tcBorders>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87"/>
              </w:rPr>
              <w:t>Nine Months Ended</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3"/>
                <w:szCs w:val="13"/>
                <w:color w:val="auto"/>
              </w:rPr>
              <w:t>81,487</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180" w:type="dxa"/>
            <w:vAlign w:val="bottom"/>
            <w:gridSpan w:val="3"/>
          </w:tcPr>
          <w:p>
            <w:pPr>
              <w:ind w:left="1100"/>
              <w:spacing w:after="0"/>
              <w:rPr>
                <w:sz w:val="20"/>
                <w:szCs w:val="20"/>
                <w:color w:val="auto"/>
              </w:rPr>
            </w:pPr>
            <w:r>
              <w:rPr>
                <w:rFonts w:ascii="Arial" w:cs="Arial" w:eastAsia="Arial" w:hAnsi="Arial"/>
                <w:sz w:val="12"/>
                <w:szCs w:val="12"/>
                <w:b w:val="1"/>
                <w:bCs w:val="1"/>
                <w:color w:val="auto"/>
                <w:w w:val="94"/>
              </w:rPr>
              <w:t>September 30, 2010</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3"/>
          </w:tcPr>
          <w:p>
            <w:pPr>
              <w:ind w:left="20"/>
              <w:spacing w:after="0"/>
              <w:rPr>
                <w:sz w:val="20"/>
                <w:szCs w:val="20"/>
                <w:color w:val="auto"/>
              </w:rPr>
            </w:pPr>
            <w:r>
              <w:rPr>
                <w:rFonts w:ascii="Arial" w:cs="Arial" w:eastAsia="Arial" w:hAnsi="Arial"/>
                <w:sz w:val="12"/>
                <w:szCs w:val="12"/>
                <w:b w:val="1"/>
                <w:bCs w:val="1"/>
                <w:color w:val="auto"/>
              </w:rPr>
              <w:t>September 30, 2009</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&amp;nb sp;</w:t>
            </w: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4"/>
              </w:rPr>
              <w:t>% of</w:t>
            </w: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jc w:val="center"/>
              <w:ind w:right="940"/>
              <w:spacing w:after="0"/>
              <w:rPr>
                <w:sz w:val="20"/>
                <w:szCs w:val="20"/>
                <w:color w:val="auto"/>
              </w:rPr>
            </w:pPr>
            <w:r>
              <w:rPr>
                <w:rFonts w:ascii="Arial" w:cs="Arial" w:eastAsia="Arial" w:hAnsi="Arial"/>
                <w:sz w:val="12"/>
                <w:szCs w:val="12"/>
                <w:b w:val="1"/>
                <w:bCs w:val="1"/>
                <w:color w:val="auto"/>
                <w:w w:val="94"/>
              </w:rPr>
              <w:t>% of</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72"/>
        </w:trPr>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180" w:type="dxa"/>
            <w:vAlign w:val="bottom"/>
            <w:gridSpan w:val="3"/>
            <w:vMerge w:val="restart"/>
          </w:tcPr>
          <w:p>
            <w:pPr>
              <w:ind w:left="620"/>
              <w:spacing w:after="0"/>
              <w:rPr>
                <w:sz w:val="20"/>
                <w:szCs w:val="20"/>
                <w:color w:val="auto"/>
              </w:rPr>
            </w:pPr>
            <w:r>
              <w:rPr>
                <w:rFonts w:ascii="Arial" w:cs="Arial" w:eastAsia="Arial" w:hAnsi="Arial"/>
                <w:sz w:val="12"/>
                <w:szCs w:val="12"/>
                <w:b w:val="1"/>
                <w:bCs w:val="1"/>
                <w:color w:val="auto"/>
              </w:rPr>
              <w:t>Amount</w:t>
            </w:r>
          </w:p>
        </w:tc>
        <w:tc>
          <w:tcPr>
            <w:tcW w:w="1680" w:type="dxa"/>
            <w:vAlign w:val="bottom"/>
            <w:gridSpan w:val="3"/>
            <w:vMerge w:val="restart"/>
          </w:tcPr>
          <w:p>
            <w:pPr>
              <w:jc w:val="center"/>
              <w:ind w:right="1000"/>
              <w:spacing w:after="0"/>
              <w:rPr>
                <w:sz w:val="20"/>
                <w:szCs w:val="20"/>
                <w:color w:val="auto"/>
              </w:rPr>
            </w:pPr>
            <w:r>
              <w:rPr>
                <w:rFonts w:ascii="Arial" w:cs="Arial" w:eastAsia="Arial" w:hAnsi="Arial"/>
                <w:sz w:val="12"/>
                <w:szCs w:val="12"/>
                <w:b w:val="1"/>
                <w:bCs w:val="1"/>
                <w:color w:val="auto"/>
                <w:w w:val="87"/>
              </w:rPr>
              <w:t>Revenue</w:t>
            </w:r>
          </w:p>
        </w:tc>
        <w:tc>
          <w:tcPr>
            <w:tcW w:w="1860" w:type="dxa"/>
            <w:vAlign w:val="bottom"/>
            <w:gridSpan w:val="3"/>
            <w:vMerge w:val="restart"/>
          </w:tcPr>
          <w:p>
            <w:pPr>
              <w:ind w:left="260"/>
              <w:spacing w:after="0"/>
              <w:rPr>
                <w:sz w:val="20"/>
                <w:szCs w:val="20"/>
                <w:color w:val="auto"/>
              </w:rPr>
            </w:pPr>
            <w:r>
              <w:rPr>
                <w:rFonts w:ascii="Arial" w:cs="Arial" w:eastAsia="Arial" w:hAnsi="Arial"/>
                <w:sz w:val="12"/>
                <w:szCs w:val="12"/>
                <w:b w:val="1"/>
                <w:bCs w:val="1"/>
                <w:color w:val="auto"/>
              </w:rPr>
              <w:t>Amount</w:t>
            </w:r>
          </w:p>
        </w:tc>
        <w:tc>
          <w:tcPr>
            <w:tcW w:w="1540" w:type="dxa"/>
            <w:vAlign w:val="bottom"/>
            <w:gridSpan w:val="3"/>
            <w:vMerge w:val="restart"/>
          </w:tcPr>
          <w:p>
            <w:pPr>
              <w:jc w:val="center"/>
              <w:ind w:right="920"/>
              <w:spacing w:after="0"/>
              <w:rPr>
                <w:sz w:val="20"/>
                <w:szCs w:val="20"/>
                <w:color w:val="auto"/>
              </w:rPr>
            </w:pPr>
            <w:r>
              <w:rPr>
                <w:rFonts w:ascii="Arial" w:cs="Arial" w:eastAsia="Arial" w:hAnsi="Arial"/>
                <w:sz w:val="12"/>
                <w:szCs w:val="12"/>
                <w:b w:val="1"/>
                <w:bCs w:val="1"/>
                <w:color w:val="auto"/>
                <w:w w:val="83"/>
              </w:rPr>
              <w:t>Revenue</w:t>
            </w:r>
          </w:p>
        </w:tc>
        <w:tc>
          <w:tcPr>
            <w:tcW w:w="10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 Change</w:t>
            </w:r>
          </w:p>
        </w:tc>
        <w:tc>
          <w:tcPr>
            <w:tcW w:w="6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w w:val="93"/>
              </w:rPr>
              <w:t>($ amounts in 000's)</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Borders>
              <w:right w:val="single" w:sz="8" w:color="CCEEFF"/>
            </w:tcBorders>
            <w:shd w:val="clear" w:color="auto" w:fill="CCEEFF"/>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Arial" w:cs="Arial" w:eastAsia="Arial" w:hAnsi="Arial"/>
                <w:sz w:val="13"/>
                <w:szCs w:val="13"/>
                <w:color w:val="auto"/>
              </w:rPr>
              <w:t>Research and</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0" w:type="dxa"/>
            <w:vAlign w:val="bottom"/>
            <w:gridSpan w:val="2"/>
          </w:tcPr>
          <w:p>
            <w:pPr>
              <w:ind w:left="200"/>
              <w:spacing w:after="0"/>
              <w:rPr>
                <w:sz w:val="20"/>
                <w:szCs w:val="20"/>
                <w:color w:val="auto"/>
              </w:rPr>
            </w:pPr>
            <w:r>
              <w:rPr>
                <w:rFonts w:ascii="Arial" w:cs="Arial" w:eastAsia="Arial" w:hAnsi="Arial"/>
                <w:sz w:val="13"/>
                <w:szCs w:val="13"/>
                <w:color w:val="auto"/>
              </w:rPr>
              <w:t>development</w:t>
            </w:r>
          </w:p>
        </w:tc>
        <w:tc>
          <w:tcPr>
            <w:tcW w:w="1280" w:type="dxa"/>
            <w:vAlign w:val="bottom"/>
          </w:tcPr>
          <w:p>
            <w:pPr>
              <w:jc w:val="right"/>
              <w:ind w:right="358"/>
              <w:spacing w:after="0"/>
              <w:rPr>
                <w:sz w:val="20"/>
                <w:szCs w:val="20"/>
                <w:color w:val="auto"/>
              </w:rPr>
            </w:pPr>
            <w:r>
              <w:rPr>
                <w:rFonts w:ascii="Arial" w:cs="Arial" w:eastAsia="Arial" w:hAnsi="Arial"/>
                <w:sz w:val="13"/>
                <w:szCs w:val="13"/>
                <w:color w:val="auto"/>
              </w:rPr>
              <w:t>36,999</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16.0</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358"/>
              <w:spacing w:after="0"/>
              <w:rPr>
                <w:sz w:val="20"/>
                <w:szCs w:val="20"/>
                <w:color w:val="auto"/>
              </w:rPr>
            </w:pPr>
            <w:r>
              <w:rPr>
                <w:rFonts w:ascii="Arial" w:cs="Arial" w:eastAsia="Arial" w:hAnsi="Arial"/>
                <w:sz w:val="13"/>
                <w:szCs w:val="13"/>
                <w:color w:val="auto"/>
              </w:rPr>
              <w:t>31,207</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ind w:left="340"/>
              <w:spacing w:after="0"/>
              <w:rPr>
                <w:sz w:val="20"/>
                <w:szCs w:val="20"/>
                <w:color w:val="auto"/>
              </w:rPr>
            </w:pPr>
            <w:r>
              <w:rPr>
                <w:rFonts w:ascii="Arial" w:cs="Arial" w:eastAsia="Arial" w:hAnsi="Arial"/>
                <w:sz w:val="13"/>
                <w:szCs w:val="13"/>
                <w:color w:val="auto"/>
                <w:w w:val="86"/>
              </w:rPr>
              <w:t>17.2</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97"/>
              <w:spacing w:after="0"/>
              <w:rPr>
                <w:sz w:val="20"/>
                <w:szCs w:val="20"/>
                <w:color w:val="auto"/>
              </w:rPr>
            </w:pPr>
            <w:r>
              <w:rPr>
                <w:rFonts w:ascii="Arial" w:cs="Arial" w:eastAsia="Arial" w:hAnsi="Arial"/>
                <w:sz w:val="13"/>
                <w:szCs w:val="13"/>
                <w:color w:val="auto"/>
              </w:rPr>
              <w:t>5,792</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203"/>
        </w:trPr>
        <w:tc>
          <w:tcPr>
            <w:tcW w:w="360" w:type="dxa"/>
            <w:vAlign w:val="bottom"/>
            <w:tcBorders>
              <w:right w:val="single" w:sz="8" w:color="CCEEFF"/>
            </w:tcBorders>
            <w:shd w:val="clear" w:color="auto" w:fill="CCEEFF"/>
          </w:tcPr>
          <w:p>
            <w:pPr>
              <w:spacing w:after="0"/>
              <w:rPr>
                <w:sz w:val="17"/>
                <w:szCs w:val="17"/>
                <w:color w:val="auto"/>
              </w:rPr>
            </w:pPr>
          </w:p>
        </w:tc>
        <w:tc>
          <w:tcPr>
            <w:tcW w:w="12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7"/>
              </w:rPr>
              <w:t>Sales and marketing</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35.3</w:t>
            </w:r>
          </w:p>
        </w:tc>
        <w:tc>
          <w:tcPr>
            <w:tcW w:w="28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69,572</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38.4</w:t>
            </w:r>
          </w:p>
        </w:tc>
        <w:tc>
          <w:tcPr>
            <w:tcW w:w="3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11,915</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Arial" w:cs="Arial" w:eastAsia="Arial" w:hAnsi="Arial"/>
                <w:sz w:val="13"/>
                <w:szCs w:val="13"/>
                <w:color w:val="auto"/>
              </w:rPr>
              <w:t>General and</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3"/>
                <w:szCs w:val="13"/>
                <w:color w:val="auto"/>
              </w:rPr>
              <w:t>administrative</w:t>
            </w:r>
          </w:p>
        </w:tc>
        <w:tc>
          <w:tcPr>
            <w:tcW w:w="128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color w:val="auto"/>
              </w:rPr>
              <w:t>16,985</w:t>
            </w:r>
          </w:p>
        </w:tc>
        <w:tc>
          <w:tcPr>
            <w:tcW w:w="6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7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color w:val="auto"/>
              </w:rPr>
              <w:t>13,678</w:t>
            </w:r>
          </w:p>
        </w:tc>
        <w:tc>
          <w:tcPr>
            <w:tcW w:w="6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3,307</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55"/>
        </w:trPr>
        <w:tc>
          <w:tcPr>
            <w:tcW w:w="360" w:type="dxa"/>
            <w:vAlign w:val="bottom"/>
            <w:tcBorders>
              <w:right w:val="single" w:sz="8" w:color="CCEEFF"/>
            </w:tcBorders>
            <w:shd w:val="clear" w:color="auto" w:fill="CCEEFF"/>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w:t>
            </w:r>
          </w:p>
        </w:tc>
        <w:tc>
          <w:tcPr>
            <w:tcW w:w="1280" w:type="dxa"/>
            <w:vAlign w:val="bottom"/>
            <w:vMerge w:val="restart"/>
            <w:shd w:val="clear" w:color="auto" w:fill="CCEEFF"/>
          </w:tcPr>
          <w:p>
            <w:pPr>
              <w:jc w:val="right"/>
              <w:ind w:right="358"/>
              <w:spacing w:after="0"/>
              <w:rPr>
                <w:sz w:val="20"/>
                <w:szCs w:val="20"/>
                <w:color w:val="auto"/>
              </w:rPr>
            </w:pPr>
            <w:r>
              <w:rPr>
                <w:rFonts w:ascii="Arial" w:cs="Arial" w:eastAsia="Arial" w:hAnsi="Arial"/>
                <w:sz w:val="13"/>
                <w:szCs w:val="13"/>
                <w:color w:val="auto"/>
              </w:rPr>
              <w:t>135,471</w:t>
            </w: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358"/>
              <w:spacing w:after="0"/>
              <w:rPr>
                <w:sz w:val="20"/>
                <w:szCs w:val="20"/>
                <w:color w:val="auto"/>
              </w:rPr>
            </w:pPr>
            <w:r>
              <w:rPr>
                <w:rFonts w:ascii="Arial" w:cs="Arial" w:eastAsia="Arial" w:hAnsi="Arial"/>
                <w:sz w:val="13"/>
                <w:szCs w:val="13"/>
                <w:color w:val="auto"/>
              </w:rPr>
              <w:t>114,457</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gridSpan w:val="3"/>
            <w:vMerge w:val="restart"/>
            <w:shd w:val="clear" w:color="auto" w:fill="CCEEFF"/>
          </w:tcPr>
          <w:p>
            <w:pPr>
              <w:ind w:left="340"/>
              <w:spacing w:after="0"/>
              <w:rPr>
                <w:sz w:val="20"/>
                <w:szCs w:val="20"/>
                <w:color w:val="auto"/>
              </w:rPr>
            </w:pPr>
            <w:r>
              <w:rPr>
                <w:rFonts w:ascii="Arial" w:cs="Arial" w:eastAsia="Arial" w:hAnsi="Arial"/>
                <w:sz w:val="13"/>
                <w:szCs w:val="13"/>
                <w:color w:val="auto"/>
              </w:rPr>
              <w:t>63.1 &lt; /td&gt;</w:t>
            </w:r>
          </w:p>
        </w:tc>
        <w:tc>
          <w:tcPr>
            <w:tcW w:w="1020" w:type="dxa"/>
            <w:vAlign w:val="bottom"/>
            <w:vMerge w:val="restart"/>
            <w:shd w:val="clear" w:color="auto" w:fill="CCEEFF"/>
          </w:tcPr>
          <w:p>
            <w:pPr>
              <w:jc w:val="right"/>
              <w:ind w:right="397"/>
              <w:spacing w:after="0"/>
              <w:rPr>
                <w:sz w:val="20"/>
                <w:szCs w:val="20"/>
                <w:color w:val="auto"/>
              </w:rPr>
            </w:pPr>
            <w:r>
              <w:rPr>
                <w:rFonts w:ascii="Arial" w:cs="Arial" w:eastAsia="Arial" w:hAnsi="Arial"/>
                <w:sz w:val="13"/>
                <w:szCs w:val="13"/>
                <w:color w:val="auto"/>
              </w:rPr>
              <w:t>21,014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8"/>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1280" w:type="dxa"/>
            <w:vAlign w:val="bottom"/>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3"/>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00"/>
              <w:spacing w:after="0"/>
              <w:rPr>
                <w:sz w:val="20"/>
                <w:szCs w:val="20"/>
                <w:color w:val="auto"/>
              </w:rPr>
            </w:pPr>
            <w:r>
              <w:rPr>
                <w:rFonts w:ascii="Arial" w:cs="Arial" w:eastAsia="Arial" w:hAnsi="Arial"/>
                <w:sz w:val="13"/>
                <w:szCs w:val="13"/>
                <w:color w:val="auto"/>
                <w:w w:val="90"/>
              </w:rPr>
              <w:t>&lt; /td&gt;</w:t>
            </w:r>
          </w:p>
        </w:tc>
        <w:tc>
          <w:tcPr>
            <w:tcW w:w="0" w:type="dxa"/>
            <w:vAlign w:val="bottom"/>
          </w:tcPr>
          <w:p>
            <w:pPr>
              <w:spacing w:after="0"/>
              <w:rPr>
                <w:sz w:val="1"/>
                <w:szCs w:val="1"/>
                <w:color w:val="auto"/>
              </w:rPr>
            </w:pPr>
          </w:p>
        </w:tc>
      </w:tr>
      <w:tr>
        <w:trPr>
          <w:trHeight w:val="34"/>
        </w:trPr>
        <w:tc>
          <w:tcPr>
            <w:tcW w:w="360" w:type="dxa"/>
            <w:vAlign w:val="bottom"/>
            <w:tcBorders>
              <w:right w:val="single" w:sz="8" w:color="CCEEFF"/>
            </w:tcBorders>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Research and development expense</w:t>
      </w:r>
    </w:p>
    <w:p>
      <w:pPr>
        <w:spacing w:after="0" w:line="159" w:lineRule="exact"/>
        <w:rPr>
          <w:sz w:val="20"/>
          <w:szCs w:val="20"/>
          <w:color w:val="auto"/>
        </w:rPr>
      </w:pPr>
    </w:p>
    <w:p>
      <w:pPr>
        <w:ind w:right="20" w:firstLine="347"/>
        <w:spacing w:after="0" w:line="254" w:lineRule="auto"/>
        <w:rPr>
          <w:sz w:val="20"/>
          <w:szCs w:val="20"/>
          <w:color w:val="auto"/>
        </w:rPr>
      </w:pPr>
      <w:r>
        <w:rPr>
          <w:rFonts w:ascii="Arial" w:cs="Arial" w:eastAsia="Arial" w:hAnsi="Arial"/>
          <w:sz w:val="13"/>
          <w:szCs w:val="13"/>
          <w:color w:val="auto"/>
        </w:rPr>
        <w:t>Research and development expense increased $5.8 million, or 18.6%, in the nine months ended September 30, 2010 compared to the nine months ended September 30, 2009, primarily due to an increase of $4.1 million in cash-based personnel costs as a result of increased headcount to support the development of new products and continued enhancements of our existing products, higher occupancy-related costs of $1.4 million, due to office expansions in Canada, and an increase of $0.3 million in stock-based compensation expense. A 12% increase in the Canadian dollar exchange rate against the US dollar also significantly contributed to the increase in research and development expense.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Sales and marketing expense</w:t>
      </w:r>
    </w:p>
    <w:p>
      <w:pPr>
        <w:spacing w:after="0" w:line="159" w:lineRule="exact"/>
        <w:rPr>
          <w:sz w:val="20"/>
          <w:szCs w:val="20"/>
          <w:color w:val="auto"/>
        </w:rPr>
      </w:pPr>
    </w:p>
    <w:p>
      <w:pPr>
        <w:ind w:right="20" w:firstLine="347"/>
        <w:spacing w:after="0" w:line="252" w:lineRule="auto"/>
        <w:rPr>
          <w:sz w:val="20"/>
          <w:szCs w:val="20"/>
          <w:color w:val="auto"/>
        </w:rPr>
      </w:pPr>
      <w:r>
        <w:rPr>
          <w:rFonts w:ascii="Arial" w:cs="Arial" w:eastAsia="Arial" w:hAnsi="Arial"/>
          <w:sz w:val="13"/>
          <w:szCs w:val="13"/>
          <w:color w:val="auto"/>
        </w:rPr>
        <w:t>Sales and marketing expense increased $11.9 million, or 17.1%, in the nine months ended September 30, 2010 compared to the nine months ended September 30, 2009 as we continued to increase our sales headcount in order to expand our global footprint. The increase consisted of cash-based personnel costs of $10.9 million based on increased headcount, a $0.8 million increas e in travel, a $0.7 million increase in stock-based compensation expense, a $0.2 million increase in depreciation expense, and a $0.1 million increase in occupancy-related costs. These increases were partially offset by a $0.8 million decrease in marketing-related expenses. As a percentage of revenue, sales and marketing expenses decreased 3.1 percentage points due to the leverage we are achieving from the investment in our salesforce during the past year, as evidenced by our revenue growth of 27.4% exceeding our sales and marketing expenses growth of 17.1%.</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General and administrative expense</w:t>
      </w:r>
    </w:p>
    <w:p>
      <w:pPr>
        <w:spacing w:after="0" w:line="159" w:lineRule="exact"/>
        <w:rPr>
          <w:sz w:val="20"/>
          <w:szCs w:val="20"/>
          <w:color w:val="auto"/>
        </w:rPr>
      </w:pPr>
    </w:p>
    <w:p>
      <w:pPr>
        <w:jc w:val="both"/>
        <w:ind w:right="40" w:firstLine="347"/>
        <w:spacing w:after="0" w:line="258" w:lineRule="auto"/>
        <w:rPr>
          <w:sz w:val="20"/>
          <w:szCs w:val="20"/>
          <w:color w:val="auto"/>
        </w:rPr>
      </w:pPr>
      <w:r>
        <w:rPr>
          <w:rFonts w:ascii="Arial" w:cs="Arial" w:eastAsia="Arial" w:hAnsi="Arial"/>
          <w:sz w:val="13"/>
          <w:szCs w:val="13"/>
          <w:color w:val="auto"/>
        </w:rPr>
        <w:t>In the nine months ended September 30, 2010, general and administrative expense increased $3.3 million, or 24.2%, compared to the nine months ended September 30, 2009. The increase was primarily due to a $1.6 million increase in legal expenses to support various patent litigation matters and a $0.6 million increase in accounting-related expenses due to being a public company. In addition, cash-based personnel costs increased $0.8 million and stock-based compensat ion increased $0.3 million.</w:t>
      </w:r>
    </w:p>
    <w:p>
      <w:pPr>
        <w:spacing w:after="0" w:line="135"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480"/>
          </w:cols>
          <w:pgMar w:left="220" w:top="131" w:right="199" w:bottom="1440" w:gutter="0" w:footer="0" w:header="0"/>
        </w:sectPr>
      </w:pPr>
    </w:p>
    <w:bookmarkStart w:id="35" w:name="page36"/>
    <w:bookmarkEnd w:id="35"/>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313"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Interest income and other income (expense), net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0" w:type="dxa"/>
            <w:vAlign w:val="bottom"/>
          </w:tcPr>
          <w:p>
            <w:pPr>
              <w:jc w:val="right"/>
              <w:ind w:right="39"/>
              <w:spacing w:after="0"/>
              <w:rPr>
                <w:sz w:val="20"/>
                <w:szCs w:val="20"/>
                <w:color w:val="auto"/>
              </w:rPr>
            </w:pPr>
            <w:r>
              <w:rPr>
                <w:rFonts w:ascii="Arial" w:cs="Arial" w:eastAsia="Arial" w:hAnsi="Arial"/>
                <w:sz w:val="12"/>
                <w:szCs w:val="12"/>
                <w:b w:val="1"/>
                <w:bCs w:val="1"/>
                <w:color w:val="auto"/>
                <w:w w:val="96"/>
              </w:rPr>
              <w:t>Nine Months Ended</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4"/>
        </w:trPr>
        <w:tc>
          <w:tcPr>
            <w:tcW w:w="38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45"/>
        </w:trPr>
        <w:tc>
          <w:tcPr>
            <w:tcW w:w="3800" w:type="dxa"/>
            <w:vAlign w:val="bottom"/>
          </w:tcPr>
          <w:p>
            <w:pPr>
              <w:spacing w:after="0"/>
              <w:rPr>
                <w:sz w:val="12"/>
                <w:szCs w:val="12"/>
                <w:color w:val="auto"/>
              </w:rPr>
            </w:pPr>
          </w:p>
        </w:tc>
        <w:tc>
          <w:tcPr>
            <w:tcW w:w="1460" w:type="dxa"/>
            <w:vAlign w:val="bottom"/>
          </w:tcPr>
          <w:p>
            <w:pPr>
              <w:jc w:val="right"/>
              <w:ind w:right="39"/>
              <w:spacing w:after="0"/>
              <w:rPr>
                <w:sz w:val="20"/>
                <w:szCs w:val="20"/>
                <w:color w:val="auto"/>
              </w:rPr>
            </w:pPr>
            <w:r>
              <w:rPr>
                <w:rFonts w:ascii="Arial" w:cs="Arial" w:eastAsia="Arial" w:hAnsi="Arial"/>
                <w:sz w:val="12"/>
                <w:szCs w:val="12"/>
                <w:b w:val="1"/>
                <w:bCs w:val="1"/>
                <w:color w:val="auto"/>
              </w:rPr>
              <w:t>September 30,</w:t>
            </w:r>
          </w:p>
        </w:tc>
        <w:tc>
          <w:tcPr>
            <w:tcW w:w="1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w w:val="92"/>
              </w:rPr>
              <w:t>September 30,</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3800" w:type="dxa"/>
            <w:vAlign w:val="bottom"/>
          </w:tcPr>
          <w:p>
            <w:pPr>
              <w:spacing w:after="0"/>
              <w:rPr>
                <w:sz w:val="12"/>
                <w:szCs w:val="12"/>
                <w:color w:val="auto"/>
              </w:rPr>
            </w:pPr>
          </w:p>
        </w:tc>
        <w:tc>
          <w:tcPr>
            <w:tcW w:w="1460" w:type="dxa"/>
            <w:vAlign w:val="bottom"/>
          </w:tcPr>
          <w:p>
            <w:pPr>
              <w:jc w:val="right"/>
              <w:ind w:right="439"/>
              <w:spacing w:after="0"/>
              <w:rPr>
                <w:sz w:val="20"/>
                <w:szCs w:val="20"/>
                <w:color w:val="auto"/>
              </w:rPr>
            </w:pPr>
            <w:r>
              <w:rPr>
                <w:rFonts w:ascii="Arial" w:cs="Arial" w:eastAsia="Arial" w:hAnsi="Arial"/>
                <w:sz w:val="12"/>
                <w:szCs w:val="12"/>
                <w:b w:val="1"/>
                <w:bCs w:val="1"/>
                <w:color w:val="auto"/>
              </w:rPr>
              <w:t>2010</w:t>
            </w:r>
          </w:p>
        </w:tc>
        <w:tc>
          <w:tcPr>
            <w:tcW w:w="1200" w:type="dxa"/>
            <w:vAlign w:val="bottom"/>
          </w:tcPr>
          <w:p>
            <w:pPr>
              <w:spacing w:after="0"/>
              <w:rPr>
                <w:sz w:val="12"/>
                <w:szCs w:val="12"/>
                <w:color w:val="auto"/>
              </w:rPr>
            </w:pPr>
          </w:p>
        </w:tc>
        <w:tc>
          <w:tcPr>
            <w:tcW w:w="820" w:type="dxa"/>
            <w:vAlign w:val="bottom"/>
          </w:tcPr>
          <w:p>
            <w:pPr>
              <w:jc w:val="right"/>
              <w:ind w:right="359"/>
              <w:spacing w:after="0"/>
              <w:rPr>
                <w:sz w:val="20"/>
                <w:szCs w:val="20"/>
                <w:color w:val="auto"/>
              </w:rPr>
            </w:pPr>
            <w:r>
              <w:rPr>
                <w:rFonts w:ascii="Arial" w:cs="Arial" w:eastAsia="Arial" w:hAnsi="Arial"/>
                <w:sz w:val="12"/>
                <w:szCs w:val="12"/>
                <w:b w:val="1"/>
                <w:bCs w:val="1"/>
                <w:color w:val="auto"/>
              </w:rPr>
              <w:t>2009</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ind w:left="680"/>
              <w:spacing w:after="0"/>
              <w:rPr>
                <w:sz w:val="20"/>
                <w:szCs w:val="20"/>
                <w:color w:val="auto"/>
              </w:rPr>
            </w:pPr>
            <w:r>
              <w:rPr>
                <w:rFonts w:ascii="Arial" w:cs="Arial" w:eastAsia="Arial" w:hAnsi="Arial"/>
                <w:sz w:val="12"/>
                <w:szCs w:val="12"/>
                <w:b w:val="1"/>
                <w:bCs w:val="1"/>
                <w:color w:val="auto"/>
              </w:rPr>
              <w:t>$ Change</w:t>
            </w:r>
          </w:p>
        </w:tc>
        <w:tc>
          <w:tcPr>
            <w:tcW w:w="740" w:type="dxa"/>
            <w:vAlign w:val="bottom"/>
          </w:tcPr>
          <w:p>
            <w:pPr>
              <w:spacing w:after="0"/>
              <w:rPr>
                <w:sz w:val="12"/>
                <w:szCs w:val="12"/>
                <w:color w:val="auto"/>
              </w:rPr>
            </w:pPr>
          </w:p>
        </w:tc>
        <w:tc>
          <w:tcPr>
            <w:tcW w:w="1200" w:type="dxa"/>
            <w:vAlign w:val="bottom"/>
          </w:tcPr>
          <w:p>
            <w:pPr>
              <w:jc w:val="right"/>
              <w:ind w:right="58"/>
              <w:spacing w:after="0"/>
              <w:rPr>
                <w:sz w:val="20"/>
                <w:szCs w:val="20"/>
                <w:color w:val="auto"/>
              </w:rPr>
            </w:pPr>
            <w:r>
              <w:rPr>
                <w:rFonts w:ascii="Arial" w:cs="Arial" w:eastAsia="Arial" w:hAnsi="Arial"/>
                <w:sz w:val="12"/>
                <w:szCs w:val="12"/>
                <w:b w:val="1"/>
                <w:bCs w:val="1"/>
                <w:color w:val="auto"/>
              </w:rPr>
              <w:t>% Change</w:t>
            </w:r>
          </w:p>
        </w:tc>
        <w:tc>
          <w:tcPr>
            <w:tcW w:w="200" w:type="dxa"/>
            <w:vAlign w:val="bottom"/>
          </w:tcPr>
          <w:p>
            <w:pPr>
              <w:spacing w:after="0"/>
              <w:rPr>
                <w:sz w:val="12"/>
                <w:szCs w:val="12"/>
                <w:color w:val="auto"/>
              </w:rPr>
            </w:pPr>
          </w:p>
        </w:tc>
      </w:tr>
      <w:tr>
        <w:trPr>
          <w:trHeight w:val="24"/>
        </w:trPr>
        <w:tc>
          <w:tcPr>
            <w:tcW w:w="38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49"/>
        </w:trPr>
        <w:tc>
          <w:tcPr>
            <w:tcW w:w="3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gridSpan w:val="4"/>
          </w:tcPr>
          <w:p>
            <w:pPr>
              <w:ind w:left="20"/>
              <w:spacing w:after="0"/>
              <w:rPr>
                <w:sz w:val="20"/>
                <w:szCs w:val="20"/>
                <w:color w:val="auto"/>
              </w:rPr>
            </w:pPr>
            <w:r>
              <w:rPr>
                <w:rFonts w:ascii="Arial" w:cs="Arial" w:eastAsia="Arial" w:hAnsi="Arial"/>
                <w:sz w:val="12"/>
                <w:szCs w:val="12"/>
                <w:b w:val="1"/>
                <w:bCs w:val="1"/>
                <w:color w:val="auto"/>
              </w:rPr>
              <w:t>($ amounts in 000's)</w:t>
            </w: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4"/>
        </w:trPr>
        <w:tc>
          <w:tcPr>
            <w:tcW w:w="3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3"/>
        </w:trPr>
        <w:tc>
          <w:tcPr>
            <w:tcW w:w="38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Interest income</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1,181</w:t>
            </w:r>
          </w:p>
        </w:tc>
        <w:tc>
          <w:tcPr>
            <w:tcW w:w="1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1,677</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(496</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(29.6</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3800" w:type="dxa"/>
            <w:vAlign w:val="bottom"/>
          </w:tcPr>
          <w:p>
            <w:pPr>
              <w:ind w:left="360"/>
              <w:spacing w:after="0"/>
              <w:rPr>
                <w:sz w:val="20"/>
                <w:szCs w:val="20"/>
                <w:color w:val="auto"/>
              </w:rPr>
            </w:pPr>
            <w:r>
              <w:rPr>
                <w:rFonts w:ascii="Arial" w:cs="Arial" w:eastAsia="Arial" w:hAnsi="Arial"/>
                <w:sz w:val="13"/>
                <w:szCs w:val="13"/>
                <w:color w:val="auto"/>
              </w:rPr>
              <w:t>Other income (expense), net</w:t>
            </w:r>
          </w:p>
        </w:tc>
        <w:tc>
          <w:tcPr>
            <w:tcW w:w="1460" w:type="dxa"/>
            <w:vAlign w:val="bottom"/>
          </w:tcPr>
          <w:p>
            <w:pPr>
              <w:jc w:val="right"/>
              <w:ind w:right="139"/>
              <w:spacing w:after="0"/>
              <w:rPr>
                <w:sz w:val="20"/>
                <w:szCs w:val="20"/>
                <w:color w:val="auto"/>
              </w:rPr>
            </w:pPr>
            <w:r>
              <w:rPr>
                <w:rFonts w:ascii="Arial" w:cs="Arial" w:eastAsia="Arial" w:hAnsi="Arial"/>
                <w:sz w:val="13"/>
                <w:szCs w:val="13"/>
                <w:color w:val="auto"/>
              </w:rPr>
              <w:t>(565</w:t>
            </w:r>
          </w:p>
        </w:tc>
        <w:tc>
          <w:tcPr>
            <w:tcW w:w="1200" w:type="dxa"/>
            <w:vAlign w:val="bottom"/>
          </w:tcPr>
          <w:p>
            <w:pPr>
              <w:jc w:val="right"/>
              <w:ind w:right="93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9"/>
              <w:spacing w:after="0"/>
              <w:rPr>
                <w:sz w:val="20"/>
                <w:szCs w:val="20"/>
                <w:color w:val="auto"/>
              </w:rPr>
            </w:pPr>
            <w:r>
              <w:rPr>
                <w:rFonts w:ascii="Arial" w:cs="Arial" w:eastAsia="Arial" w:hAnsi="Arial"/>
                <w:sz w:val="13"/>
                <w:szCs w:val="13"/>
                <w:color w:val="auto"/>
              </w:rPr>
              <w:t>148</w:t>
            </w:r>
          </w:p>
        </w:tc>
        <w:tc>
          <w:tcPr>
            <w:tcW w:w="2000" w:type="dxa"/>
            <w:vAlign w:val="bottom"/>
            <w:gridSpan w:val="4"/>
          </w:tcPr>
          <w:p>
            <w:pPr>
              <w:jc w:val="right"/>
              <w:ind w:right="200"/>
              <w:spacing w:after="0"/>
              <w:rPr>
                <w:sz w:val="20"/>
                <w:szCs w:val="20"/>
                <w:color w:val="auto"/>
              </w:rPr>
            </w:pPr>
            <w:r>
              <w:rPr>
                <w:rFonts w:ascii="Arial" w:cs="Arial" w:eastAsia="Arial" w:hAnsi="Arial"/>
                <w:sz w:val="13"/>
                <w:szCs w:val="13"/>
                <w:color w:val="auto"/>
              </w:rPr>
              <w:t>(713</w:t>
            </w:r>
          </w:p>
        </w:tc>
        <w:tc>
          <w:tcPr>
            <w:tcW w:w="740" w:type="dxa"/>
            <w:vAlign w:val="bottom"/>
          </w:tcPr>
          <w:p>
            <w:pPr>
              <w:jc w:val="right"/>
              <w:ind w:right="49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58"/>
              <w:spacing w:after="0"/>
              <w:rPr>
                <w:sz w:val="20"/>
                <w:szCs w:val="20"/>
                <w:color w:val="auto"/>
              </w:rPr>
            </w:pPr>
            <w:r>
              <w:rPr>
                <w:rFonts w:ascii="Arial" w:cs="Arial" w:eastAsia="Arial" w:hAnsi="Arial"/>
                <w:sz w:val="13"/>
                <w:szCs w:val="13"/>
                <w:color w:val="auto"/>
              </w:rPr>
              <w:t>(481.8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165" w:lineRule="exact"/>
        <w:rPr>
          <w:sz w:val="20"/>
          <w:szCs w:val="20"/>
          <w:color w:val="auto"/>
        </w:rPr>
      </w:pPr>
    </w:p>
    <w:p>
      <w:pPr>
        <w:ind w:right="80" w:firstLine="347"/>
        <w:spacing w:after="0" w:line="254" w:lineRule="auto"/>
        <w:rPr>
          <w:sz w:val="20"/>
          <w:szCs w:val="20"/>
          <w:color w:val="auto"/>
        </w:rPr>
      </w:pPr>
      <w:r>
        <w:rPr>
          <w:rFonts w:ascii="Arial" w:cs="Arial" w:eastAsia="Arial" w:hAnsi="Arial"/>
          <w:sz w:val="13"/>
          <w:szCs w:val="13"/>
          <w:color w:val="auto"/>
        </w:rPr>
        <w:t>The $0.5 million decrease in interest income in the nine months ended September 30, 2010 compared to the nine months ended September 30, 2009 was due to lower interest rates, despite higher balances of cash, cash equivalents and investments. The change in other income (expense), net for the nine months ended September 30, 2010 when compared to the nine months ended September 30, 2009 was the result of foreign currency losses in 2010 on intercompany balances in unhedged currencies due to unfavorable fluctuations and a foreign exchange gain in 2009. The loss for the nine months ended September 30, 2010 was primarily due to the weakening of the U.S. dollar against the Australian Dollars, Japanese Yen and Malaysian Ringgit.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&lt; /tr&gt;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920" w:type="dxa"/>
            <w:vAlign w:val="bottom"/>
            <w:gridSpan w:val="2"/>
          </w:tcPr>
          <w:p>
            <w:pPr>
              <w:jc w:val="right"/>
              <w:ind w:right="742"/>
              <w:spacing w:after="0"/>
              <w:rPr>
                <w:sz w:val="20"/>
                <w:szCs w:val="20"/>
                <w:color w:val="auto"/>
              </w:rPr>
            </w:pPr>
            <w:r>
              <w:rPr>
                <w:rFonts w:ascii="Arial" w:cs="Arial" w:eastAsia="Arial" w:hAnsi="Arial"/>
                <w:sz w:val="12"/>
                <w:szCs w:val="12"/>
                <w:b w:val="1"/>
                <w:bCs w:val="1"/>
                <w:color w:val="auto"/>
                <w:w w:val="98"/>
              </w:rPr>
              <w:t>Nine Months Ended</w:t>
            </w:r>
          </w:p>
        </w:tc>
        <w:tc>
          <w:tcPr>
            <w:tcW w:w="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4"/>
        </w:trPr>
        <w:tc>
          <w:tcPr>
            <w:tcW w:w="4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45"/>
        </w:trPr>
        <w:tc>
          <w:tcPr>
            <w:tcW w:w="4000" w:type="dxa"/>
            <w:vAlign w:val="bottom"/>
          </w:tcPr>
          <w:p>
            <w:pPr>
              <w:spacing w:after="0"/>
              <w:rPr>
                <w:sz w:val="12"/>
                <w:szCs w:val="12"/>
                <w:color w:val="auto"/>
              </w:rPr>
            </w:pPr>
          </w:p>
        </w:tc>
        <w:tc>
          <w:tcPr>
            <w:tcW w:w="1440" w:type="dxa"/>
            <w:vAlign w:val="bottom"/>
          </w:tcPr>
          <w:p>
            <w:pPr>
              <w:jc w:val="right"/>
              <w:ind w:right="59"/>
              <w:spacing w:after="0"/>
              <w:rPr>
                <w:sz w:val="20"/>
                <w:szCs w:val="20"/>
                <w:color w:val="auto"/>
              </w:rPr>
            </w:pPr>
            <w:r>
              <w:rPr>
                <w:rFonts w:ascii="Arial" w:cs="Arial" w:eastAsia="Arial" w:hAnsi="Arial"/>
                <w:sz w:val="12"/>
                <w:szCs w:val="12"/>
                <w:b w:val="1"/>
                <w:bCs w:val="1"/>
                <w:color w:val="auto"/>
              </w:rPr>
              <w:t>September 30,</w:t>
            </w:r>
          </w:p>
        </w:tc>
        <w:tc>
          <w:tcPr>
            <w:tcW w:w="600" w:type="dxa"/>
            <w:vAlign w:val="bottom"/>
          </w:tcPr>
          <w:p>
            <w:pPr>
              <w:spacing w:after="0"/>
              <w:rPr>
                <w:sz w:val="12"/>
                <w:szCs w:val="12"/>
                <w:color w:val="auto"/>
              </w:rPr>
            </w:pPr>
          </w:p>
        </w:tc>
        <w:tc>
          <w:tcPr>
            <w:tcW w:w="1320" w:type="dxa"/>
            <w:vAlign w:val="bottom"/>
          </w:tcPr>
          <w:p>
            <w:pPr>
              <w:jc w:val="right"/>
              <w:ind w:right="202"/>
              <w:spacing w:after="0"/>
              <w:rPr>
                <w:sz w:val="20"/>
                <w:szCs w:val="20"/>
                <w:color w:val="auto"/>
              </w:rPr>
            </w:pPr>
            <w:r>
              <w:rPr>
                <w:rFonts w:ascii="Arial" w:cs="Arial" w:eastAsia="Arial" w:hAnsi="Arial"/>
                <w:sz w:val="12"/>
                <w:szCs w:val="12"/>
                <w:b w:val="1"/>
                <w:bCs w:val="1"/>
                <w:color w:val="auto"/>
              </w:rPr>
              <w:t>September 30,</w:t>
            </w:r>
          </w:p>
        </w:tc>
        <w:tc>
          <w:tcPr>
            <w:tcW w:w="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4000" w:type="dxa"/>
            <w:vAlign w:val="bottom"/>
          </w:tcPr>
          <w:p>
            <w:pPr>
              <w:spacing w:after="0"/>
              <w:rPr>
                <w:sz w:val="12"/>
                <w:szCs w:val="12"/>
                <w:color w:val="auto"/>
              </w:rPr>
            </w:pPr>
          </w:p>
        </w:tc>
        <w:tc>
          <w:tcPr>
            <w:tcW w:w="1440" w:type="dxa"/>
            <w:vAlign w:val="bottom"/>
          </w:tcPr>
          <w:p>
            <w:pPr>
              <w:jc w:val="right"/>
              <w:ind w:right="459"/>
              <w:spacing w:after="0"/>
              <w:rPr>
                <w:sz w:val="20"/>
                <w:szCs w:val="20"/>
                <w:color w:val="auto"/>
              </w:rPr>
            </w:pPr>
            <w:r>
              <w:rPr>
                <w:rFonts w:ascii="Arial" w:cs="Arial" w:eastAsia="Arial" w:hAnsi="Arial"/>
                <w:sz w:val="12"/>
                <w:szCs w:val="12"/>
                <w:b w:val="1"/>
                <w:bCs w:val="1"/>
                <w:color w:val="auto"/>
              </w:rPr>
              <w:t>2010</w:t>
            </w:r>
          </w:p>
        </w:tc>
        <w:tc>
          <w:tcPr>
            <w:tcW w:w="1920" w:type="dxa"/>
            <w:vAlign w:val="bottom"/>
            <w:gridSpan w:val="2"/>
          </w:tcPr>
          <w:p>
            <w:pPr>
              <w:jc w:val="right"/>
              <w:ind w:right="1022"/>
              <w:spacing w:after="0"/>
              <w:rPr>
                <w:sz w:val="20"/>
                <w:szCs w:val="20"/>
                <w:color w:val="auto"/>
              </w:rPr>
            </w:pPr>
            <w:r>
              <w:rPr>
                <w:rFonts w:ascii="Arial" w:cs="Arial" w:eastAsia="Arial" w:hAnsi="Arial"/>
                <w:sz w:val="12"/>
                <w:szCs w:val="12"/>
                <w:b w:val="1"/>
                <w:bCs w:val="1"/>
                <w:color w:val="auto"/>
              </w:rPr>
              <w:t>2009</w:t>
            </w:r>
          </w:p>
        </w:tc>
        <w:tc>
          <w:tcPr>
            <w:tcW w:w="380" w:type="dxa"/>
            <w:vAlign w:val="bottom"/>
          </w:tcPr>
          <w:p>
            <w:pPr>
              <w:spacing w:after="0"/>
              <w:rPr>
                <w:sz w:val="12"/>
                <w:szCs w:val="12"/>
                <w:color w:val="auto"/>
              </w:rPr>
            </w:pPr>
          </w:p>
        </w:tc>
        <w:tc>
          <w:tcPr>
            <w:tcW w:w="1960" w:type="dxa"/>
            <w:vAlign w:val="bottom"/>
          </w:tcPr>
          <w:p>
            <w:pPr>
              <w:jc w:val="right"/>
              <w:ind w:right="302"/>
              <w:spacing w:after="0"/>
              <w:rPr>
                <w:sz w:val="20"/>
                <w:szCs w:val="20"/>
                <w:color w:val="auto"/>
              </w:rPr>
            </w:pPr>
            <w:r>
              <w:rPr>
                <w:rFonts w:ascii="Arial" w:cs="Arial" w:eastAsia="Arial" w:hAnsi="Arial"/>
                <w:sz w:val="12"/>
                <w:szCs w:val="12"/>
                <w:b w:val="1"/>
                <w:bCs w:val="1"/>
                <w:color w:val="auto"/>
              </w:rPr>
              <w:t>$ Change</w:t>
            </w:r>
          </w:p>
        </w:tc>
        <w:tc>
          <w:tcPr>
            <w:tcW w:w="1720" w:type="dxa"/>
            <w:vAlign w:val="bottom"/>
          </w:tcPr>
          <w:p>
            <w:pPr>
              <w:jc w:val="right"/>
              <w:ind w:right="318"/>
              <w:spacing w:after="0"/>
              <w:rPr>
                <w:sz w:val="20"/>
                <w:szCs w:val="20"/>
                <w:color w:val="auto"/>
              </w:rPr>
            </w:pPr>
            <w:r>
              <w:rPr>
                <w:rFonts w:ascii="Arial" w:cs="Arial" w:eastAsia="Arial" w:hAnsi="Arial"/>
                <w:sz w:val="12"/>
                <w:szCs w:val="12"/>
                <w:b w:val="1"/>
                <w:bCs w:val="1"/>
                <w:color w:val="auto"/>
              </w:rPr>
              <w:t>% Change</w:t>
            </w:r>
          </w:p>
        </w:tc>
      </w:tr>
      <w:tr>
        <w:trPr>
          <w:trHeight w:val="24"/>
        </w:trPr>
        <w:tc>
          <w:tcPr>
            <w:tcW w:w="40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49"/>
        </w:trPr>
        <w:tc>
          <w:tcPr>
            <w:tcW w:w="4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gridSpan w:val="2"/>
          </w:tcPr>
          <w:p>
            <w:pPr>
              <w:jc w:val="right"/>
              <w:ind w:right="1242"/>
              <w:spacing w:after="0"/>
              <w:rPr>
                <w:sz w:val="20"/>
                <w:szCs w:val="20"/>
                <w:color w:val="auto"/>
              </w:rPr>
            </w:pPr>
            <w:r>
              <w:rPr>
                <w:rFonts w:ascii="Arial" w:cs="Arial" w:eastAsia="Arial" w:hAnsi="Arial"/>
                <w:sz w:val="12"/>
                <w:szCs w:val="12"/>
                <w:b w:val="1"/>
                <w:bCs w:val="1"/>
                <w:color w:val="auto"/>
                <w:w w:val="88"/>
              </w:rPr>
              <w:t>($ amounts in 000's)</w:t>
            </w:r>
          </w:p>
        </w:tc>
        <w:tc>
          <w:tcPr>
            <w:tcW w:w="1720" w:type="dxa"/>
            <w:vAlign w:val="bottom"/>
          </w:tcPr>
          <w:p>
            <w:pPr>
              <w:spacing w:after="0"/>
              <w:rPr>
                <w:sz w:val="12"/>
                <w:szCs w:val="12"/>
                <w:color w:val="auto"/>
              </w:rPr>
            </w:pPr>
          </w:p>
        </w:tc>
      </w:tr>
      <w:tr>
        <w:trPr>
          <w:trHeight w:val="24"/>
        </w:trPr>
        <w:tc>
          <w:tcPr>
            <w:tcW w:w="4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3"/>
        </w:trPr>
        <w:tc>
          <w:tcPr>
            <w:tcW w:w="4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Provision for income taxes</w:t>
            </w:r>
          </w:p>
        </w:tc>
        <w:tc>
          <w:tcPr>
            <w:tcW w:w="144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rPr>
              <w:t>10,155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3,466</w:t>
            </w:r>
          </w:p>
        </w:tc>
        <w:tc>
          <w:tcPr>
            <w:tcW w:w="2340" w:type="dxa"/>
            <w:vAlign w:val="bottom"/>
            <w:gridSpan w:val="2"/>
            <w:shd w:val="clear" w:color="auto" w:fill="CCEEFF"/>
          </w:tcPr>
          <w:p>
            <w:pPr>
              <w:jc w:val="right"/>
              <w:ind w:right="362"/>
              <w:spacing w:after="0"/>
              <w:rPr>
                <w:sz w:val="20"/>
                <w:szCs w:val="20"/>
                <w:color w:val="auto"/>
              </w:rPr>
            </w:pPr>
            <w:r>
              <w:rPr>
                <w:rFonts w:ascii="Arial" w:cs="Arial" w:eastAsia="Arial" w:hAnsi="Arial"/>
                <w:sz w:val="13"/>
                <w:szCs w:val="13"/>
                <w:color w:val="auto"/>
              </w:rPr>
              <w:t>6,689</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w:t>
            </w:r>
          </w:p>
        </w:tc>
      </w:tr>
      <w:tr>
        <w:trPr>
          <w:trHeight w:val="173"/>
        </w:trPr>
        <w:tc>
          <w:tcPr>
            <w:tcW w:w="4000" w:type="dxa"/>
            <w:vAlign w:val="bottom"/>
          </w:tcPr>
          <w:p>
            <w:pPr>
              <w:ind w:left="360"/>
              <w:spacing w:after="0"/>
              <w:rPr>
                <w:sz w:val="20"/>
                <w:szCs w:val="20"/>
                <w:color w:val="auto"/>
              </w:rPr>
            </w:pPr>
            <w:r>
              <w:rPr>
                <w:rFonts w:ascii="Arial" w:cs="Arial" w:eastAsia="Arial" w:hAnsi="Arial"/>
                <w:sz w:val="13"/>
                <w:szCs w:val="13"/>
                <w:color w:val="auto"/>
              </w:rPr>
              <w:t>Effective tax rate (%)</w:t>
            </w:r>
          </w:p>
        </w:tc>
        <w:tc>
          <w:tcPr>
            <w:tcW w:w="1440" w:type="dxa"/>
            <w:vAlign w:val="bottom"/>
          </w:tcPr>
          <w:p>
            <w:pPr>
              <w:jc w:val="right"/>
              <w:ind w:right="159"/>
              <w:spacing w:after="0"/>
              <w:rPr>
                <w:sz w:val="20"/>
                <w:szCs w:val="20"/>
                <w:color w:val="auto"/>
              </w:rPr>
            </w:pPr>
            <w:r>
              <w:rPr>
                <w:rFonts w:ascii="Arial" w:cs="Arial" w:eastAsia="Arial" w:hAnsi="Arial"/>
                <w:sz w:val="13"/>
                <w:szCs w:val="13"/>
                <w:color w:val="auto"/>
              </w:rPr>
              <w:t>28.8</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17.6</w:t>
            </w: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20" w:type="dxa"/>
            <w:vAlign w:val="bottom"/>
          </w:tcPr>
          <w:p>
            <w:pPr>
              <w:jc w:val="right"/>
              <w:ind w:right="1218"/>
              <w:spacing w:after="0"/>
              <w:rPr>
                <w:sz w:val="20"/>
                <w:szCs w:val="20"/>
                <w:color w:val="auto"/>
              </w:rPr>
            </w:pPr>
            <w:r>
              <w:rPr>
                <w:rFonts w:ascii="Arial" w:cs="Arial" w:eastAsia="Arial" w:hAnsi="Arial"/>
                <w:sz w:val="13"/>
                <w:szCs w:val="13"/>
                <w:color w:val="auto"/>
              </w:rPr>
              <w:t>*</w:t>
            </w:r>
          </w:p>
        </w:tc>
      </w:tr>
      <w:tr>
        <w:trPr>
          <w:trHeight w:val="193"/>
        </w:trPr>
        <w:tc>
          <w:tcPr>
            <w:tcW w:w="4000" w:type="dxa"/>
            <w:vAlign w:val="bottom"/>
          </w:tcPr>
          <w:p>
            <w:pPr>
              <w:ind w:left="360"/>
              <w:spacing w:after="0"/>
              <w:rPr>
                <w:sz w:val="20"/>
                <w:szCs w:val="20"/>
                <w:color w:val="auto"/>
              </w:rPr>
            </w:pPr>
            <w:r>
              <w:rPr>
                <w:rFonts w:ascii="Arial" w:cs="Arial" w:eastAsia="Arial" w:hAnsi="Arial"/>
                <w:sz w:val="13"/>
                <w:szCs w:val="13"/>
                <w:color w:val="auto"/>
              </w:rPr>
              <w:t>-----------</w:t>
            </w: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1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not meaningful</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&lt; font style="font-family:inherit;font-size:10pt;"&gt;</w:t>
      </w:r>
    </w:p>
    <w:p>
      <w:pPr>
        <w:spacing w:after="0" w:line="5" w:lineRule="exact"/>
        <w:rPr>
          <w:sz w:val="20"/>
          <w:szCs w:val="20"/>
          <w:color w:val="auto"/>
        </w:rPr>
      </w:pPr>
    </w:p>
    <w:p>
      <w:pPr>
        <w:ind w:right="60" w:firstLine="347"/>
        <w:spacing w:after="0" w:line="303" w:lineRule="auto"/>
        <w:rPr>
          <w:sz w:val="20"/>
          <w:szCs w:val="20"/>
          <w:color w:val="auto"/>
        </w:rPr>
      </w:pPr>
      <w:r>
        <w:rPr>
          <w:rFonts w:ascii="Arial" w:cs="Arial" w:eastAsia="Arial" w:hAnsi="Arial"/>
          <w:sz w:val="11"/>
          <w:szCs w:val="11"/>
          <w:color w:val="auto"/>
        </w:rPr>
        <w:t>The effective tax rate was 28.8% for the nine months ended September 30, 2010, compared with an effective tax rate of 17.6% for the nine months ended September 30, 2009. The provision for income taxes for the nine months ended September 30, 2010 is comprised of foreign income taxes, U.S. federal and state taxes, withholding tax and includes the benefit from adjustments in our intercompany transfer pricing associated with the benefit of stock options exercised by employees in various of our foreign subsidiaries. The provision for income taxes for the nine months ended September 30, 2009 is comprised primarily of foreign income taxes, U.S. federal alternative minimum tax, state income taxes, and withholding tax. The increase in the effective tax rate for the nine months ended September 30, 2010, compared with the same period in the prior year, is attributable to the use of net operating loss carryforwards to reduce our tax rate in 2009, prior to releasing our valuation allowance at the end of fiscal 2009. Our year-to-date tax rate for the six months ended June 30, 2010 was 34.7%. The reduction in the fiscal 2010 nine months year-to-date tax rate when compared to the six months year-to-date tax rate relates to adjustments in our intercompany transfer pricing mentioned above.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Liquidity and Capital Resources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420" w:type="dxa"/>
            <w:vAlign w:val="bottom"/>
          </w:tcPr>
          <w:p>
            <w:pPr>
              <w:spacing w:after="0"/>
              <w:rPr>
                <w:sz w:val="12"/>
                <w:szCs w:val="12"/>
                <w:color w:val="auto"/>
              </w:rPr>
            </w:pPr>
          </w:p>
        </w:tc>
        <w:tc>
          <w:tcPr>
            <w:tcW w:w="1580" w:type="dxa"/>
            <w:vAlign w:val="bottom"/>
          </w:tcPr>
          <w:p>
            <w:pPr>
              <w:jc w:val="right"/>
              <w:ind w:right="98"/>
              <w:spacing w:after="0"/>
              <w:rPr>
                <w:sz w:val="20"/>
                <w:szCs w:val="20"/>
                <w:color w:val="auto"/>
              </w:rPr>
            </w:pPr>
            <w:r>
              <w:rPr>
                <w:rFonts w:ascii="Arial" w:cs="Arial" w:eastAsia="Arial" w:hAnsi="Arial"/>
                <w:sz w:val="12"/>
                <w:szCs w:val="12"/>
                <w:b w:val="1"/>
                <w:bCs w:val="1"/>
                <w:color w:val="auto"/>
              </w:rPr>
              <w:t>September 30,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20" w:type="dxa"/>
            <w:vAlign w:val="bottom"/>
          </w:tcPr>
          <w:p>
            <w:pPr>
              <w:jc w:val="right"/>
              <w:ind w:right="358"/>
              <w:spacing w:after="0"/>
              <w:rPr>
                <w:sz w:val="20"/>
                <w:szCs w:val="20"/>
                <w:color w:val="auto"/>
              </w:rPr>
            </w:pPr>
            <w:r>
              <w:rPr>
                <w:rFonts w:ascii="Arial" w:cs="Arial" w:eastAsia="Arial" w:hAnsi="Arial"/>
                <w:sz w:val="12"/>
                <w:szCs w:val="12"/>
                <w:b w:val="1"/>
                <w:bCs w:val="1"/>
                <w:color w:val="auto"/>
              </w:rPr>
              <w:t>December 31,</w:t>
            </w:r>
          </w:p>
        </w:tc>
      </w:tr>
      <w:tr>
        <w:trPr>
          <w:trHeight w:val="149"/>
        </w:trPr>
        <w:tc>
          <w:tcPr>
            <w:tcW w:w="7420" w:type="dxa"/>
            <w:vAlign w:val="bottom"/>
          </w:tcPr>
          <w:p>
            <w:pPr>
              <w:spacing w:after="0"/>
              <w:rPr>
                <w:sz w:val="12"/>
                <w:szCs w:val="12"/>
                <w:color w:val="auto"/>
              </w:rPr>
            </w:pPr>
          </w:p>
        </w:tc>
        <w:tc>
          <w:tcPr>
            <w:tcW w:w="1580" w:type="dxa"/>
            <w:vAlign w:val="bottom"/>
          </w:tcPr>
          <w:p>
            <w:pPr>
              <w:jc w:val="right"/>
              <w:ind w:right="498"/>
              <w:spacing w:after="0"/>
              <w:rPr>
                <w:sz w:val="20"/>
                <w:szCs w:val="20"/>
                <w:color w:val="auto"/>
              </w:rPr>
            </w:pPr>
            <w:r>
              <w:rPr>
                <w:rFonts w:ascii="Arial" w:cs="Arial" w:eastAsia="Arial" w:hAnsi="Arial"/>
                <w:sz w:val="12"/>
                <w:szCs w:val="12"/>
                <w:b w:val="1"/>
                <w:bCs w:val="1"/>
                <w:color w:val="auto"/>
              </w:rPr>
              <w:t>2010</w:t>
            </w:r>
          </w:p>
        </w:tc>
        <w:tc>
          <w:tcPr>
            <w:tcW w:w="2480" w:type="dxa"/>
            <w:vAlign w:val="bottom"/>
            <w:gridSpan w:val="3"/>
          </w:tcPr>
          <w:p>
            <w:pPr>
              <w:jc w:val="right"/>
              <w:ind w:right="738"/>
              <w:spacing w:after="0"/>
              <w:rPr>
                <w:sz w:val="20"/>
                <w:szCs w:val="20"/>
                <w:color w:val="auto"/>
              </w:rPr>
            </w:pPr>
            <w:r>
              <w:rPr>
                <w:rFonts w:ascii="Arial" w:cs="Arial" w:eastAsia="Arial" w:hAnsi="Arial"/>
                <w:sz w:val="12"/>
                <w:szCs w:val="12"/>
                <w:b w:val="1"/>
                <w:bCs w:val="1"/>
                <w:color w:val="auto"/>
              </w:rPr>
              <w:t>2009</w:t>
            </w:r>
          </w:p>
        </w:tc>
      </w:tr>
      <w:tr>
        <w:trPr>
          <w:trHeight w:val="24"/>
        </w:trPr>
        <w:tc>
          <w:tcPr>
            <w:tcW w:w="74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149"/>
        </w:trPr>
        <w:tc>
          <w:tcPr>
            <w:tcW w:w="7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80" w:type="dxa"/>
            <w:vAlign w:val="bottom"/>
            <w:gridSpan w:val="3"/>
          </w:tcPr>
          <w:p>
            <w:pPr>
              <w:jc w:val="right"/>
              <w:ind w:right="1298"/>
              <w:spacing w:after="0"/>
              <w:rPr>
                <w:sz w:val="20"/>
                <w:szCs w:val="20"/>
                <w:color w:val="auto"/>
              </w:rPr>
            </w:pPr>
            <w:r>
              <w:rPr>
                <w:rFonts w:ascii="Arial" w:cs="Arial" w:eastAsia="Arial" w:hAnsi="Arial"/>
                <w:sz w:val="12"/>
                <w:szCs w:val="12"/>
                <w:b w:val="1"/>
                <w:bCs w:val="1"/>
                <w:color w:val="auto"/>
                <w:w w:val="95"/>
              </w:rPr>
              <w:t>($ amounts in 000's)</w:t>
            </w:r>
          </w:p>
        </w:tc>
      </w:tr>
      <w:tr>
        <w:trPr>
          <w:trHeight w:val="24"/>
        </w:trPr>
        <w:tc>
          <w:tcPr>
            <w:tcW w:w="7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93"/>
        </w:trPr>
        <w:tc>
          <w:tcPr>
            <w:tcW w:w="74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Cash and cash equivalents</w:t>
            </w:r>
          </w:p>
        </w:tc>
        <w:tc>
          <w:tcPr>
            <w:tcW w:w="1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77,139</w:t>
            </w:r>
          </w:p>
        </w:tc>
        <w:tc>
          <w:tcPr>
            <w:tcW w:w="2480" w:type="dxa"/>
            <w:vAlign w:val="bottom"/>
            <w:gridSpan w:val="3"/>
            <w:shd w:val="clear" w:color="auto" w:fill="CCEEFF"/>
          </w:tcPr>
          <w:p>
            <w:pPr>
              <w:jc w:val="right"/>
              <w:ind w:right="338"/>
              <w:spacing w:after="0"/>
              <w:rPr>
                <w:sz w:val="20"/>
                <w:szCs w:val="20"/>
                <w:color w:val="auto"/>
              </w:rPr>
            </w:pPr>
            <w:r>
              <w:rPr>
                <w:rFonts w:ascii="Arial" w:cs="Arial" w:eastAsia="Arial" w:hAnsi="Arial"/>
                <w:sz w:val="13"/>
                <w:szCs w:val="13"/>
                <w:color w:val="auto"/>
              </w:rPr>
              <w:t>212,458</w:t>
            </w:r>
          </w:p>
        </w:tc>
      </w:tr>
      <w:tr>
        <w:trPr>
          <w:trHeight w:val="308"/>
        </w:trPr>
        <w:tc>
          <w:tcPr>
            <w:tcW w:w="74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Investments</w:t>
            </w:r>
          </w:p>
        </w:tc>
        <w:tc>
          <w:tcPr>
            <w:tcW w:w="15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275,205</w:t>
            </w: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color w:val="auto"/>
              </w:rPr>
              <w:t>47,856;</w:t>
            </w:r>
          </w:p>
        </w:tc>
      </w:tr>
      <w:tr>
        <w:trPr>
          <w:trHeight w:val="192"/>
        </w:trPr>
        <w:tc>
          <w:tcPr>
            <w:tcW w:w="74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cash, cash equivalents and investments</w:t>
            </w:r>
          </w:p>
        </w:tc>
        <w:tc>
          <w:tcPr>
            <w:tcW w:w="15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352,344</w:t>
            </w:r>
          </w:p>
        </w:tc>
        <w:tc>
          <w:tcPr>
            <w:tcW w:w="2480" w:type="dxa"/>
            <w:vAlign w:val="bottom"/>
            <w:gridSpan w:val="3"/>
            <w:shd w:val="clear" w:color="auto" w:fill="CCEEFF"/>
          </w:tcPr>
          <w:p>
            <w:pPr>
              <w:jc w:val="right"/>
              <w:ind w:right="338"/>
              <w:spacing w:after="0"/>
              <w:rPr>
                <w:sz w:val="20"/>
                <w:szCs w:val="20"/>
                <w:color w:val="auto"/>
              </w:rPr>
            </w:pPr>
            <w:r>
              <w:rPr>
                <w:rFonts w:ascii="Arial" w:cs="Arial" w:eastAsia="Arial" w:hAnsi="Arial"/>
                <w:sz w:val="13"/>
                <w:szCs w:val="13"/>
                <w:color w:val="auto"/>
              </w:rPr>
              <w:t>260,314</w:t>
            </w:r>
          </w:p>
        </w:tc>
      </w:tr>
      <w:tr>
        <w:trPr>
          <w:trHeight w:val="125"/>
        </w:trPr>
        <w:tc>
          <w:tcPr>
            <w:tcW w:w="7420" w:type="dxa"/>
            <w:vAlign w:val="bottom"/>
            <w:tcBorders>
              <w:top w:val="single" w:sz="8" w:color="CCEEFF"/>
            </w:tcBorders>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r>
      <w:tr>
        <w:trPr>
          <w:trHeight w:val="202"/>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Working capital</w:t>
            </w:r>
          </w:p>
        </w:tc>
        <w:tc>
          <w:tcPr>
            <w:tcW w:w="15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180,373</w:t>
            </w:r>
          </w:p>
        </w:tc>
        <w:tc>
          <w:tcPr>
            <w:tcW w:w="2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3"/>
                <w:szCs w:val="13"/>
                <w:color w:val="auto"/>
              </w:rPr>
              <w:t>161,652</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&lt; br&gt;</w:t>
      </w:r>
    </w:p>
    <w:p>
      <w:pPr>
        <w:spacing w:after="0" w:line="13"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480"/>
          </w:cols>
          <w:pgMar w:left="220" w:top="131" w:right="199" w:bottom="1440" w:gutter="0" w:footer="0" w:header="0"/>
        </w:sectPr>
      </w:pPr>
    </w:p>
    <w:bookmarkStart w:id="36" w:name="page37"/>
    <w:bookmarkEnd w:id="36"/>
    <w:p>
      <w:pPr>
        <w:ind w:left="343"/>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75"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7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w w:val="98"/>
              </w:rPr>
              <w:t>Nine Months Ended</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4"/>
        </w:trPr>
        <w:tc>
          <w:tcPr>
            <w:tcW w:w="7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45"/>
        </w:trPr>
        <w:tc>
          <w:tcPr>
            <w:tcW w:w="7360" w:type="dxa"/>
            <w:vAlign w:val="bottom"/>
          </w:tcPr>
          <w:p>
            <w:pPr>
              <w:spacing w:after="0"/>
              <w:rPr>
                <w:sz w:val="12"/>
                <w:szCs w:val="12"/>
                <w:color w:val="auto"/>
              </w:rPr>
            </w:pPr>
          </w:p>
        </w:tc>
        <w:tc>
          <w:tcPr>
            <w:tcW w:w="1580" w:type="dxa"/>
            <w:vAlign w:val="bottom"/>
          </w:tcPr>
          <w:p>
            <w:pPr>
              <w:jc w:val="right"/>
              <w:ind w:right="78"/>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right"/>
              <w:ind w:right="118"/>
              <w:spacing w:after="0"/>
              <w:rPr>
                <w:sz w:val="20"/>
                <w:szCs w:val="20"/>
                <w:color w:val="auto"/>
              </w:rPr>
            </w:pPr>
            <w:r>
              <w:rPr>
                <w:rFonts w:ascii="Arial" w:cs="Arial" w:eastAsia="Arial" w:hAnsi="Arial"/>
                <w:sz w:val="12"/>
                <w:szCs w:val="12"/>
                <w:b w:val="1"/>
                <w:bCs w:val="1"/>
                <w:color w:val="auto"/>
                <w:w w:val="99"/>
              </w:rPr>
              <w:t>September 30,</w:t>
            </w:r>
          </w:p>
        </w:tc>
        <w:tc>
          <w:tcPr>
            <w:tcW w:w="240" w:type="dxa"/>
            <w:vAlign w:val="bottom"/>
          </w:tcPr>
          <w:p>
            <w:pPr>
              <w:spacing w:after="0"/>
              <w:rPr>
                <w:sz w:val="12"/>
                <w:szCs w:val="12"/>
                <w:color w:val="auto"/>
              </w:rPr>
            </w:pPr>
          </w:p>
        </w:tc>
      </w:tr>
      <w:tr>
        <w:trPr>
          <w:trHeight w:val="149"/>
        </w:trPr>
        <w:tc>
          <w:tcPr>
            <w:tcW w:w="7360" w:type="dxa"/>
            <w:vAlign w:val="bottom"/>
          </w:tcPr>
          <w:p>
            <w:pPr>
              <w:spacing w:after="0"/>
              <w:rPr>
                <w:sz w:val="12"/>
                <w:szCs w:val="12"/>
                <w:color w:val="auto"/>
              </w:rPr>
            </w:pPr>
          </w:p>
        </w:tc>
        <w:tc>
          <w:tcPr>
            <w:tcW w:w="1580" w:type="dxa"/>
            <w:vAlign w:val="bottom"/>
          </w:tcPr>
          <w:p>
            <w:pPr>
              <w:jc w:val="right"/>
              <w:ind w:right="478"/>
              <w:spacing w:after="0"/>
              <w:rPr>
                <w:sz w:val="20"/>
                <w:szCs w:val="20"/>
                <w:color w:val="auto"/>
              </w:rPr>
            </w:pPr>
            <w:r>
              <w:rPr>
                <w:rFonts w:ascii="Arial" w:cs="Arial" w:eastAsia="Arial" w:hAnsi="Arial"/>
                <w:sz w:val="12"/>
                <w:szCs w:val="12"/>
                <w:b w:val="1"/>
                <w:bCs w:val="1"/>
                <w:color w:val="auto"/>
              </w:rPr>
              <w:t>2010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right"/>
              <w:ind w:right="518"/>
              <w:spacing w:after="0"/>
              <w:rPr>
                <w:sz w:val="20"/>
                <w:szCs w:val="20"/>
                <w:color w:val="auto"/>
              </w:rPr>
            </w:pPr>
            <w:r>
              <w:rPr>
                <w:rFonts w:ascii="Arial" w:cs="Arial" w:eastAsia="Arial" w:hAnsi="Arial"/>
                <w:sz w:val="12"/>
                <w:szCs w:val="12"/>
                <w:b w:val="1"/>
                <w:bCs w:val="1"/>
                <w:color w:val="auto"/>
              </w:rPr>
              <w:t>2009</w:t>
            </w:r>
          </w:p>
        </w:tc>
        <w:tc>
          <w:tcPr>
            <w:tcW w:w="240" w:type="dxa"/>
            <w:vAlign w:val="bottom"/>
          </w:tcPr>
          <w:p>
            <w:pPr>
              <w:spacing w:after="0"/>
              <w:rPr>
                <w:sz w:val="12"/>
                <w:szCs w:val="12"/>
                <w:color w:val="auto"/>
              </w:rPr>
            </w:pPr>
          </w:p>
        </w:tc>
      </w:tr>
      <w:tr>
        <w:trPr>
          <w:trHeight w:val="24"/>
        </w:trPr>
        <w:tc>
          <w:tcPr>
            <w:tcW w:w="7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49"/>
        </w:trPr>
        <w:tc>
          <w:tcPr>
            <w:tcW w:w="7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w w:val="95"/>
              </w:rPr>
              <w:t>($ amounts in 000's)</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4"/>
        </w:trPr>
        <w:tc>
          <w:tcPr>
            <w:tcW w:w="7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93"/>
        </w:trPr>
        <w:tc>
          <w:tcPr>
            <w:tcW w:w="73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Cash provided by operating activities</w:t>
            </w:r>
          </w:p>
        </w:tc>
        <w:tc>
          <w:tcPr>
            <w:tcW w:w="1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71,959</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45,756</w:t>
            </w:r>
          </w:p>
        </w:tc>
        <w:tc>
          <w:tcPr>
            <w:tcW w:w="240" w:type="dxa"/>
            <w:vAlign w:val="bottom"/>
            <w:shd w:val="clear" w:color="auto" w:fill="CCEEFF"/>
          </w:tcPr>
          <w:p>
            <w:pPr>
              <w:spacing w:after="0"/>
              <w:rPr>
                <w:sz w:val="16"/>
                <w:szCs w:val="16"/>
                <w:color w:val="auto"/>
              </w:rPr>
            </w:pPr>
          </w:p>
        </w:tc>
      </w:tr>
      <w:tr>
        <w:trPr>
          <w:trHeight w:val="183"/>
        </w:trPr>
        <w:tc>
          <w:tcPr>
            <w:tcW w:w="7360" w:type="dxa"/>
            <w:vAlign w:val="bottom"/>
          </w:tcPr>
          <w:p>
            <w:pPr>
              <w:ind w:left="360"/>
              <w:spacing w:after="0"/>
              <w:rPr>
                <w:sz w:val="20"/>
                <w:szCs w:val="20"/>
                <w:color w:val="auto"/>
              </w:rPr>
            </w:pPr>
            <w:r>
              <w:rPr>
                <w:rFonts w:ascii="Arial" w:cs="Arial" w:eastAsia="Arial" w:hAnsi="Arial"/>
                <w:sz w:val="13"/>
                <w:szCs w:val="13"/>
                <w:color w:val="auto"/>
              </w:rPr>
              <w:t>Cash used in investing activities</w:t>
            </w:r>
          </w:p>
        </w:tc>
        <w:tc>
          <w:tcPr>
            <w:tcW w:w="1580" w:type="dxa"/>
            <w:vAlign w:val="bottom"/>
          </w:tcPr>
          <w:p>
            <w:pPr>
              <w:jc w:val="right"/>
              <w:ind w:right="78"/>
              <w:spacing w:after="0"/>
              <w:rPr>
                <w:sz w:val="20"/>
                <w:szCs w:val="20"/>
                <w:color w:val="auto"/>
              </w:rPr>
            </w:pPr>
            <w:r>
              <w:rPr>
                <w:rFonts w:ascii="Arial" w:cs="Arial" w:eastAsia="Arial" w:hAnsi="Arial"/>
                <w:sz w:val="13"/>
                <w:szCs w:val="13"/>
                <w:color w:val="auto"/>
              </w:rPr>
              <w:t>(234,802</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ind w:right="118"/>
              <w:spacing w:after="0"/>
              <w:rPr>
                <w:sz w:val="20"/>
                <w:szCs w:val="20"/>
                <w:color w:val="auto"/>
              </w:rPr>
            </w:pPr>
            <w:r>
              <w:rPr>
                <w:rFonts w:ascii="Arial" w:cs="Arial" w:eastAsia="Arial" w:hAnsi="Arial"/>
                <w:sz w:val="13"/>
                <w:szCs w:val="13"/>
                <w:color w:val="auto"/>
              </w:rPr>
              <w:t>(16,532</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73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Cash provided by (used in) financing activities</w:t>
            </w:r>
          </w:p>
        </w:tc>
        <w:tc>
          <w:tcPr>
            <w:tcW w:w="1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27,211</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(13,742</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Effect of exchange rates on cash and cash equivalents</w:t>
            </w:r>
          </w:p>
        </w:tc>
        <w:tc>
          <w:tcPr>
            <w:tcW w:w="15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313</w:t>
            </w: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2,180</w:t>
            </w:r>
          </w:p>
        </w:tc>
        <w:tc>
          <w:tcPr>
            <w:tcW w:w="240" w:type="dxa"/>
            <w:vAlign w:val="bottom"/>
            <w:tcBorders>
              <w:bottom w:val="single" w:sz="8" w:color="auto"/>
            </w:tcBorders>
          </w:tcPr>
          <w:p>
            <w:pPr>
              <w:spacing w:after="0"/>
              <w:rPr>
                <w:sz w:val="15"/>
                <w:szCs w:val="15"/>
                <w:color w:val="auto"/>
              </w:rPr>
            </w:pPr>
          </w:p>
        </w:tc>
      </w:tr>
      <w:tr>
        <w:trPr>
          <w:trHeight w:val="201"/>
        </w:trPr>
        <w:tc>
          <w:tcPr>
            <w:tcW w:w="7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Net increase (decrease) in cash and cash equivalents</w:t>
            </w:r>
          </w:p>
        </w:tc>
        <w:tc>
          <w:tcPr>
            <w:tcW w:w="15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(135,319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17,662</w:t>
            </w:r>
          </w:p>
        </w:tc>
        <w:tc>
          <w:tcPr>
            <w:tcW w:w="240" w:type="dxa"/>
            <w:vAlign w:val="bottom"/>
            <w:tcBorders>
              <w:bottom w:val="single" w:sz="8" w:color="auto"/>
            </w:tcBorders>
            <w:shd w:val="clear" w:color="auto" w:fill="CCEEFF"/>
          </w:tcPr>
          <w:p>
            <w:pPr>
              <w:spacing w:after="0"/>
              <w:rPr>
                <w:sz w:val="17"/>
                <w:szCs w:val="17"/>
                <w:color w:val="auto"/>
              </w:rPr>
            </w:pPr>
          </w:p>
        </w:tc>
      </w:tr>
    </w:tbl>
    <w:p>
      <w:pPr>
        <w:spacing w:after="0" w:line="145" w:lineRule="exact"/>
        <w:rPr>
          <w:sz w:val="20"/>
          <w:szCs w:val="20"/>
          <w:color w:val="auto"/>
        </w:rPr>
      </w:pPr>
    </w:p>
    <w:p>
      <w:pPr>
        <w:ind w:left="3" w:right="20" w:firstLine="347"/>
        <w:spacing w:after="0" w:line="251" w:lineRule="auto"/>
        <w:rPr>
          <w:sz w:val="20"/>
          <w:szCs w:val="20"/>
          <w:color w:val="auto"/>
        </w:rPr>
      </w:pPr>
      <w:r>
        <w:rPr>
          <w:rFonts w:ascii="Arial" w:cs="Arial" w:eastAsia="Arial" w:hAnsi="Arial"/>
          <w:sz w:val="13"/>
          <w:szCs w:val="13"/>
          <w:color w:val="auto"/>
        </w:rPr>
        <w:t>At September 30, 2010, our cash, cash equivalents and investments of $352.3 million were invested primarily in money market funds, commercial paper, corporate debt securities and U.S. government debt securities. We do not enter into investments for trading or speculative purposes. We believe that our cash from operations together with existing cash and cash equivalents will be sufficient to meet our anticipated cash needs for at least the next twelve months. Our future capital requirements will depend on many factors including our growth rate, the timing and extent of spending necessary to support development efforts, the expansion of sales and marketing activities, the introduction of new and enhanced products and services offerings, the costs to ensure the continuing market acceptance of our products, and any capital for acquisitions. In the event that additional financing is required from outside sources, we may not be able to raise it on terms accept 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21"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7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w w:val="92"/>
              </w:rPr>
              <w:t>Nine Months Ended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4"/>
        </w:trPr>
        <w:tc>
          <w:tcPr>
            <w:tcW w:w="77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45"/>
        </w:trPr>
        <w:tc>
          <w:tcPr>
            <w:tcW w:w="7780" w:type="dxa"/>
            <w:vAlign w:val="bottom"/>
          </w:tcPr>
          <w:p>
            <w:pPr>
              <w:spacing w:after="0"/>
              <w:rPr>
                <w:sz w:val="12"/>
                <w:szCs w:val="12"/>
                <w:color w:val="auto"/>
              </w:rPr>
            </w:pPr>
          </w:p>
        </w:tc>
        <w:tc>
          <w:tcPr>
            <w:tcW w:w="1440" w:type="dxa"/>
            <w:vAlign w:val="bottom"/>
          </w:tcPr>
          <w:p>
            <w:pPr>
              <w:jc w:val="right"/>
              <w:ind w:right="37"/>
              <w:spacing w:after="0"/>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September 30,</w:t>
            </w:r>
          </w:p>
        </w:tc>
        <w:tc>
          <w:tcPr>
            <w:tcW w:w="200" w:type="dxa"/>
            <w:vAlign w:val="bottom"/>
          </w:tcPr>
          <w:p>
            <w:pPr>
              <w:spacing w:after="0"/>
              <w:rPr>
                <w:sz w:val="12"/>
                <w:szCs w:val="12"/>
                <w:color w:val="auto"/>
              </w:rPr>
            </w:pPr>
          </w:p>
        </w:tc>
      </w:tr>
      <w:tr>
        <w:trPr>
          <w:trHeight w:val="149"/>
        </w:trPr>
        <w:tc>
          <w:tcPr>
            <w:tcW w:w="7780" w:type="dxa"/>
            <w:vAlign w:val="bottom"/>
          </w:tcPr>
          <w:p>
            <w:pPr>
              <w:spacing w:after="0"/>
              <w:rPr>
                <w:sz w:val="12"/>
                <w:szCs w:val="12"/>
                <w:color w:val="auto"/>
              </w:rPr>
            </w:pPr>
          </w:p>
        </w:tc>
        <w:tc>
          <w:tcPr>
            <w:tcW w:w="1440" w:type="dxa"/>
            <w:vAlign w:val="bottom"/>
          </w:tcPr>
          <w:p>
            <w:pPr>
              <w:jc w:val="right"/>
              <w:ind w:right="437"/>
              <w:spacing w:after="0"/>
              <w:rPr>
                <w:sz w:val="20"/>
                <w:szCs w:val="20"/>
                <w:color w:val="auto"/>
              </w:rPr>
            </w:pPr>
            <w:r>
              <w:rPr>
                <w:rFonts w:ascii="Arial" w:cs="Arial" w:eastAsia="Arial" w:hAnsi="Arial"/>
                <w:sz w:val="12"/>
                <w:szCs w:val="12"/>
                <w:b w:val="1"/>
                <w:bCs w:val="1"/>
                <w:color w:val="auto"/>
              </w:rPr>
              <w:t>2010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217"/>
              <w:spacing w:after="0"/>
              <w:rPr>
                <w:sz w:val="20"/>
                <w:szCs w:val="20"/>
                <w:color w:val="auto"/>
              </w:rPr>
            </w:pPr>
            <w:r>
              <w:rPr>
                <w:rFonts w:ascii="Arial" w:cs="Arial" w:eastAsia="Arial" w:hAnsi="Arial"/>
                <w:sz w:val="12"/>
                <w:szCs w:val="12"/>
                <w:b w:val="1"/>
                <w:bCs w:val="1"/>
                <w:color w:val="auto"/>
              </w:rPr>
              <w:t>2009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4"/>
        </w:trPr>
        <w:tc>
          <w:tcPr>
            <w:tcW w:w="77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49"/>
        </w:trPr>
        <w:tc>
          <w:tcPr>
            <w:tcW w:w="7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w w:val="90"/>
              </w:rPr>
              <w:t>($ amounts in 000's)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4"/>
        </w:trPr>
        <w:tc>
          <w:tcPr>
            <w:tcW w:w="7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3"/>
        </w:trPr>
        <w:tc>
          <w:tcPr>
            <w:tcW w:w="7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income</w:t>
            </w:r>
          </w:p>
        </w:tc>
        <w:tc>
          <w:tcPr>
            <w:tcW w:w="14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25,104</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16,239</w:t>
            </w:r>
          </w:p>
        </w:tc>
        <w:tc>
          <w:tcPr>
            <w:tcW w:w="200" w:type="dxa"/>
            <w:vAlign w:val="bottom"/>
            <w:shd w:val="clear" w:color="auto" w:fill="CCEEFF"/>
          </w:tcPr>
          <w:p>
            <w:pPr>
              <w:spacing w:after="0"/>
              <w:rPr>
                <w:sz w:val="16"/>
                <w:szCs w:val="16"/>
                <w:color w:val="auto"/>
              </w:rPr>
            </w:pPr>
          </w:p>
        </w:tc>
      </w:tr>
      <w:tr>
        <w:trPr>
          <w:trHeight w:val="193"/>
        </w:trPr>
        <w:tc>
          <w:tcPr>
            <w:tcW w:w="7780" w:type="dxa"/>
            <w:vAlign w:val="bottom"/>
            <w:tcBorders>
              <w:bottom w:val="single" w:sz="8" w:color="CCEEFF"/>
            </w:tcBorders>
          </w:tcPr>
          <w:p>
            <w:pPr>
              <w:ind w:left="360"/>
              <w:spacing w:after="0" w:line="193" w:lineRule="exact"/>
              <w:rPr>
                <w:sz w:val="20"/>
                <w:szCs w:val="20"/>
                <w:color w:val="auto"/>
              </w:rPr>
            </w:pPr>
            <w:r>
              <w:rPr>
                <w:rFonts w:ascii="Arial" w:cs="Arial" w:eastAsia="Arial" w:hAnsi="Arial"/>
                <w:sz w:val="13"/>
                <w:szCs w:val="13"/>
                <w:color w:val="auto"/>
              </w:rPr>
              <w:t xml:space="preserve">Add back non-cash charges </w:t>
            </w:r>
            <w:r>
              <w:rPr>
                <w:rFonts w:ascii="Arial" w:cs="Arial" w:eastAsia="Arial" w:hAnsi="Arial"/>
                <w:sz w:val="17"/>
                <w:szCs w:val="17"/>
                <w:color w:val="auto"/>
                <w:vertAlign w:val="superscript"/>
              </w:rPr>
              <w:t>(1)</w:t>
            </w:r>
          </w:p>
        </w:tc>
        <w:tc>
          <w:tcPr>
            <w:tcW w:w="14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11,836</w:t>
            </w: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11,416</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2"/>
        </w:trPr>
        <w:tc>
          <w:tcPr>
            <w:tcW w:w="7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income before non-cash charges</w:t>
            </w:r>
          </w:p>
        </w:tc>
        <w:tc>
          <w:tcPr>
            <w:tcW w:w="14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36,940</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27,655</w:t>
            </w:r>
          </w:p>
        </w:tc>
        <w:tc>
          <w:tcPr>
            <w:tcW w:w="200" w:type="dxa"/>
            <w:vAlign w:val="bottom"/>
            <w:shd w:val="clear" w:color="auto" w:fill="CCEEFF"/>
          </w:tcPr>
          <w:p>
            <w:pPr>
              <w:spacing w:after="0"/>
              <w:rPr>
                <w:sz w:val="15"/>
                <w:szCs w:val="15"/>
                <w:color w:val="auto"/>
              </w:rPr>
            </w:pPr>
          </w:p>
        </w:tc>
      </w:tr>
      <w:tr>
        <w:trPr>
          <w:trHeight w:val="183"/>
        </w:trPr>
        <w:tc>
          <w:tcPr>
            <w:tcW w:w="7780" w:type="dxa"/>
            <w:vAlign w:val="bottom"/>
          </w:tcPr>
          <w:p>
            <w:pPr>
              <w:ind w:left="360"/>
              <w:spacing w:after="0"/>
              <w:rPr>
                <w:sz w:val="20"/>
                <w:szCs w:val="20"/>
                <w:color w:val="auto"/>
              </w:rPr>
            </w:pPr>
            <w:r>
              <w:rPr>
                <w:rFonts w:ascii="Arial" w:cs="Arial" w:eastAsia="Arial" w:hAnsi="Arial"/>
                <w:sz w:val="13"/>
                <w:szCs w:val="13"/>
                <w:color w:val="auto"/>
              </w:rPr>
              <w:t>Increase in deferred revenues</w:t>
            </w:r>
          </w:p>
        </w:tc>
        <w:tc>
          <w:tcPr>
            <w:tcW w:w="1440" w:type="dxa"/>
            <w:vAlign w:val="bottom"/>
          </w:tcPr>
          <w:p>
            <w:pPr>
              <w:jc w:val="right"/>
              <w:ind w:right="157"/>
              <w:spacing w:after="0"/>
              <w:rPr>
                <w:sz w:val="20"/>
                <w:szCs w:val="20"/>
                <w:color w:val="auto"/>
              </w:rPr>
            </w:pPr>
            <w:r>
              <w:rPr>
                <w:rFonts w:ascii="Arial" w:cs="Arial" w:eastAsia="Arial" w:hAnsi="Arial"/>
                <w:sz w:val="13"/>
                <w:szCs w:val="13"/>
                <w:color w:val="auto"/>
              </w:rPr>
              <w:t>33,321</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18,758</w:t>
            </w:r>
          </w:p>
        </w:tc>
        <w:tc>
          <w:tcPr>
            <w:tcW w:w="200" w:type="dxa"/>
            <w:vAlign w:val="bottom"/>
          </w:tcPr>
          <w:p>
            <w:pPr>
              <w:spacing w:after="0"/>
              <w:rPr>
                <w:sz w:val="15"/>
                <w:szCs w:val="15"/>
                <w:color w:val="auto"/>
              </w:rPr>
            </w:pPr>
          </w:p>
        </w:tc>
      </w:tr>
      <w:tr>
        <w:trPr>
          <w:trHeight w:val="203"/>
        </w:trPr>
        <w:tc>
          <w:tcPr>
            <w:tcW w:w="7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Increase (Decrease) in income tax payable and deferred tax assets, net</w:t>
            </w:r>
          </w:p>
        </w:tc>
        <w:tc>
          <w:tcPr>
            <w:tcW w:w="14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7,319</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780" w:type="dxa"/>
            <w:vAlign w:val="bottom"/>
          </w:tcPr>
          <w:p>
            <w:pPr>
              <w:ind w:left="360"/>
              <w:spacing w:after="0"/>
              <w:rPr>
                <w:sz w:val="20"/>
                <w:szCs w:val="20"/>
                <w:color w:val="auto"/>
              </w:rPr>
            </w:pPr>
            <w:r>
              <w:rPr>
                <w:rFonts w:ascii="Arial" w:cs="Arial" w:eastAsia="Arial" w:hAnsi="Arial"/>
                <w:sz w:val="13"/>
                <w:szCs w:val="13"/>
                <w:color w:val="auto"/>
              </w:rPr>
              <w:t>Increase (Decrease) in accrued payroll and compensation</w:t>
            </w:r>
          </w:p>
        </w:tc>
        <w:tc>
          <w:tcPr>
            <w:tcW w:w="1440" w:type="dxa"/>
            <w:vAlign w:val="bottom"/>
          </w:tcPr>
          <w:p>
            <w:pPr>
              <w:jc w:val="right"/>
              <w:ind w:right="157"/>
              <w:spacing w:after="0"/>
              <w:rPr>
                <w:sz w:val="20"/>
                <w:szCs w:val="20"/>
                <w:color w:val="auto"/>
              </w:rPr>
            </w:pPr>
            <w:r>
              <w:rPr>
                <w:rFonts w:ascii="Arial" w:cs="Arial" w:eastAsia="Arial" w:hAnsi="Arial"/>
                <w:sz w:val="13"/>
                <w:szCs w:val="13"/>
                <w:color w:val="auto"/>
              </w:rPr>
              <w:t>4,312</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(689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7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Increase in accounts payable and accrued liabilities, net</w:t>
            </w:r>
          </w:p>
        </w:tc>
        <w:tc>
          <w:tcPr>
            <w:tcW w:w="14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1,022</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1,242</w:t>
            </w:r>
          </w:p>
        </w:tc>
        <w:tc>
          <w:tcPr>
            <w:tcW w:w="200" w:type="dxa"/>
            <w:vAlign w:val="bottom"/>
            <w:shd w:val="clear" w:color="auto" w:fill="CCEEFF"/>
          </w:tcPr>
          <w:p>
            <w:pPr>
              <w:spacing w:after="0"/>
              <w:rPr>
                <w:sz w:val="17"/>
                <w:szCs w:val="17"/>
                <w:color w:val="auto"/>
              </w:rPr>
            </w:pPr>
          </w:p>
        </w:tc>
      </w:tr>
      <w:tr>
        <w:trPr>
          <w:trHeight w:val="183"/>
        </w:trPr>
        <w:tc>
          <w:tcPr>
            <w:tcW w:w="7780" w:type="dxa"/>
            <w:vAlign w:val="bottom"/>
          </w:tcPr>
          <w:p>
            <w:pPr>
              <w:ind w:left="340"/>
              <w:spacing w:after="0"/>
              <w:rPr>
                <w:sz w:val="20"/>
                <w:szCs w:val="20"/>
                <w:color w:val="auto"/>
              </w:rPr>
            </w:pPr>
            <w:r>
              <w:rPr>
                <w:rFonts w:ascii="Arial" w:cs="Arial" w:eastAsia="Arial" w:hAnsi="Arial"/>
                <w:sz w:val="13"/>
                <w:szCs w:val="13"/>
                <w:color w:val="auto"/>
              </w:rPr>
              <w:t>(Increase) Decrease in accounts receivable</w:t>
            </w:r>
          </w:p>
        </w:tc>
        <w:tc>
          <w:tcPr>
            <w:tcW w:w="1440" w:type="dxa"/>
            <w:vAlign w:val="bottom"/>
          </w:tcPr>
          <w:p>
            <w:pPr>
              <w:jc w:val="right"/>
              <w:ind w:right="157"/>
              <w:spacing w:after="0"/>
              <w:rPr>
                <w:sz w:val="20"/>
                <w:szCs w:val="20"/>
                <w:color w:val="auto"/>
              </w:rPr>
            </w:pPr>
            <w:r>
              <w:rPr>
                <w:rFonts w:ascii="Arial" w:cs="Arial" w:eastAsia="Arial" w:hAnsi="Arial"/>
                <w:sz w:val="13"/>
                <w:szCs w:val="13"/>
                <w:color w:val="auto"/>
              </w:rPr>
              <w:t>(5,011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1,932</w:t>
            </w:r>
          </w:p>
        </w:tc>
        <w:tc>
          <w:tcPr>
            <w:tcW w:w="200" w:type="dxa"/>
            <w:vAlign w:val="bottom"/>
          </w:tcPr>
          <w:p>
            <w:pPr>
              <w:spacing w:after="0"/>
              <w:rPr>
                <w:sz w:val="15"/>
                <w:szCs w:val="15"/>
                <w:color w:val="auto"/>
              </w:rPr>
            </w:pPr>
          </w:p>
        </w:tc>
      </w:tr>
      <w:tr>
        <w:trPr>
          <w:trHeight w:val="203"/>
        </w:trPr>
        <w:tc>
          <w:tcPr>
            <w:tcW w:w="7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Increase in inventories</w:t>
            </w:r>
          </w:p>
        </w:tc>
        <w:tc>
          <w:tcPr>
            <w:tcW w:w="14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(2,815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(1,552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Increase in prepaid expenses and other assets, net</w:t>
            </w:r>
          </w:p>
        </w:tc>
        <w:tc>
          <w:tcPr>
            <w:tcW w:w="14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(3,129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(1,083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7"/>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Net cash provided by operating activities</w:t>
            </w:r>
          </w:p>
        </w:tc>
        <w:tc>
          <w:tcPr>
            <w:tcW w:w="14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71,959</w:t>
            </w: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45,756</w:t>
            </w:r>
          </w:p>
        </w:tc>
        <w:tc>
          <w:tcPr>
            <w:tcW w:w="200" w:type="dxa"/>
            <w:vAlign w:val="bottom"/>
            <w:tcBorders>
              <w:bottom w:val="single" w:sz="8" w:color="auto"/>
            </w:tcBorders>
            <w:shd w:val="clear" w:color="auto" w:fill="CCEEFF"/>
          </w:tcPr>
          <w:p>
            <w:pPr>
              <w:spacing w:after="0"/>
              <w:rPr>
                <w:sz w:val="18"/>
                <w:szCs w:val="18"/>
                <w:color w:val="auto"/>
              </w:rPr>
            </w:pPr>
          </w:p>
        </w:tc>
      </w:tr>
      <w:tr>
        <w:trPr>
          <w:trHeight w:val="167"/>
        </w:trPr>
        <w:tc>
          <w:tcPr>
            <w:tcW w:w="7780" w:type="dxa"/>
            <w:vAlign w:val="bottom"/>
          </w:tcPr>
          <w:p>
            <w:pPr>
              <w:ind w:left="360"/>
              <w:spacing w:after="0"/>
              <w:rPr>
                <w:sz w:val="20"/>
                <w:szCs w:val="20"/>
                <w:color w:val="auto"/>
              </w:rPr>
            </w:pPr>
            <w:r>
              <w:rPr>
                <w:rFonts w:ascii="Arial" w:cs="Arial" w:eastAsia="Arial" w:hAnsi="Arial"/>
                <w:sz w:val="13"/>
                <w:szCs w:val="13"/>
                <w:color w:val="auto"/>
              </w:rPr>
              <w:t>----------</w:t>
            </w: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r>
    </w:tbl>
    <w:p>
      <w:pPr>
        <w:spacing w:after="0" w:line="11" w:lineRule="exact"/>
        <w:rPr>
          <w:sz w:val="20"/>
          <w:szCs w:val="20"/>
          <w:color w:val="auto"/>
        </w:rPr>
      </w:pPr>
    </w:p>
    <w:p>
      <w:pPr>
        <w:ind w:left="523" w:right="100" w:hanging="523"/>
        <w:spacing w:after="0" w:line="268" w:lineRule="auto"/>
        <w:tabs>
          <w:tab w:leader="none" w:pos="184"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Non-cash charges primarily consist of stock-based compensation expense, depreciation and amortization, write-off of intangible assets, gain on disposal of fixed assets, amortization of investment premiums, and excess tax benefit from employee stock option plans.</w:t>
      </w:r>
    </w:p>
    <w:p>
      <w:pPr>
        <w:spacing w:after="0" w:line="129" w:lineRule="exact"/>
        <w:rPr>
          <w:sz w:val="20"/>
          <w:szCs w:val="20"/>
          <w:color w:val="auto"/>
        </w:rPr>
      </w:pPr>
    </w:p>
    <w:p>
      <w:pPr>
        <w:ind w:left="343"/>
        <w:spacing w:after="0"/>
        <w:rPr>
          <w:sz w:val="20"/>
          <w:szCs w:val="20"/>
          <w:color w:val="auto"/>
        </w:rPr>
      </w:pPr>
      <w:r>
        <w:rPr>
          <w:rFonts w:ascii="Arial" w:cs="Arial" w:eastAsia="Arial" w:hAnsi="Arial"/>
          <w:sz w:val="13"/>
          <w:szCs w:val="13"/>
          <w:i w:val="1"/>
          <w:iCs w:val="1"/>
          <w:color w:val="auto"/>
        </w:rPr>
        <w:t>Operating Activities</w:t>
      </w:r>
    </w:p>
    <w:p>
      <w:pPr>
        <w:spacing w:after="0" w:line="159" w:lineRule="exact"/>
        <w:rPr>
          <w:sz w:val="20"/>
          <w:szCs w:val="20"/>
          <w:color w:val="auto"/>
        </w:rPr>
      </w:pPr>
    </w:p>
    <w:p>
      <w:pPr>
        <w:ind w:left="3" w:right="40" w:firstLine="347"/>
        <w:spacing w:after="0" w:line="251" w:lineRule="auto"/>
        <w:rPr>
          <w:sz w:val="20"/>
          <w:szCs w:val="20"/>
          <w:color w:val="auto"/>
        </w:rPr>
      </w:pPr>
      <w:r>
        <w:rPr>
          <w:rFonts w:ascii="Arial" w:cs="Arial" w:eastAsia="Arial" w:hAnsi="Arial"/>
          <w:sz w:val="13"/>
          <w:szCs w:val="13"/>
          <w:color w:val="auto"/>
        </w:rPr>
        <w:t>Our operating activities during the nine months ended September 30, 2010 provided $72.0 million in cash as a result of net income of $25.1 million, increased by non-cash adjustments of $11.8 million and sources of cash of $46.0 million partially offset by uses of cash of $11.0 million. Non-cash adjustments consist of stock-based compensation of $6.8 million, amortization of investment premiums of $5.0 million, and depreciation and amortization of $4.2 million, offset by an excess tax benefit from employee stock option plans of $4.2 million. Sources of cash were related to a $33.3 million increase in deferred revenue which was attributable primarily to increased sales of our subscription and support services, which have yet to be recognized in income, a $7.3 million increase in income tax payable and deferred tax assets, due to our continued profitability and timing of tax payments, a $4.3 million increase in accrued payroll and compensation primarily related to increased headcount and employer taxes related to the exercise of stock options, and a $1.0 million increase in accrued liabilities and</w:t>
      </w:r>
    </w:p>
    <w:p>
      <w:pPr>
        <w:spacing w:after="0" w:line="142"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483"/>
          </w:cols>
          <w:pgMar w:left="217" w:top="131" w:right="199" w:bottom="1440" w:gutter="0" w:footer="0" w:header="0"/>
        </w:sectPr>
      </w:pPr>
    </w:p>
    <w:bookmarkStart w:id="37" w:name="page38"/>
    <w:bookmarkEnd w:id="37"/>
    <w:p>
      <w:pPr>
        <w:ind w:left="343"/>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left="3" w:right="140" w:firstLine="347"/>
        <w:spacing w:after="0" w:line="258" w:lineRule="auto"/>
        <w:rPr>
          <w:sz w:val="20"/>
          <w:szCs w:val="20"/>
          <w:color w:val="auto"/>
        </w:rPr>
      </w:pPr>
      <w:r>
        <w:rPr>
          <w:rFonts w:ascii="Arial" w:cs="Arial" w:eastAsia="Arial" w:hAnsi="Arial"/>
          <w:sz w:val="13"/>
          <w:szCs w:val="13"/>
          <w:color w:val="auto"/>
        </w:rPr>
        <w:t>accounts payable, related to timing of payments. Uses of cash were related to a $5.0 million increase in accounts receivable due to a three day increase (from 60 to 63 days) in our days sales outstanding and the overall growth of our business, a $2.8 million increase in inventory primarily to support our fourth quarter shipments (supported by the increase in inventory turns from 3.1 as of September 30, 2009 to 3.9 as of September 30 , 2010), and a $3.1 million increase in prepaid expenses and other assets.</w:t>
      </w:r>
    </w:p>
    <w:p>
      <w:pPr>
        <w:spacing w:after="0" w:line="135" w:lineRule="exact"/>
        <w:rPr>
          <w:sz w:val="20"/>
          <w:szCs w:val="20"/>
          <w:color w:val="auto"/>
        </w:rPr>
      </w:pPr>
    </w:p>
    <w:p>
      <w:pPr>
        <w:ind w:left="3" w:right="20" w:firstLine="347"/>
        <w:spacing w:after="0" w:line="306" w:lineRule="auto"/>
        <w:rPr>
          <w:sz w:val="20"/>
          <w:szCs w:val="20"/>
          <w:color w:val="auto"/>
        </w:rPr>
      </w:pPr>
      <w:r>
        <w:rPr>
          <w:rFonts w:ascii="Arial" w:cs="Arial" w:eastAsia="Arial" w:hAnsi="Arial"/>
          <w:sz w:val="11"/>
          <w:szCs w:val="11"/>
          <w:color w:val="auto"/>
        </w:rPr>
        <w:t>Our operating activities during the nine months ended September 30, 2009 provided $45.8 million in cash as a result of net income of $16.2 million, increased by non-cash adjustments of $11.4 million and sources of cash of $21.9 million partially offset by uses of cash of $3.9 million. Non-cash adjustments consist of stock-based compensation of $5.2 million, depreciation and amortization of $4.3 million, asset acquisition related write-offs of $1.1 million, and amortization of investment premiums of $0.9 million, offset by an excess tax benefit from employee stock option plans of $0.1 million. Sources of cash were related to a $18.8 million in crease in deferred revenue, which was attributable primarily to increased sales of our subscription and support services, a $1.9 million decrease in accounts receivable due to a ten day decrease (from 70 to 60 days) in our days sales outstanding due to improved collections experience, and a $1.2 million increase in accounts payable and accrued liabilities. Uses of cash were related to a $1.6 million increase in inventory, a $1.1 million increase in prepaid expenses and other assets, a $0.7 million decrease in accrued payroll and compensation, and a $0.5 million decrease in income tax payable because of the timing of tax-related payments.</w:t>
      </w:r>
    </w:p>
    <w:p>
      <w:pPr>
        <w:spacing w:after="0" w:line="112" w:lineRule="exact"/>
        <w:rPr>
          <w:sz w:val="20"/>
          <w:szCs w:val="20"/>
          <w:color w:val="auto"/>
        </w:rPr>
      </w:pPr>
    </w:p>
    <w:p>
      <w:pPr>
        <w:ind w:left="343"/>
        <w:spacing w:after="0"/>
        <w:rPr>
          <w:sz w:val="20"/>
          <w:szCs w:val="20"/>
          <w:color w:val="auto"/>
        </w:rPr>
      </w:pPr>
      <w:r>
        <w:rPr>
          <w:rFonts w:ascii="Arial" w:cs="Arial" w:eastAsia="Arial" w:hAnsi="Arial"/>
          <w:sz w:val="13"/>
          <w:szCs w:val="13"/>
          <w:i w:val="1"/>
          <w:iCs w:val="1"/>
          <w:color w:val="auto"/>
        </w:rPr>
        <w:t>Investing Activities</w:t>
      </w:r>
    </w:p>
    <w:p>
      <w:pPr>
        <w:spacing w:after="0" w:line="159" w:lineRule="exact"/>
        <w:rPr>
          <w:sz w:val="20"/>
          <w:szCs w:val="20"/>
          <w:color w:val="auto"/>
        </w:rPr>
      </w:pPr>
    </w:p>
    <w:p>
      <w:pPr>
        <w:ind w:left="3" w:right="20" w:firstLine="347"/>
        <w:spacing w:after="0" w:line="254" w:lineRule="auto"/>
        <w:rPr>
          <w:sz w:val="20"/>
          <w:szCs w:val="20"/>
          <w:color w:val="auto"/>
        </w:rPr>
      </w:pPr>
      <w:r>
        <w:rPr>
          <w:rFonts w:ascii="Arial" w:cs="Arial" w:eastAsia="Arial" w:hAnsi="Arial"/>
          <w:sz w:val="13"/>
          <w:szCs w:val="13"/>
          <w:color w:val="auto"/>
        </w:rPr>
        <w:t>Our investing activities during the nine months ended September 30, 2010 and September 30, 2009 consisted primarily of purchases and sales of investments, and to a lesser extent for capital expenditures. The $234.8 million of cash used by investing activities during the nine months ended September 30, 2010 was due to net purchases of investments of $231.9 million and $2.9 million used for capital expenditures. The $16.5 million of cash used by investing activities during the nine months ended September 30, 2009 wa s due to $11.3 million in net purchases of investments, $4.3 million of cash used for capital expenditures and $0.9 million for the purchase of certain technology assets.</w:t>
      </w:r>
    </w:p>
    <w:p>
      <w:pPr>
        <w:spacing w:after="0" w:line="138" w:lineRule="exact"/>
        <w:rPr>
          <w:sz w:val="20"/>
          <w:szCs w:val="20"/>
          <w:color w:val="auto"/>
        </w:rPr>
      </w:pPr>
    </w:p>
    <w:p>
      <w:pPr>
        <w:ind w:left="343"/>
        <w:spacing w:after="0"/>
        <w:rPr>
          <w:sz w:val="20"/>
          <w:szCs w:val="20"/>
          <w:color w:val="auto"/>
        </w:rPr>
      </w:pPr>
      <w:r>
        <w:rPr>
          <w:rFonts w:ascii="Arial" w:cs="Arial" w:eastAsia="Arial" w:hAnsi="Arial"/>
          <w:sz w:val="13"/>
          <w:szCs w:val="13"/>
          <w:i w:val="1"/>
          <w:iCs w:val="1"/>
          <w:color w:val="auto"/>
        </w:rPr>
        <w:t>Financing Activities</w:t>
      </w:r>
    </w:p>
    <w:p>
      <w:pPr>
        <w:spacing w:after="0" w:line="159" w:lineRule="exact"/>
        <w:rPr>
          <w:sz w:val="20"/>
          <w:szCs w:val="20"/>
          <w:color w:val="auto"/>
        </w:rPr>
      </w:pPr>
    </w:p>
    <w:p>
      <w:pPr>
        <w:jc w:val="both"/>
        <w:ind w:left="3" w:right="20" w:firstLine="347"/>
        <w:spacing w:after="0" w:line="258" w:lineRule="auto"/>
        <w:rPr>
          <w:sz w:val="20"/>
          <w:szCs w:val="20"/>
          <w:color w:val="auto"/>
        </w:rPr>
      </w:pPr>
      <w:r>
        <w:rPr>
          <w:rFonts w:ascii="Arial" w:cs="Arial" w:eastAsia="Arial" w:hAnsi="Arial"/>
          <w:sz w:val="13"/>
          <w:szCs w:val="13"/>
          <w:color w:val="auto"/>
        </w:rPr>
        <w:t>Our financing activities in the nine months ended September 30, 2010 resulted in net cash provided of $27.2 million as a result of receiving proceeds of $23.9 million from the exercise of stock options to purchase our common stock, upon the expiration of lock-up agreements six months following our Initial Public Offering, and an excess tax benefit from employee stock option plans of $4.2 million related to option exercises, all partially offset by &lt; /font&gt;$0.9 million of issuance costs paid in connection with our initial public offering, which had been accrued as of December 31, 2009.</w:t>
      </w:r>
    </w:p>
    <w:p>
      <w:pPr>
        <w:spacing w:after="0" w:line="135" w:lineRule="exact"/>
        <w:rPr>
          <w:sz w:val="20"/>
          <w:szCs w:val="20"/>
          <w:color w:val="auto"/>
        </w:rPr>
      </w:pPr>
    </w:p>
    <w:p>
      <w:pPr>
        <w:ind w:left="3" w:right="140" w:firstLine="347"/>
        <w:spacing w:after="0" w:line="361" w:lineRule="auto"/>
        <w:rPr>
          <w:sz w:val="20"/>
          <w:szCs w:val="20"/>
          <w:color w:val="auto"/>
        </w:rPr>
      </w:pPr>
      <w:r>
        <w:rPr>
          <w:rFonts w:ascii="Arial" w:cs="Arial" w:eastAsia="Arial" w:hAnsi="Arial"/>
          <w:sz w:val="11"/>
          <w:szCs w:val="11"/>
          <w:color w:val="auto"/>
        </w:rPr>
        <w:t>Our financing activities for the nine months ended September 30, 2009 resulted in net cash used of $13.7 m illion, primarily related to the use of $15.7 million for the repurchase of our preferred and common stock, slightly offset by proceeds of $1.9 million from the exercise of stock options to purchase our common stock and an excess tax benefit from employee stock option plans of $0.1 million related to option exercises.</w:t>
      </w:r>
    </w:p>
    <w:p>
      <w:pPr>
        <w:spacing w:after="0" w:line="82" w:lineRule="exact"/>
        <w:rPr>
          <w:sz w:val="20"/>
          <w:szCs w:val="20"/>
          <w:color w:val="auto"/>
        </w:rPr>
      </w:pPr>
    </w:p>
    <w:p>
      <w:pPr>
        <w:ind w:left="343"/>
        <w:spacing w:after="0"/>
        <w:rPr>
          <w:sz w:val="20"/>
          <w:szCs w:val="20"/>
          <w:color w:val="auto"/>
        </w:rPr>
      </w:pPr>
      <w:r>
        <w:rPr>
          <w:rFonts w:ascii="Arial" w:cs="Arial" w:eastAsia="Arial" w:hAnsi="Arial"/>
          <w:sz w:val="13"/>
          <w:szCs w:val="13"/>
          <w:b w:val="1"/>
          <w:bCs w:val="1"/>
          <w:i w:val="1"/>
          <w:iCs w:val="1"/>
          <w:color w:val="auto"/>
        </w:rPr>
        <w:t>Contractual Obligations and Commitments</w:t>
      </w:r>
    </w:p>
    <w:p>
      <w:pPr>
        <w:spacing w:after="0" w:line="159" w:lineRule="exact"/>
        <w:rPr>
          <w:sz w:val="20"/>
          <w:szCs w:val="20"/>
          <w:color w:val="auto"/>
        </w:rPr>
      </w:pPr>
    </w:p>
    <w:p>
      <w:pPr>
        <w:ind w:left="343"/>
        <w:spacing w:after="0"/>
        <w:rPr>
          <w:sz w:val="20"/>
          <w:szCs w:val="20"/>
          <w:color w:val="auto"/>
        </w:rPr>
      </w:pPr>
      <w:r>
        <w:rPr>
          <w:rFonts w:ascii="Arial" w:cs="Arial" w:eastAsia="Arial" w:hAnsi="Arial"/>
          <w:sz w:val="13"/>
          <w:szCs w:val="13"/>
          <w:color w:val="auto"/>
        </w:rPr>
        <w:t>The following summarizes our contractual obligations as of September 30, 2010:</w:t>
      </w:r>
    </w:p>
    <w:p>
      <w:pPr>
        <w:spacing w:after="0" w:line="275"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7"/>
              </w:rPr>
              <w:t>Payments Due By Period</w:t>
            </w: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4"/>
        </w:trPr>
        <w:tc>
          <w:tcPr>
            <w:tcW w:w="2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45"/>
        </w:trPr>
        <w:tc>
          <w:tcPr>
            <w:tcW w:w="2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jc w:val="center"/>
              <w:ind w:left="339"/>
              <w:spacing w:after="0"/>
              <w:rPr>
                <w:sz w:val="20"/>
                <w:szCs w:val="20"/>
                <w:color w:val="auto"/>
              </w:rPr>
            </w:pPr>
            <w:r>
              <w:rPr>
                <w:rFonts w:ascii="Arial" w:cs="Arial" w:eastAsia="Arial" w:hAnsi="Arial"/>
                <w:sz w:val="12"/>
                <w:szCs w:val="12"/>
                <w:b w:val="1"/>
                <w:bCs w:val="1"/>
                <w:color w:val="auto"/>
                <w:w w:val="91"/>
              </w:rPr>
              <w:t>1-3</w:t>
            </w:r>
          </w:p>
        </w:tc>
        <w:tc>
          <w:tcPr>
            <w:tcW w:w="420" w:type="dxa"/>
            <w:vAlign w:val="bottom"/>
          </w:tcPr>
          <w:p>
            <w:pPr>
              <w:spacing w:after="0"/>
              <w:rPr>
                <w:sz w:val="12"/>
                <w:szCs w:val="12"/>
                <w:color w:val="auto"/>
              </w:rPr>
            </w:pPr>
          </w:p>
        </w:tc>
        <w:tc>
          <w:tcPr>
            <w:tcW w:w="1420" w:type="dxa"/>
            <w:vAlign w:val="bottom"/>
          </w:tcPr>
          <w:p>
            <w:pPr>
              <w:jc w:val="right"/>
              <w:ind w:right="378"/>
              <w:spacing w:after="0"/>
              <w:rPr>
                <w:sz w:val="20"/>
                <w:szCs w:val="20"/>
                <w:color w:val="auto"/>
              </w:rPr>
            </w:pPr>
            <w:r>
              <w:rPr>
                <w:rFonts w:ascii="Arial" w:cs="Arial" w:eastAsia="Arial" w:hAnsi="Arial"/>
                <w:sz w:val="12"/>
                <w:szCs w:val="12"/>
                <w:b w:val="1"/>
                <w:bCs w:val="1"/>
                <w:color w:val="auto"/>
              </w:rPr>
              <w:t>4-5</w:t>
            </w:r>
          </w:p>
        </w:tc>
        <w:tc>
          <w:tcPr>
            <w:tcW w:w="420" w:type="dxa"/>
            <w:vAlign w:val="bottom"/>
          </w:tcPr>
          <w:p>
            <w:pPr>
              <w:spacing w:after="0"/>
              <w:rPr>
                <w:sz w:val="12"/>
                <w:szCs w:val="12"/>
                <w:color w:val="auto"/>
              </w:rPr>
            </w:pPr>
          </w:p>
        </w:tc>
        <w:tc>
          <w:tcPr>
            <w:tcW w:w="1500" w:type="dxa"/>
            <w:vAlign w:val="bottom"/>
          </w:tcPr>
          <w:p>
            <w:pPr>
              <w:ind w:left="640"/>
              <w:spacing w:after="0"/>
              <w:rPr>
                <w:sz w:val="20"/>
                <w:szCs w:val="20"/>
                <w:color w:val="auto"/>
              </w:rPr>
            </w:pPr>
            <w:r>
              <w:rPr>
                <w:rFonts w:ascii="Arial" w:cs="Arial" w:eastAsia="Arial" w:hAnsi="Arial"/>
                <w:sz w:val="12"/>
                <w:szCs w:val="12"/>
                <w:b w:val="1"/>
                <w:bCs w:val="1"/>
                <w:color w:val="auto"/>
              </w:rPr>
              <w:t>More Than</w:t>
            </w:r>
          </w:p>
        </w:tc>
      </w:tr>
      <w:tr>
        <w:trPr>
          <w:trHeight w:val="149"/>
        </w:trPr>
        <w:tc>
          <w:tcPr>
            <w:tcW w:w="2560" w:type="dxa"/>
            <w:vAlign w:val="bottom"/>
          </w:tcPr>
          <w:p>
            <w:pPr>
              <w:spacing w:after="0"/>
              <w:rPr>
                <w:sz w:val="12"/>
                <w:szCs w:val="12"/>
                <w:color w:val="auto"/>
              </w:rPr>
            </w:pPr>
          </w:p>
        </w:tc>
        <w:tc>
          <w:tcPr>
            <w:tcW w:w="1440" w:type="dxa"/>
            <w:vAlign w:val="bottom"/>
          </w:tcPr>
          <w:p>
            <w:pPr>
              <w:jc w:val="right"/>
              <w:ind w:right="357"/>
              <w:spacing w:after="0"/>
              <w:rPr>
                <w:sz w:val="20"/>
                <w:szCs w:val="20"/>
                <w:color w:val="auto"/>
              </w:rPr>
            </w:pPr>
            <w:r>
              <w:rPr>
                <w:rFonts w:ascii="Arial" w:cs="Arial" w:eastAsia="Arial" w:hAnsi="Arial"/>
                <w:sz w:val="12"/>
                <w:szCs w:val="12"/>
                <w:b w:val="1"/>
                <w:bCs w:val="1"/>
                <w:color w:val="auto"/>
              </w:rPr>
              <w:t>Total</w:t>
            </w:r>
          </w:p>
        </w:tc>
        <w:tc>
          <w:tcPr>
            <w:tcW w:w="420" w:type="dxa"/>
            <w:vAlign w:val="bottom"/>
          </w:tcPr>
          <w:p>
            <w:pPr>
              <w:spacing w:after="0"/>
              <w:rPr>
                <w:sz w:val="12"/>
                <w:szCs w:val="12"/>
                <w:color w:val="auto"/>
              </w:rPr>
            </w:pPr>
          </w:p>
        </w:tc>
        <w:tc>
          <w:tcPr>
            <w:tcW w:w="1860" w:type="dxa"/>
            <w:vAlign w:val="bottom"/>
            <w:gridSpan w:val="2"/>
          </w:tcPr>
          <w:p>
            <w:pPr>
              <w:ind w:left="420"/>
              <w:spacing w:after="0"/>
              <w:rPr>
                <w:sz w:val="20"/>
                <w:szCs w:val="20"/>
                <w:color w:val="auto"/>
              </w:rPr>
            </w:pPr>
            <w:r>
              <w:rPr>
                <w:rFonts w:ascii="Arial" w:cs="Arial" w:eastAsia="Arial" w:hAnsi="Arial"/>
                <w:sz w:val="12"/>
                <w:szCs w:val="12"/>
                <w:b w:val="1"/>
                <w:bCs w:val="1"/>
                <w:color w:val="auto"/>
              </w:rPr>
              <w:t>Remainder of 2010</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Years</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Years</w:t>
            </w:r>
          </w:p>
        </w:tc>
        <w:tc>
          <w:tcPr>
            <w:tcW w:w="1500" w:type="dxa"/>
            <w:vAlign w:val="bottom"/>
          </w:tcPr>
          <w:p>
            <w:pPr>
              <w:ind w:left="740"/>
              <w:spacing w:after="0"/>
              <w:rPr>
                <w:sz w:val="20"/>
                <w:szCs w:val="20"/>
                <w:color w:val="auto"/>
              </w:rPr>
            </w:pPr>
            <w:r>
              <w:rPr>
                <w:rFonts w:ascii="Arial" w:cs="Arial" w:eastAsia="Arial" w:hAnsi="Arial"/>
                <w:sz w:val="12"/>
                <w:szCs w:val="12"/>
                <w:b w:val="1"/>
                <w:bCs w:val="1"/>
                <w:color w:val="auto"/>
              </w:rPr>
              <w:t>5 Years</w:t>
            </w:r>
          </w:p>
        </w:tc>
      </w:tr>
      <w:tr>
        <w:trPr>
          <w:trHeight w:val="24"/>
        </w:trPr>
        <w:tc>
          <w:tcPr>
            <w:tcW w:w="2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49"/>
        </w:trPr>
        <w:tc>
          <w:tcPr>
            <w:tcW w:w="2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6"/>
              </w:rPr>
              <w:t>($ amounts in 000's)</w:t>
            </w: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4"/>
        </w:trPr>
        <w:tc>
          <w:tcPr>
            <w:tcW w:w="2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3"/>
        </w:trPr>
        <w:tc>
          <w:tcPr>
            <w:tcW w:w="2560" w:type="dxa"/>
            <w:vAlign w:val="bottom"/>
            <w:shd w:val="clear" w:color="auto" w:fill="CCEEFF"/>
          </w:tcPr>
          <w:p>
            <w:pPr>
              <w:ind w:left="360"/>
              <w:spacing w:after="0" w:line="193" w:lineRule="exact"/>
              <w:rPr>
                <w:sz w:val="20"/>
                <w:szCs w:val="20"/>
                <w:color w:val="auto"/>
              </w:rPr>
            </w:pPr>
            <w:r>
              <w:rPr>
                <w:rFonts w:ascii="Arial" w:cs="Arial" w:eastAsia="Arial" w:hAnsi="Arial"/>
                <w:sz w:val="13"/>
                <w:szCs w:val="13"/>
                <w:color w:val="auto"/>
              </w:rPr>
              <w:t xml:space="preserve">Operating leases </w:t>
            </w:r>
            <w:r>
              <w:rPr>
                <w:rFonts w:ascii="Arial" w:cs="Arial" w:eastAsia="Arial" w:hAnsi="Arial"/>
                <w:sz w:val="17"/>
                <w:szCs w:val="17"/>
                <w:color w:val="auto"/>
                <w:vertAlign w:val="superscript"/>
              </w:rPr>
              <w:t>(1)</w:t>
            </w:r>
          </w:p>
        </w:tc>
        <w:tc>
          <w:tcPr>
            <w:tcW w:w="14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20,336</w:t>
            </w:r>
          </w:p>
        </w:tc>
        <w:tc>
          <w:tcPr>
            <w:tcW w:w="1860" w:type="dxa"/>
            <w:vAlign w:val="bottom"/>
            <w:gridSpan w:val="2"/>
            <w:shd w:val="clear" w:color="auto" w:fill="CCEEFF"/>
          </w:tcPr>
          <w:p>
            <w:pPr>
              <w:jc w:val="right"/>
              <w:ind w:right="319"/>
              <w:spacing w:after="0"/>
              <w:rPr>
                <w:sz w:val="20"/>
                <w:szCs w:val="20"/>
                <w:color w:val="auto"/>
              </w:rPr>
            </w:pPr>
            <w:r>
              <w:rPr>
                <w:rFonts w:ascii="Arial" w:cs="Arial" w:eastAsia="Arial" w:hAnsi="Arial"/>
                <w:sz w:val="13"/>
                <w:szCs w:val="13"/>
                <w:color w:val="auto"/>
              </w:rPr>
              <w:t>1,893</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19"/>
              <w:spacing w:after="0"/>
              <w:rPr>
                <w:sz w:val="20"/>
                <w:szCs w:val="20"/>
                <w:color w:val="auto"/>
              </w:rPr>
            </w:pPr>
            <w:r>
              <w:rPr>
                <w:rFonts w:ascii="Arial" w:cs="Arial" w:eastAsia="Arial" w:hAnsi="Arial"/>
                <w:sz w:val="13"/>
                <w:szCs w:val="13"/>
                <w:color w:val="auto"/>
              </w:rPr>
              <w:t>15,202</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38"/>
              <w:spacing w:after="0"/>
              <w:rPr>
                <w:sz w:val="20"/>
                <w:szCs w:val="20"/>
                <w:color w:val="auto"/>
              </w:rPr>
            </w:pPr>
            <w:r>
              <w:rPr>
                <w:rFonts w:ascii="Arial" w:cs="Arial" w:eastAsia="Arial" w:hAnsi="Arial"/>
                <w:sz w:val="13"/>
                <w:szCs w:val="13"/>
                <w:color w:val="auto"/>
              </w:rPr>
              <w:t>3,241</w:t>
            </w:r>
          </w:p>
        </w:tc>
        <w:tc>
          <w:tcPr>
            <w:tcW w:w="420" w:type="dxa"/>
            <w:vAlign w:val="bottom"/>
            <w:shd w:val="clear" w:color="auto" w:fill="CCEEFF"/>
          </w:tcPr>
          <w:p>
            <w:pPr>
              <w:spacing w:after="0"/>
              <w:rPr>
                <w:sz w:val="16"/>
                <w:szCs w:val="16"/>
                <w:color w:val="auto"/>
              </w:rPr>
            </w:pPr>
          </w:p>
        </w:tc>
        <w:tc>
          <w:tcPr>
            <w:tcW w:w="1500" w:type="dxa"/>
            <w:vAlign w:val="bottom"/>
            <w:shd w:val="clear" w:color="auto" w:fill="CCEEFF"/>
          </w:tcPr>
          <w:p>
            <w:pPr>
              <w:ind w:left="980"/>
              <w:spacing w:after="0"/>
              <w:rPr>
                <w:sz w:val="20"/>
                <w:szCs w:val="20"/>
                <w:color w:val="auto"/>
              </w:rPr>
            </w:pPr>
            <w:r>
              <w:rPr>
                <w:rFonts w:ascii="Arial" w:cs="Arial" w:eastAsia="Arial" w:hAnsi="Arial"/>
                <w:sz w:val="13"/>
                <w:szCs w:val="13"/>
                <w:color w:val="auto"/>
              </w:rPr>
              <w:t>—</w:t>
            </w:r>
          </w:p>
        </w:tc>
      </w:tr>
      <w:tr>
        <w:trPr>
          <w:trHeight w:val="193"/>
        </w:trPr>
        <w:tc>
          <w:tcPr>
            <w:tcW w:w="2560" w:type="dxa"/>
            <w:vAlign w:val="bottom"/>
          </w:tcPr>
          <w:p>
            <w:pPr>
              <w:ind w:left="360"/>
              <w:spacing w:after="0" w:line="193" w:lineRule="exact"/>
              <w:rPr>
                <w:sz w:val="20"/>
                <w:szCs w:val="20"/>
                <w:color w:val="auto"/>
              </w:rPr>
            </w:pPr>
            <w:r>
              <w:rPr>
                <w:rFonts w:ascii="Arial" w:cs="Arial" w:eastAsia="Arial" w:hAnsi="Arial"/>
                <w:sz w:val="13"/>
                <w:szCs w:val="13"/>
                <w:color w:val="auto"/>
              </w:rPr>
              <w:t xml:space="preserve">Purchase commitments </w:t>
            </w:r>
            <w:r>
              <w:rPr>
                <w:rFonts w:ascii="Arial" w:cs="Arial" w:eastAsia="Arial" w:hAnsi="Arial"/>
                <w:sz w:val="17"/>
                <w:szCs w:val="17"/>
                <w:color w:val="auto"/>
                <w:vertAlign w:val="superscript"/>
              </w:rPr>
              <w:t>(2)</w:t>
            </w:r>
          </w:p>
        </w:tc>
        <w:tc>
          <w:tcPr>
            <w:tcW w:w="1440" w:type="dxa"/>
            <w:vAlign w:val="bottom"/>
          </w:tcPr>
          <w:p>
            <w:pPr>
              <w:jc w:val="right"/>
              <w:ind w:right="317"/>
              <w:spacing w:after="0"/>
              <w:rPr>
                <w:sz w:val="20"/>
                <w:szCs w:val="20"/>
                <w:color w:val="auto"/>
              </w:rPr>
            </w:pPr>
            <w:r>
              <w:rPr>
                <w:rFonts w:ascii="Arial" w:cs="Arial" w:eastAsia="Arial" w:hAnsi="Arial"/>
                <w:sz w:val="13"/>
                <w:szCs w:val="13"/>
                <w:color w:val="auto"/>
              </w:rPr>
              <w:t>16,338</w:t>
            </w:r>
          </w:p>
        </w:tc>
        <w:tc>
          <w:tcPr>
            <w:tcW w:w="1860" w:type="dxa"/>
            <w:vAlign w:val="bottom"/>
            <w:gridSpan w:val="2"/>
          </w:tcPr>
          <w:p>
            <w:pPr>
              <w:jc w:val="right"/>
              <w:ind w:right="319"/>
              <w:spacing w:after="0"/>
              <w:rPr>
                <w:sz w:val="20"/>
                <w:szCs w:val="20"/>
                <w:color w:val="auto"/>
              </w:rPr>
            </w:pPr>
            <w:r>
              <w:rPr>
                <w:rFonts w:ascii="Arial" w:cs="Arial" w:eastAsia="Arial" w:hAnsi="Arial"/>
                <w:sz w:val="13"/>
                <w:szCs w:val="13"/>
                <w:color w:val="auto"/>
              </w:rPr>
              <w:t>16,338</w:t>
            </w:r>
          </w:p>
        </w:tc>
        <w:tc>
          <w:tcPr>
            <w:tcW w:w="420" w:type="dxa"/>
            <w:vAlign w:val="bottom"/>
          </w:tcPr>
          <w:p>
            <w:pPr>
              <w:spacing w:after="0"/>
              <w:rPr>
                <w:sz w:val="16"/>
                <w:szCs w:val="16"/>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3"/>
                <w:szCs w:val="13"/>
                <w:color w:val="auto"/>
              </w:rPr>
              <w:t>—</w:t>
            </w:r>
          </w:p>
        </w:tc>
        <w:tc>
          <w:tcPr>
            <w:tcW w:w="1840" w:type="dxa"/>
            <w:vAlign w:val="bottom"/>
            <w:gridSpan w:val="2"/>
          </w:tcPr>
          <w:p>
            <w:pPr>
              <w:jc w:val="right"/>
              <w:ind w:right="820"/>
              <w:spacing w:after="0"/>
              <w:rPr>
                <w:sz w:val="20"/>
                <w:szCs w:val="20"/>
                <w:color w:val="auto"/>
              </w:rPr>
            </w:pPr>
            <w:r>
              <w:rPr>
                <w:rFonts w:ascii="Arial" w:cs="Arial" w:eastAsia="Arial" w:hAnsi="Arial"/>
                <w:sz w:val="13"/>
                <w:szCs w:val="13"/>
                <w:color w:val="auto"/>
              </w:rPr>
              <w:t>—</w:t>
            </w:r>
          </w:p>
        </w:tc>
        <w:tc>
          <w:tcPr>
            <w:tcW w:w="1500" w:type="dxa"/>
            <w:vAlign w:val="bottom"/>
          </w:tcPr>
          <w:p>
            <w:pPr>
              <w:ind w:left="980"/>
              <w:spacing w:after="0"/>
              <w:rPr>
                <w:sz w:val="20"/>
                <w:szCs w:val="20"/>
                <w:color w:val="auto"/>
              </w:rPr>
            </w:pPr>
            <w:r>
              <w:rPr>
                <w:rFonts w:ascii="Arial" w:cs="Arial" w:eastAsia="Arial" w:hAnsi="Arial"/>
                <w:sz w:val="13"/>
                <w:szCs w:val="13"/>
                <w:color w:val="auto"/>
              </w:rPr>
              <w:t>—</w:t>
            </w:r>
          </w:p>
        </w:tc>
      </w:tr>
      <w:tr>
        <w:trPr>
          <w:trHeight w:val="193"/>
        </w:trPr>
        <w:tc>
          <w:tcPr>
            <w:tcW w:w="2560" w:type="dxa"/>
            <w:vAlign w:val="bottom"/>
            <w:shd w:val="clear" w:color="auto" w:fill="CCEEFF"/>
          </w:tcPr>
          <w:p>
            <w:pPr>
              <w:ind w:left="360"/>
              <w:spacing w:after="0" w:line="193" w:lineRule="exact"/>
              <w:rPr>
                <w:sz w:val="20"/>
                <w:szCs w:val="20"/>
                <w:color w:val="auto"/>
              </w:rPr>
            </w:pPr>
            <w:r>
              <w:rPr>
                <w:rFonts w:ascii="Arial" w:cs="Arial" w:eastAsia="Arial" w:hAnsi="Arial"/>
                <w:sz w:val="13"/>
                <w:szCs w:val="13"/>
                <w:color w:val="auto"/>
              </w:rPr>
              <w:t xml:space="preserve">Royalty commitments </w:t>
            </w:r>
            <w:r>
              <w:rPr>
                <w:rFonts w:ascii="Arial" w:cs="Arial" w:eastAsia="Arial" w:hAnsi="Arial"/>
                <w:sz w:val="17"/>
                <w:szCs w:val="17"/>
                <w:color w:val="auto"/>
                <w:vertAlign w:val="superscript"/>
              </w:rPr>
              <w:t>(3)</w:t>
            </w:r>
          </w:p>
        </w:tc>
        <w:tc>
          <w:tcPr>
            <w:tcW w:w="144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4,250</w:t>
            </w:r>
          </w:p>
        </w:tc>
        <w:tc>
          <w:tcPr>
            <w:tcW w:w="420" w:type="dxa"/>
            <w:vAlign w:val="bottom"/>
          </w:tcPr>
          <w:p>
            <w:pPr>
              <w:spacing w:after="0"/>
              <w:rPr>
                <w:sz w:val="16"/>
                <w:szCs w:val="16"/>
                <w:color w:val="auto"/>
              </w:rPr>
            </w:pPr>
          </w:p>
        </w:tc>
        <w:tc>
          <w:tcPr>
            <w:tcW w:w="14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3"/>
                <w:szCs w:val="13"/>
                <w:color w:val="auto"/>
              </w:rPr>
              <w:t>250</w:t>
            </w:r>
          </w:p>
        </w:tc>
        <w:tc>
          <w:tcPr>
            <w:tcW w:w="42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3"/>
                <w:szCs w:val="13"/>
                <w:color w:val="auto"/>
              </w:rPr>
              <w:t>3,000</w:t>
            </w:r>
          </w:p>
        </w:tc>
        <w:tc>
          <w:tcPr>
            <w:tcW w:w="4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3"/>
                <w:szCs w:val="13"/>
                <w:color w:val="auto"/>
              </w:rPr>
              <w:t>1,000</w:t>
            </w:r>
          </w:p>
        </w:tc>
        <w:tc>
          <w:tcPr>
            <w:tcW w:w="42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3"/>
                <w:szCs w:val="13"/>
                <w:color w:val="auto"/>
              </w:rPr>
              <w:t>—</w:t>
            </w:r>
          </w:p>
        </w:tc>
      </w:tr>
      <w:tr>
        <w:trPr>
          <w:trHeight w:val="191"/>
        </w:trPr>
        <w:tc>
          <w:tcPr>
            <w:tcW w:w="2560" w:type="dxa"/>
            <w:vAlign w:val="bottom"/>
          </w:tcPr>
          <w:p>
            <w:pPr>
              <w:ind w:left="460"/>
              <w:spacing w:after="0" w:line="183" w:lineRule="exact"/>
              <w:rPr>
                <w:sz w:val="20"/>
                <w:szCs w:val="20"/>
                <w:color w:val="auto"/>
              </w:rPr>
            </w:pPr>
            <w:r>
              <w:rPr>
                <w:rFonts w:ascii="Arial" w:cs="Arial" w:eastAsia="Arial" w:hAnsi="Arial"/>
                <w:sz w:val="13"/>
                <w:szCs w:val="13"/>
                <w:color w:val="auto"/>
              </w:rPr>
              <w:t xml:space="preserve">Total </w:t>
            </w:r>
            <w:r>
              <w:rPr>
                <w:rFonts w:ascii="Arial" w:cs="Arial" w:eastAsia="Arial" w:hAnsi="Arial"/>
                <w:sz w:val="17"/>
                <w:szCs w:val="17"/>
                <w:color w:val="auto"/>
                <w:vertAlign w:val="superscript"/>
              </w:rPr>
              <w:t>(4)</w:t>
            </w:r>
          </w:p>
        </w:tc>
        <w:tc>
          <w:tcPr>
            <w:tcW w:w="1440" w:type="dxa"/>
            <w:vAlign w:val="bottom"/>
          </w:tcPr>
          <w:p>
            <w:pPr>
              <w:jc w:val="right"/>
              <w:ind w:right="317"/>
              <w:spacing w:after="0"/>
              <w:rPr>
                <w:sz w:val="20"/>
                <w:szCs w:val="20"/>
                <w:color w:val="auto"/>
              </w:rPr>
            </w:pPr>
            <w:r>
              <w:rPr>
                <w:rFonts w:ascii="Arial" w:cs="Arial" w:eastAsia="Arial" w:hAnsi="Arial"/>
                <w:sz w:val="13"/>
                <w:szCs w:val="13"/>
                <w:color w:val="auto"/>
              </w:rPr>
              <w:t>40,924</w:t>
            </w:r>
          </w:p>
        </w:tc>
        <w:tc>
          <w:tcPr>
            <w:tcW w:w="1860" w:type="dxa"/>
            <w:vAlign w:val="bottom"/>
            <w:gridSpan w:val="2"/>
          </w:tcPr>
          <w:p>
            <w:pPr>
              <w:jc w:val="right"/>
              <w:ind w:right="319"/>
              <w:spacing w:after="0"/>
              <w:rPr>
                <w:sz w:val="20"/>
                <w:szCs w:val="20"/>
                <w:color w:val="auto"/>
              </w:rPr>
            </w:pPr>
            <w:r>
              <w:rPr>
                <w:rFonts w:ascii="Arial" w:cs="Arial" w:eastAsia="Arial" w:hAnsi="Arial"/>
                <w:sz w:val="13"/>
                <w:szCs w:val="13"/>
                <w:color w:val="auto"/>
              </w:rPr>
              <w:t>18,481</w:t>
            </w:r>
          </w:p>
        </w:tc>
        <w:tc>
          <w:tcPr>
            <w:tcW w:w="42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Arial" w:cs="Arial" w:eastAsia="Arial" w:hAnsi="Arial"/>
                <w:sz w:val="13"/>
                <w:szCs w:val="13"/>
                <w:color w:val="auto"/>
              </w:rPr>
              <w:t>18,202</w:t>
            </w:r>
          </w:p>
        </w:tc>
        <w:tc>
          <w:tcPr>
            <w:tcW w:w="420" w:type="dxa"/>
            <w:vAlign w:val="bottom"/>
          </w:tcPr>
          <w:p>
            <w:pPr>
              <w:spacing w:after="0"/>
              <w:rPr>
                <w:sz w:val="16"/>
                <w:szCs w:val="16"/>
                <w:color w:val="auto"/>
              </w:rPr>
            </w:pPr>
          </w:p>
        </w:tc>
        <w:tc>
          <w:tcPr>
            <w:tcW w:w="1420" w:type="dxa"/>
            <w:vAlign w:val="bottom"/>
          </w:tcPr>
          <w:p>
            <w:pPr>
              <w:jc w:val="right"/>
              <w:ind w:right="698"/>
              <w:spacing w:after="0"/>
              <w:rPr>
                <w:sz w:val="20"/>
                <w:szCs w:val="20"/>
                <w:color w:val="auto"/>
              </w:rPr>
            </w:pPr>
            <w:r>
              <w:rPr>
                <w:rFonts w:ascii="Arial" w:cs="Arial" w:eastAsia="Arial" w:hAnsi="Arial"/>
                <w:sz w:val="13"/>
                <w:szCs w:val="13"/>
                <w:color w:val="auto"/>
              </w:rPr>
              <w:t>4,241</w:t>
            </w:r>
          </w:p>
        </w:tc>
        <w:tc>
          <w:tcPr>
            <w:tcW w:w="420" w:type="dxa"/>
            <w:vAlign w:val="bottom"/>
          </w:tcPr>
          <w:p>
            <w:pPr>
              <w:spacing w:after="0"/>
              <w:rPr>
                <w:sz w:val="16"/>
                <w:szCs w:val="16"/>
                <w:color w:val="auto"/>
              </w:rPr>
            </w:pPr>
          </w:p>
        </w:tc>
        <w:tc>
          <w:tcPr>
            <w:tcW w:w="1500" w:type="dxa"/>
            <w:vAlign w:val="bottom"/>
          </w:tcPr>
          <w:p>
            <w:pPr>
              <w:ind w:left="980"/>
              <w:spacing w:after="0"/>
              <w:rPr>
                <w:sz w:val="20"/>
                <w:szCs w:val="20"/>
                <w:color w:val="auto"/>
              </w:rPr>
            </w:pPr>
            <w:r>
              <w:rPr>
                <w:rFonts w:ascii="Arial" w:cs="Arial" w:eastAsia="Arial" w:hAnsi="Arial"/>
                <w:sz w:val="13"/>
                <w:szCs w:val="13"/>
                <w:color w:val="auto"/>
              </w:rPr>
              <w:t>—</w:t>
            </w:r>
          </w:p>
        </w:tc>
      </w:tr>
      <w:tr>
        <w:trPr>
          <w:trHeight w:val="163"/>
        </w:trPr>
        <w:tc>
          <w:tcPr>
            <w:tcW w:w="2560" w:type="dxa"/>
            <w:vAlign w:val="bottom"/>
          </w:tcPr>
          <w:p>
            <w:pPr>
              <w:ind w:left="360"/>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bl>
    <w:p>
      <w:pPr>
        <w:spacing w:after="0" w:line="21" w:lineRule="exact"/>
        <w:rPr>
          <w:sz w:val="20"/>
          <w:szCs w:val="20"/>
          <w:color w:val="auto"/>
        </w:rPr>
      </w:pPr>
    </w:p>
    <w:p>
      <w:pPr>
        <w:ind w:left="283" w:hanging="283"/>
        <w:spacing w:after="0"/>
        <w:tabs>
          <w:tab w:leader="none" w:pos="283"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Consists of contractual obligations from non-cancelable office space under operating leases.</w:t>
      </w:r>
    </w:p>
    <w:p>
      <w:pPr>
        <w:spacing w:after="0" w:line="13" w:lineRule="exact"/>
        <w:rPr>
          <w:rFonts w:ascii="Arial" w:cs="Arial" w:eastAsia="Arial" w:hAnsi="Arial"/>
          <w:sz w:val="13"/>
          <w:szCs w:val="13"/>
          <w:color w:val="auto"/>
        </w:rPr>
      </w:pPr>
    </w:p>
    <w:p>
      <w:pPr>
        <w:ind w:left="283" w:hanging="283"/>
        <w:spacing w:after="0"/>
        <w:tabs>
          <w:tab w:leader="none" w:pos="283"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Consists of minimum purchase commitments with independent contract manufacturers.</w:t>
      </w:r>
    </w:p>
    <w:p>
      <w:pPr>
        <w:spacing w:after="0" w:line="4" w:lineRule="exact"/>
        <w:rPr>
          <w:rFonts w:ascii="Arial" w:cs="Arial" w:eastAsia="Arial" w:hAnsi="Arial"/>
          <w:sz w:val="13"/>
          <w:szCs w:val="13"/>
          <w:color w:val="auto"/>
        </w:rPr>
      </w:pPr>
    </w:p>
    <w:p>
      <w:pPr>
        <w:ind w:left="343" w:right="340" w:hanging="343"/>
        <w:spacing w:after="0" w:line="255" w:lineRule="auto"/>
        <w:tabs>
          <w:tab w:leader="none" w:pos="274"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Consists of minimum royalties claimed by Trend Micro pursuant to the January 2006 settlement and license agreement between Trend Micro and Fortinet, which are subject to dispute. See “Part II: Item 1 - Legal Proceedings.” We have accrued $3.7 million as of September 30, 2010, related to amounts under the settlement and license agreement with</w:t>
      </w:r>
    </w:p>
    <w:p>
      <w:pPr>
        <w:spacing w:after="0" w:line="137"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483"/>
          </w:cols>
          <w:pgMar w:left="217" w:top="131" w:right="199" w:bottom="1440" w:gutter="0" w:footer="0" w:header="0"/>
        </w:sectPr>
      </w:pPr>
    </w:p>
    <w:bookmarkStart w:id="38" w:name="page39"/>
    <w:bookmarkEnd w:id="38"/>
    <w:p>
      <w:pPr>
        <w:ind w:left="343"/>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left="703"/>
        <w:spacing w:after="0"/>
        <w:rPr>
          <w:sz w:val="20"/>
          <w:szCs w:val="20"/>
          <w:color w:val="auto"/>
        </w:rPr>
      </w:pPr>
      <w:r>
        <w:rPr>
          <w:rFonts w:ascii="Arial" w:cs="Arial" w:eastAsia="Arial" w:hAnsi="Arial"/>
          <w:sz w:val="13"/>
          <w:szCs w:val="13"/>
          <w:color w:val="auto"/>
        </w:rPr>
        <w:t>Trend Micro which have no t been paid pursuant to the dispute.</w:t>
      </w:r>
    </w:p>
    <w:p>
      <w:pPr>
        <w:spacing w:after="0" w:line="13" w:lineRule="exact"/>
        <w:rPr>
          <w:sz w:val="20"/>
          <w:szCs w:val="20"/>
          <w:color w:val="auto"/>
        </w:rPr>
      </w:pPr>
    </w:p>
    <w:p>
      <w:pPr>
        <w:ind w:left="343" w:right="260" w:hanging="343"/>
        <w:spacing w:after="0" w:line="255" w:lineRule="auto"/>
        <w:tabs>
          <w:tab w:leader="none" w:pos="274"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 amounts related to ASC 740-10 (FIN 48) are included. As of September 30, 2010, we had approximately $10.9 million of tax liabilities, including interest, related to uncertain tax positions. Because of the high degree of uncertainty regarding the settlement of these liabilities, we are unable to estimate the years in which future cash outflows may occur.</w:t>
      </w:r>
    </w:p>
    <w:p>
      <w:pPr>
        <w:spacing w:after="0" w:line="137" w:lineRule="exact"/>
        <w:rPr>
          <w:sz w:val="20"/>
          <w:szCs w:val="20"/>
          <w:color w:val="auto"/>
        </w:rPr>
      </w:pPr>
    </w:p>
    <w:p>
      <w:pPr>
        <w:ind w:left="343"/>
        <w:spacing w:after="0"/>
        <w:rPr>
          <w:sz w:val="20"/>
          <w:szCs w:val="20"/>
          <w:color w:val="auto"/>
        </w:rPr>
      </w:pPr>
      <w:r>
        <w:rPr>
          <w:rFonts w:ascii="Arial" w:cs="Arial" w:eastAsia="Arial" w:hAnsi="Arial"/>
          <w:sz w:val="13"/>
          <w:szCs w:val="13"/>
          <w:b w:val="1"/>
          <w:bCs w:val="1"/>
          <w:i w:val="1"/>
          <w:iCs w:val="1"/>
          <w:color w:val="auto"/>
        </w:rPr>
        <w:t>Off-Balance Sheet Arrangem ents</w:t>
      </w:r>
    </w:p>
    <w:p>
      <w:pPr>
        <w:spacing w:after="0" w:line="159" w:lineRule="exact"/>
        <w:rPr>
          <w:sz w:val="20"/>
          <w:szCs w:val="20"/>
          <w:color w:val="auto"/>
        </w:rPr>
      </w:pPr>
    </w:p>
    <w:p>
      <w:pPr>
        <w:ind w:left="3" w:right="40" w:firstLine="347"/>
        <w:spacing w:after="0" w:line="268" w:lineRule="auto"/>
        <w:rPr>
          <w:sz w:val="20"/>
          <w:szCs w:val="20"/>
          <w:color w:val="auto"/>
        </w:rPr>
      </w:pPr>
      <w:r>
        <w:rPr>
          <w:rFonts w:ascii="Arial" w:cs="Arial" w:eastAsia="Arial" w:hAnsi="Arial"/>
          <w:sz w:val="13"/>
          <w:szCs w:val="13"/>
          <w:color w:val="auto"/>
        </w:rPr>
        <w:t>As of September 30, 2010,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3"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311390"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1390" cy="37465"/>
                    </a:xfrm>
                    <a:prstGeom prst="rect">
                      <a:avLst/>
                    </a:prstGeom>
                    <a:noFill/>
                  </pic:spPr>
                </pic:pic>
              </a:graphicData>
            </a:graphic>
          </wp:anchor>
        </w:drawing>
      </w:r>
    </w:p>
    <w:p>
      <w:pPr>
        <w:spacing w:after="0" w:line="129" w:lineRule="exact"/>
        <w:rPr>
          <w:sz w:val="20"/>
          <w:szCs w:val="20"/>
          <w:color w:val="auto"/>
        </w:rPr>
      </w:pPr>
    </w:p>
    <w:p>
      <w:pPr>
        <w:ind w:left="343"/>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left="343"/>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59" w:lineRule="exact"/>
        <w:rPr>
          <w:sz w:val="20"/>
          <w:szCs w:val="20"/>
          <w:color w:val="auto"/>
        </w:rPr>
      </w:pPr>
    </w:p>
    <w:p>
      <w:pPr>
        <w:ind w:left="343"/>
        <w:spacing w:after="0"/>
        <w:rPr>
          <w:sz w:val="20"/>
          <w:szCs w:val="20"/>
          <w:color w:val="auto"/>
        </w:rPr>
      </w:pPr>
      <w:r>
        <w:rPr>
          <w:rFonts w:ascii="Arial" w:cs="Arial" w:eastAsia="Arial" w:hAnsi="Arial"/>
          <w:sz w:val="13"/>
          <w:szCs w:val="13"/>
          <w:color w:val="auto"/>
        </w:rPr>
        <w:t>See Note 1 of Notes to Condensed Consolidated Financial Statements for recent accounting pronouncements that could have an effect on us.</w:t>
      </w:r>
    </w:p>
    <w:p>
      <w:pPr>
        <w:spacing w:after="0" w:line="155" w:lineRule="exact"/>
        <w:rPr>
          <w:sz w:val="20"/>
          <w:szCs w:val="20"/>
          <w:color w:val="auto"/>
        </w:rPr>
      </w:pPr>
    </w:p>
    <w:p>
      <w:pPr>
        <w:ind w:left="343"/>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63" w:lineRule="exact"/>
        <w:rPr>
          <w:sz w:val="20"/>
          <w:szCs w:val="20"/>
          <w:color w:val="auto"/>
        </w:rPr>
      </w:pPr>
    </w:p>
    <w:p>
      <w:pPr>
        <w:ind w:left="343"/>
        <w:spacing w:after="0"/>
        <w:rPr>
          <w:sz w:val="20"/>
          <w:szCs w:val="20"/>
          <w:color w:val="auto"/>
        </w:rPr>
      </w:pPr>
      <w:r>
        <w:rPr>
          <w:rFonts w:ascii="Arial" w:cs="Arial" w:eastAsia="Arial" w:hAnsi="Arial"/>
          <w:sz w:val="13"/>
          <w:szCs w:val="13"/>
          <w:b w:val="1"/>
          <w:bCs w:val="1"/>
          <w:i w:val="1"/>
          <w:iCs w:val="1"/>
          <w:color w:val="auto"/>
        </w:rPr>
        <w:t>Interest Rate Fluctuation Risk</w:t>
      </w:r>
    </w:p>
    <w:p>
      <w:pPr>
        <w:spacing w:after="0" w:line="159" w:lineRule="exact"/>
        <w:rPr>
          <w:sz w:val="20"/>
          <w:szCs w:val="20"/>
          <w:color w:val="auto"/>
        </w:rPr>
      </w:pPr>
    </w:p>
    <w:p>
      <w:pPr>
        <w:ind w:left="3" w:right="20" w:firstLine="347"/>
        <w:spacing w:after="0" w:line="251" w:lineRule="auto"/>
        <w:rPr>
          <w:sz w:val="20"/>
          <w:szCs w:val="20"/>
          <w:color w:val="auto"/>
        </w:rPr>
      </w:pPr>
      <w:r>
        <w:rPr>
          <w:rFonts w:ascii="Arial" w:cs="Arial" w:eastAsia="Arial" w:hAnsi="Arial"/>
          <w:sz w:val="13"/>
          <w:szCs w:val="13"/>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short- and long-term investments in a variety of securities, including commercial paper, money market funds, government and corporate debt securities and certificates of deposit. The risk associated with fluctuating interest rates is limited to our investment portfolio. A 10% decrease in interest rates during the three months ended September 30, 2010 and September 30, 2009 would have resulted in a decrease in our interest income of approximately $51,000 and $43,000, respectively. A 10% decrease in interest rates during the nine months ended September 30, 2010 and September 30, 2009 would have resulted in a decrease in our interest income of approximately $118,000 and $168,000, respectively.</w:t>
      </w:r>
    </w:p>
    <w:p>
      <w:pPr>
        <w:spacing w:after="0" w:line="142" w:lineRule="exact"/>
        <w:rPr>
          <w:sz w:val="20"/>
          <w:szCs w:val="20"/>
          <w:color w:val="auto"/>
        </w:rPr>
      </w:pPr>
    </w:p>
    <w:p>
      <w:pPr>
        <w:ind w:left="343"/>
        <w:spacing w:after="0"/>
        <w:rPr>
          <w:sz w:val="20"/>
          <w:szCs w:val="20"/>
          <w:color w:val="auto"/>
        </w:rPr>
      </w:pPr>
      <w:r>
        <w:rPr>
          <w:rFonts w:ascii="Arial" w:cs="Arial" w:eastAsia="Arial" w:hAnsi="Arial"/>
          <w:sz w:val="13"/>
          <w:szCs w:val="13"/>
          <w:b w:val="1"/>
          <w:bCs w:val="1"/>
          <w:i w:val="1"/>
          <w:iCs w:val="1"/>
          <w:color w:val="auto"/>
        </w:rPr>
        <w:t>Foreign Currency Exchange Risk</w:t>
      </w:r>
    </w:p>
    <w:p>
      <w:pPr>
        <w:spacing w:after="0" w:line="159" w:lineRule="exact"/>
        <w:rPr>
          <w:sz w:val="20"/>
          <w:szCs w:val="20"/>
          <w:color w:val="auto"/>
        </w:rPr>
      </w:pPr>
    </w:p>
    <w:p>
      <w:pPr>
        <w:ind w:left="3" w:firstLine="347"/>
        <w:spacing w:after="0" w:line="273" w:lineRule="auto"/>
        <w:rPr>
          <w:sz w:val="20"/>
          <w:szCs w:val="20"/>
          <w:color w:val="auto"/>
        </w:rPr>
      </w:pPr>
      <w:r>
        <w:rPr>
          <w:rFonts w:ascii="Arial" w:cs="Arial" w:eastAsia="Arial" w:hAnsi="Arial"/>
          <w:sz w:val="12"/>
          <w:szCs w:val="12"/>
          <w:color w:val="auto"/>
        </w:rPr>
        <w:t>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Euro (EUR), British Pound (GBP), and Yen. To help protect against significant fluctuations in value and the volatility of future cash flows caused by changes in currency exchange rates, we engage in foreign currency risk management activities to hedge balance sheet items denominated in EUR, GBP, and CAD, and occasionally to hedge future forecasted cash outflows denominated in EUR. We do not use these contracts for speculative or trading purposes. All of the derivative instruments are with high quality financial institutions and we monitor the creditworth iness of these parties. These contracts typically have maturities between one and three months. We record changes in the fair value of forward exchange contracts related to balance sheet accounts as other income (expense), net in the condensed consolidated statement of operations. Gains or losses resulting from settled forward exchange contracts related to future forecasted cash outflows are recorded in operating expenses in the condensed consolidated statement of operations, in the same period the hedged items occur. Gains or losses resulting from unsettled forward exchange contracts related to future forecasted cash outflows are recorded in other comprehensive income in the condensed consolidated balance sheet. We recognized other expense, net of $0.4 million and $0.6 million in the three and nine months ended September 30, 2010, respectively, due to foreign currency transaction losses.</w:t>
      </w:r>
    </w:p>
    <w:p>
      <w:pPr>
        <w:spacing w:after="0" w:line="130" w:lineRule="exact"/>
        <w:rPr>
          <w:sz w:val="20"/>
          <w:szCs w:val="20"/>
          <w:color w:val="auto"/>
        </w:rPr>
      </w:pPr>
    </w:p>
    <w:p>
      <w:pPr>
        <w:ind w:left="3" w:right="60" w:firstLine="347"/>
        <w:spacing w:after="0" w:line="268" w:lineRule="auto"/>
        <w:rPr>
          <w:sz w:val="20"/>
          <w:szCs w:val="20"/>
          <w:color w:val="auto"/>
        </w:rPr>
      </w:pPr>
      <w:r>
        <w:rPr>
          <w:rFonts w:ascii="Arial" w:cs="Arial" w:eastAsia="Arial" w:hAnsi="Arial"/>
          <w:sz w:val="13"/>
          <w:szCs w:val="13"/>
          <w:color w:val="auto"/>
        </w:rPr>
        <w:t>Our hedging activities are intended to reduce, but not eliminate, the impact of currency exchange rate movements. As our hedging activities are relatively short-term in nature, long-term material changes in the value of the U.S. dollar versus the EUR, GBP, CAD, or Yen could adversely impact our operating expenses in the future.</w:t>
      </w:r>
    </w:p>
    <w:p>
      <w:pPr>
        <w:spacing w:after="0" w:line="129" w:lineRule="exact"/>
        <w:rPr>
          <w:sz w:val="20"/>
          <w:szCs w:val="20"/>
          <w:color w:val="auto"/>
        </w:rPr>
      </w:pPr>
    </w:p>
    <w:p>
      <w:pPr>
        <w:ind w:left="343"/>
        <w:spacing w:after="0"/>
        <w:rPr>
          <w:sz w:val="20"/>
          <w:szCs w:val="20"/>
          <w:color w:val="auto"/>
        </w:rPr>
      </w:pPr>
      <w:r>
        <w:rPr>
          <w:rFonts w:ascii="Arial" w:cs="Arial" w:eastAsia="Arial" w:hAnsi="Arial"/>
          <w:sz w:val="13"/>
          <w:szCs w:val="13"/>
          <w:b w:val="1"/>
          <w:bCs w:val="1"/>
          <w:i w:val="1"/>
          <w:iCs w:val="1"/>
          <w:color w:val="auto"/>
        </w:rPr>
        <w:t>Inflation Risk</w:t>
      </w:r>
    </w:p>
    <w:p>
      <w:pPr>
        <w:spacing w:after="0" w:line="159" w:lineRule="exact"/>
        <w:rPr>
          <w:sz w:val="20"/>
          <w:szCs w:val="20"/>
          <w:color w:val="auto"/>
        </w:rPr>
      </w:pPr>
    </w:p>
    <w:p>
      <w:pPr>
        <w:ind w:left="3" w:right="540" w:firstLine="347"/>
        <w:spacing w:after="0" w:line="258" w:lineRule="auto"/>
        <w:rPr>
          <w:sz w:val="20"/>
          <w:szCs w:val="20"/>
          <w:color w:val="auto"/>
        </w:rPr>
      </w:pPr>
      <w:r>
        <w:rPr>
          <w:rFonts w:ascii="Arial" w:cs="Arial" w:eastAsia="Arial" w:hAnsi="Arial"/>
          <w:sz w:val="13"/>
          <w:szCs w:val="13"/>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131" w:lineRule="exact"/>
        <w:rPr>
          <w:sz w:val="20"/>
          <w:szCs w:val="20"/>
          <w:color w:val="auto"/>
        </w:rPr>
      </w:pPr>
    </w:p>
    <w:p>
      <w:pPr>
        <w:ind w:left="343"/>
        <w:spacing w:after="0"/>
        <w:rPr>
          <w:sz w:val="20"/>
          <w:szCs w:val="20"/>
          <w:color w:val="auto"/>
        </w:rPr>
      </w:pPr>
      <w:r>
        <w:rPr>
          <w:rFonts w:ascii="Arial" w:cs="Arial" w:eastAsia="Arial" w:hAnsi="Arial"/>
          <w:sz w:val="13"/>
          <w:szCs w:val="13"/>
          <w:b w:val="1"/>
          <w:bCs w:val="1"/>
          <w:color w:val="auto"/>
        </w:rPr>
        <w:t>ITEM 4. Controls and Procedures</w:t>
      </w:r>
    </w:p>
    <w:p>
      <w:pPr>
        <w:spacing w:after="0" w:line="163" w:lineRule="exact"/>
        <w:rPr>
          <w:sz w:val="20"/>
          <w:szCs w:val="20"/>
          <w:color w:val="auto"/>
        </w:rPr>
      </w:pPr>
    </w:p>
    <w:p>
      <w:pPr>
        <w:ind w:left="343"/>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59" w:lineRule="exact"/>
        <w:rPr>
          <w:sz w:val="20"/>
          <w:szCs w:val="20"/>
          <w:color w:val="auto"/>
        </w:rPr>
      </w:pPr>
    </w:p>
    <w:p>
      <w:pPr>
        <w:ind w:left="3" w:right="140" w:firstLine="347"/>
        <w:spacing w:after="0" w:line="258" w:lineRule="auto"/>
        <w:rPr>
          <w:sz w:val="20"/>
          <w:szCs w:val="20"/>
          <w:color w:val="auto"/>
        </w:rPr>
      </w:pPr>
      <w:r>
        <w:rPr>
          <w:rFonts w:ascii="Arial" w:cs="Arial" w:eastAsia="Arial" w:hAnsi="Arial"/>
          <w:sz w:val="13"/>
          <w:szCs w:val="13"/>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September 30, 2010. In designing and evaluating the disclosure controls and procedures, management recognized that any controls and procedures, no matter how well designed and operated,</w:t>
      </w:r>
    </w:p>
    <w:p>
      <w:pPr>
        <w:spacing w:after="0" w:line="135"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463"/>
          </w:cols>
          <w:pgMar w:left="217" w:top="131" w:right="219" w:bottom="1440" w:gutter="0" w:footer="0" w:header="0"/>
        </w:sectPr>
      </w:pPr>
    </w:p>
    <w:bookmarkStart w:id="39" w:name="page40"/>
    <w:bookmarkEnd w:id="39"/>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480" w:firstLine="347"/>
        <w:spacing w:after="0" w:line="268" w:lineRule="auto"/>
        <w:rPr>
          <w:sz w:val="20"/>
          <w:szCs w:val="20"/>
          <w:color w:val="auto"/>
        </w:rPr>
      </w:pPr>
      <w:r>
        <w:rPr>
          <w:rFonts w:ascii="Arial" w:cs="Arial" w:eastAsia="Arial" w:hAnsi="Arial"/>
          <w:sz w:val="13"/>
          <w:szCs w:val="13"/>
          <w:color w:val="auto"/>
        </w:rPr>
        <w:t>can provide only reasonable assurance of achieving the desired control objectives. In addition, the design of disclosure controls and procedures must reflect the fact that there are resource constraints a nd that management is required to apply its judgment in evaluating the benefits of possible controls and procedures relative to their costs.</w:t>
      </w:r>
    </w:p>
    <w:p>
      <w:pPr>
        <w:spacing w:after="0" w:line="129" w:lineRule="exact"/>
        <w:rPr>
          <w:sz w:val="20"/>
          <w:szCs w:val="20"/>
          <w:color w:val="auto"/>
        </w:rPr>
      </w:pPr>
    </w:p>
    <w:p>
      <w:pPr>
        <w:ind w:right="260" w:firstLine="347"/>
        <w:spacing w:after="0" w:line="254" w:lineRule="auto"/>
        <w:rPr>
          <w:sz w:val="20"/>
          <w:szCs w:val="20"/>
          <w:color w:val="auto"/>
        </w:rPr>
      </w:pPr>
      <w:r>
        <w:rPr>
          <w:rFonts w:ascii="Arial" w:cs="Arial" w:eastAsia="Arial" w:hAnsi="Arial"/>
          <w:sz w:val="13"/>
          <w:szCs w:val="13"/>
          <w:color w:val="auto"/>
        </w:rPr>
        <w:t>Based on that evaluation, our chief executive officer and chief financial officer concluded that our disclosure controls and procedures were effective as of September 30, 2010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 ation is accumulated and communicated to our management, including our chief executive officer and chief financial officer, as appropriate, to allow timely decisions regarding required disclosure.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59" w:lineRule="exact"/>
        <w:rPr>
          <w:sz w:val="20"/>
          <w:szCs w:val="20"/>
          <w:color w:val="auto"/>
        </w:rPr>
      </w:pPr>
    </w:p>
    <w:p>
      <w:pPr>
        <w:ind w:right="140" w:firstLine="347"/>
        <w:spacing w:after="0" w:line="268" w:lineRule="auto"/>
        <w:rPr>
          <w:sz w:val="20"/>
          <w:szCs w:val="20"/>
          <w:color w:val="auto"/>
        </w:rPr>
      </w:pPr>
      <w:r>
        <w:rPr>
          <w:rFonts w:ascii="Arial" w:cs="Arial" w:eastAsia="Arial" w:hAnsi="Arial"/>
          <w:sz w:val="13"/>
          <w:szCs w:val="13"/>
          <w:color w:val="auto"/>
        </w:rPr>
        <w:t>There were no changes in our internal control over financial reporting (as defined in Rules 13a-15(f) or 15d-15(f) under the Exchange Act) during our third fiscal quarter of 2010 that have materially affected, or are reasonably likely to materially affect, our internal c ontrol over financial reporting.</w:t>
      </w:r>
    </w:p>
    <w:p>
      <w:pPr>
        <w:spacing w:after="0" w:line="125"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Part II</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ITEM 1. Legal Proceedings</w:t>
      </w:r>
    </w:p>
    <w:p>
      <w:pPr>
        <w:spacing w:after="0" w:line="163" w:lineRule="exact"/>
        <w:rPr>
          <w:sz w:val="20"/>
          <w:szCs w:val="20"/>
          <w:color w:val="auto"/>
        </w:rPr>
      </w:pPr>
    </w:p>
    <w:p>
      <w:pPr>
        <w:ind w:right="20" w:firstLine="347"/>
        <w:spacing w:after="0" w:line="298" w:lineRule="auto"/>
        <w:rPr>
          <w:sz w:val="20"/>
          <w:szCs w:val="20"/>
          <w:color w:val="auto"/>
        </w:rPr>
      </w:pPr>
      <w:r>
        <w:rPr>
          <w:rFonts w:ascii="Arial" w:cs="Arial" w:eastAsia="Arial" w:hAnsi="Arial"/>
          <w:sz w:val="11"/>
          <w:szCs w:val="11"/>
          <w:color w:val="auto"/>
        </w:rPr>
        <w:t>In May 2004, Trend Micro Incorporated filed a complaint against us alleging that we infrin ged a Trend Micro patent related to antivirus software. In January 2006, we settled the lawsuit with Trend Micro.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We appealed the dismissal in July 2009. Based on the dispute, we ceased paying royalties under the settlement and license agreement. In August 2009, Trend Micro filed a complaint against us in the S 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royalties. We have continued to accrue expense based on the quarterly royalties provided for in the settlement and license agreement. In February 2010, Trend Micro filed demurrers in the state Superior Court action regarding our affirmative defenses that we have no obligation to pay royalties because the Trend Micro patents are invalid or unenforceable. In March 2010, Trend Micro fi led a motion to dismiss our new complaint that we filed in the United States District Court for the Northern District of California. In May 2010, the state court denied Trend Micro's demurrer in its entirety. Also in May 2010, the United States District Court for the Northern District of California denied Trend Micro's motion to dismiss without prejudice and stayed the action before that court pending the conclusion of the state court action.</w:t>
      </w:r>
    </w:p>
    <w:p>
      <w:pPr>
        <w:spacing w:after="0" w:line="121" w:lineRule="exact"/>
        <w:rPr>
          <w:sz w:val="20"/>
          <w:szCs w:val="20"/>
          <w:color w:val="auto"/>
        </w:rPr>
      </w:pPr>
    </w:p>
    <w:p>
      <w:pPr>
        <w:ind w:firstLine="347"/>
        <w:spacing w:after="0" w:line="278" w:lineRule="auto"/>
        <w:rPr>
          <w:sz w:val="20"/>
          <w:szCs w:val="20"/>
          <w:color w:val="auto"/>
        </w:rPr>
      </w:pPr>
      <w:r>
        <w:rPr>
          <w:rFonts w:ascii="Arial" w:cs="Arial" w:eastAsia="Arial" w:hAnsi="Arial"/>
          <w:sz w:val="12"/>
          <w:szCs w:val="12"/>
          <w:color w:val="auto"/>
        </w:rPr>
        <w:t>In January 2009, we filed a complaint against Palo Alto Networks, Inc., in the United States District Court for the Northern District of California alleging, among other claims, patent infringement. In September 2009, Palo Alto Networks filed a counterclaim against us alleging infringement of a patent. In July 2010, there was a consolidated hearing presenting the parties' proposed claim constructions and multiple summary judgment motions. In September 2010, the Court ruled that we did not infringe the Palo Alto Networks patent and granted our summary judgment motion thereby dismissing Palo Alto Networks' counterclaim. In October 2010, the Court granted Palo Alto Networks' summary judgment motion that the accused products of Palo Alto Networks did not infringe one of the four patents asserted by us, while denying Palo Alto Networks' summary judgment motion that the patent was invalid. At this time the Court has not ruled on the remaining claim constructions and summary judgment motions.</w:t>
      </w:r>
    </w:p>
    <w:p>
      <w:pPr>
        <w:spacing w:after="0" w:line="126" w:lineRule="exact"/>
        <w:rPr>
          <w:sz w:val="20"/>
          <w:szCs w:val="20"/>
          <w:color w:val="auto"/>
        </w:rPr>
      </w:pPr>
    </w:p>
    <w:p>
      <w:pPr>
        <w:ind w:firstLine="347"/>
        <w:spacing w:after="0" w:line="254" w:lineRule="auto"/>
        <w:rPr>
          <w:sz w:val="20"/>
          <w:szCs w:val="20"/>
          <w:color w:val="auto"/>
        </w:rPr>
      </w:pPr>
      <w:r>
        <w:rPr>
          <w:rFonts w:ascii="Arial" w:cs="Arial" w:eastAsia="Arial" w:hAnsi="Arial"/>
          <w:sz w:val="13"/>
          <w:szCs w:val="13"/>
          <w:color w:val="auto"/>
        </w:rPr>
        <w:t>In August 2009, Enhanced Security Research, LLC (“ESR”), a non-practicing entity, fil ed a complaint against us in the United States District Court for the District of Delaware alleging infringement by us and other defendants of two patents. A defendant in another case filed a petition for reexamination of one of ESR's asserted patents with the U.S. Patent and Trademark Office (“PTO”), and, in November 2009, we filed a petition with the PTO for reexamination of the other asserted patent. In December 2009, we filed a motion to stay the court proceedings pending resolution of the reexamination proceedings. In June 2010, the Court granted our motion to stay pending the outcome of reexamination proceedings.</w:t>
      </w:r>
    </w:p>
    <w:p>
      <w:pPr>
        <w:spacing w:after="0" w:line="138"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460"/>
          </w:cols>
          <w:pgMar w:left="220" w:top="131" w:right="219" w:bottom="1440" w:gutter="0" w:footer="0" w:header="0"/>
        </w:sectPr>
      </w:pPr>
    </w:p>
    <w:bookmarkStart w:id="40" w:name="page41"/>
    <w:bookmarkEnd w:id="40"/>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313" w:lineRule="exact"/>
        <w:rPr>
          <w:sz w:val="20"/>
          <w:szCs w:val="20"/>
          <w:color w:val="auto"/>
        </w:rPr>
      </w:pPr>
    </w:p>
    <w:p>
      <w:pPr>
        <w:jc w:val="both"/>
        <w:ind w:right="460" w:firstLine="347"/>
        <w:spacing w:after="0" w:line="258" w:lineRule="auto"/>
        <w:rPr>
          <w:sz w:val="20"/>
          <w:szCs w:val="20"/>
          <w:color w:val="auto"/>
        </w:rPr>
      </w:pPr>
      <w:r>
        <w:rPr>
          <w:rFonts w:ascii="Arial" w:cs="Arial" w:eastAsia="Arial" w:hAnsi="Arial"/>
          <w:sz w:val="13"/>
          <w:szCs w:val="13"/>
          <w:color w:val="auto"/>
        </w:rPr>
        <w:t>In April 2010, an individual, a former stockholder of Fortinet, filed a class action lawsuit against us in the Superior Court of the State of California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1"/>
          <w:szCs w:val="11"/>
          <w:color w:val="auto"/>
        </w:rPr>
        <w:t>In July 2010, Network Protection Sciences, LLC, a non-practicing entity, filed a complaint in the United States District Court for the Eastern District of Texas alleging patent infringement by us and other defendants.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Currently the case is in the very early stages.</w:t>
      </w:r>
    </w:p>
    <w:p>
      <w:pPr>
        <w:spacing w:after="0" w:line="151" w:lineRule="exact"/>
        <w:rPr>
          <w:sz w:val="20"/>
          <w:szCs w:val="20"/>
          <w:color w:val="auto"/>
        </w:rPr>
      </w:pPr>
    </w:p>
    <w:p>
      <w:pPr>
        <w:ind w:right="420" w:firstLine="347"/>
        <w:spacing w:after="0" w:line="268" w:lineRule="auto"/>
        <w:rPr>
          <w:sz w:val="20"/>
          <w:szCs w:val="20"/>
          <w:color w:val="auto"/>
        </w:rPr>
      </w:pPr>
      <w:r>
        <w:rPr>
          <w:rFonts w:ascii="Arial" w:cs="Arial" w:eastAsia="Arial" w:hAnsi="Arial"/>
          <w:sz w:val="13"/>
          <w:szCs w:val="13"/>
          <w:color w:val="auto"/>
        </w:rPr>
        <w:t>In September 2010, Wordcheck Tech, LLC, a non-practicing entity, filed a complaint in the United States District Court for the Eastern District of Texas alleging patent infringement by us and numerous other defendants. Currently the case is in the very early stages, and we have yet to answer the complaint.</w:t>
      </w:r>
    </w:p>
    <w:p>
      <w:pPr>
        <w:spacing w:after="0" w:line="129" w:lineRule="exact"/>
        <w:rPr>
          <w:sz w:val="20"/>
          <w:szCs w:val="20"/>
          <w:color w:val="auto"/>
        </w:rPr>
      </w:pPr>
    </w:p>
    <w:p>
      <w:pPr>
        <w:ind w:right="360" w:firstLine="347"/>
        <w:spacing w:after="0" w:line="268" w:lineRule="auto"/>
        <w:rPr>
          <w:sz w:val="20"/>
          <w:szCs w:val="20"/>
          <w:color w:val="auto"/>
        </w:rPr>
      </w:pPr>
      <w:r>
        <w:rPr>
          <w:rFonts w:ascii="Arial" w:cs="Arial" w:eastAsia="Arial" w:hAnsi="Arial"/>
          <w:sz w:val="13"/>
          <w:szCs w:val="13"/>
          <w:color w:val="auto"/>
        </w:rPr>
        <w:t>In addition to the above matters, we are subject to other litigation in the ordinary course of business. The results of legal proceedings cannot be predicted with certainty. If we do not prevail in any of these legal matters, our operating results may be materially affected. At this time, we are unable to estimate the financial impact these actions will likely have on us.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63" w:lineRule="exact"/>
        <w:rPr>
          <w:sz w:val="20"/>
          <w:szCs w:val="20"/>
          <w:color w:val="auto"/>
        </w:rPr>
      </w:pPr>
    </w:p>
    <w:p>
      <w:pPr>
        <w:ind w:right="140" w:firstLine="347"/>
        <w:spacing w:after="0" w:line="254" w:lineRule="auto"/>
        <w:rPr>
          <w:sz w:val="20"/>
          <w:szCs w:val="20"/>
          <w:color w:val="auto"/>
        </w:rPr>
      </w:pPr>
      <w:r>
        <w:rPr>
          <w:rFonts w:ascii="Arial" w:cs="Arial" w:eastAsia="Arial" w:hAnsi="Arial"/>
          <w:sz w:val="13"/>
          <w:szCs w:val="13"/>
          <w:i w:val="1"/>
          <w:iCs w:val="1"/>
          <w:color w:val="auto"/>
        </w:rPr>
        <w:t>Investing in our common stock involves a high degree of risk. You should carefully consider the following risks and all other information contained in this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Risks Related to Our Business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Our quarterly operating results are likely to vary significantly and be unpredictable.</w:t>
      </w:r>
    </w:p>
    <w:p>
      <w:pPr>
        <w:spacing w:after="0" w:line="159" w:lineRule="exact"/>
        <w:rPr>
          <w:sz w:val="20"/>
          <w:szCs w:val="20"/>
          <w:color w:val="auto"/>
        </w:rPr>
      </w:pPr>
    </w:p>
    <w:p>
      <w:pPr>
        <w:ind w:right="120" w:firstLine="347"/>
        <w:spacing w:after="0" w:line="268" w:lineRule="auto"/>
        <w:rPr>
          <w:sz w:val="20"/>
          <w:szCs w:val="20"/>
          <w:color w:val="auto"/>
        </w:rPr>
      </w:pPr>
      <w:r>
        <w:rPr>
          <w:rFonts w:ascii="Arial" w:cs="Arial" w:eastAsia="Arial" w:hAnsi="Arial"/>
          <w:sz w:val="13"/>
          <w:szCs w:val="13"/>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29" w:lineRule="exact"/>
        <w:rPr>
          <w:sz w:val="20"/>
          <w:szCs w:val="20"/>
          <w:color w:val="auto"/>
        </w:rPr>
      </w:pPr>
    </w:p>
    <w:p>
      <w:pPr>
        <w:ind w:left="1220" w:hanging="529"/>
        <w:spacing w:after="0"/>
        <w:tabs>
          <w:tab w:leader="none" w:pos="12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level of demand for our products and services;</w:t>
      </w:r>
    </w:p>
    <w:p>
      <w:pPr>
        <w:spacing w:after="0" w:line="159"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3"/>
          <w:szCs w:val="13"/>
          <w:color w:val="auto"/>
        </w:rPr>
        <w:t>•  &amp;nbs p;</w:t>
      </w:r>
      <w:r>
        <w:rPr>
          <w:sz w:val="20"/>
          <w:szCs w:val="20"/>
          <w:color w:val="auto"/>
        </w:rPr>
        <w:tab/>
      </w:r>
      <w:r>
        <w:rPr>
          <w:rFonts w:ascii="Arial" w:cs="Arial" w:eastAsia="Arial" w:hAnsi="Arial"/>
          <w:sz w:val="11"/>
          <w:szCs w:val="11"/>
          <w:color w:val="auto"/>
        </w:rPr>
        <w:t>the timing of channel partner and end-customer orders;</w:t>
      </w:r>
    </w:p>
    <w:p>
      <w:pPr>
        <w:spacing w:after="0" w:line="159" w:lineRule="exact"/>
        <w:rPr>
          <w:sz w:val="20"/>
          <w:szCs w:val="20"/>
          <w:color w:val="auto"/>
        </w:rPr>
      </w:pPr>
    </w:p>
    <w:p>
      <w:pPr>
        <w:ind w:left="860" w:right="140" w:hanging="169"/>
        <w:spacing w:after="0" w:line="268" w:lineRule="auto"/>
        <w:tabs>
          <w:tab w:leader="none" w:pos="1207"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timing of shipments, which may depend on many factors such as inventory levels and logistics, our ability to ship new products on schedule and accurately forecast inventory requirements, and possible increases in the time for the manufacture of products;</w:t>
      </w:r>
    </w:p>
    <w:p>
      <w:pPr>
        <w:spacing w:after="0" w:line="128" w:lineRule="exact"/>
        <w:rPr>
          <w:rFonts w:ascii="Arial" w:cs="Arial" w:eastAsia="Arial" w:hAnsi="Arial"/>
          <w:sz w:val="13"/>
          <w:szCs w:val="13"/>
          <w:color w:val="auto"/>
        </w:rPr>
      </w:pPr>
    </w:p>
    <w:p>
      <w:pPr>
        <w:ind w:left="1220" w:hanging="529"/>
        <w:spacing w:after="0"/>
        <w:tabs>
          <w:tab w:leader="none" w:pos="1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mix of products sold, the mix of revenue between products and services and the degree to which products and services are bundled and sold together for a package price;</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budgeting cycles and purchasing practices of our channel partners and end-customers;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seasonal buying patterns of our end-customers;</w:t>
      </w:r>
    </w:p>
    <w:p>
      <w:pPr>
        <w:spacing w:after="0" w:line="159" w:lineRule="exact"/>
        <w:rPr>
          <w:rFonts w:ascii="Arial" w:cs="Arial" w:eastAsia="Arial" w:hAnsi="Arial"/>
          <w:sz w:val="13"/>
          <w:szCs w:val="13"/>
          <w:color w:val="auto"/>
        </w:rPr>
      </w:pPr>
    </w:p>
    <w:p>
      <w:pPr>
        <w:ind w:left="860" w:hanging="169"/>
        <w:spacing w:after="0" w:line="268" w:lineRule="auto"/>
        <w:tabs>
          <w:tab w:leader="none" w:pos="1207"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timing of revenue recognition for our sales, which may be affected by both the mix of sales by our “sell-in” versus our “sell-through” channel partners, and by the extent to which we bring on new distributors;</w:t>
      </w:r>
    </w:p>
    <w:p>
      <w:pPr>
        <w:spacing w:after="0" w:line="128" w:lineRule="exact"/>
        <w:rPr>
          <w:rFonts w:ascii="Arial" w:cs="Arial" w:eastAsia="Arial" w:hAnsi="Arial"/>
          <w:sz w:val="13"/>
          <w:szCs w:val="13"/>
          <w:color w:val="auto"/>
        </w:rPr>
      </w:pPr>
    </w:p>
    <w:p>
      <w:pPr>
        <w:ind w:left="1220" w:hanging="529"/>
        <w:spacing w:after="0"/>
        <w:tabs>
          <w:tab w:leader="none" w:pos="1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accuracy and timing of point of sale reporting by our sell-through distributors, which impacts our ability to recognize revenue;</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level of perceived threats to network security, which may fluctuate from period to period;</w:t>
      </w:r>
    </w:p>
    <w:p>
      <w:pPr>
        <w:spacing w:after="0" w:line="313"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440"/>
          </w:cols>
          <w:pgMar w:left="220" w:top="131" w:right="239" w:bottom="1440" w:gutter="0" w:footer="0" w:header="0"/>
        </w:sectPr>
      </w:pPr>
    </w:p>
    <w:bookmarkStart w:id="41" w:name="page42"/>
    <w:bookmarkEnd w:id="41"/>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changes in end-customer, distributor or reseller requirements or market needs;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changes i n the growth rate of the network security or UTM markets;</w:t>
      </w:r>
    </w:p>
    <w:p>
      <w:pPr>
        <w:spacing w:after="0" w:line="159" w:lineRule="exact"/>
        <w:rPr>
          <w:rFonts w:ascii="Arial" w:cs="Arial" w:eastAsia="Arial" w:hAnsi="Arial"/>
          <w:sz w:val="13"/>
          <w:szCs w:val="13"/>
          <w:color w:val="auto"/>
        </w:rPr>
      </w:pPr>
    </w:p>
    <w:p>
      <w:pPr>
        <w:ind w:left="860" w:right="460" w:hanging="169"/>
        <w:spacing w:after="0" w:line="268" w:lineRule="auto"/>
        <w:tabs>
          <w:tab w:leader="none" w:pos="1207" w:val="left"/>
        </w:tabs>
        <w:numPr>
          <w:ilvl w:val="1"/>
          <w:numId w:val="16"/>
        </w:numPr>
        <w:rPr>
          <w:rFonts w:ascii="Arial" w:cs="Arial" w:eastAsia="Arial" w:hAnsi="Arial"/>
          <w:sz w:val="13"/>
          <w:szCs w:val="13"/>
          <w:color w:val="auto"/>
        </w:rPr>
      </w:pPr>
      <w:r>
        <w:rPr>
          <w:rFonts w:ascii="Arial" w:cs="Arial" w:eastAsia="Arial" w:hAnsi="Arial"/>
          <w:sz w:val="13"/>
          <w:szCs w:val="13"/>
          <w:color w:val="auto"/>
        </w:rPr>
        <w:t>the timing and success of new product and service introductions by us or our competitors or any other change in the competitive landscape of our industry, including consolidation among our competitors or end-customers;</w:t>
      </w:r>
    </w:p>
    <w:p>
      <w:pPr>
        <w:spacing w:after="0" w:line="128"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deferral of orders from end-customers in anticipation of new products or product enhancements announced by us or our competitors;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decisions by potential end-customers to purchase network security solutions from larger, more established security vendors or from their primary network equipment vendors;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price competition;</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changes in customer renewal rates for our services;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changes in the length of services contracts sold;</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insolvency or credit difficulties confronting our customers, affecting their ability to purchase or pay for our products and services;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any disruption in our channel or termination of our relationship with important channel partners;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insolvency or credit difficulties confronting our key suppliers, which could disrupt our supply chain;</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general economic conditions, both domestically and in our foreign markets;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1"/>
          <w:numId w:val="16"/>
        </w:numPr>
        <w:rPr>
          <w:rFonts w:ascii="Arial" w:cs="Arial" w:eastAsia="Arial" w:hAnsi="Arial"/>
          <w:sz w:val="13"/>
          <w:szCs w:val="13"/>
          <w:color w:val="auto"/>
        </w:rPr>
      </w:pPr>
      <w:r>
        <w:rPr>
          <w:rFonts w:ascii="Arial" w:cs="Arial" w:eastAsia="Arial" w:hAnsi="Arial"/>
          <w:sz w:val="13"/>
          <w:szCs w:val="13"/>
          <w:color w:val="auto"/>
        </w:rPr>
        <w:t>future accounting pronouncements or changes in our accounting policies; and</w:t>
      </w:r>
    </w:p>
    <w:p>
      <w:pPr>
        <w:spacing w:after="0" w:line="159" w:lineRule="exact"/>
        <w:rPr>
          <w:rFonts w:ascii="Arial" w:cs="Arial" w:eastAsia="Arial" w:hAnsi="Arial"/>
          <w:sz w:val="13"/>
          <w:szCs w:val="13"/>
          <w:color w:val="auto"/>
        </w:rPr>
      </w:pPr>
    </w:p>
    <w:p>
      <w:pPr>
        <w:ind w:left="920" w:hanging="576"/>
        <w:spacing w:after="0"/>
        <w:tabs>
          <w:tab w:leader="none" w:pos="9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increases or decreases in our expenses caused by fluctuations in foreign currency exchange rates, as a significant portion of our expenses are incurred and paid in currencies other than the U.S. dollar.</w:t>
      </w:r>
    </w:p>
    <w:p>
      <w:pPr>
        <w:spacing w:after="0" w:line="182" w:lineRule="exact"/>
        <w:rPr>
          <w:sz w:val="20"/>
          <w:szCs w:val="20"/>
          <w:color w:val="auto"/>
        </w:rPr>
      </w:pPr>
    </w:p>
    <w:p>
      <w:pPr>
        <w:ind w:firstLine="347"/>
        <w:spacing w:after="0" w:line="252" w:lineRule="auto"/>
        <w:rPr>
          <w:sz w:val="20"/>
          <w:szCs w:val="20"/>
          <w:color w:val="auto"/>
        </w:rPr>
      </w:pPr>
      <w:r>
        <w:rPr>
          <w:rFonts w:ascii="Arial" w:cs="Arial" w:eastAsia="Arial" w:hAnsi="Arial"/>
          <w:sz w:val="13"/>
          <w:szCs w:val="13"/>
          <w:color w:val="auto"/>
        </w:rPr>
        <w:t>Any one of the factors above or the cumulative effect of some of the factors referred to above may result in significant fluctuations in our quarterly operating results, including both financial statement results and other important metrics. This variability and unpredictability could result in our failin g to meet our revenue and other expected metrics and our other operating results expectations or those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Reliance on a concentration of shipments at the end of the quarter could cause our revenue to fall below expected levels.</w:t>
      </w:r>
    </w:p>
    <w:p>
      <w:pPr>
        <w:spacing w:after="0" w:line="159" w:lineRule="exact"/>
        <w:rPr>
          <w:sz w:val="20"/>
          <w:szCs w:val="20"/>
          <w:color w:val="auto"/>
        </w:rPr>
      </w:pPr>
    </w:p>
    <w:p>
      <w:pPr>
        <w:ind w:right="40" w:firstLine="347"/>
        <w:spacing w:after="0" w:line="278" w:lineRule="auto"/>
        <w:rPr>
          <w:sz w:val="20"/>
          <w:szCs w:val="20"/>
          <w:color w:val="auto"/>
        </w:rPr>
      </w:pPr>
      <w:r>
        <w:rPr>
          <w:rFonts w:ascii="Arial" w:cs="Arial" w:eastAsia="Arial" w:hAnsi="Arial"/>
          <w:sz w:val="12"/>
          <w:szCs w:val="12"/>
          <w:color w:val="auto"/>
        </w:rPr>
        <w:t>As a result of customer-buying patterns and the efforts of our sales force and channel partners to meet or exceed quarterly quotas, historically we have received a substantial portion of a quarter's sales orders and generated a substantial portion of a quarter's revenue during the last two weeks or last days of the quarter. If expected revenue at the end of any quarter is delayed for any reason, including the failure of anticipated purchase orders to materialize, our or our logistics partners' inability to ship products prior to quarter-end to fulfill purchase orders received near the end of the quarter, our failure to manage inventory properly in a way to meet demand, our inability to release new products on schedule, failure of any of our systems related to order review and processing , or delays in shipments based on trade compliance requirements, our revenue for that quarter could fall below our expectations or those of securities analysts and investors, resulting in a decline in our stock price.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We have a history of losses and may not maintain profitability, and our revenue growth may not continue.</w:t>
      </w:r>
    </w:p>
    <w:p>
      <w:pPr>
        <w:spacing w:after="0" w:line="159" w:lineRule="exact"/>
        <w:rPr>
          <w:sz w:val="20"/>
          <w:szCs w:val="20"/>
          <w:color w:val="auto"/>
        </w:rPr>
      </w:pPr>
    </w:p>
    <w:p>
      <w:pPr>
        <w:ind w:right="40" w:firstLine="347"/>
        <w:spacing w:after="0" w:line="268" w:lineRule="auto"/>
        <w:rPr>
          <w:sz w:val="20"/>
          <w:szCs w:val="20"/>
          <w:color w:val="auto"/>
        </w:rPr>
      </w:pPr>
      <w:r>
        <w:rPr>
          <w:rFonts w:ascii="Arial" w:cs="Arial" w:eastAsia="Arial" w:hAnsi="Arial"/>
          <w:sz w:val="13"/>
          <w:szCs w:val="13"/>
          <w:color w:val="auto"/>
        </w:rPr>
        <w:t>We have incurred net losses in most fiscal years since our inception, including net losses of $21.8 million in fiscal 2007, $5.3 million in fiscal 2006, $14.2 million in fiscal 2005 and $59.0 millio n in fiscal 2004. As a result, we had an accumulated deficit of $34.9 million at September 30, 2010. Although we were profitable in fiscal 2008, fiscal 2009, and the first nine</w:t>
      </w:r>
    </w:p>
    <w:p>
      <w:pPr>
        <w:spacing w:after="0" w:line="129"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440"/>
          </w:cols>
          <w:pgMar w:left="220" w:top="131" w:right="239" w:bottom="1440" w:gutter="0" w:footer="0" w:header="0"/>
        </w:sectPr>
      </w:pPr>
    </w:p>
    <w:bookmarkStart w:id="42" w:name="page43"/>
    <w:bookmarkEnd w:id="42"/>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20" w:firstLine="347"/>
        <w:spacing w:after="0" w:line="289" w:lineRule="auto"/>
        <w:rPr>
          <w:sz w:val="20"/>
          <w:szCs w:val="20"/>
          <w:color w:val="auto"/>
        </w:rPr>
      </w:pPr>
      <w:r>
        <w:rPr>
          <w:rFonts w:ascii="Arial" w:cs="Arial" w:eastAsia="Arial" w:hAnsi="Arial"/>
          <w:sz w:val="12"/>
          <w:szCs w:val="12"/>
          <w:color w:val="auto"/>
        </w:rPr>
        <w:t>months of fiscal 2010, we may not be able to sustain profitability in future periods if we fail to increase revenue or deferred revenue, manage our cost structure, or are subject to unanticipated liabilities. Revenue growth may slow or revenue may decline for a number of possible reasons, including slowing demand for our products or services, increasing competition, a decrease in the growth of our overall market, or if we fail for any reason to continue to capitalize on growth opportunities. Any failure by us to maintain profitability and continue our revenue growth could cause the price of our common stock to materially decline.</w:t>
      </w:r>
    </w:p>
    <w:p>
      <w:pPr>
        <w:spacing w:after="0" w:line="119" w:lineRule="exact"/>
        <w:rPr>
          <w:sz w:val="20"/>
          <w:szCs w:val="20"/>
          <w:color w:val="auto"/>
        </w:rPr>
      </w:pPr>
    </w:p>
    <w:p>
      <w:pPr>
        <w:ind w:right="340" w:firstLine="347"/>
        <w:spacing w:after="0" w:line="268" w:lineRule="auto"/>
        <w:rPr>
          <w:sz w:val="20"/>
          <w:szCs w:val="20"/>
          <w:color w:val="auto"/>
        </w:rPr>
      </w:pPr>
      <w:r>
        <w:rPr>
          <w:rFonts w:ascii="Arial" w:cs="Arial" w:eastAsia="Arial" w:hAnsi="Arial"/>
          <w:sz w:val="13"/>
          <w:szCs w:val="13"/>
          <w:b w:val="1"/>
          <w:bCs w:val="1"/>
          <w:i w:val="1"/>
          <w:iCs w:val="1"/>
          <w:color w:val="auto"/>
        </w:rPr>
        <w:t>We rely significantly on revenue from subscription and support services which may decline, and, because we recognize revenue from subscriptions and support services over the term of the relevant service period, downturns or upturns in sales are not immediately reflected in full in our operating results.</w:t>
      </w:r>
    </w:p>
    <w:p>
      <w:pPr>
        <w:spacing w:after="0" w:line="129" w:lineRule="exact"/>
        <w:rPr>
          <w:sz w:val="20"/>
          <w:szCs w:val="20"/>
          <w:color w:val="auto"/>
        </w:rPr>
      </w:pPr>
    </w:p>
    <w:p>
      <w:pPr>
        <w:ind w:firstLine="347"/>
        <w:spacing w:after="0" w:line="301" w:lineRule="auto"/>
        <w:rPr>
          <w:sz w:val="20"/>
          <w:szCs w:val="20"/>
          <w:color w:val="auto"/>
        </w:rPr>
      </w:pPr>
      <w:r>
        <w:rPr>
          <w:rFonts w:ascii="Arial" w:cs="Arial" w:eastAsia="Arial" w:hAnsi="Arial"/>
          <w:sz w:val="11"/>
          <w:szCs w:val="11"/>
          <w:color w:val="auto"/>
        </w:rPr>
        <w:t>Our services revenue accounted for 52.4% and 55.7%&lt; font style="font-family:inherit;font-size:10pt;"&gt; of our total revenue for the third quarters of fiscal 2010 and 2009, respectively, and 53.7% and 56.1% of our total revenue for the nine months ended September 30, 2010 and September 30, 2009, respectively. Sales of new or renewal subscription and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services contracts decline, our revenue and revenue growth may decline and our business will suffer. In addition we recognize subscription and service revenue monthly over the term of t he relevant service period, which is typically one year but has been as long as five years. As a result, much of the revenue we report each quarter is the recognition of deferred revenue from subscription and services contracts entered into during previous quarters. Consequently, a decline in new or renewed subscription or service contracts in any one quarter will not be fully reflected in revenue in that quarter, but will negatively affect our revenue in future quarters. Accordingly, the effect of significant downturns in new or renewed sales of our subscriptions or services is not reflected in full in our results of operations until future periods. Our subscription and service revenue also makes it difficult for us to rapidly increase our revenue through additional service sales in any period, as revenue from new and renewal service contracts must be recognized over the applicable service period. Furthermore increases in the average term of services contracts would result in revenue for services contracts being recognized over longer periods of time.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1"/>
          <w:szCs w:val="11"/>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82" w:lineRule="exact"/>
        <w:rPr>
          <w:sz w:val="20"/>
          <w:szCs w:val="20"/>
          <w:color w:val="auto"/>
        </w:rPr>
      </w:pPr>
    </w:p>
    <w:p>
      <w:pPr>
        <w:ind w:right="20" w:firstLine="347"/>
        <w:spacing w:after="0" w:line="254" w:lineRule="auto"/>
        <w:rPr>
          <w:sz w:val="20"/>
          <w:szCs w:val="20"/>
          <w:color w:val="auto"/>
        </w:rPr>
      </w:pPr>
      <w:r>
        <w:rPr>
          <w:rFonts w:ascii="Arial" w:cs="Arial" w:eastAsia="Arial" w:hAnsi="Arial"/>
          <w:sz w:val="13"/>
          <w:szCs w:val="13"/>
          <w:color w:val="auto"/>
        </w:rPr>
        <w:t>Our channel partners may increase orders during periods of product shortages, cancel orders if their inventory is too high, return product or take advantage of price protection (if any),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38" w:lineRule="exact"/>
        <w:rPr>
          <w:sz w:val="20"/>
          <w:szCs w:val="20"/>
          <w:color w:val="auto"/>
        </w:rPr>
      </w:pPr>
    </w:p>
    <w:p>
      <w:pPr>
        <w:ind w:right="120" w:firstLine="347"/>
        <w:spacing w:after="0" w:line="309" w:lineRule="auto"/>
        <w:rPr>
          <w:sz w:val="20"/>
          <w:szCs w:val="20"/>
          <w:color w:val="auto"/>
        </w:rPr>
      </w:pPr>
      <w:r>
        <w:rPr>
          <w:rFonts w:ascii="Arial" w:cs="Arial" w:eastAsia="Arial" w:hAnsi="Arial"/>
          <w:sz w:val="11"/>
          <w:szCs w:val="11"/>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If we are unable to effectively manage our inventory and that of our distribution partners, our results of operations could be adversely affected.</w:t>
      </w:r>
    </w:p>
    <w:p>
      <w:pPr>
        <w:spacing w:after="0" w:line="111" w:lineRule="exact"/>
        <w:rPr>
          <w:sz w:val="20"/>
          <w:szCs w:val="20"/>
          <w:color w:val="auto"/>
        </w:rPr>
      </w:pPr>
    </w:p>
    <w:p>
      <w:pPr>
        <w:ind w:right="340" w:firstLine="347"/>
        <w:spacing w:after="0" w:line="268" w:lineRule="auto"/>
        <w:rPr>
          <w:sz w:val="20"/>
          <w:szCs w:val="20"/>
          <w:color w:val="auto"/>
        </w:rPr>
      </w:pPr>
      <w:r>
        <w:rPr>
          <w:rFonts w:ascii="Arial" w:cs="Arial" w:eastAsia="Arial" w:hAnsi="Arial"/>
          <w:sz w:val="13"/>
          <w:szCs w:val="13"/>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9" w:lineRule="exact"/>
        <w:rPr>
          <w:sz w:val="20"/>
          <w:szCs w:val="20"/>
          <w:color w:val="auto"/>
        </w:rPr>
      </w:pPr>
    </w:p>
    <w:p>
      <w:pPr>
        <w:jc w:val="both"/>
        <w:ind w:right="100" w:firstLine="347"/>
        <w:spacing w:after="0" w:line="254" w:lineRule="auto"/>
        <w:rPr>
          <w:sz w:val="20"/>
          <w:szCs w:val="20"/>
          <w:color w:val="auto"/>
        </w:rPr>
      </w:pPr>
      <w:r>
        <w:rPr>
          <w:rFonts w:ascii="Arial" w:cs="Arial" w:eastAsia="Arial" w:hAnsi="Arial"/>
          <w:sz w:val="13"/>
          <w:szCs w:val="13"/>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 ell our products, our ability to sell our products and operating results will be harmed. The termination of our relationship with any important channel partner may also adversely impact our sales and operating results.</w:t>
      </w:r>
    </w:p>
    <w:p>
      <w:pPr>
        <w:spacing w:after="0" w:line="293"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460"/>
          </w:cols>
          <w:pgMar w:left="220" w:top="131" w:right="219" w:bottom="1440" w:gutter="0" w:footer="0" w:header="0"/>
        </w:sectPr>
      </w:pPr>
    </w:p>
    <w:bookmarkStart w:id="43" w:name="page44"/>
    <w:bookmarkEnd w:id="43"/>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40" w:firstLine="347"/>
        <w:spacing w:after="0" w:line="273" w:lineRule="auto"/>
        <w:rPr>
          <w:sz w:val="20"/>
          <w:szCs w:val="20"/>
          <w:color w:val="auto"/>
        </w:rPr>
      </w:pPr>
      <w:r>
        <w:rPr>
          <w:rFonts w:ascii="Arial" w:cs="Arial" w:eastAsia="Arial" w:hAnsi="Arial"/>
          <w:sz w:val="12"/>
          <w:szCs w:val="12"/>
          <w:color w:val="auto"/>
        </w:rPr>
        <w:t>We provide sales channel partners with specific programs to assist them in selling our products, but there can be no assuran 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have incentives to promote our competitors' products to the detriment of our own. They may cease selling our products altogether. We cannot assure you that we will retain these channel partners or that we will be able to secure additional or replacement partners. The loss of one or more of our significant channel partners or the failure to obtain and ship a number of large orders each quarter through them could harm our operating results. During fiscal 2007, 2008, and 2009, Alternative Technology, Inc., a subsidiary of Arrow Electronics, Inc., was our most significant channel partner, accounting for 12% of our total revenue in each of the periods. During the three and nine months ended September 30, 2010, no single customer accounted for more than 10% of total net revenue.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manage existing sales channels, our business will be seriously harmed.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If we are not successful in continuing to execute our strategy to increase our sales to larger end-customers, our results of operations may suffer.</w:t>
      </w:r>
    </w:p>
    <w:p>
      <w:pPr>
        <w:spacing w:after="0" w:line="159" w:lineRule="exact"/>
        <w:rPr>
          <w:sz w:val="20"/>
          <w:szCs w:val="20"/>
          <w:color w:val="auto"/>
        </w:rPr>
      </w:pPr>
    </w:p>
    <w:p>
      <w:pPr>
        <w:ind w:right="40" w:firstLine="347"/>
        <w:spacing w:after="0" w:line="268" w:lineRule="auto"/>
        <w:rPr>
          <w:sz w:val="20"/>
          <w:szCs w:val="20"/>
          <w:color w:val="auto"/>
        </w:rPr>
      </w:pPr>
      <w:r>
        <w:rPr>
          <w:rFonts w:ascii="Arial" w:cs="Arial" w:eastAsia="Arial" w:hAnsi="Arial"/>
          <w:sz w:val="13"/>
          <w:szCs w:val="13"/>
          <w:color w:val="auto"/>
        </w:rPr>
        <w:t>An important part of our growth strategy is to increase sales of our products to large enterprises, service providers and government entities. Sales to enterprises, service providers and government entities involve risks that may not be present (or that are present to a lesser extent) with sales to small-to-mid-sized entities. These risks include:</w:t>
      </w:r>
    </w:p>
    <w:p>
      <w:pPr>
        <w:spacing w:after="0" w:line="129" w:lineRule="exact"/>
        <w:rPr>
          <w:sz w:val="20"/>
          <w:szCs w:val="20"/>
          <w:color w:val="auto"/>
        </w:rPr>
      </w:pPr>
    </w:p>
    <w:p>
      <w:pPr>
        <w:ind w:left="860" w:right="200" w:hanging="169"/>
        <w:spacing w:after="0" w:line="268" w:lineRule="auto"/>
        <w:tabs>
          <w:tab w:leader="none" w:pos="1207"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increased competition from larger competitors, such as Cisco Systems, Inc., Check Point Software Technologies Ltd., McAfee, Inc. and Juniper Networks, Inc., that traditionally target enterprises, service providers and government entities and that may already have purchase commitments from those end-customers;</w:t>
      </w:r>
    </w:p>
    <w:p>
      <w:pPr>
        <w:spacing w:after="0" w:line="128" w:lineRule="exact"/>
        <w:rPr>
          <w:rFonts w:ascii="Arial" w:cs="Arial" w:eastAsia="Arial" w:hAnsi="Arial"/>
          <w:sz w:val="13"/>
          <w:szCs w:val="13"/>
          <w:color w:val="auto"/>
        </w:rPr>
      </w:pPr>
    </w:p>
    <w:p>
      <w:pPr>
        <w:ind w:left="1220" w:hanging="529"/>
        <w:spacing w:after="0"/>
        <w:tabs>
          <w:tab w:leader="none" w:pos="12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increased purchasing power and leverage held by large end-customers in negotiating contractual arrangements with us;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more stringent requirements in our support service contracts, including stricter support response times, and increased penalties for any failure to meet support requirements; and</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longer sales cycles and the associated risk that substantial time and resources may be spent on a potential end-customer who elects not to purchase our products and services.</w:t>
      </w:r>
    </w:p>
    <w:p>
      <w:pPr>
        <w:spacing w:after="0" w:line="159" w:lineRule="exact"/>
        <w:rPr>
          <w:sz w:val="20"/>
          <w:szCs w:val="20"/>
          <w:color w:val="auto"/>
        </w:rPr>
      </w:pPr>
    </w:p>
    <w:p>
      <w:pPr>
        <w:ind w:firstLine="347"/>
        <w:spacing w:after="0" w:line="294" w:lineRule="auto"/>
        <w:rPr>
          <w:sz w:val="20"/>
          <w:szCs w:val="20"/>
          <w:color w:val="auto"/>
        </w:rPr>
      </w:pPr>
      <w:r>
        <w:rPr>
          <w:rFonts w:ascii="Arial" w:cs="Arial" w:eastAsia="Arial" w:hAnsi="Arial"/>
          <w:sz w:val="11"/>
          <w:szCs w:val="11"/>
          <w:color w:val="auto"/>
        </w:rPr>
        <w:t>Large enterprises, service providers and government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 entities are frequently subject to budget constraints, multiple approvals, and unplanned administrative, processing and other delays. Finally, enterprise, service providers and government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&lt; /font&gt;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The average sales prices of our products may decrease, which may reduce our gross profits.</w:t>
      </w:r>
    </w:p>
    <w:p>
      <w:pPr>
        <w:spacing w:after="0" w:line="151" w:lineRule="exact"/>
        <w:rPr>
          <w:sz w:val="20"/>
          <w:szCs w:val="20"/>
          <w:color w:val="auto"/>
        </w:rPr>
      </w:pPr>
    </w:p>
    <w:p>
      <w:pPr>
        <w:ind w:right="280" w:firstLine="347"/>
        <w:spacing w:after="0" w:line="254" w:lineRule="auto"/>
        <w:rPr>
          <w:sz w:val="20"/>
          <w:szCs w:val="20"/>
          <w:color w:val="auto"/>
        </w:rPr>
      </w:pPr>
      <w:r>
        <w:rPr>
          <w:rFonts w:ascii="Arial" w:cs="Arial" w:eastAsia="Arial" w:hAnsi="Arial"/>
          <w:sz w:val="13"/>
          <w:szCs w:val="13"/>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 s in order to promote the sale of other products or may bundle them with other products. Furthermore, we anticipate that the average sales prices and gross profits for our products will decrease over</w:t>
      </w:r>
    </w:p>
    <w:p>
      <w:pPr>
        <w:spacing w:after="0" w:line="138"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460"/>
          </w:cols>
          <w:pgMar w:left="220" w:top="131" w:right="219" w:bottom="1440" w:gutter="0" w:footer="0" w:header="0"/>
        </w:sectPr>
      </w:pPr>
    </w:p>
    <w:bookmarkStart w:id="44" w:name="page45"/>
    <w:bookmarkEnd w:id="44"/>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80" w:firstLine="347"/>
        <w:spacing w:after="0" w:line="268" w:lineRule="auto"/>
        <w:rPr>
          <w:sz w:val="20"/>
          <w:szCs w:val="20"/>
          <w:color w:val="auto"/>
        </w:rPr>
      </w:pPr>
      <w:r>
        <w:rPr>
          <w:rFonts w:ascii="Arial" w:cs="Arial" w:eastAsia="Arial" w:hAnsi="Arial"/>
          <w:sz w:val="13"/>
          <w:szCs w:val="13"/>
          <w:color w:val="auto"/>
        </w:rPr>
        <w:t>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1"/>
          <w:szCs w:val="11"/>
          <w:b w:val="1"/>
          <w:bCs w:val="1"/>
          <w:i w:val="1"/>
          <w:iCs w:val="1"/>
          <w:color w:val="auto"/>
        </w:rPr>
        <w:t>Defects or vulnerabilities in our products or services, the failure of our products or services to prevent a virus or security breach, or misuse of our products could harm our reputation and divert resources.</w:t>
      </w:r>
    </w:p>
    <w:p>
      <w:pPr>
        <w:spacing w:after="0" w:line="182" w:lineRule="exact"/>
        <w:rPr>
          <w:sz w:val="20"/>
          <w:szCs w:val="20"/>
          <w:color w:val="auto"/>
        </w:rPr>
      </w:pPr>
    </w:p>
    <w:p>
      <w:pPr>
        <w:ind w:right="60" w:firstLine="347"/>
        <w:spacing w:after="0" w:line="302" w:lineRule="auto"/>
        <w:rPr>
          <w:sz w:val="20"/>
          <w:szCs w:val="20"/>
          <w:color w:val="auto"/>
        </w:rPr>
      </w:pPr>
      <w:r>
        <w:rPr>
          <w:rFonts w:ascii="Arial" w:cs="Arial" w:eastAsia="Arial" w:hAnsi="Arial"/>
          <w:sz w:val="11"/>
          <w:szCs w:val="11"/>
          <w:color w:val="auto"/>
        </w:rPr>
        <w:t>Because our products and services are complex, they have contained and may contain defects or errors that are not detected until after their commercial release and deployment by our customers. For example, one of our high-end product models has been expe riencing a defect in limited deployments.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15" w:lineRule="exact"/>
        <w:rPr>
          <w:sz w:val="20"/>
          <w:szCs w:val="20"/>
          <w:color w:val="auto"/>
        </w:rPr>
      </w:pPr>
    </w:p>
    <w:p>
      <w:pPr>
        <w:ind w:right="100" w:firstLine="347"/>
        <w:spacing w:after="0" w:line="252" w:lineRule="auto"/>
        <w:rPr>
          <w:sz w:val="20"/>
          <w:szCs w:val="20"/>
          <w:color w:val="auto"/>
        </w:rPr>
      </w:pPr>
      <w:r>
        <w:rPr>
          <w:rFonts w:ascii="Arial" w:cs="Arial" w:eastAsia="Arial" w:hAnsi="Arial"/>
          <w:sz w:val="13"/>
          <w:szCs w:val="13"/>
          <w:color w:val="auto"/>
        </w:rPr>
        <w:t>An actual or perceived security breach or infection of the network of one of our end-customers, regardless of whether the breach is attributable to the failure of our products or services to prevent the security breach, could adversely affect the market's perception of our security products. We may not be able to correct any security flaws or vulnerabilities promptly ,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defects, errors or vulnerabilities in our products, or misuse of our products, could result in:</w:t>
      </w:r>
    </w:p>
    <w:p>
      <w:pPr>
        <w:spacing w:after="0" w:line="141" w:lineRule="exact"/>
        <w:rPr>
          <w:sz w:val="20"/>
          <w:szCs w:val="20"/>
          <w:color w:val="auto"/>
        </w:rPr>
      </w:pPr>
    </w:p>
    <w:p>
      <w:pPr>
        <w:ind w:left="1260" w:hanging="569"/>
        <w:spacing w:after="0"/>
        <w:tabs>
          <w:tab w:leader="none" w:pos="12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2"/>
          <w:szCs w:val="12"/>
          <w:color w:val="auto"/>
        </w:rPr>
      </w:pPr>
    </w:p>
    <w:p>
      <w:pPr>
        <w:ind w:left="1220" w:hanging="529"/>
        <w:spacing w:after="0"/>
        <w:tabs>
          <w:tab w:leader="none" w:pos="1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loss of existing or potential end-customers or channel partners;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delayed or lost revenue;</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delay or failure to attain market acceptance;</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negative publicity, which will harm our reputation; and</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litigation, regulatory inquiries or investigations that may be costly and harm our reputation.</w:t>
      </w:r>
    </w:p>
    <w:p>
      <w:pPr>
        <w:spacing w:after="0" w:line="159" w:lineRule="exact"/>
        <w:rPr>
          <w:sz w:val="20"/>
          <w:szCs w:val="20"/>
          <w:color w:val="auto"/>
        </w:rPr>
      </w:pPr>
    </w:p>
    <w:p>
      <w:pPr>
        <w:ind w:right="480" w:firstLine="347"/>
        <w:spacing w:after="0" w:line="268" w:lineRule="auto"/>
        <w:rPr>
          <w:sz w:val="20"/>
          <w:szCs w:val="20"/>
          <w:color w:val="auto"/>
        </w:rPr>
      </w:pPr>
      <w:r>
        <w:rPr>
          <w:rFonts w:ascii="Arial" w:cs="Arial" w:eastAsia="Arial" w:hAnsi="Arial"/>
          <w:sz w:val="13"/>
          <w:szCs w:val="13"/>
          <w:b w:val="1"/>
          <w:bCs w:val="1"/>
          <w:i w:val="1"/>
          <w:iCs w:val="1"/>
          <w:color w:val="auto"/>
        </w:rPr>
        <w:t>Our business and operations have experienced rapid growth, and if we do not appropriately manage any future growth, or are unable to improve our systems and processes, our operating results w ill be negatively affected.</w:t>
      </w:r>
    </w:p>
    <w:p>
      <w:pPr>
        <w:spacing w:after="0" w:line="129" w:lineRule="exact"/>
        <w:rPr>
          <w:sz w:val="20"/>
          <w:szCs w:val="20"/>
          <w:color w:val="auto"/>
        </w:rPr>
      </w:pPr>
    </w:p>
    <w:p>
      <w:pPr>
        <w:ind w:firstLine="347"/>
        <w:spacing w:after="0" w:line="304" w:lineRule="auto"/>
        <w:rPr>
          <w:sz w:val="20"/>
          <w:szCs w:val="20"/>
          <w:color w:val="auto"/>
        </w:rPr>
      </w:pPr>
      <w:r>
        <w:rPr>
          <w:rFonts w:ascii="Arial" w:cs="Arial" w:eastAsia="Arial" w:hAnsi="Arial"/>
          <w:sz w:val="11"/>
          <w:szCs w:val="11"/>
          <w:color w:val="auto"/>
        </w:rPr>
        <w:t>We have a high volume business that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 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w:t>
      </w:r>
    </w:p>
    <w:p>
      <w:pPr>
        <w:spacing w:after="0" w:line="113"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460"/>
          </w:cols>
          <w:pgMar w:left="220" w:top="131" w:right="219" w:bottom="1440" w:gutter="0" w:footer="0" w:header="0"/>
        </w:sectPr>
      </w:pPr>
    </w:p>
    <w:bookmarkStart w:id="45" w:name="page46"/>
    <w:bookmarkEnd w:id="45"/>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280" w:firstLine="347"/>
        <w:spacing w:after="0" w:line="258" w:lineRule="auto"/>
        <w:rPr>
          <w:sz w:val="20"/>
          <w:szCs w:val="20"/>
          <w:color w:val="auto"/>
        </w:rPr>
      </w:pPr>
      <w:r>
        <w:rPr>
          <w:rFonts w:ascii="Arial" w:cs="Arial" w:eastAsia="Arial" w:hAnsi="Arial"/>
          <w:sz w:val="13"/>
          <w:szCs w:val="13"/>
          <w:color w:val="auto"/>
        </w:rPr>
        <w:t>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35" w:lineRule="exact"/>
        <w:rPr>
          <w:sz w:val="20"/>
          <w:szCs w:val="20"/>
          <w:color w:val="auto"/>
        </w:rPr>
      </w:pPr>
    </w:p>
    <w:p>
      <w:pPr>
        <w:ind w:right="120" w:firstLine="347"/>
        <w:spacing w:after="0" w:line="268" w:lineRule="auto"/>
        <w:rPr>
          <w:sz w:val="20"/>
          <w:szCs w:val="20"/>
          <w:color w:val="auto"/>
        </w:rPr>
      </w:pPr>
      <w:r>
        <w:rPr>
          <w:rFonts w:ascii="Arial" w:cs="Arial" w:eastAsia="Arial" w:hAnsi="Arial"/>
          <w:sz w:val="13"/>
          <w:szCs w:val="13"/>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29" w:lineRule="exact"/>
        <w:rPr>
          <w:sz w:val="20"/>
          <w:szCs w:val="20"/>
          <w:color w:val="auto"/>
        </w:rPr>
      </w:pPr>
    </w:p>
    <w:p>
      <w:pPr>
        <w:ind w:right="80" w:firstLine="347"/>
        <w:spacing w:after="0" w:line="306" w:lineRule="auto"/>
        <w:rPr>
          <w:sz w:val="20"/>
          <w:szCs w:val="20"/>
          <w:color w:val="auto"/>
        </w:rPr>
      </w:pPr>
      <w:r>
        <w:rPr>
          <w:rFonts w:ascii="Arial" w:cs="Arial" w:eastAsia="Arial" w:hAnsi="Arial"/>
          <w:sz w:val="11"/>
          <w:szCs w:val="11"/>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 lts of Operations” in our Annual Report on Form 10-K for the fiscal year ended December 31, 2009,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stock-based compensation, valuation of inventory, warranty liabilities, and accounting for income taxes.</w:t>
      </w:r>
    </w:p>
    <w:p>
      <w:pPr>
        <w:spacing w:after="0" w:line="112" w:lineRule="exact"/>
        <w:rPr>
          <w:sz w:val="20"/>
          <w:szCs w:val="20"/>
          <w:color w:val="auto"/>
        </w:rPr>
      </w:pPr>
    </w:p>
    <w:p>
      <w:pPr>
        <w:ind w:right="540" w:firstLine="347"/>
        <w:spacing w:after="0" w:line="268" w:lineRule="auto"/>
        <w:rPr>
          <w:sz w:val="20"/>
          <w:szCs w:val="20"/>
          <w:color w:val="auto"/>
        </w:rPr>
      </w:pPr>
      <w:r>
        <w:rPr>
          <w:rFonts w:ascii="Arial" w:cs="Arial" w:eastAsia="Arial" w:hAnsi="Arial"/>
          <w:sz w:val="13"/>
          <w:szCs w:val="13"/>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29" w:lineRule="exact"/>
        <w:rPr>
          <w:sz w:val="20"/>
          <w:szCs w:val="20"/>
          <w:color w:val="auto"/>
        </w:rPr>
      </w:pPr>
    </w:p>
    <w:p>
      <w:pPr>
        <w:ind w:firstLine="347"/>
        <w:spacing w:after="0" w:line="254" w:lineRule="auto"/>
        <w:rPr>
          <w:sz w:val="20"/>
          <w:szCs w:val="20"/>
          <w:color w:val="auto"/>
        </w:rPr>
      </w:pPr>
      <w:r>
        <w:rPr>
          <w:rFonts w:ascii="Arial" w:cs="Arial" w:eastAsia="Arial" w:hAnsi="Arial"/>
          <w:sz w:val="13"/>
          <w:szCs w:val="13"/>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 ice. As of September 30, 2010, we estimated that approximately $1.8 million of our products in our distributors' inventory were subject to price protection.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If we are unable to hire, retain and motivate qualified personnel, our business will suffer.</w:t>
      </w:r>
    </w:p>
    <w:p>
      <w:pPr>
        <w:spacing w:after="0" w:line="159" w:lineRule="exact"/>
        <w:rPr>
          <w:sz w:val="20"/>
          <w:szCs w:val="20"/>
          <w:color w:val="auto"/>
        </w:rPr>
      </w:pPr>
    </w:p>
    <w:p>
      <w:pPr>
        <w:ind w:firstLine="347"/>
        <w:spacing w:after="0" w:line="275" w:lineRule="auto"/>
        <w:rPr>
          <w:sz w:val="20"/>
          <w:szCs w:val="20"/>
          <w:color w:val="auto"/>
        </w:rPr>
      </w:pPr>
      <w:r>
        <w:rPr>
          <w:rFonts w:ascii="Arial" w:cs="Arial" w:eastAsia="Arial" w:hAnsi="Arial"/>
          <w:sz w:val="12"/>
          <w:szCs w:val="12"/>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in the locations where we have a substantial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 turnover rate.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2"/>
          <w:szCs w:val="12"/>
          <w:b w:val="1"/>
          <w:bCs w:val="1"/>
          <w:i w:val="1"/>
          <w:iCs w:val="1"/>
          <w:color w:val="auto"/>
        </w:rPr>
        <w:t>We are dependent on the continued services and performance of our senior management, the loss of any of w hom could adversely affect our business, operating results and financial condition.</w:t>
      </w:r>
    </w:p>
    <w:p>
      <w:pPr>
        <w:spacing w:after="0" w:line="171" w:lineRule="exact"/>
        <w:rPr>
          <w:sz w:val="20"/>
          <w:szCs w:val="20"/>
          <w:color w:val="auto"/>
        </w:rPr>
      </w:pPr>
    </w:p>
    <w:p>
      <w:pPr>
        <w:ind w:right="100" w:firstLine="347"/>
        <w:spacing w:after="0" w:line="282" w:lineRule="auto"/>
        <w:rPr>
          <w:sz w:val="20"/>
          <w:szCs w:val="20"/>
          <w:color w:val="auto"/>
        </w:rPr>
      </w:pPr>
      <w:r>
        <w:rPr>
          <w:rFonts w:ascii="Arial" w:cs="Arial" w:eastAsia="Arial" w:hAnsi="Arial"/>
          <w:sz w:val="12"/>
          <w:szCs w:val="12"/>
          <w:color w:val="auto"/>
        </w:rPr>
        <w:t>Our future performance depends on the continued services and continuing contributions of our senior management to execute on our business plan, and to identify and pursue new opportunities and product innovations. The loss of services of senior management, particularly Ken Xie, our Co-founder, President and Chief Executive Officer, Michael Xie, our Co-founder, Vice President of Engineering and Chief Technical Officer, and Ken Goldman, our Vice President and Chief Financial Officer,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460"/>
          </w:cols>
          <w:pgMar w:left="220" w:top="131" w:right="219" w:bottom="1440" w:gutter="0" w:footer="0" w:header="0"/>
        </w:sectPr>
      </w:pPr>
    </w:p>
    <w:bookmarkStart w:id="46" w:name="page47"/>
    <w:bookmarkEnd w:id="46"/>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260" w:firstLine="347"/>
        <w:spacing w:after="0" w:line="268" w:lineRule="auto"/>
        <w:rPr>
          <w:sz w:val="20"/>
          <w:szCs w:val="20"/>
          <w:color w:val="auto"/>
        </w:rPr>
      </w:pPr>
      <w:r>
        <w:rPr>
          <w:rFonts w:ascii="Arial" w:cs="Arial" w:eastAsia="Arial" w:hAnsi="Arial"/>
          <w:sz w:val="13"/>
          <w:szCs w:val="13"/>
          <w:b w:val="1"/>
          <w:bCs w:val="1"/>
          <w:i w:val="1"/>
          <w:iCs w:val="1"/>
          <w:color w:val="auto"/>
        </w:rPr>
        <w:t>If we are unable to establish fair value for any undelivered element of a customer order, revenue relating to the entire order will be deferred and recognized over f uture periods. A delay in the recognition of revenue for a significant portion of our sales in a particular quarter may adversely affect our results of operations.</w:t>
      </w:r>
    </w:p>
    <w:p>
      <w:pPr>
        <w:spacing w:after="0" w:line="129" w:lineRule="exact"/>
        <w:rPr>
          <w:sz w:val="20"/>
          <w:szCs w:val="20"/>
          <w:color w:val="auto"/>
        </w:rPr>
      </w:pPr>
    </w:p>
    <w:p>
      <w:pPr>
        <w:ind w:right="120" w:firstLine="347"/>
        <w:spacing w:after="0" w:line="252" w:lineRule="auto"/>
        <w:rPr>
          <w:sz w:val="20"/>
          <w:szCs w:val="20"/>
          <w:color w:val="auto"/>
        </w:rPr>
      </w:pPr>
      <w:r>
        <w:rPr>
          <w:rFonts w:ascii="Arial" w:cs="Arial" w:eastAsia="Arial" w:hAnsi="Arial"/>
          <w:sz w:val="13"/>
          <w:szCs w:val="13"/>
          <w:color w:val="auto"/>
        </w:rPr>
        <w:t>In the course of our selling efforts, we typically enter into arrangements that require us to deliver a combination of products and services. We refer to each individual product or service as an “element” of the overall arrangement. These arrangements typically require us to deliver particular elements in a future period. As we discuss further in “Note 1 - Summary of Significant Accounting Policies - Revenue Recognition,” if we are unable to determine the fair value of any undelivered elements, we are required by generally accepted accounting principles, or GAAP, to defer revenue from the entire arrangement rather than just the undelivered elements. If we are required to defer revenue from the entire arrangement for a significant portion of our product sales, our revenue for that quarter could fall below our expectations or those of securities analysts and investors, adversely affecting our results of operations and resulting in a decline in our stock price.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Adverse economic conditions or reduced information technology spending may adversely impact our business.</w:t>
      </w:r>
    </w:p>
    <w:p>
      <w:pPr>
        <w:spacing w:after="0" w:line="159" w:lineRule="exact"/>
        <w:rPr>
          <w:sz w:val="20"/>
          <w:szCs w:val="20"/>
          <w:color w:val="auto"/>
        </w:rPr>
      </w:pPr>
    </w:p>
    <w:p>
      <w:pPr>
        <w:ind w:right="40" w:firstLine="347"/>
        <w:spacing w:after="0" w:line="254" w:lineRule="auto"/>
        <w:rPr>
          <w:sz w:val="20"/>
          <w:szCs w:val="20"/>
          <w:color w:val="auto"/>
        </w:rPr>
      </w:pPr>
      <w:r>
        <w:rPr>
          <w:rFonts w:ascii="Arial" w:cs="Arial" w:eastAsia="Arial" w:hAnsi="Arial"/>
          <w:sz w:val="13"/>
          <w:szCs w:val="13"/>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38" w:lineRule="exact"/>
        <w:rPr>
          <w:sz w:val="20"/>
          <w:szCs w:val="20"/>
          <w:color w:val="auto"/>
        </w:rPr>
      </w:pPr>
    </w:p>
    <w:p>
      <w:pPr>
        <w:ind w:right="80" w:firstLine="347"/>
        <w:spacing w:after="0" w:line="268" w:lineRule="auto"/>
        <w:rPr>
          <w:sz w:val="20"/>
          <w:szCs w:val="20"/>
          <w:color w:val="auto"/>
        </w:rPr>
      </w:pPr>
      <w:r>
        <w:rPr>
          <w:rFonts w:ascii="Arial" w:cs="Arial" w:eastAsia="Arial" w:hAnsi="Arial"/>
          <w:sz w:val="13"/>
          <w:szCs w:val="13"/>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outsource the manufacturing of our security appliance products to a variety of contract manufacturing partners and original design manufacturing partners.</w:t>
      </w:r>
    </w:p>
    <w:p>
      <w:pPr>
        <w:spacing w:after="0" w:line="159" w:lineRule="exact"/>
        <w:rPr>
          <w:sz w:val="20"/>
          <w:szCs w:val="20"/>
          <w:color w:val="auto"/>
        </w:rPr>
      </w:pPr>
    </w:p>
    <w:p>
      <w:pPr>
        <w:ind w:right="40" w:firstLine="347"/>
        <w:spacing w:after="0" w:line="254" w:lineRule="auto"/>
        <w:rPr>
          <w:sz w:val="20"/>
          <w:szCs w:val="20"/>
          <w:color w:val="auto"/>
        </w:rPr>
      </w:pPr>
      <w:r>
        <w:rPr>
          <w:rFonts w:ascii="Arial" w:cs="Arial" w:eastAsia="Arial" w:hAnsi="Arial"/>
          <w:sz w:val="13"/>
          <w:szCs w:val="13"/>
          <w:color w:val="auto"/>
        </w:rPr>
        <w:t>Our reliance on our third-party manufacturers reduces our control over the manufacturing process, exposing us to risks, including reduced control over quality assurance, product costs and product supply an 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38" w:lineRule="exact"/>
        <w:rPr>
          <w:sz w:val="20"/>
          <w:szCs w:val="20"/>
          <w:color w:val="auto"/>
        </w:rPr>
      </w:pPr>
    </w:p>
    <w:p>
      <w:pPr>
        <w:ind w:firstLine="347"/>
        <w:spacing w:after="0" w:line="251" w:lineRule="auto"/>
        <w:rPr>
          <w:sz w:val="20"/>
          <w:szCs w:val="20"/>
          <w:color w:val="auto"/>
        </w:rPr>
      </w:pPr>
      <w:r>
        <w:rPr>
          <w:rFonts w:ascii="Arial" w:cs="Arial" w:eastAsia="Arial" w:hAnsi="Arial"/>
          <w:sz w:val="13"/>
          <w:szCs w:val="13"/>
          <w:color w:val="auto"/>
        </w:rPr>
        <w:t>These manufacturers fulfill our supply requirements on the basis of individual purchase orders. We have no long-term contracts or arrangements with certain of our third-party manufacturers that guarantee capacit 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w:t>
      </w:r>
    </w:p>
    <w:p>
      <w:pPr>
        <w:spacing w:after="0" w:line="142" w:lineRule="exact"/>
        <w:rPr>
          <w:sz w:val="20"/>
          <w:szCs w:val="20"/>
          <w:color w:val="auto"/>
        </w:rPr>
      </w:pPr>
    </w:p>
    <w:p>
      <w:pPr>
        <w:ind w:firstLine="347"/>
        <w:spacing w:after="0" w:line="251" w:lineRule="auto"/>
        <w:rPr>
          <w:sz w:val="20"/>
          <w:szCs w:val="20"/>
          <w:color w:val="auto"/>
        </w:rPr>
      </w:pPr>
      <w:r>
        <w:rPr>
          <w:rFonts w:ascii="Arial" w:cs="Arial" w:eastAsia="Arial" w:hAnsi="Arial"/>
          <w:sz w:val="13"/>
          <w:szCs w:val="13"/>
          <w:color w:val="auto"/>
        </w:rPr>
        <w:t>Our proprietary FortiASIC, which is the key to the performance of our appliances, is fabricated by contract manufacturers in foundries operated by UMC and Taiwan Semiconductor Manufacturing Corporation, or TSMC. Faraday (using UMC's foundry) and K-Micro (using TSMC's foundry) manufacture our ASICs on a purchase order basis, and these foundries do not guarantee any capacity and could reject orders from either Faraday or K-Micro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 addition, our reliance on third-party manufacturers and foundries limits our control over environmental regulatory</w:t>
      </w:r>
    </w:p>
    <w:p>
      <w:pPr>
        <w:spacing w:after="0" w:line="159"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460"/>
          </w:cols>
          <w:pgMar w:left="220" w:top="131" w:right="219" w:bottom="1440" w:gutter="0" w:footer="0" w:header="0"/>
        </w:sectPr>
      </w:pPr>
    </w:p>
    <w:bookmarkStart w:id="47" w:name="page48"/>
    <w:bookmarkEnd w:id="47"/>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540" w:firstLine="347"/>
        <w:spacing w:after="0" w:line="310" w:lineRule="auto"/>
        <w:rPr>
          <w:sz w:val="20"/>
          <w:szCs w:val="20"/>
          <w:color w:val="auto"/>
        </w:rPr>
      </w:pPr>
      <w:r>
        <w:rPr>
          <w:rFonts w:ascii="Arial" w:cs="Arial" w:eastAsia="Arial" w:hAnsi="Arial"/>
          <w:sz w:val="12"/>
          <w:szCs w:val="12"/>
          <w:color w:val="auto"/>
        </w:rPr>
        <w:t>requirements such as the hazardous substance content of our products and therefore our ability to ensure compliance with the EU RoHS and other similar laws. See “If we fail to comply with environmental requirements, our business, financial condition, operating results and reputation could be adversely affected” for information on the effects of the failure to comply with these laws.</w:t>
      </w:r>
    </w:p>
    <w:p>
      <w:pPr>
        <w:spacing w:after="0" w:line="106" w:lineRule="exact"/>
        <w:rPr>
          <w:sz w:val="20"/>
          <w:szCs w:val="20"/>
          <w:color w:val="auto"/>
        </w:rPr>
      </w:pPr>
    </w:p>
    <w:p>
      <w:pPr>
        <w:ind w:right="460" w:firstLine="347"/>
        <w:spacing w:after="0" w:line="268" w:lineRule="auto"/>
        <w:rPr>
          <w:sz w:val="20"/>
          <w:szCs w:val="20"/>
          <w:color w:val="auto"/>
        </w:rPr>
      </w:pPr>
      <w:r>
        <w:rPr>
          <w:rFonts w:ascii="Arial" w:cs="Arial" w:eastAsia="Arial" w:hAnsi="Arial"/>
          <w:sz w:val="13"/>
          <w:szCs w:val="13"/>
          <w:b w:val="1"/>
          <w:bCs w:val="1"/>
          <w:i w:val="1"/>
          <w:iCs w:val="1"/>
          <w:color w:val="auto"/>
        </w:rPr>
        <w:t>Because some of the key components in our products come from limited sources of supply, we are susceptible to supply shortages or supply changes, which could disrupt or dela y our scheduled product deliveries to our customers and may result in the loss of sales and customers.</w:t>
      </w:r>
    </w:p>
    <w:p>
      <w:pPr>
        <w:spacing w:after="0" w:line="129" w:lineRule="exact"/>
        <w:rPr>
          <w:sz w:val="20"/>
          <w:szCs w:val="20"/>
          <w:color w:val="auto"/>
        </w:rPr>
      </w:pPr>
    </w:p>
    <w:p>
      <w:pPr>
        <w:ind w:firstLine="347"/>
        <w:spacing w:after="0" w:line="251" w:lineRule="auto"/>
        <w:rPr>
          <w:sz w:val="20"/>
          <w:szCs w:val="20"/>
          <w:color w:val="auto"/>
        </w:rPr>
      </w:pPr>
      <w:r>
        <w:rPr>
          <w:rFonts w:ascii="Arial" w:cs="Arial" w:eastAsia="Arial" w:hAnsi="Arial"/>
          <w:sz w:val="13"/>
          <w:szCs w:val="13"/>
          <w:color w:val="auto"/>
        </w:rPr>
        <w:t>We and our contract manufacturers currently purchase several key parts and components used in the manufacture of our products from limited sources of supply. We are therefore subject to the risk of shortages in the supply of these components and the risk that component suppliers discontinue or modify components used in our products. We have faced component shortages in the past. Certain of our limited source components for particular appliances and suppliers of those components include: specific types of central processing units from Intel Corporation, Advanced Micro Devices, Inc., RMI Corporation and VIA Technologies, Inc. and network chips from Broadcom Corporation, M arvell Technology Group Ltd. and Intel.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40" w:lineRule="exact"/>
        <w:rPr>
          <w:sz w:val="20"/>
          <w:szCs w:val="20"/>
          <w:color w:val="auto"/>
        </w:rPr>
      </w:pPr>
    </w:p>
    <w:p>
      <w:pPr>
        <w:ind w:right="240" w:firstLine="347"/>
        <w:spacing w:after="0" w:line="268" w:lineRule="auto"/>
        <w:rPr>
          <w:sz w:val="20"/>
          <w:szCs w:val="20"/>
          <w:color w:val="auto"/>
        </w:rPr>
      </w:pPr>
      <w:r>
        <w:rPr>
          <w:rFonts w:ascii="Arial" w:cs="Arial" w:eastAsia="Arial" w:hAnsi="Arial"/>
          <w:sz w:val="13"/>
          <w:szCs w:val="13"/>
          <w:color w:val="auto"/>
        </w:rPr>
        <w:t>Our manufacturing partners have experienced increasing lead times for the purchase of components incorporated into our products. Our reliance on a limited number of suppliers involves several additional risks, including:</w:t>
      </w:r>
    </w:p>
    <w:p>
      <w:pPr>
        <w:spacing w:after="0" w:line="129" w:lineRule="exact"/>
        <w:rPr>
          <w:sz w:val="20"/>
          <w:szCs w:val="20"/>
          <w:color w:val="auto"/>
        </w:rPr>
      </w:pPr>
    </w:p>
    <w:p>
      <w:pPr>
        <w:ind w:left="1220" w:hanging="529"/>
        <w:spacing w:after="0"/>
        <w:tabs>
          <w:tab w:leader="none" w:pos="1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potential inability to obtain an adequate supply of required parts or components when required;</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financial or other difficulties faced by our suppliers;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infringement or misappropriation of our inte llectual property;</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price increases;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failure of a component to meet environmental or other regulatory requirements;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failure to meet delivery obligations in a timely fashion; and</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failure in component quality.</w:t>
      </w:r>
    </w:p>
    <w:p>
      <w:pPr>
        <w:spacing w:after="0" w:line="159" w:lineRule="exact"/>
        <w:rPr>
          <w:sz w:val="20"/>
          <w:szCs w:val="20"/>
          <w:color w:val="auto"/>
        </w:rPr>
      </w:pPr>
    </w:p>
    <w:p>
      <w:pPr>
        <w:ind w:right="100" w:firstLine="347"/>
        <w:spacing w:after="0" w:line="289" w:lineRule="auto"/>
        <w:rPr>
          <w:sz w:val="20"/>
          <w:szCs w:val="20"/>
          <w:color w:val="auto"/>
        </w:rPr>
      </w:pPr>
      <w:r>
        <w:rPr>
          <w:rFonts w:ascii="Arial" w:cs="Arial" w:eastAsia="Arial" w:hAnsi="Arial"/>
          <w:sz w:val="12"/>
          <w:szCs w:val="12"/>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We are exposed to fluctuations in currency exchange rates, which could negatively affect our financial condition and results of operations.</w:t>
      </w:r>
    </w:p>
    <w:p>
      <w:pPr>
        <w:spacing w:after="0" w:line="159" w:lineRule="exact"/>
        <w:rPr>
          <w:sz w:val="20"/>
          <w:szCs w:val="20"/>
          <w:color w:val="auto"/>
        </w:rPr>
      </w:pPr>
    </w:p>
    <w:p>
      <w:pPr>
        <w:ind w:right="60" w:firstLine="347"/>
        <w:spacing w:after="0" w:line="278" w:lineRule="auto"/>
        <w:rPr>
          <w:sz w:val="20"/>
          <w:szCs w:val="20"/>
          <w:color w:val="auto"/>
        </w:rPr>
      </w:pPr>
      <w:r>
        <w:rPr>
          <w:rFonts w:ascii="Arial" w:cs="Arial" w:eastAsia="Arial" w:hAnsi="Arial"/>
          <w:sz w:val="12"/>
          <w:szCs w:val="12"/>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adversely affect our financial condition and results of operations. In addition, a majority of our operating expenses were incurred outside the United States, and are denominated in foreign currencies and are subject to fluctuations due to changes in foreign currency exchange rates, particularly changes in the Euro and Canadian dollar. Although we have been hedging currency exposures relating to certain balance sheet accounts and have recently entered into a cashflow hedge relating to certain operating expenses incurred outside of the United States, if we stop hedging against any of these risks or our attempts to hedge against these risks are not successful, our finan cial condition and results of operations could be adversely affected.</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We generate a majority of revenue from sales to distributors, resellers and end-customers outside of the United States, and</w:t>
      </w:r>
    </w:p>
    <w:p>
      <w:pPr>
        <w:spacing w:after="0" w:line="159"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420"/>
          </w:cols>
          <w:pgMar w:left="220" w:top="131" w:right="259" w:bottom="1440" w:gutter="0" w:footer="0" w:header="0"/>
        </w:sectPr>
      </w:pPr>
    </w:p>
    <w:bookmarkStart w:id="48" w:name="page49"/>
    <w:bookmarkEnd w:id="48"/>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we are therefore subject to a number of risks associated with international sales and operations.</w:t>
      </w:r>
    </w:p>
    <w:p>
      <w:pPr>
        <w:spacing w:after="0" w:line="159" w:lineRule="exact"/>
        <w:rPr>
          <w:sz w:val="20"/>
          <w:szCs w:val="20"/>
          <w:color w:val="auto"/>
        </w:rPr>
      </w:pPr>
    </w:p>
    <w:p>
      <w:pPr>
        <w:ind w:firstLine="347"/>
        <w:spacing w:after="0" w:line="268" w:lineRule="auto"/>
        <w:rPr>
          <w:sz w:val="20"/>
          <w:szCs w:val="20"/>
          <w:color w:val="auto"/>
        </w:rPr>
      </w:pPr>
      <w:r>
        <w:rPr>
          <w:rFonts w:ascii="Arial" w:cs="Arial" w:eastAsia="Arial" w:hAnsi="Arial"/>
          <w:sz w:val="13"/>
          <w:szCs w:val="13"/>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29" w:lineRule="exact"/>
        <w:rPr>
          <w:sz w:val="20"/>
          <w:szCs w:val="20"/>
          <w:color w:val="auto"/>
        </w:rPr>
      </w:pPr>
    </w:p>
    <w:p>
      <w:pPr>
        <w:ind w:left="1220" w:hanging="529"/>
        <w:spacing w:after="0"/>
        <w:tabs>
          <w:tab w:leader="none" w:pos="1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economic or political instability in foreign markets;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greater difficulty in enforc ing contracts, accounts receivable collection and longer collection periods;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changes in regulatory requirements;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difficulties and costs of staffing and managing foreign operations;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uncertainty of protection for intellectual property rights in some countries;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costs of compliance with foreign policies, laws and regulations and the risks and costs of non-compliance with such policies, laws and regulations;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costs of complying with U.S. laws and regulations for foreign operations, including the Foreign Corrupt Practices Act, import and export control laws, tariffs, trade barriers, and economic sanctions;</w:t>
      </w:r>
    </w:p>
    <w:p>
      <w:pPr>
        <w:spacing w:after="0" w:line="182"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1"/>
          <w:szCs w:val="11"/>
          <w:color w:val="auto"/>
        </w:rPr>
        <w:t>other regulatory or contractual limitations on our ability to sell our products in certain foreign markets, and the risks and costs of non-compliance;</w:t>
      </w:r>
    </w:p>
    <w:p>
      <w:pPr>
        <w:spacing w:after="0" w:line="159" w:lineRule="exact"/>
        <w:rPr>
          <w:sz w:val="20"/>
          <w:szCs w:val="20"/>
          <w:color w:val="auto"/>
        </w:rPr>
      </w:pPr>
    </w:p>
    <w:p>
      <w:pPr>
        <w:ind w:left="860" w:hanging="169"/>
        <w:spacing w:after="0" w:line="268" w:lineRule="auto"/>
        <w:tabs>
          <w:tab w:leader="none" w:pos="1207" w:val="left"/>
        </w:tabs>
        <w:numPr>
          <w:ilvl w:val="0"/>
          <w:numId w:val="21"/>
        </w:numPr>
        <w:rPr>
          <w:rFonts w:ascii="Arial" w:cs="Arial" w:eastAsia="Arial" w:hAnsi="Arial"/>
          <w:sz w:val="13"/>
          <w:szCs w:val="13"/>
          <w:color w:val="auto"/>
        </w:rPr>
      </w:pPr>
      <w:r>
        <w:rPr>
          <w:rFonts w:ascii="Arial" w:cs="Arial" w:eastAsia="Arial" w:hAnsi="Arial"/>
          <w:sz w:val="13"/>
          <w:szCs w:val="13"/>
          <w:color w:val="auto"/>
        </w:rPr>
        <w:t>heightened risks of unfair or corrupt business practices in certain geographies and of improper or fraudulent sales arrangements tha t may impact financial results and result in restatements of financial statements and irregularities in financial statements;</w:t>
      </w:r>
    </w:p>
    <w:p>
      <w:pPr>
        <w:spacing w:after="0" w:line="128" w:lineRule="exact"/>
        <w:rPr>
          <w:rFonts w:ascii="Arial" w:cs="Arial" w:eastAsia="Arial" w:hAnsi="Arial"/>
          <w:sz w:val="13"/>
          <w:szCs w:val="13"/>
          <w:color w:val="auto"/>
        </w:rPr>
      </w:pPr>
    </w:p>
    <w:p>
      <w:pPr>
        <w:ind w:left="1220" w:hanging="529"/>
        <w:spacing w:after="0"/>
        <w:tabs>
          <w:tab w:leader="none" w:pos="12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potential for political unrest, terrorism, hostilities or war;</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management communication and integration problems resulting from cultural differences and geographic dispersion; and</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multiple and possibly overlapping tax structures.</w:t>
      </w:r>
    </w:p>
    <w:p>
      <w:pPr>
        <w:spacing w:after="0" w:line="159" w:lineRule="exact"/>
        <w:rPr>
          <w:sz w:val="20"/>
          <w:szCs w:val="20"/>
          <w:color w:val="auto"/>
        </w:rPr>
      </w:pPr>
    </w:p>
    <w:p>
      <w:pPr>
        <w:ind w:right="100" w:firstLine="347"/>
        <w:spacing w:after="0" w:line="251" w:lineRule="auto"/>
        <w:rPr>
          <w:sz w:val="20"/>
          <w:szCs w:val="20"/>
          <w:color w:val="auto"/>
        </w:rPr>
      </w:pPr>
      <w:r>
        <w:rPr>
          <w:rFonts w:ascii="Arial" w:cs="Arial" w:eastAsia="Arial" w:hAnsi="Arial"/>
          <w:sz w:val="13"/>
          <w:szCs w:val="13"/>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affects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40" w:firstLine="347"/>
        <w:spacing w:after="0" w:line="252" w:lineRule="auto"/>
        <w:rPr>
          <w:sz w:val="20"/>
          <w:szCs w:val="20"/>
          <w:color w:val="auto"/>
        </w:rPr>
      </w:pPr>
      <w:r>
        <w:rPr>
          <w:rFonts w:ascii="Arial" w:cs="Arial" w:eastAsia="Arial" w:hAnsi="Arial"/>
          <w:sz w:val="13"/>
          <w:szCs w:val="13"/>
          <w:color w:val="auto"/>
        </w:rPr>
        <w:t>Certain of our products are subject to U.S. export controls and may be exported outside the U.S. only with the required export license or through an export license exception, because we incorporate encryption technology into our products. If we were to fail to comply with U.S. export licensing, U.S. Customs regulations, U.S. economic sanctions and other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 ies.</w:t>
      </w:r>
    </w:p>
    <w:p>
      <w:pPr>
        <w:spacing w:after="0" w:line="295"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460"/>
          </w:cols>
          <w:pgMar w:left="220" w:top="131" w:right="219" w:bottom="1440" w:gutter="0" w:footer="0" w:header="0"/>
        </w:sectPr>
      </w:pPr>
    </w:p>
    <w:bookmarkStart w:id="49" w:name="page50"/>
    <w:bookmarkEnd w:id="49"/>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20" w:firstLine="347"/>
        <w:spacing w:after="0" w:line="302" w:lineRule="auto"/>
        <w:rPr>
          <w:sz w:val="20"/>
          <w:szCs w:val="20"/>
          <w:color w:val="auto"/>
        </w:rPr>
      </w:pPr>
      <w:r>
        <w:rPr>
          <w:rFonts w:ascii="Arial" w:cs="Arial" w:eastAsia="Arial" w:hAnsi="Arial"/>
          <w:sz w:val="11"/>
          <w:szCs w:val="11"/>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 ur channel partners, despite such precautions. Any such shipment could have negative consequences including government investigations and penalties and in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 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If we fail to comply with environmental requirements, our business, financial condition, operating results and reputation could be adversely affected.</w:t>
      </w:r>
    </w:p>
    <w:p>
      <w:pPr>
        <w:spacing w:after="0" w:line="159" w:lineRule="exact"/>
        <w:rPr>
          <w:sz w:val="20"/>
          <w:szCs w:val="20"/>
          <w:color w:val="auto"/>
        </w:rPr>
      </w:pPr>
    </w:p>
    <w:p>
      <w:pPr>
        <w:ind w:firstLine="347"/>
        <w:spacing w:after="0" w:line="254" w:lineRule="auto"/>
        <w:rPr>
          <w:sz w:val="20"/>
          <w:szCs w:val="20"/>
          <w:color w:val="auto"/>
        </w:rPr>
      </w:pPr>
      <w:r>
        <w:rPr>
          <w:rFonts w:ascii="Arial" w:cs="Arial" w:eastAsia="Arial" w:hAnsi="Arial"/>
          <w:sz w:val="13"/>
          <w:szCs w:val="13"/>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European Union, or EU, RoHS and the EU Waste Electrical and Electronic Equipment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38" w:lineRule="exact"/>
        <w:rPr>
          <w:sz w:val="20"/>
          <w:szCs w:val="20"/>
          <w:color w:val="auto"/>
        </w:rPr>
      </w:pPr>
    </w:p>
    <w:p>
      <w:pPr>
        <w:ind w:right="40" w:firstLine="347"/>
        <w:spacing w:after="0" w:line="278" w:lineRule="auto"/>
        <w:rPr>
          <w:sz w:val="20"/>
          <w:szCs w:val="20"/>
          <w:color w:val="auto"/>
        </w:rPr>
      </w:pPr>
      <w:r>
        <w:rPr>
          <w:rFonts w:ascii="Arial" w:cs="Arial" w:eastAsia="Arial" w:hAnsi="Arial"/>
          <w:sz w:val="12"/>
          <w:szCs w:val="12"/>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26" w:lineRule="exact"/>
        <w:rPr>
          <w:sz w:val="20"/>
          <w:szCs w:val="20"/>
          <w:color w:val="auto"/>
        </w:rPr>
      </w:pPr>
    </w:p>
    <w:p>
      <w:pPr>
        <w:ind w:right="140" w:firstLine="347"/>
        <w:spacing w:after="0" w:line="289" w:lineRule="auto"/>
        <w:rPr>
          <w:sz w:val="20"/>
          <w:szCs w:val="20"/>
          <w:color w:val="auto"/>
        </w:rPr>
      </w:pPr>
      <w:r>
        <w:rPr>
          <w:rFonts w:ascii="Arial" w:cs="Arial" w:eastAsia="Arial" w:hAnsi="Arial"/>
          <w:sz w:val="12"/>
          <w:szCs w:val="12"/>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19" w:lineRule="exact"/>
        <w:rPr>
          <w:sz w:val="20"/>
          <w:szCs w:val="20"/>
          <w:color w:val="auto"/>
        </w:rPr>
      </w:pPr>
    </w:p>
    <w:p>
      <w:pPr>
        <w:ind w:right="80" w:firstLine="347"/>
        <w:spacing w:after="0" w:line="268" w:lineRule="auto"/>
        <w:rPr>
          <w:sz w:val="20"/>
          <w:szCs w:val="20"/>
          <w:color w:val="auto"/>
        </w:rPr>
      </w:pPr>
      <w:r>
        <w:rPr>
          <w:rFonts w:ascii="Arial" w:cs="Arial" w:eastAsia="Arial" w:hAnsi="Arial"/>
          <w:sz w:val="13"/>
          <w:szCs w:val="13"/>
          <w:color w:val="auto"/>
        </w:rPr>
        <w:t>O ur failure to comply with these and future environmental rules and regulations could result in reduced sales of our products, increased costs, substantial product inventory write-offs, reputational damage, penalties and other sanctions.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A portion of our revenue is generated by sales to government entities, which are subject to a number of challenges and risks.</w:t>
      </w:r>
    </w:p>
    <w:p>
      <w:pPr>
        <w:spacing w:after="0" w:line="159" w:lineRule="exact"/>
        <w:rPr>
          <w:sz w:val="20"/>
          <w:szCs w:val="20"/>
          <w:color w:val="auto"/>
        </w:rPr>
      </w:pPr>
    </w:p>
    <w:p>
      <w:pPr>
        <w:ind w:firstLine="347"/>
        <w:spacing w:after="0" w:line="275" w:lineRule="auto"/>
        <w:rPr>
          <w:sz w:val="20"/>
          <w:szCs w:val="20"/>
          <w:color w:val="auto"/>
        </w:rPr>
      </w:pPr>
      <w:r>
        <w:rPr>
          <w:rFonts w:ascii="Arial" w:cs="Arial" w:eastAsia="Arial" w:hAnsi="Arial"/>
          <w:sz w:val="12"/>
          <w:szCs w:val="12"/>
          <w:color w:val="auto"/>
        </w:rPr>
        <w:t>Sales to U.S. and foreign federal, state and local governmental agency end-customers have accounted for a portion of our revenue in past period s, and we may in the future increase sales to government entities. Sales into government entities are subject to a number of risks. Selling to government entities can be highly competitive, expensive and time consuming, often requiring significant upfront time and expense without any assurance that we will win a sale. Government demand and payment for our products and services may be impacted by public sector budgetary cycles and funding authorizations, with funding reductions or delays adversely affecting public sector demand for our products. Most of our sales to government entities have been made indirectly through our distribution channel. Government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w:t>
      </w:r>
    </w:p>
    <w:p>
      <w:pPr>
        <w:spacing w:after="0" w:line="127"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440"/>
          </w:cols>
          <w:pgMar w:left="220" w:top="131" w:right="239" w:bottom="1440" w:gutter="0" w:footer="0" w:header="0"/>
        </w:sectPr>
      </w:pPr>
    </w:p>
    <w:bookmarkStart w:id="50" w:name="page51"/>
    <w:bookmarkEnd w:id="50"/>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right="40" w:firstLine="347"/>
        <w:spacing w:after="0" w:line="258" w:lineRule="auto"/>
        <w:rPr>
          <w:sz w:val="20"/>
          <w:szCs w:val="20"/>
          <w:color w:val="auto"/>
        </w:rPr>
      </w:pPr>
      <w:r>
        <w:rPr>
          <w:rFonts w:ascii="Arial" w:cs="Arial" w:eastAsia="Arial" w:hAnsi="Arial"/>
          <w:sz w:val="13"/>
          <w:szCs w:val="13"/>
          <w:color w:val="auto"/>
        </w:rPr>
        <w:t>and services, a reduction of revenue or fines or civil or criminal liability if the audit uncovers improper or illegal activities. Any such penalties could adv ersely impact our results of operations in a material way. Finally, for purchases by the U.S. government, the government may require certain products to be manufactured in the United States and other high cost manufacturing locations, and we may not manufacture all products in locations that meet the requirements of the U.S. government.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False detection of viruses or security breaches or false identification of spam or spyware could adversely affect our business.</w:t>
      </w:r>
    </w:p>
    <w:p>
      <w:pPr>
        <w:spacing w:after="0" w:line="159" w:lineRule="exact"/>
        <w:rPr>
          <w:sz w:val="20"/>
          <w:szCs w:val="20"/>
          <w:color w:val="auto"/>
        </w:rPr>
      </w:pPr>
    </w:p>
    <w:p>
      <w:pPr>
        <w:ind w:firstLine="347"/>
        <w:spacing w:after="0" w:line="250" w:lineRule="auto"/>
        <w:rPr>
          <w:sz w:val="20"/>
          <w:szCs w:val="20"/>
          <w:color w:val="auto"/>
        </w:rPr>
      </w:pPr>
      <w:r>
        <w:rPr>
          <w:rFonts w:ascii="Arial" w:cs="Arial" w:eastAsia="Arial" w:hAnsi="Arial"/>
          <w:sz w:val="13"/>
          <w:szCs w:val="13"/>
          <w:color w:val="auto"/>
        </w:rPr>
        <w:t>Our antivirus and our intrusion prevention services ma 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 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If our internal network system is compromised by c omputer hackers, public perception of our products and services will be harmed.</w:t>
      </w:r>
    </w:p>
    <w:p>
      <w:pPr>
        <w:spacing w:after="0" w:line="159" w:lineRule="exact"/>
        <w:rPr>
          <w:sz w:val="20"/>
          <w:szCs w:val="20"/>
          <w:color w:val="auto"/>
        </w:rPr>
      </w:pPr>
    </w:p>
    <w:p>
      <w:pPr>
        <w:ind w:right="320" w:firstLine="347"/>
        <w:spacing w:after="0" w:line="254" w:lineRule="auto"/>
        <w:rPr>
          <w:sz w:val="20"/>
          <w:szCs w:val="20"/>
          <w:color w:val="auto"/>
        </w:rPr>
      </w:pPr>
      <w:r>
        <w:rPr>
          <w:rFonts w:ascii="Arial" w:cs="Arial" w:eastAsia="Arial" w:hAnsi="Arial"/>
          <w:sz w:val="13"/>
          <w:szCs w:val="13"/>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 r revenue could decline and our business could suffer.</w:t>
      </w:r>
    </w:p>
    <w:p>
      <w:pPr>
        <w:spacing w:after="0" w:line="138" w:lineRule="exact"/>
        <w:rPr>
          <w:sz w:val="20"/>
          <w:szCs w:val="20"/>
          <w:color w:val="auto"/>
        </w:rPr>
      </w:pPr>
    </w:p>
    <w:p>
      <w:pPr>
        <w:ind w:right="60" w:firstLine="347"/>
        <w:spacing w:after="0" w:line="268" w:lineRule="auto"/>
        <w:rPr>
          <w:sz w:val="20"/>
          <w:szCs w:val="20"/>
          <w:color w:val="auto"/>
        </w:rPr>
      </w:pPr>
      <w:r>
        <w:rPr>
          <w:rFonts w:ascii="Arial" w:cs="Arial" w:eastAsia="Arial" w:hAnsi="Arial"/>
          <w:sz w:val="13"/>
          <w:szCs w:val="13"/>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29" w:lineRule="exact"/>
        <w:rPr>
          <w:sz w:val="20"/>
          <w:szCs w:val="20"/>
          <w:color w:val="auto"/>
        </w:rPr>
      </w:pPr>
    </w:p>
    <w:p>
      <w:pPr>
        <w:ind w:right="20" w:firstLine="347"/>
        <w:spacing w:after="0" w:line="252" w:lineRule="auto"/>
        <w:rPr>
          <w:sz w:val="20"/>
          <w:szCs w:val="20"/>
          <w:color w:val="auto"/>
        </w:rPr>
      </w:pPr>
      <w:r>
        <w:rPr>
          <w:rFonts w:ascii="Arial" w:cs="Arial" w:eastAsia="Arial" w:hAnsi="Arial"/>
          <w:sz w:val="13"/>
          <w:szCs w:val="13"/>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 entity end-customers require higher levels of support than smaller end-customers. If we fail to meet the requirements of the larger end-customers, it may be more difficult to execute on our strategy to increase our penetration with larger end-customers.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As a result, our failure to maintain high quality support services would have a material adver se effect on our business, financial condition and results of operations.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Changes in our provision for income taxes or adverse outcomes resulting from examination of our income tax returns could adversely affect our results.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provision for income taxes is subject to volatility and could be adversely affected by:</w:t>
      </w:r>
    </w:p>
    <w:p>
      <w:pPr>
        <w:spacing w:after="0" w:line="159" w:lineRule="exact"/>
        <w:rPr>
          <w:sz w:val="20"/>
          <w:szCs w:val="20"/>
          <w:color w:val="auto"/>
        </w:rPr>
      </w:pPr>
    </w:p>
    <w:p>
      <w:pPr>
        <w:ind w:left="1220" w:hanging="529"/>
        <w:spacing w:after="0"/>
        <w:tabs>
          <w:tab w:leader="none" w:pos="12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earnings being lower than anticipated in countries that have lower tax rates and higher than anticipated in countries that have higher tax rates;</w:t>
      </w:r>
    </w:p>
    <w:p>
      <w:pPr>
        <w:spacing w:after="0" w:line="159" w:lineRule="exact"/>
        <w:rPr>
          <w:rFonts w:ascii="Arial" w:cs="Arial" w:eastAsia="Arial" w:hAnsi="Arial"/>
          <w:sz w:val="13"/>
          <w:szCs w:val="13"/>
          <w:color w:val="auto"/>
        </w:rPr>
      </w:pPr>
    </w:p>
    <w:p>
      <w:pPr>
        <w:ind w:left="1220" w:hanging="529"/>
        <w:spacing w:after="0"/>
        <w:tabs>
          <w:tab w:leader="none" w:pos="12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changes in the valuation of our deferred tax assets and liabilities;</w:t>
      </w:r>
    </w:p>
    <w:p>
      <w:pPr>
        <w:spacing w:after="0" w:line="159"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460"/>
          </w:cols>
          <w:pgMar w:left="220" w:top="131" w:right="219" w:bottom="1440" w:gutter="0" w:footer="0" w:header="0"/>
        </w:sectPr>
      </w:pPr>
    </w:p>
    <w:bookmarkStart w:id="51" w:name="page52"/>
    <w:bookmarkEnd w:id="5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313" w:lineRule="exact"/>
        <w:rPr>
          <w:sz w:val="20"/>
          <w:szCs w:val="20"/>
          <w:color w:val="auto"/>
        </w:rPr>
      </w:pPr>
    </w:p>
    <w:p>
      <w:pPr>
        <w:ind w:left="880" w:hanging="529"/>
        <w:spacing w:after="0"/>
        <w:tabs>
          <w:tab w:leader="none" w:pos="8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expiration of, or lapses in the research and development tax credit laws;</w:t>
      </w:r>
    </w:p>
    <w:p>
      <w:pPr>
        <w:spacing w:after="0" w:line="159" w:lineRule="exact"/>
        <w:rPr>
          <w:rFonts w:ascii="Arial" w:cs="Arial" w:eastAsia="Arial" w:hAnsi="Arial"/>
          <w:sz w:val="13"/>
          <w:szCs w:val="13"/>
          <w:color w:val="auto"/>
        </w:rPr>
      </w:pPr>
    </w:p>
    <w:p>
      <w:pPr>
        <w:ind w:left="880" w:hanging="529"/>
        <w:spacing w:after="0"/>
        <w:tabs>
          <w:tab w:leader="none" w:pos="8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transfer pricing adjustments including the effect of acquisitions on our intercompany research and development and legal structure;</w:t>
      </w:r>
    </w:p>
    <w:p>
      <w:pPr>
        <w:spacing w:after="0" w:line="159" w:lineRule="exact"/>
        <w:rPr>
          <w:rFonts w:ascii="Arial" w:cs="Arial" w:eastAsia="Arial" w:hAnsi="Arial"/>
          <w:sz w:val="13"/>
          <w:szCs w:val="13"/>
          <w:color w:val="auto"/>
        </w:rPr>
      </w:pPr>
    </w:p>
    <w:p>
      <w:pPr>
        <w:ind w:left="880" w:hanging="529"/>
        <w:spacing w:after="0"/>
        <w:tabs>
          <w:tab w:leader="none" w:pos="8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tax effects of nondeductible compensation;</w:t>
      </w:r>
    </w:p>
    <w:p>
      <w:pPr>
        <w:spacing w:after="0" w:line="159" w:lineRule="exact"/>
        <w:rPr>
          <w:rFonts w:ascii="Arial" w:cs="Arial" w:eastAsia="Arial" w:hAnsi="Arial"/>
          <w:sz w:val="13"/>
          <w:szCs w:val="13"/>
          <w:color w:val="auto"/>
        </w:rPr>
      </w:pPr>
    </w:p>
    <w:p>
      <w:pPr>
        <w:ind w:left="880" w:hanging="529"/>
        <w:spacing w:after="0"/>
        <w:tabs>
          <w:tab w:leader="none" w:pos="8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tax costs related to intercompany realignments;</w:t>
      </w:r>
    </w:p>
    <w:p>
      <w:pPr>
        <w:spacing w:after="0" w:line="159" w:lineRule="exact"/>
        <w:rPr>
          <w:rFonts w:ascii="Arial" w:cs="Arial" w:eastAsia="Arial" w:hAnsi="Arial"/>
          <w:sz w:val="13"/>
          <w:szCs w:val="13"/>
          <w:color w:val="auto"/>
        </w:rPr>
      </w:pPr>
    </w:p>
    <w:p>
      <w:pPr>
        <w:ind w:left="880" w:hanging="529"/>
        <w:spacing w:after="0"/>
        <w:tabs>
          <w:tab w:leader="none" w:pos="8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changes in accounting principles; or</w:t>
      </w:r>
    </w:p>
    <w:p>
      <w:pPr>
        <w:spacing w:after="0" w:line="159" w:lineRule="exact"/>
        <w:rPr>
          <w:rFonts w:ascii="Arial" w:cs="Arial" w:eastAsia="Arial" w:hAnsi="Arial"/>
          <w:sz w:val="13"/>
          <w:szCs w:val="13"/>
          <w:color w:val="auto"/>
        </w:rPr>
      </w:pPr>
    </w:p>
    <w:p>
      <w:pPr>
        <w:ind w:left="820" w:hanging="469"/>
        <w:spacing w:after="0" w:line="268" w:lineRule="auto"/>
        <w:tabs>
          <w:tab w:leader="none" w:pos="589" w:val="left"/>
        </w:tabs>
        <w:numPr>
          <w:ilvl w:val="0"/>
          <w:numId w:val="23"/>
        </w:numPr>
        <w:rPr>
          <w:rFonts w:ascii="Arial" w:cs="Arial" w:eastAsia="Arial" w:hAnsi="Arial"/>
          <w:sz w:val="13"/>
          <w:szCs w:val="13"/>
          <w:color w:val="auto"/>
        </w:rPr>
      </w:pPr>
      <w:r>
        <w:rPr>
          <w:rFonts w:ascii="Arial" w:cs="Arial" w:eastAsia="Arial" w:hAnsi="Arial"/>
          <w:sz w:val="13"/>
          <w:szCs w:val="13"/>
          <w:color w:val="auto"/>
        </w:rPr>
        <w:t>changes in tax laws and regulations including possible changes in the United States to the taxation of earnings of our foreign subsidiaries, and the deductibility of expenses attributable to foreign income, or the foreign tax credit rules.</w:t>
      </w:r>
    </w:p>
    <w:p>
      <w:pPr>
        <w:spacing w:after="0" w:line="129" w:lineRule="exact"/>
        <w:rPr>
          <w:sz w:val="20"/>
          <w:szCs w:val="20"/>
          <w:color w:val="auto"/>
        </w:rPr>
      </w:pPr>
    </w:p>
    <w:p>
      <w:pPr>
        <w:ind w:left="240" w:right="200" w:firstLine="347"/>
        <w:spacing w:after="0" w:line="251" w:lineRule="auto"/>
        <w:rPr>
          <w:sz w:val="20"/>
          <w:szCs w:val="20"/>
          <w:color w:val="auto"/>
        </w:rPr>
      </w:pPr>
      <w:r>
        <w:rPr>
          <w:rFonts w:ascii="Arial" w:cs="Arial" w:eastAsia="Arial" w:hAnsi="Arial"/>
          <w:sz w:val="13"/>
          <w:szCs w:val="13"/>
          <w:color w:val="auto"/>
        </w:rPr>
        <w:t>Significant judgment is required to determine the recognition and measurement attr ibute prescribed in ASC 740-10 (</w:t>
      </w:r>
      <w:r>
        <w:rPr>
          <w:rFonts w:ascii="Arial" w:cs="Arial" w:eastAsia="Arial" w:hAnsi="Arial"/>
          <w:sz w:val="13"/>
          <w:szCs w:val="13"/>
          <w:i w:val="1"/>
          <w:iCs w:val="1"/>
          <w:color w:val="auto"/>
        </w:rPr>
        <w:t>formerly referred to as SFAS Interpretation No. 48, Accounting for Uncertainty in</w:t>
      </w:r>
      <w:r>
        <w:rPr>
          <w:rFonts w:ascii="Arial" w:cs="Arial" w:eastAsia="Arial" w:hAnsi="Arial"/>
          <w:sz w:val="13"/>
          <w:szCs w:val="13"/>
          <w:color w:val="auto"/>
        </w:rPr>
        <w:t xml:space="preserve"> </w:t>
      </w:r>
      <w:r>
        <w:rPr>
          <w:rFonts w:ascii="Arial" w:cs="Arial" w:eastAsia="Arial" w:hAnsi="Arial"/>
          <w:sz w:val="13"/>
          <w:szCs w:val="13"/>
          <w:i w:val="1"/>
          <w:iCs w:val="1"/>
          <w:color w:val="auto"/>
        </w:rPr>
        <w:t>Income Taxes-an interpretation of SFAS No. 109 (FIN 48)</w:t>
      </w:r>
      <w:r>
        <w:rPr>
          <w:rFonts w:ascii="Arial" w:cs="Arial" w:eastAsia="Arial" w:hAnsi="Arial"/>
          <w:sz w:val="13"/>
          <w:szCs w:val="13"/>
          <w:color w:val="auto"/>
        </w:rPr>
        <w:t>). In addition, ASC 740-10 applies to all income tax positions, including the potential recovery of previously paid taxes, which if settled unfavorably</w:t>
      </w:r>
      <w:r>
        <w:rPr>
          <w:rFonts w:ascii="Arial" w:cs="Arial" w:eastAsia="Arial" w:hAnsi="Arial"/>
          <w:sz w:val="13"/>
          <w:szCs w:val="13"/>
          <w:i w:val="1"/>
          <w:iCs w:val="1"/>
          <w:color w:val="auto"/>
        </w:rPr>
        <w:t xml:space="preserve"> </w:t>
      </w:r>
      <w:r>
        <w:rPr>
          <w:rFonts w:ascii="Arial" w:cs="Arial" w:eastAsia="Arial" w:hAnsi="Arial"/>
          <w:sz w:val="13"/>
          <w:szCs w:val="13"/>
          <w:color w:val="auto"/>
        </w:rPr>
        <w:t>could adversely impact our provision for income taxes or additional paid-in capital. Further, as a result of certain of our ongoing employment and capital investment actions and commitments, our income in certain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40" w:lineRule="exact"/>
        <w:rPr>
          <w:sz w:val="20"/>
          <w:szCs w:val="20"/>
          <w:color w:val="auto"/>
        </w:rPr>
      </w:pPr>
    </w:p>
    <w:p>
      <w:pPr>
        <w:ind w:left="240" w:right="60" w:firstLine="347"/>
        <w:spacing w:after="0" w:line="268" w:lineRule="auto"/>
        <w:rPr>
          <w:sz w:val="20"/>
          <w:szCs w:val="20"/>
          <w:color w:val="auto"/>
        </w:rPr>
      </w:pPr>
      <w:r>
        <w:rPr>
          <w:rFonts w:ascii="Arial" w:cs="Arial" w:eastAsia="Arial" w:hAnsi="Arial"/>
          <w:sz w:val="13"/>
          <w:szCs w:val="13"/>
          <w:color w:val="auto"/>
        </w:rPr>
        <w:t>Although we released our entire valuation allowance in the year ended December 31, 2009, we may in the future be required to establish a new valuation allowance. We will continue to assess the need for a valuation allowance on the deferred tax asset by evaluating both positive and negative evidence that may exist.</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Forecasting our estimated annual effective tax rate is complex and subject to uncertainty, and there may be material differences between our forecasted and actual tax rates.</w:t>
      </w:r>
    </w:p>
    <w:p>
      <w:pPr>
        <w:spacing w:after="0" w:line="159" w:lineRule="exact"/>
        <w:rPr>
          <w:sz w:val="20"/>
          <w:szCs w:val="20"/>
          <w:color w:val="auto"/>
        </w:rPr>
      </w:pPr>
    </w:p>
    <w:p>
      <w:pPr>
        <w:ind w:left="240" w:right="60" w:firstLine="347"/>
        <w:spacing w:after="0" w:line="309" w:lineRule="auto"/>
        <w:rPr>
          <w:sz w:val="20"/>
          <w:szCs w:val="20"/>
          <w:color w:val="auto"/>
        </w:rPr>
      </w:pPr>
      <w:r>
        <w:rPr>
          <w:rFonts w:ascii="Arial" w:cs="Arial" w:eastAsia="Arial" w:hAnsi="Arial"/>
          <w:sz w:val="11"/>
          <w:szCs w:val="11"/>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 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11" w:lineRule="exact"/>
        <w:rPr>
          <w:sz w:val="20"/>
          <w:szCs w:val="20"/>
          <w:color w:val="auto"/>
        </w:rPr>
      </w:pPr>
    </w:p>
    <w:p>
      <w:pPr>
        <w:ind w:left="240" w:right="100" w:firstLine="347"/>
        <w:spacing w:after="0" w:line="278" w:lineRule="auto"/>
        <w:rPr>
          <w:sz w:val="20"/>
          <w:szCs w:val="20"/>
          <w:color w:val="auto"/>
        </w:rPr>
      </w:pPr>
      <w:r>
        <w:rPr>
          <w:rFonts w:ascii="Arial" w:cs="Arial" w:eastAsia="Arial" w:hAnsi="Arial"/>
          <w:sz w:val="12"/>
          <w:szCs w:val="12"/>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26" w:lineRule="exact"/>
        <w:rPr>
          <w:sz w:val="20"/>
          <w:szCs w:val="20"/>
          <w:color w:val="auto"/>
        </w:rPr>
      </w:pPr>
    </w:p>
    <w:p>
      <w:pPr>
        <w:jc w:val="both"/>
        <w:ind w:left="240" w:right="260" w:firstLine="347"/>
        <w:spacing w:after="0" w:line="326" w:lineRule="auto"/>
        <w:rPr>
          <w:sz w:val="20"/>
          <w:szCs w:val="20"/>
          <w:color w:val="auto"/>
        </w:rPr>
      </w:pPr>
      <w:r>
        <w:rPr>
          <w:rFonts w:ascii="Arial" w:cs="Arial" w:eastAsia="Arial" w:hAnsi="Arial"/>
          <w:sz w:val="11"/>
          <w:szCs w:val="11"/>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120"/>
          </w:cols>
          <w:pgMar w:left="560" w:top="131" w:right="219" w:bottom="1440" w:gutter="0" w:footer="0" w:header="0"/>
        </w:sectPr>
      </w:pPr>
    </w:p>
    <w:bookmarkStart w:id="52" w:name="page53"/>
    <w:bookmarkEnd w:id="52"/>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inability to acquire and integrate other businesses, products or technologies could seriously harm our competitive position.</w:t>
      </w:r>
    </w:p>
    <w:p>
      <w:pPr>
        <w:spacing w:after="0" w:line="159" w:lineRule="exact"/>
        <w:rPr>
          <w:sz w:val="20"/>
          <w:szCs w:val="20"/>
          <w:color w:val="auto"/>
        </w:rPr>
      </w:pPr>
    </w:p>
    <w:p>
      <w:pPr>
        <w:ind w:left="240" w:right="40" w:firstLine="347"/>
        <w:spacing w:after="0" w:line="275" w:lineRule="auto"/>
        <w:rPr>
          <w:sz w:val="20"/>
          <w:szCs w:val="20"/>
          <w:color w:val="auto"/>
        </w:rPr>
      </w:pPr>
      <w:r>
        <w:rPr>
          <w:rFonts w:ascii="Arial" w:cs="Arial" w:eastAsia="Arial" w:hAnsi="Arial"/>
          <w:sz w:val="12"/>
          <w:szCs w:val="12"/>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 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Further, completing a potential acquisition and integrating acquired businesses, products, technologies or intellectual property will significantly divert ma nagement time and resources.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subject to the risks of warranty claims, product returns, product liability and product defects.</w:t>
      </w:r>
    </w:p>
    <w:p>
      <w:pPr>
        <w:spacing w:after="0" w:line="159" w:lineRule="exact"/>
        <w:rPr>
          <w:sz w:val="20"/>
          <w:szCs w:val="20"/>
          <w:color w:val="auto"/>
        </w:rPr>
      </w:pPr>
    </w:p>
    <w:p>
      <w:pPr>
        <w:ind w:left="240" w:firstLine="347"/>
        <w:spacing w:after="0" w:line="273" w:lineRule="auto"/>
        <w:rPr>
          <w:sz w:val="20"/>
          <w:szCs w:val="20"/>
          <w:color w:val="auto"/>
        </w:rPr>
      </w:pPr>
      <w:r>
        <w:rPr>
          <w:rFonts w:ascii="Arial" w:cs="Arial" w:eastAsia="Arial" w:hAnsi="Arial"/>
          <w:sz w:val="12"/>
          <w:szCs w:val="12"/>
          <w:color w:val="auto"/>
        </w:rPr>
        <w:t>Our products are very complex and, despite testing prior to their release, have contained and may contain undetected defects or errors, especially when first introduced or when new versions are released. For example, one of our high-end product models has been experiencing a defect in limited deployments. Product errors have affected the performance of our products and could d 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 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30" w:lineRule="exact"/>
        <w:rPr>
          <w:sz w:val="20"/>
          <w:szCs w:val="20"/>
          <w:color w:val="auto"/>
        </w:rPr>
      </w:pPr>
    </w:p>
    <w:p>
      <w:pPr>
        <w:ind w:left="240" w:right="60" w:firstLine="347"/>
        <w:spacing w:after="0" w:line="254" w:lineRule="auto"/>
        <w:rPr>
          <w:sz w:val="20"/>
          <w:szCs w:val="20"/>
          <w:color w:val="auto"/>
        </w:rPr>
      </w:pPr>
      <w:r>
        <w:rPr>
          <w:rFonts w:ascii="Arial" w:cs="Arial" w:eastAsia="Arial" w:hAnsi="Arial"/>
          <w:sz w:val="13"/>
          <w:szCs w:val="13"/>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 r insurance coverage may not adequately cover any claim asserted against us. In addition, even claims that ultimately are unsuccessful could result in our expenditure of funds in litigation and divert management's time and other resources.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subject to the risks of earthquakes, fire, power outages, floods and other catastrophic events, and to interruption by manmade problems such as terrorism.</w:t>
      </w:r>
    </w:p>
    <w:p>
      <w:pPr>
        <w:spacing w:after="0" w:line="159" w:lineRule="exact"/>
        <w:rPr>
          <w:sz w:val="20"/>
          <w:szCs w:val="20"/>
          <w:color w:val="auto"/>
        </w:rPr>
      </w:pPr>
    </w:p>
    <w:p>
      <w:pPr>
        <w:ind w:left="240" w:right="20" w:firstLine="347"/>
        <w:spacing w:after="0" w:line="273" w:lineRule="auto"/>
        <w:rPr>
          <w:sz w:val="20"/>
          <w:szCs w:val="20"/>
          <w:color w:val="auto"/>
        </w:rPr>
      </w:pPr>
      <w:r>
        <w:rPr>
          <w:rFonts w:ascii="Arial" w:cs="Arial" w:eastAsia="Arial" w:hAnsi="Arial"/>
          <w:sz w:val="12"/>
          <w:szCs w:val="12"/>
          <w:color w:val="auto"/>
        </w:rPr>
        <w:t>A significant natural disaster, such as an earthquake, fire, a flood, or significant power outa ge could have a material adverse impact on our business, operating results and financial condition. Our corporate headquarters are located in the San Francisco Bay Area, a region known for seismic activity. In addition, natural disasters could affect our manufacturing vendors or logistics providers' ability to perform services such as manufacturing products on a timely basis and assisting with shipments on a timely basis. For example, our primary international logistics provider is located in Taiwan which is an area known for typhoons.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acts of terrorism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120"/>
          </w:cols>
          <w:pgMar w:left="560" w:top="131" w:right="219" w:bottom="1440" w:gutter="0" w:footer="0" w:header="0"/>
        </w:sectPr>
      </w:pPr>
    </w:p>
    <w:bookmarkStart w:id="53" w:name="page54"/>
    <w:bookmarkEnd w:id="53"/>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Industry</w:t>
      </w:r>
    </w:p>
    <w:p>
      <w:pPr>
        <w:spacing w:after="0" w:line="163" w:lineRule="exact"/>
        <w:rPr>
          <w:sz w:val="20"/>
          <w:szCs w:val="20"/>
          <w:color w:val="auto"/>
        </w:rPr>
      </w:pPr>
    </w:p>
    <w:p>
      <w:pPr>
        <w:ind w:left="240" w:right="160" w:hanging="230"/>
        <w:spacing w:after="0" w:line="268" w:lineRule="auto"/>
        <w:rPr>
          <w:sz w:val="20"/>
          <w:szCs w:val="20"/>
          <w:color w:val="auto"/>
        </w:rPr>
      </w:pPr>
      <w:r>
        <w:rPr>
          <w:rFonts w:ascii="Arial" w:cs="Arial" w:eastAsia="Arial" w:hAnsi="Arial"/>
          <w:sz w:val="13"/>
          <w:szCs w:val="13"/>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29" w:lineRule="exact"/>
        <w:rPr>
          <w:sz w:val="20"/>
          <w:szCs w:val="20"/>
          <w:color w:val="auto"/>
        </w:rPr>
      </w:pPr>
    </w:p>
    <w:p>
      <w:pPr>
        <w:ind w:left="240" w:right="20" w:firstLine="347"/>
        <w:spacing w:after="0" w:line="299" w:lineRule="auto"/>
        <w:rPr>
          <w:sz w:val="20"/>
          <w:szCs w:val="20"/>
          <w:color w:val="auto"/>
        </w:rPr>
      </w:pPr>
      <w:r>
        <w:rPr>
          <w:rFonts w:ascii="Arial" w:cs="Arial" w:eastAsia="Arial" w:hAnsi="Arial"/>
          <w:sz w:val="11"/>
          <w:szCs w:val="11"/>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 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For example, in the first quarter of fiscal 2009, we released a new model within our FortiGate product line and, after its initial release, we detected errors in the product that required us to redesign certain aspects of the product which delayed the availability of the product for one quarter and delayed our recognition of revenue from l arge orders that included such product until the following quarter when the product became available.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171" w:lineRule="exact"/>
        <w:rPr>
          <w:sz w:val="20"/>
          <w:szCs w:val="20"/>
          <w:color w:val="auto"/>
        </w:rPr>
      </w:pPr>
    </w:p>
    <w:p>
      <w:pPr>
        <w:ind w:left="240" w:hanging="230"/>
        <w:spacing w:after="0" w:line="251" w:lineRule="auto"/>
        <w:rPr>
          <w:sz w:val="20"/>
          <w:szCs w:val="20"/>
          <w:color w:val="auto"/>
        </w:rPr>
      </w:pPr>
      <w:r>
        <w:rPr>
          <w:rFonts w:ascii="Arial" w:cs="Arial" w:eastAsia="Arial" w:hAnsi="Arial"/>
          <w:sz w:val="13"/>
          <w:szCs w:val="13"/>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 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140" w:lineRule="exact"/>
        <w:rPr>
          <w:sz w:val="20"/>
          <w:szCs w:val="20"/>
          <w:color w:val="auto"/>
        </w:rPr>
      </w:pPr>
    </w:p>
    <w:p>
      <w:pPr>
        <w:ind w:left="240" w:right="40" w:firstLine="347"/>
        <w:spacing w:after="0" w:line="276" w:lineRule="auto"/>
        <w:rPr>
          <w:sz w:val="20"/>
          <w:szCs w:val="20"/>
          <w:color w:val="auto"/>
        </w:rPr>
      </w:pPr>
      <w:r>
        <w:rPr>
          <w:rFonts w:ascii="Arial" w:cs="Arial" w:eastAsia="Arial" w:hAnsi="Arial"/>
          <w:sz w:val="12"/>
          <w:szCs w:val="12"/>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 t included in specific categories of our databases. In addition, it is 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 ur new products and product enhancements do not achieve sufficient market acceptance, our results of operations and competitive position will suffer.</w:t>
      </w:r>
    </w:p>
    <w:p>
      <w:pPr>
        <w:spacing w:after="0" w:line="159" w:lineRule="exact"/>
        <w:rPr>
          <w:sz w:val="20"/>
          <w:szCs w:val="20"/>
          <w:color w:val="auto"/>
        </w:rPr>
      </w:pPr>
    </w:p>
    <w:p>
      <w:pPr>
        <w:jc w:val="both"/>
        <w:ind w:left="240" w:right="100" w:firstLine="347"/>
        <w:spacing w:after="0" w:line="258" w:lineRule="auto"/>
        <w:rPr>
          <w:sz w:val="20"/>
          <w:szCs w:val="20"/>
          <w:color w:val="auto"/>
        </w:rPr>
      </w:pPr>
      <w:r>
        <w:rPr>
          <w:rFonts w:ascii="Arial" w:cs="Arial" w:eastAsia="Arial" w:hAnsi="Arial"/>
          <w:sz w:val="13"/>
          <w:szCs w:val="13"/>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080"/>
          </w:cols>
          <w:pgMar w:left="560" w:top="131" w:right="259" w:bottom="1440" w:gutter="0" w:footer="0" w:header="0"/>
        </w:sectPr>
      </w:pPr>
    </w:p>
    <w:bookmarkStart w:id="54" w:name="page55"/>
    <w:bookmarkEnd w:id="54"/>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left="240" w:right="60" w:hanging="230"/>
        <w:spacing w:after="0" w:line="268" w:lineRule="auto"/>
        <w:rPr>
          <w:sz w:val="20"/>
          <w:szCs w:val="20"/>
          <w:color w:val="auto"/>
        </w:rPr>
      </w:pPr>
      <w:r>
        <w:rPr>
          <w:rFonts w:ascii="Arial" w:cs="Arial" w:eastAsia="Arial" w:hAnsi="Arial"/>
          <w:sz w:val="13"/>
          <w:szCs w:val="13"/>
          <w:color w:val="auto"/>
        </w:rPr>
        <w:t>and sell the new offering. Therefore, when we develop and introduce new or enhanced products, they must achieve high levels of market acceptance in order to justify the amount of our investment in developing and bringing them to market.</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Our new products or product enhancements could fail to attain sufficient market acceptance for many reasons, including:</w:t>
      </w:r>
    </w:p>
    <w:p>
      <w:pPr>
        <w:spacing w:after="0" w:line="159" w:lineRule="exact"/>
        <w:rPr>
          <w:sz w:val="20"/>
          <w:szCs w:val="20"/>
          <w:color w:val="auto"/>
        </w:rPr>
      </w:pPr>
    </w:p>
    <w:p>
      <w:pPr>
        <w:ind w:left="580" w:hanging="2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delays in releasing our new products or enhancements to the market;</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failure to accurately predict market demand in terms of product functionality and to supply products that meet this demand in a timely fashion;</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inability to interoperate effectively with the networks or applications of our prospective end-customers;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inability to protect against new types of attacks or techniques used by hackers;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defects, errors or failures;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negative publicity about their performance or effectiveness;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introduction or anticipated introduction of competing products by our competitors;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poor business conditions for our end-customers, causing them to delay IT purchases;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easing of regulatory requirements around security; and</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reluctance of customers to purchase products incorporating open source software.</w:t>
      </w:r>
    </w:p>
    <w:p>
      <w:pPr>
        <w:spacing w:after="0" w:line="159" w:lineRule="exact"/>
        <w:rPr>
          <w:sz w:val="20"/>
          <w:szCs w:val="20"/>
          <w:color w:val="auto"/>
        </w:rPr>
      </w:pPr>
    </w:p>
    <w:p>
      <w:pPr>
        <w:ind w:left="240" w:right="220" w:firstLine="347"/>
        <w:spacing w:after="0" w:line="310" w:lineRule="auto"/>
        <w:rPr>
          <w:sz w:val="20"/>
          <w:szCs w:val="20"/>
          <w:color w:val="auto"/>
        </w:rPr>
      </w:pPr>
      <w:r>
        <w:rPr>
          <w:rFonts w:ascii="Arial" w:cs="Arial" w:eastAsia="Arial" w:hAnsi="Arial"/>
          <w:sz w:val="12"/>
          <w:szCs w:val="12"/>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Unless we develop better market awareness of our company and our products, our revenue may not continue to grow.</w:t>
      </w:r>
    </w:p>
    <w:p>
      <w:pPr>
        <w:spacing w:after="0" w:line="159" w:lineRule="exact"/>
        <w:rPr>
          <w:sz w:val="20"/>
          <w:szCs w:val="20"/>
          <w:color w:val="auto"/>
        </w:rPr>
      </w:pPr>
    </w:p>
    <w:p>
      <w:pPr>
        <w:ind w:left="240" w:right="200" w:firstLine="347"/>
        <w:spacing w:after="0" w:line="254" w:lineRule="auto"/>
        <w:rPr>
          <w:sz w:val="20"/>
          <w:szCs w:val="20"/>
          <w:color w:val="auto"/>
        </w:rPr>
      </w:pPr>
      <w:r>
        <w:rPr>
          <w:rFonts w:ascii="Arial" w:cs="Arial" w:eastAsia="Arial" w:hAnsi="Arial"/>
          <w:sz w:val="13"/>
          <w:szCs w:val="13"/>
          <w:color w:val="auto"/>
        </w:rPr>
        <w:t>We are a relatively new entrant in the network security market and we believe that we have not yet established sufficient market awareness of our participatio n in that market. Market awareness of our capabilities and products is essential to our continued growth and our success in all of our markets, particularly for the large enterprise, service provider and government entities markets.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Demand for Unified Threat Management products may be limited by market perception that UTM products are inferior to network security solutions from multiple vendors.</w:t>
      </w:r>
    </w:p>
    <w:p>
      <w:pPr>
        <w:spacing w:after="0" w:line="159" w:lineRule="exact"/>
        <w:rPr>
          <w:sz w:val="20"/>
          <w:szCs w:val="20"/>
          <w:color w:val="auto"/>
        </w:rPr>
      </w:pPr>
    </w:p>
    <w:p>
      <w:pPr>
        <w:ind w:left="240" w:firstLine="347"/>
        <w:spacing w:after="0" w:line="273" w:lineRule="auto"/>
        <w:rPr>
          <w:sz w:val="20"/>
          <w:szCs w:val="20"/>
          <w:color w:val="auto"/>
        </w:rPr>
      </w:pPr>
      <w:r>
        <w:rPr>
          <w:rFonts w:ascii="Arial" w:cs="Arial" w:eastAsia="Arial" w:hAnsi="Arial"/>
          <w:sz w:val="12"/>
          <w:szCs w:val="12"/>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intense competition in our market, especially from larger, better-known companies, and we may lack sufficient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120"/>
          </w:cols>
          <w:pgMar w:left="560" w:top="131" w:right="219" w:bottom="1440" w:gutter="0" w:footer="0" w:header="0"/>
        </w:sectPr>
      </w:pPr>
    </w:p>
    <w:bookmarkStart w:id="55" w:name="page56"/>
    <w:bookmarkEnd w:id="55"/>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or other resources to maintain or improve our competitive position.</w:t>
      </w:r>
    </w:p>
    <w:p>
      <w:pPr>
        <w:spacing w:after="0" w:line="159" w:lineRule="exact"/>
        <w:rPr>
          <w:sz w:val="20"/>
          <w:szCs w:val="20"/>
          <w:color w:val="auto"/>
        </w:rPr>
      </w:pPr>
    </w:p>
    <w:p>
      <w:pPr>
        <w:ind w:left="240" w:right="260" w:firstLine="347"/>
        <w:spacing w:after="0" w:line="310" w:lineRule="auto"/>
        <w:rPr>
          <w:sz w:val="20"/>
          <w:szCs w:val="20"/>
          <w:color w:val="auto"/>
        </w:rPr>
      </w:pPr>
      <w:r>
        <w:rPr>
          <w:rFonts w:ascii="Arial" w:cs="Arial" w:eastAsia="Arial" w:hAnsi="Arial"/>
          <w:sz w:val="12"/>
          <w:szCs w:val="12"/>
          <w:color w:val="auto"/>
        </w:rPr>
        <w:t>The market for network security products is intensely competitive and we expect competition to intensify in the future. Our competitors include networking companies such as Cisco Systems, Inc. and Juniper Networks, Inc., security vendors such as Check Point Software Technologies Ltd., McAfee, Inc., and SonicWALL Inc., and other point solution security vendors.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3"/>
          <w:szCs w:val="13"/>
          <w:color w:val="auto"/>
        </w:rPr>
        <w:t>Many of our existing and potential competitors enjoy substantial competitive advantages such as:</w:t>
      </w:r>
    </w:p>
    <w:p>
      <w:pPr>
        <w:spacing w:after="0" w:line="159" w:lineRule="exact"/>
        <w:rPr>
          <w:sz w:val="20"/>
          <w:szCs w:val="20"/>
          <w:color w:val="auto"/>
        </w:rPr>
      </w:pPr>
    </w:p>
    <w:p>
      <w:pPr>
        <w:ind w:left="580" w:hanging="229"/>
        <w:spacing w:after="0"/>
        <w:tabs>
          <w:tab w:leader="none" w:pos="5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greater name recognition and longer operating histories;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larger sales and marketing budgets and resources;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broader distribution and established relationships with distribution partners and end-customers;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access to larger customer bases;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greater customer support resources;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greater resources to make acquisitions;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lower labor and development costs; and</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substantially greater financial, technical and other resources.</w:t>
      </w:r>
    </w:p>
    <w:p>
      <w:pPr>
        <w:spacing w:after="0" w:line="159" w:lineRule="exact"/>
        <w:rPr>
          <w:sz w:val="20"/>
          <w:szCs w:val="20"/>
          <w:color w:val="auto"/>
        </w:rPr>
      </w:pPr>
    </w:p>
    <w:p>
      <w:pPr>
        <w:ind w:left="240" w:hanging="230"/>
        <w:spacing w:after="0" w:line="271" w:lineRule="auto"/>
        <w:rPr>
          <w:sz w:val="20"/>
          <w:szCs w:val="20"/>
          <w:color w:val="auto"/>
        </w:rPr>
      </w:pPr>
      <w:r>
        <w:rPr>
          <w:rFonts w:ascii="Arial" w:cs="Arial" w:eastAsia="Arial" w:hAnsi="Arial"/>
          <w:sz w:val="12"/>
          <w:szCs w:val="12"/>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are in a better position to withstand any significant reduction in capital spending by end-customers in these markets, and will therefore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McAfee's acquisition of Secure Computing Corporation and Check Point's acquisition of Nokia's security appliance business.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 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34" w:lineRule="exact"/>
        <w:rPr>
          <w:sz w:val="20"/>
          <w:szCs w:val="20"/>
          <w:color w:val="auto"/>
        </w:rPr>
      </w:pPr>
    </w:p>
    <w:p>
      <w:pPr>
        <w:ind w:left="240" w:right="40" w:hanging="230"/>
        <w:spacing w:after="0" w:line="268" w:lineRule="auto"/>
        <w:rPr>
          <w:sz w:val="20"/>
          <w:szCs w:val="20"/>
          <w:color w:val="auto"/>
        </w:rPr>
      </w:pPr>
      <w:r>
        <w:rPr>
          <w:rFonts w:ascii="Arial" w:cs="Arial" w:eastAsia="Arial" w:hAnsi="Arial"/>
          <w:sz w:val="13"/>
          <w:szCs w:val="13"/>
          <w:b w:val="1"/>
          <w:bCs w:val="1"/>
          <w:i w:val="1"/>
          <w:iCs w:val="1"/>
          <w:color w:val="auto"/>
        </w:rPr>
        <w:t>If functionality similar to that offered by our products is incorporated into existing network infrastructure products, organizations may decide agai nst adding our appliances to their network, which would have an adverse effect on our business.</w:t>
      </w:r>
    </w:p>
    <w:p>
      <w:pPr>
        <w:spacing w:after="0" w:line="129" w:lineRule="exact"/>
        <w:rPr>
          <w:sz w:val="20"/>
          <w:szCs w:val="20"/>
          <w:color w:val="auto"/>
        </w:rPr>
      </w:pPr>
    </w:p>
    <w:p>
      <w:pPr>
        <w:ind w:left="240" w:right="180" w:firstLine="347"/>
        <w:spacing w:after="0" w:line="276" w:lineRule="auto"/>
        <w:rPr>
          <w:sz w:val="20"/>
          <w:szCs w:val="20"/>
          <w:color w:val="auto"/>
        </w:rPr>
      </w:pPr>
      <w:r>
        <w:rPr>
          <w:rFonts w:ascii="Arial" w:cs="Arial" w:eastAsia="Arial" w:hAnsi="Arial"/>
          <w:sz w:val="12"/>
          <w:szCs w:val="12"/>
          <w:color w:val="auto"/>
        </w:rPr>
        <w:t>Large, well-established providers of networking equipment such as Cisco Systems, Inc. and Juniper Networks, Inc.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 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100"/>
          </w:cols>
          <w:pgMar w:left="560" w:top="131" w:right="239" w:bottom="1440" w:gutter="0" w:footer="0" w:header="0"/>
        </w:sectPr>
      </w:pPr>
    </w:p>
    <w:bookmarkStart w:id="56" w:name="page57"/>
    <w:bookmarkEnd w:id="56"/>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left="240" w:right="140" w:hanging="230"/>
        <w:spacing w:after="0" w:line="289" w:lineRule="auto"/>
        <w:rPr>
          <w:sz w:val="20"/>
          <w:szCs w:val="20"/>
          <w:color w:val="auto"/>
        </w:rPr>
      </w:pPr>
      <w:r>
        <w:rPr>
          <w:rFonts w:ascii="Arial" w:cs="Arial" w:eastAsia="Arial" w:hAnsi="Arial"/>
          <w:sz w:val="12"/>
          <w:szCs w:val="12"/>
          <w:color w:val="auto"/>
        </w:rPr>
        <w:t>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proprietary rights may be difficult to enforce, which could enable others to copy or use aspects of our products without compensating us.</w:t>
      </w:r>
    </w:p>
    <w:p>
      <w:pPr>
        <w:spacing w:after="0" w:line="159" w:lineRule="exact"/>
        <w:rPr>
          <w:sz w:val="20"/>
          <w:szCs w:val="20"/>
          <w:color w:val="auto"/>
        </w:rPr>
      </w:pPr>
    </w:p>
    <w:p>
      <w:pPr>
        <w:ind w:left="240" w:right="60" w:firstLine="347"/>
        <w:spacing w:after="0" w:line="274" w:lineRule="auto"/>
        <w:rPr>
          <w:sz w:val="20"/>
          <w:szCs w:val="20"/>
          <w:color w:val="auto"/>
        </w:rPr>
      </w:pPr>
      <w:r>
        <w:rPr>
          <w:rFonts w:ascii="Arial" w:cs="Arial" w:eastAsia="Arial" w:hAnsi="Arial"/>
          <w:sz w:val="12"/>
          <w:szCs w:val="12"/>
          <w:color w:val="auto"/>
        </w:rPr>
        <w:t>We rely primarily on patent, trademark, copyright and trade secrets laws, confidentiality procedures and contractual provisions to protect our technology. We purchased most of our issued U.S. patents and many of our pending U.S. patent applications from other entities. Valid patents may not issue from our pending applications, and the claims eventually allowed on any patents may not be sufficiently broad to protect our technology or products. Any issued patents may be challenged, invalidated or circumvented, and any ri ghts granted under these patents may not actually provide adequate defensive protection or competitive advantages to us. Patent applications in the United States are typically not published until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28" w:lineRule="exact"/>
        <w:rPr>
          <w:sz w:val="20"/>
          <w:szCs w:val="20"/>
          <w:color w:val="auto"/>
        </w:rPr>
      </w:pPr>
    </w:p>
    <w:p>
      <w:pPr>
        <w:ind w:left="240" w:firstLine="347"/>
        <w:spacing w:after="0" w:line="274" w:lineRule="auto"/>
        <w:rPr>
          <w:sz w:val="20"/>
          <w:szCs w:val="20"/>
          <w:color w:val="auto"/>
        </w:rPr>
      </w:pPr>
      <w:r>
        <w:rPr>
          <w:rFonts w:ascii="Arial" w:cs="Arial" w:eastAsia="Arial" w:hAnsi="Arial"/>
          <w:sz w:val="12"/>
          <w:szCs w:val="12"/>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 nited States. From time-to-time,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82" w:lineRule="exact"/>
        <w:rPr>
          <w:sz w:val="20"/>
          <w:szCs w:val="20"/>
          <w:color w:val="auto"/>
        </w:rPr>
      </w:pPr>
    </w:p>
    <w:p>
      <w:pPr>
        <w:ind w:left="240" w:firstLine="347"/>
        <w:spacing w:after="0" w:line="304" w:lineRule="auto"/>
        <w:rPr>
          <w:sz w:val="20"/>
          <w:szCs w:val="20"/>
          <w:color w:val="auto"/>
        </w:rPr>
      </w:pPr>
      <w:r>
        <w:rPr>
          <w:rFonts w:ascii="Arial" w:cs="Arial" w:eastAsia="Arial" w:hAnsi="Arial"/>
          <w:sz w:val="11"/>
          <w:szCs w:val="11"/>
          <w:color w:val="auto"/>
        </w:rPr>
        <w:t>Our products contain software modules licensed to us by third-party authors under “open source” licenses, including the GNU Public License (GPL), the GNU Lesser Public License (LGPL), the BSD License, the Apache License and others. From time-to-time, there have been claims against companies that distribute or use open source software in their products and services, asserting that open source software infringes the claimants' intellectual property rights. We could be subject to suits by parties claiming infringement of int 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13" w:lineRule="exact"/>
        <w:rPr>
          <w:sz w:val="20"/>
          <w:szCs w:val="20"/>
          <w:color w:val="auto"/>
        </w:rPr>
      </w:pPr>
    </w:p>
    <w:p>
      <w:pPr>
        <w:ind w:left="240" w:right="20" w:firstLine="347"/>
        <w:spacing w:after="0" w:line="326" w:lineRule="auto"/>
        <w:rPr>
          <w:sz w:val="20"/>
          <w:szCs w:val="20"/>
          <w:color w:val="auto"/>
        </w:rPr>
      </w:pPr>
      <w:r>
        <w:rPr>
          <w:rFonts w:ascii="Arial" w:cs="Arial" w:eastAsia="Arial" w:hAnsi="Arial"/>
          <w:sz w:val="11"/>
          <w:szCs w:val="11"/>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120"/>
          </w:cols>
          <w:pgMar w:left="560" w:top="131" w:right="219" w:bottom="1440" w:gutter="0" w:footer="0" w:header="0"/>
        </w:sectPr>
      </w:pPr>
    </w:p>
    <w:bookmarkStart w:id="57" w:name="page58"/>
    <w:bookmarkEnd w:id="57"/>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products if re-engineering could not be accomplished on a timely basis, any of which could adversely affect our business, operating results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Claims by others that we infringe their proprietary technology could harm our business.</w:t>
      </w:r>
    </w:p>
    <w:p>
      <w:pPr>
        <w:spacing w:after="0" w:line="159" w:lineRule="exact"/>
        <w:rPr>
          <w:sz w:val="20"/>
          <w:szCs w:val="20"/>
          <w:color w:val="auto"/>
        </w:rPr>
      </w:pPr>
    </w:p>
    <w:p>
      <w:pPr>
        <w:ind w:left="240" w:right="60" w:firstLine="347"/>
        <w:spacing w:after="0" w:line="278" w:lineRule="auto"/>
        <w:rPr>
          <w:sz w:val="20"/>
          <w:szCs w:val="20"/>
          <w:color w:val="auto"/>
        </w:rPr>
      </w:pPr>
      <w:r>
        <w:rPr>
          <w:rFonts w:ascii="Arial" w:cs="Arial" w:eastAsia="Arial" w:hAnsi="Arial"/>
          <w:sz w:val="12"/>
          <w:szCs w:val="12"/>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future litigation may involve patent holding companies or other adverse patent owners who have no relevant product revenue and against whom our own patents may therefore provide little or no deterrence or protection.</w:t>
      </w:r>
    </w:p>
    <w:p>
      <w:pPr>
        <w:spacing w:after="0" w:line="126" w:lineRule="exact"/>
        <w:rPr>
          <w:sz w:val="20"/>
          <w:szCs w:val="20"/>
          <w:color w:val="auto"/>
        </w:rPr>
      </w:pPr>
    </w:p>
    <w:p>
      <w:pPr>
        <w:ind w:left="240" w:right="100" w:firstLine="347"/>
        <w:spacing w:after="0" w:line="258" w:lineRule="auto"/>
        <w:rPr>
          <w:sz w:val="20"/>
          <w:szCs w:val="20"/>
          <w:color w:val="auto"/>
        </w:rPr>
      </w:pPr>
      <w:r>
        <w:rPr>
          <w:rFonts w:ascii="Arial" w:cs="Arial" w:eastAsia="Arial" w:hAnsi="Arial"/>
          <w:sz w:val="13"/>
          <w:szCs w:val="13"/>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35" w:lineRule="exact"/>
        <w:rPr>
          <w:sz w:val="20"/>
          <w:szCs w:val="20"/>
          <w:color w:val="auto"/>
        </w:rPr>
      </w:pPr>
    </w:p>
    <w:p>
      <w:pPr>
        <w:jc w:val="both"/>
        <w:ind w:left="240" w:right="40" w:firstLine="347"/>
        <w:spacing w:after="0" w:line="326" w:lineRule="auto"/>
        <w:rPr>
          <w:sz w:val="20"/>
          <w:szCs w:val="20"/>
          <w:color w:val="auto"/>
        </w:rPr>
      </w:pPr>
      <w:r>
        <w:rPr>
          <w:rFonts w:ascii="Arial" w:cs="Arial" w:eastAsia="Arial" w:hAnsi="Arial"/>
          <w:sz w:val="11"/>
          <w:szCs w:val="11"/>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02" w:lineRule="exact"/>
        <w:rPr>
          <w:sz w:val="20"/>
          <w:szCs w:val="20"/>
          <w:color w:val="auto"/>
        </w:rPr>
      </w:pPr>
    </w:p>
    <w:p>
      <w:pPr>
        <w:ind w:left="240" w:firstLine="347"/>
        <w:spacing w:after="0" w:line="297" w:lineRule="auto"/>
        <w:rPr>
          <w:sz w:val="20"/>
          <w:szCs w:val="20"/>
          <w:color w:val="auto"/>
        </w:rPr>
      </w:pPr>
      <w:r>
        <w:rPr>
          <w:rFonts w:ascii="Arial" w:cs="Arial" w:eastAsia="Arial" w:hAnsi="Arial"/>
          <w:sz w:val="11"/>
          <w:szCs w:val="11"/>
          <w:color w:val="auto"/>
        </w:rPr>
        <w:t>We have been involved in patent disputes in the past, are currently involved in several patent disputes, and likely will be involved in additional disputes in the future. In May 2004, Trend Micro Incorporated filed a complaint against us alleging that we infringed a Trend Micro patent related to antivirus software. The International Trade Commission, or ITC, subsequently instituted an investigation which resulted in an exclusion order and a cease and desist order prohibiting us from selling a broad array of our products in the United States. In January 2006, we settled the lawsuit with Trend Micro, and subsequently the ITC terminated its action and rescinded the orders.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 e have no contractual obligation to pay the royalties. Trend Micro moved to dismiss the case, and, in June 2009, the court dismissed the case without prejudice on procedural grounds, and we appealed the dismissal in July 2009. Based on the dispute, we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In May 2010 the state court denied Trend Micro's demurrer in its entirety. Also in May 2010, the United States District Court for the Northern District of California denied Trend Micro's motion to dismiss without prejudice and stayed the action before that court pending the conclusion of the state court action. At this stage it is not possible to predict the outcome. An adverse outcome in this dispute could result in accelerated royalty payments and additional damages.</w:t>
      </w:r>
    </w:p>
    <w:p>
      <w:pPr>
        <w:spacing w:after="0" w:line="120" w:lineRule="exact"/>
        <w:rPr>
          <w:sz w:val="20"/>
          <w:szCs w:val="20"/>
          <w:color w:val="auto"/>
        </w:rPr>
      </w:pPr>
    </w:p>
    <w:p>
      <w:pPr>
        <w:ind w:left="240" w:right="60" w:firstLine="347"/>
        <w:spacing w:after="0" w:line="254" w:lineRule="auto"/>
        <w:rPr>
          <w:sz w:val="20"/>
          <w:szCs w:val="20"/>
          <w:color w:val="auto"/>
        </w:rPr>
      </w:pPr>
      <w:r>
        <w:rPr>
          <w:rFonts w:ascii="Arial" w:cs="Arial" w:eastAsia="Arial" w:hAnsi="Arial"/>
          <w:sz w:val="13"/>
          <w:szCs w:val="13"/>
          <w:color w:val="auto"/>
        </w:rPr>
        <w:t>In August 2009, Enhanced Security Research, LLC (“ESR”) a non-practicing entity, filed a complaint against us in the United States District Court for the District of Delaware alleging infringement by us and other defendants of two patents. A defendant in another case filed a petition for reexamination of one of ESR's asserted patents with the U.S. Patent and Trademark Office (“PTO”), and, in November 2009, we filed a petition with the PTO for reexamination of the other asserted patent. In December 2009, we filed a motion to stay the court proceedings pending resolution of the reexamination proceedings. In June 2010, the Court granted our motion to stay pending the outcome of reexamination proceedings.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100"/>
          </w:cols>
          <w:pgMar w:left="560" w:top="131" w:right="239" w:bottom="1440" w:gutter="0" w:footer="0" w:header="0"/>
        </w:sectPr>
      </w:pPr>
    </w:p>
    <w:bookmarkStart w:id="58" w:name="page59"/>
    <w:bookmarkEnd w:id="58"/>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ind w:left="240" w:right="160" w:firstLine="347"/>
        <w:spacing w:after="0" w:line="268" w:lineRule="auto"/>
        <w:rPr>
          <w:sz w:val="20"/>
          <w:szCs w:val="20"/>
          <w:color w:val="auto"/>
        </w:rPr>
      </w:pPr>
      <w:r>
        <w:rPr>
          <w:rFonts w:ascii="Arial" w:cs="Arial" w:eastAsia="Arial" w:hAnsi="Arial"/>
          <w:sz w:val="13"/>
          <w:szCs w:val="13"/>
          <w:color w:val="auto"/>
        </w:rPr>
        <w:t>In July 2010, Network Protection Sciences, LLC ("NPS"), a non-practicing entity, filed a complaint in the United States District Court for the Eastern District of Texas alleging patent infringement by us and other defendants. Currently the case is in the very early stages.</w:t>
      </w:r>
    </w:p>
    <w:p>
      <w:pPr>
        <w:spacing w:after="0" w:line="129" w:lineRule="exact"/>
        <w:rPr>
          <w:sz w:val="20"/>
          <w:szCs w:val="20"/>
          <w:color w:val="auto"/>
        </w:rPr>
      </w:pPr>
    </w:p>
    <w:p>
      <w:pPr>
        <w:ind w:left="240" w:right="120" w:firstLine="347"/>
        <w:spacing w:after="0" w:line="268" w:lineRule="auto"/>
        <w:rPr>
          <w:sz w:val="20"/>
          <w:szCs w:val="20"/>
          <w:color w:val="auto"/>
        </w:rPr>
      </w:pPr>
      <w:r>
        <w:rPr>
          <w:rFonts w:ascii="Arial" w:cs="Arial" w:eastAsia="Arial" w:hAnsi="Arial"/>
          <w:sz w:val="13"/>
          <w:szCs w:val="13"/>
          <w:color w:val="auto"/>
        </w:rPr>
        <w:t>In September 2010, Wordcheck Tech, LLC ("Wordcheck"), a non-participating entity, filed a complaint in the United States District Court for the Eastern District of Texas alleging patent infringement by us and numerous other defendants. Currently the case is in the very early stages, and we have yet to answer the complaint.</w:t>
      </w:r>
    </w:p>
    <w:p>
      <w:pPr>
        <w:spacing w:after="0" w:line="129" w:lineRule="exact"/>
        <w:rPr>
          <w:sz w:val="20"/>
          <w:szCs w:val="20"/>
          <w:color w:val="auto"/>
        </w:rPr>
      </w:pPr>
    </w:p>
    <w:p>
      <w:pPr>
        <w:ind w:left="240" w:right="60" w:firstLine="347"/>
        <w:spacing w:after="0" w:line="252" w:lineRule="auto"/>
        <w:rPr>
          <w:sz w:val="20"/>
          <w:szCs w:val="20"/>
          <w:color w:val="auto"/>
        </w:rPr>
      </w:pPr>
      <w:r>
        <w:rPr>
          <w:rFonts w:ascii="Arial" w:cs="Arial" w:eastAsia="Arial" w:hAnsi="Arial"/>
          <w:sz w:val="13"/>
          <w:szCs w:val="13"/>
          <w:color w:val="auto"/>
        </w:rPr>
        <w:t>If we are unsuccessful in defending against any of ESR's, NPS's or Wordcheck's claims, our operating results and financial condition and results may be materially and adversely affected. For example, we may be required to pay substantial damages and could be prevented from selling certain of our products. Several other non-practicing patent holding companies have s 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the availability of third-party licenses.</w:t>
      </w:r>
    </w:p>
    <w:p>
      <w:pPr>
        <w:spacing w:after="0" w:line="159" w:lineRule="exact"/>
        <w:rPr>
          <w:sz w:val="20"/>
          <w:szCs w:val="20"/>
          <w:color w:val="auto"/>
        </w:rPr>
      </w:pPr>
    </w:p>
    <w:p>
      <w:pPr>
        <w:ind w:left="240" w:right="20" w:firstLine="347"/>
        <w:spacing w:after="0" w:line="278" w:lineRule="auto"/>
        <w:rPr>
          <w:sz w:val="20"/>
          <w:szCs w:val="20"/>
          <w:color w:val="auto"/>
        </w:rPr>
      </w:pPr>
      <w:r>
        <w:rPr>
          <w:rFonts w:ascii="Arial" w:cs="Arial" w:eastAsia="Arial" w:hAnsi="Arial"/>
          <w:sz w:val="12"/>
          <w:szCs w:val="12"/>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 rom those of our competitors.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Ownership of our Common Stock</w:t>
      </w:r>
    </w:p>
    <w:p>
      <w:pPr>
        <w:spacing w:after="0" w:line="163" w:lineRule="exact"/>
        <w:rPr>
          <w:sz w:val="20"/>
          <w:szCs w:val="20"/>
          <w:color w:val="auto"/>
        </w:rPr>
      </w:pPr>
    </w:p>
    <w:p>
      <w:pPr>
        <w:ind w:left="240" w:right="200" w:hanging="230"/>
        <w:spacing w:after="0" w:line="268" w:lineRule="auto"/>
        <w:rPr>
          <w:sz w:val="20"/>
          <w:szCs w:val="20"/>
          <w:color w:val="auto"/>
        </w:rPr>
      </w:pPr>
      <w:r>
        <w:rPr>
          <w:rFonts w:ascii="Arial" w:cs="Arial" w:eastAsia="Arial" w:hAnsi="Arial"/>
          <w:sz w:val="13"/>
          <w:szCs w:val="13"/>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29" w:lineRule="exact"/>
        <w:rPr>
          <w:sz w:val="20"/>
          <w:szCs w:val="20"/>
          <w:color w:val="auto"/>
        </w:rPr>
      </w:pPr>
    </w:p>
    <w:p>
      <w:pPr>
        <w:ind w:left="240" w:hanging="230"/>
        <w:spacing w:after="0" w:line="299" w:lineRule="auto"/>
        <w:rPr>
          <w:sz w:val="20"/>
          <w:szCs w:val="20"/>
          <w:color w:val="auto"/>
        </w:rPr>
      </w:pPr>
      <w:r>
        <w:rPr>
          <w:rFonts w:ascii="Arial" w:cs="Arial" w:eastAsia="Arial" w:hAnsi="Arial"/>
          <w:sz w:val="11"/>
          <w:szCs w:val="11"/>
          <w:color w:val="auto"/>
        </w:rPr>
        <w:t>The Sarbanes-Oxley Act of 2002, the Dodd-Frank Wall Street Reform and Consumer Protection Act of 2012,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In particular, for the fiscal year ending December 31, 2010, we must perform system and proces s evaluations and testing of our internal control over financial reporting to allow management to report on the effectiveness of our internal control over financial reporting. We are in the process of evaluating and documenting processes in order to comply with this requirement. We may not be able to complete our evaluation, testing and any required remediation in a timely fashion. During the evaluation and testing process, if we identify one or more material weaknesses in our internal control over financial reporting, we may be unable to assert that our internal controls are effective. We have in the past identified material weaknesses and significant deficiencies in our internal control over financial reporting, and, although we believe we have remediated the material weaknesses and significant deficiencies, we cannot assure you that there will not be material weaknesses and significant deficiencies in our internal controls in the future. If we are unable to assert that our internal control over finan cial reporting is effective, or if our auditors are unable to express an opinion on the effectiveness of our internal controls, we could lose investor confidence in the accuracy and completeness of our financial reports, which would cause the price of our common stock to decline.</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securities or industry analysts stop publishing research or publish inaccurate or unfavorable research about our business, our stock price and trading volume could decline.</w:t>
      </w:r>
    </w:p>
    <w:p>
      <w:pPr>
        <w:spacing w:after="0" w:line="159" w:lineRule="exact"/>
        <w:rPr>
          <w:sz w:val="20"/>
          <w:szCs w:val="20"/>
          <w:color w:val="auto"/>
        </w:rPr>
      </w:pPr>
    </w:p>
    <w:p>
      <w:pPr>
        <w:ind w:left="240" w:right="220" w:firstLine="347"/>
        <w:spacing w:after="0" w:line="258" w:lineRule="auto"/>
        <w:rPr>
          <w:sz w:val="20"/>
          <w:szCs w:val="20"/>
          <w:color w:val="auto"/>
        </w:rPr>
      </w:pPr>
      <w:r>
        <w:rPr>
          <w:rFonts w:ascii="Arial" w:cs="Arial" w:eastAsia="Arial" w:hAnsi="Arial"/>
          <w:sz w:val="13"/>
          <w:szCs w:val="13"/>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120"/>
          </w:cols>
          <w:pgMar w:left="560" w:top="131" w:right="219" w:bottom="1440" w:gutter="0" w:footer="0" w:header="0"/>
        </w:sectPr>
      </w:pPr>
    </w:p>
    <w:bookmarkStart w:id="59" w:name="page60"/>
    <w:bookmarkEnd w:id="59"/>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demand for our stock could decrease, which coul d cause our stock price and trading volume to decline.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trading price of our common stock is likely to be volatile.</w:t>
      </w:r>
    </w:p>
    <w:p>
      <w:pPr>
        <w:spacing w:after="0" w:line="159" w:lineRule="exact"/>
        <w:rPr>
          <w:sz w:val="20"/>
          <w:szCs w:val="20"/>
          <w:color w:val="auto"/>
        </w:rPr>
      </w:pPr>
    </w:p>
    <w:p>
      <w:pPr>
        <w:ind w:left="240" w:firstLine="347"/>
        <w:spacing w:after="0" w:line="268" w:lineRule="auto"/>
        <w:rPr>
          <w:sz w:val="20"/>
          <w:szCs w:val="20"/>
          <w:color w:val="auto"/>
        </w:rPr>
      </w:pPr>
      <w:r>
        <w:rPr>
          <w:rFonts w:ascii="Arial" w:cs="Arial" w:eastAsia="Arial" w:hAnsi="Arial"/>
          <w:sz w:val="13"/>
          <w:szCs w:val="13"/>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w:t>
      </w:r>
    </w:p>
    <w:p>
      <w:pPr>
        <w:spacing w:after="0" w:line="129" w:lineRule="exact"/>
        <w:rPr>
          <w:sz w:val="20"/>
          <w:szCs w:val="20"/>
          <w:color w:val="auto"/>
        </w:rPr>
      </w:pPr>
    </w:p>
    <w:p>
      <w:pPr>
        <w:ind w:left="240" w:right="60" w:firstLine="347"/>
        <w:spacing w:after="0" w:line="258" w:lineRule="auto"/>
        <w:rPr>
          <w:sz w:val="20"/>
          <w:szCs w:val="20"/>
          <w:color w:val="auto"/>
        </w:rPr>
      </w:pPr>
      <w:r>
        <w:rPr>
          <w:rFonts w:ascii="Arial" w:cs="Arial" w:eastAsia="Arial" w:hAnsi="Arial"/>
          <w:sz w:val="13"/>
          <w:szCs w:val="13"/>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35" w:lineRule="exact"/>
        <w:rPr>
          <w:sz w:val="20"/>
          <w:szCs w:val="20"/>
          <w:color w:val="auto"/>
        </w:rPr>
      </w:pPr>
    </w:p>
    <w:p>
      <w:pPr>
        <w:ind w:left="240" w:right="260" w:firstLine="347"/>
        <w:spacing w:after="0" w:line="310" w:lineRule="auto"/>
        <w:rPr>
          <w:sz w:val="20"/>
          <w:szCs w:val="20"/>
          <w:color w:val="auto"/>
        </w:rPr>
      </w:pPr>
      <w:r>
        <w:rPr>
          <w:rFonts w:ascii="Arial" w:cs="Arial" w:eastAsia="Arial" w:hAnsi="Arial"/>
          <w:sz w:val="12"/>
          <w:szCs w:val="12"/>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sales of shares of our common stock by stockholders could depress the price of our common stock.</w:t>
      </w:r>
    </w:p>
    <w:p>
      <w:pPr>
        <w:spacing w:after="0" w:line="207" w:lineRule="exact"/>
        <w:rPr>
          <w:sz w:val="20"/>
          <w:szCs w:val="20"/>
          <w:color w:val="auto"/>
        </w:rPr>
      </w:pPr>
    </w:p>
    <w:p>
      <w:pPr>
        <w:jc w:val="both"/>
        <w:ind w:left="240" w:right="120" w:firstLine="347"/>
        <w:spacing w:after="0" w:line="258" w:lineRule="auto"/>
        <w:rPr>
          <w:sz w:val="20"/>
          <w:szCs w:val="20"/>
          <w:color w:val="auto"/>
        </w:rPr>
      </w:pPr>
      <w:r>
        <w:rPr>
          <w:rFonts w:ascii="Arial" w:cs="Arial" w:eastAsia="Arial" w:hAnsi="Arial"/>
          <w:sz w:val="13"/>
          <w:szCs w:val="13"/>
          <w:color w:val="auto"/>
        </w:rPr>
        <w:t>Certain of our outstanding shares of common stock and common stock underlying vested stock options became available for sale by stockholders upon the expiration of lock-up agreements in May 2010. Although the lock-up expired over five months ago, if stockholders sell, or indicate an intent to sell, substantial amounts of our common stock in the public market, the trading price of our common stock could decline significantly.</w:t>
      </w: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182" w:lineRule="exact"/>
        <w:rPr>
          <w:sz w:val="20"/>
          <w:szCs w:val="20"/>
          <w:color w:val="auto"/>
        </w:rPr>
      </w:pPr>
    </w:p>
    <w:p>
      <w:pPr>
        <w:ind w:left="240" w:firstLine="347"/>
        <w:spacing w:after="0" w:line="309" w:lineRule="auto"/>
        <w:rPr>
          <w:sz w:val="20"/>
          <w:szCs w:val="20"/>
          <w:color w:val="auto"/>
        </w:rPr>
      </w:pPr>
      <w:r>
        <w:rPr>
          <w:rFonts w:ascii="Arial" w:cs="Arial" w:eastAsia="Arial" w:hAnsi="Arial"/>
          <w:sz w:val="11"/>
          <w:szCs w:val="11"/>
          <w:color w:val="auto"/>
        </w:rPr>
        <w:t>We expect that our existing cash and cash equivalents will be sufficient to meet our anticipated cash needs for at least the next twelve months. After that, we may need to raise additional funds, and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and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111" w:lineRule="exact"/>
        <w:rPr>
          <w:sz w:val="20"/>
          <w:szCs w:val="20"/>
          <w:color w:val="auto"/>
        </w:rPr>
      </w:pPr>
    </w:p>
    <w:p>
      <w:pPr>
        <w:ind w:left="580" w:hanging="229"/>
        <w:spacing w:after="0"/>
        <w:tabs>
          <w:tab w:leader="none" w:pos="5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develop or enhance our products and services;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continue to expand our sales and marketing and research and development organizations;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acquire complementary technologies, products or businesses;</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expand operations, in the United States or internationally;</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hire, train and retain employees; or</w:t>
      </w:r>
    </w:p>
    <w:p>
      <w:pPr>
        <w:spacing w:after="0" w:line="159" w:lineRule="exact"/>
        <w:rPr>
          <w:rFonts w:ascii="Arial" w:cs="Arial" w:eastAsia="Arial" w:hAnsi="Arial"/>
          <w:sz w:val="13"/>
          <w:szCs w:val="13"/>
          <w:color w:val="auto"/>
        </w:rPr>
      </w:pPr>
    </w:p>
    <w:p>
      <w:pPr>
        <w:ind w:left="580" w:hanging="229"/>
        <w:spacing w:after="0"/>
        <w:tabs>
          <w:tab w:leader="none" w:pos="5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respond to compet itive pressures or unanticipated working capital requirements.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Our failure to do any of these things could seriously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Concentration of ownership among our existing executive officers, directors and their affiliates may prevent new investors from influencing significant corporate decisions.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As of October 29, 2010, our executive officers, directors and their affiliates beneficially owned, in the aggregate,</w:t>
      </w:r>
    </w:p>
    <w:p>
      <w:pPr>
        <w:spacing w:after="0" w:line="159"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100"/>
          </w:cols>
          <w:pgMar w:left="560" w:top="131" w:right="239" w:bottom="1440" w:gutter="0" w:footer="0" w:header="0"/>
        </w:sectPr>
      </w:pPr>
    </w:p>
    <w:bookmarkStart w:id="60" w:name="page61"/>
    <w:bookmarkEnd w:id="60"/>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9" w:lineRule="exact"/>
        <w:rPr>
          <w:sz w:val="20"/>
          <w:szCs w:val="20"/>
          <w:color w:val="auto"/>
        </w:rPr>
      </w:pPr>
    </w:p>
    <w:p>
      <w:pPr>
        <w:jc w:val="both"/>
        <w:ind w:right="260" w:firstLine="347"/>
        <w:spacing w:after="0" w:line="289" w:lineRule="auto"/>
        <w:rPr>
          <w:sz w:val="20"/>
          <w:szCs w:val="20"/>
          <w:color w:val="auto"/>
        </w:rPr>
      </w:pPr>
      <w:r>
        <w:rPr>
          <w:rFonts w:ascii="Arial" w:cs="Arial" w:eastAsia="Arial" w:hAnsi="Arial"/>
          <w:sz w:val="12"/>
          <w:szCs w:val="12"/>
          <w:color w:val="auto"/>
        </w:rPr>
        <w:t>approximately 25.7%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firstLine="347"/>
        <w:spacing w:after="0" w:line="268" w:lineRule="auto"/>
        <w:rPr>
          <w:sz w:val="20"/>
          <w:szCs w:val="20"/>
          <w:color w:val="auto"/>
        </w:rPr>
      </w:pPr>
      <w:r>
        <w:rPr>
          <w:rFonts w:ascii="Arial" w:cs="Arial" w:eastAsia="Arial" w:hAnsi="Arial"/>
          <w:sz w:val="13"/>
          <w:szCs w:val="13"/>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29" w:lineRule="exact"/>
        <w:rPr>
          <w:sz w:val="20"/>
          <w:szCs w:val="20"/>
          <w:color w:val="auto"/>
        </w:rPr>
      </w:pPr>
    </w:p>
    <w:p>
      <w:pPr>
        <w:ind w:left="1220" w:hanging="530"/>
        <w:spacing w:after="0"/>
        <w:tabs>
          <w:tab w:leader="none" w:pos="1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creating a classified board of directors whose members serve staggered three-year terms;</w:t>
      </w:r>
    </w:p>
    <w:p>
      <w:pPr>
        <w:spacing w:after="0" w:line="159" w:lineRule="exact"/>
        <w:rPr>
          <w:rFonts w:ascii="Arial" w:cs="Arial" w:eastAsia="Arial" w:hAnsi="Arial"/>
          <w:sz w:val="13"/>
          <w:szCs w:val="13"/>
          <w:color w:val="auto"/>
        </w:rPr>
      </w:pPr>
    </w:p>
    <w:p>
      <w:pPr>
        <w:ind w:left="860" w:hanging="170"/>
        <w:spacing w:after="0" w:line="268" w:lineRule="auto"/>
        <w:tabs>
          <w:tab w:leader="none" w:pos="1207" w:val="left"/>
        </w:tabs>
        <w:numPr>
          <w:ilvl w:val="0"/>
          <w:numId w:val="27"/>
        </w:numPr>
        <w:rPr>
          <w:rFonts w:ascii="Arial" w:cs="Arial" w:eastAsia="Arial" w:hAnsi="Arial"/>
          <w:sz w:val="13"/>
          <w:szCs w:val="13"/>
          <w:color w:val="auto"/>
        </w:rPr>
      </w:pPr>
      <w:r>
        <w:rPr>
          <w:rFonts w:ascii="Arial" w:cs="Arial" w:eastAsia="Arial" w:hAnsi="Arial"/>
          <w:sz w:val="13"/>
          <w:szCs w:val="13"/>
          <w:color w:val="auto"/>
        </w:rPr>
        <w:t>authorizing “blank check” preferred stock, which could be issued by the board without stockholder approval and may contain voting, liquidation, dividend and other rights superior to our common stock;</w:t>
      </w:r>
    </w:p>
    <w:p>
      <w:pPr>
        <w:spacing w:after="0" w:line="128" w:lineRule="exact"/>
        <w:rPr>
          <w:rFonts w:ascii="Arial" w:cs="Arial" w:eastAsia="Arial" w:hAnsi="Arial"/>
          <w:sz w:val="13"/>
          <w:szCs w:val="13"/>
          <w:color w:val="auto"/>
        </w:rPr>
      </w:pPr>
    </w:p>
    <w:p>
      <w:pPr>
        <w:ind w:left="1220" w:hanging="530"/>
        <w:spacing w:after="0"/>
        <w:tabs>
          <w:tab w:leader="none" w:pos="1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limiting the liability of, and providing indemnification to, our directors and officers;</w:t>
      </w:r>
    </w:p>
    <w:p>
      <w:pPr>
        <w:spacing w:after="0" w:line="159" w:lineRule="exact"/>
        <w:rPr>
          <w:rFonts w:ascii="Arial" w:cs="Arial" w:eastAsia="Arial" w:hAnsi="Arial"/>
          <w:sz w:val="13"/>
          <w:szCs w:val="13"/>
          <w:color w:val="auto"/>
        </w:rPr>
      </w:pPr>
    </w:p>
    <w:p>
      <w:pPr>
        <w:ind w:left="1220" w:hanging="530"/>
        <w:spacing w:after="0"/>
        <w:tabs>
          <w:tab w:leader="none" w:pos="1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limiting the ability of our stockholders to call and bring business before special meetings;</w:t>
      </w:r>
    </w:p>
    <w:p>
      <w:pPr>
        <w:spacing w:after="0" w:line="159" w:lineRule="exact"/>
        <w:rPr>
          <w:rFonts w:ascii="Arial" w:cs="Arial" w:eastAsia="Arial" w:hAnsi="Arial"/>
          <w:sz w:val="13"/>
          <w:szCs w:val="13"/>
          <w:color w:val="auto"/>
        </w:rPr>
      </w:pPr>
    </w:p>
    <w:p>
      <w:pPr>
        <w:ind w:left="1220" w:hanging="530"/>
        <w:spacing w:after="0"/>
        <w:tabs>
          <w:tab w:leader="none" w:pos="12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requiring advance notice of stockholder proposals for business to be conducted at meetings of our stockholders and for nominations of candidates for election to our board of directors;</w:t>
      </w:r>
    </w:p>
    <w:p>
      <w:pPr>
        <w:spacing w:after="0" w:line="182" w:lineRule="exact"/>
        <w:rPr>
          <w:rFonts w:ascii="Arial" w:cs="Arial" w:eastAsia="Arial" w:hAnsi="Arial"/>
          <w:sz w:val="11"/>
          <w:szCs w:val="11"/>
          <w:color w:val="auto"/>
        </w:rPr>
      </w:pPr>
    </w:p>
    <w:p>
      <w:pPr>
        <w:ind w:left="1220" w:hanging="530"/>
        <w:spacing w:after="0"/>
        <w:tabs>
          <w:tab w:leader="none" w:pos="1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controlling the procedures for the conduct and scheduling of board and stockholder meetings; and</w:t>
      </w:r>
    </w:p>
    <w:p>
      <w:pPr>
        <w:spacing w:after="0" w:line="159" w:lineRule="exact"/>
        <w:rPr>
          <w:rFonts w:ascii="Arial" w:cs="Arial" w:eastAsia="Arial" w:hAnsi="Arial"/>
          <w:sz w:val="13"/>
          <w:szCs w:val="13"/>
          <w:color w:val="auto"/>
        </w:rPr>
      </w:pPr>
    </w:p>
    <w:p>
      <w:pPr>
        <w:ind w:left="1220" w:hanging="530"/>
        <w:spacing w:after="0"/>
        <w:tabs>
          <w:tab w:leader="none" w:pos="1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providing the board of directors with the express power to postpone previously scheduled annual meetings and to cancel previously scheduled special meetings.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These provisions, alone or together, could delay or prevent hostile takeovers and changes in control or changes in our management.</w:t>
      </w:r>
    </w:p>
    <w:p>
      <w:pPr>
        <w:spacing w:after="0" w:line="159" w:lineRule="exact"/>
        <w:rPr>
          <w:sz w:val="20"/>
          <w:szCs w:val="20"/>
          <w:color w:val="auto"/>
        </w:rPr>
      </w:pPr>
    </w:p>
    <w:p>
      <w:pPr>
        <w:ind w:right="20" w:firstLine="347"/>
        <w:spacing w:after="0" w:line="310" w:lineRule="auto"/>
        <w:rPr>
          <w:sz w:val="20"/>
          <w:szCs w:val="20"/>
          <w:color w:val="auto"/>
        </w:rPr>
      </w:pPr>
      <w:r>
        <w:rPr>
          <w:rFonts w:ascii="Arial" w:cs="Arial" w:eastAsia="Arial" w:hAnsi="Arial"/>
          <w:sz w:val="12"/>
          <w:szCs w:val="12"/>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06" w:lineRule="exact"/>
        <w:rPr>
          <w:sz w:val="20"/>
          <w:szCs w:val="20"/>
          <w:color w:val="auto"/>
        </w:rPr>
      </w:pPr>
    </w:p>
    <w:p>
      <w:pPr>
        <w:ind w:right="220" w:firstLine="347"/>
        <w:spacing w:after="0" w:line="268" w:lineRule="auto"/>
        <w:rPr>
          <w:sz w:val="20"/>
          <w:szCs w:val="20"/>
          <w:color w:val="auto"/>
        </w:rPr>
      </w:pPr>
      <w:r>
        <w:rPr>
          <w:rFonts w:ascii="Arial" w:cs="Arial" w:eastAsia="Arial" w:hAnsi="Arial"/>
          <w:sz w:val="13"/>
          <w:szCs w:val="13"/>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 mon stock.</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Not applicable.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Exhibits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exhibits listed in the accompanying Exhibit Index are filed or incorporated by reference as part of this Quarterly Report.</w:t>
      </w:r>
    </w:p>
    <w:p>
      <w:pPr>
        <w:spacing w:after="0" w:line="313" w:lineRule="exact"/>
        <w:rPr>
          <w:sz w:val="20"/>
          <w:szCs w:val="20"/>
          <w:color w:val="auto"/>
        </w:rPr>
      </w:pPr>
    </w:p>
    <w:p>
      <w:pPr>
        <w:jc w:val="center"/>
        <w:ind w:left="920"/>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0780"/>
          </w:cols>
          <w:pgMar w:left="800" w:top="131" w:right="319" w:bottom="1440" w:gutter="0" w:footer="0" w:header="0"/>
        </w:sectPr>
      </w:pPr>
    </w:p>
    <w:bookmarkStart w:id="61" w:name="page62"/>
    <w:bookmarkEnd w:id="6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63" w:lineRule="exact"/>
        <w:rPr>
          <w:sz w:val="20"/>
          <w:szCs w:val="20"/>
          <w:color w:val="auto"/>
        </w:rPr>
      </w:pPr>
    </w:p>
    <w:p>
      <w:pPr>
        <w:ind w:right="1140"/>
        <w:spacing w:after="0" w:line="51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 Date: November 5, 2010</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480" w:type="dxa"/>
            <w:vAlign w:val="bottom"/>
          </w:tcPr>
          <w:p>
            <w:pPr>
              <w:spacing w:after="0"/>
              <w:rPr>
                <w:sz w:val="14"/>
                <w:szCs w:val="14"/>
                <w:color w:val="auto"/>
              </w:rPr>
            </w:pPr>
          </w:p>
        </w:tc>
        <w:tc>
          <w:tcPr>
            <w:tcW w:w="7060" w:type="dxa"/>
            <w:vAlign w:val="bottom"/>
            <w:gridSpan w:val="2"/>
          </w:tcPr>
          <w:p>
            <w:pPr>
              <w:ind w:left="1960"/>
              <w:spacing w:after="0"/>
              <w:rPr>
                <w:sz w:val="20"/>
                <w:szCs w:val="20"/>
                <w:color w:val="auto"/>
              </w:rPr>
            </w:pPr>
            <w:r>
              <w:rPr>
                <w:rFonts w:ascii="Arial" w:cs="Arial" w:eastAsia="Arial" w:hAnsi="Arial"/>
                <w:sz w:val="13"/>
                <w:szCs w:val="13"/>
                <w:b w:val="1"/>
                <w:bCs w:val="1"/>
                <w:color w:val="auto"/>
              </w:rPr>
              <w:t>FORTINET, INC.</w:t>
            </w:r>
          </w:p>
        </w:tc>
        <w:tc>
          <w:tcPr>
            <w:tcW w:w="0" w:type="dxa"/>
            <w:vAlign w:val="bottom"/>
          </w:tcPr>
          <w:p>
            <w:pPr>
              <w:spacing w:after="0"/>
              <w:rPr>
                <w:sz w:val="1"/>
                <w:szCs w:val="1"/>
                <w:color w:val="auto"/>
              </w:rPr>
            </w:pPr>
          </w:p>
        </w:tc>
      </w:tr>
      <w:tr>
        <w:trPr>
          <w:trHeight w:val="414"/>
        </w:trPr>
        <w:tc>
          <w:tcPr>
            <w:tcW w:w="3480" w:type="dxa"/>
            <w:vAlign w:val="bottom"/>
          </w:tcPr>
          <w:p>
            <w:pPr>
              <w:spacing w:after="0"/>
              <w:rPr>
                <w:sz w:val="24"/>
                <w:szCs w:val="24"/>
                <w:color w:val="auto"/>
              </w:rPr>
            </w:pPr>
          </w:p>
        </w:tc>
        <w:tc>
          <w:tcPr>
            <w:tcW w:w="2160" w:type="dxa"/>
            <w:vAlign w:val="bottom"/>
          </w:tcPr>
          <w:p>
            <w:pPr>
              <w:ind w:left="1960"/>
              <w:spacing w:after="0"/>
              <w:rPr>
                <w:sz w:val="20"/>
                <w:szCs w:val="20"/>
                <w:color w:val="auto"/>
              </w:rPr>
            </w:pPr>
            <w:r>
              <w:rPr>
                <w:rFonts w:ascii="Arial" w:cs="Arial" w:eastAsia="Arial" w:hAnsi="Arial"/>
                <w:sz w:val="13"/>
                <w:szCs w:val="13"/>
                <w:color w:val="auto"/>
                <w:w w:val="95"/>
              </w:rPr>
              <w:t>By:</w:t>
            </w:r>
          </w:p>
        </w:tc>
        <w:tc>
          <w:tcPr>
            <w:tcW w:w="49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/s/ K</w:t>
            </w:r>
            <w:r>
              <w:rPr>
                <w:rFonts w:ascii="Arial" w:cs="Arial" w:eastAsia="Arial" w:hAnsi="Arial"/>
                <w:sz w:val="8"/>
                <w:szCs w:val="8"/>
                <w:color w:val="auto"/>
              </w:rPr>
              <w:t>EN</w:t>
            </w:r>
            <w:r>
              <w:rPr>
                <w:rFonts w:ascii="Arial" w:cs="Arial" w:eastAsia="Arial" w:hAnsi="Arial"/>
                <w:sz w:val="13"/>
                <w:szCs w:val="13"/>
                <w:color w:val="auto"/>
              </w:rPr>
              <w:t xml:space="preserve"> G</w:t>
            </w:r>
            <w:r>
              <w:rPr>
                <w:rFonts w:ascii="Arial" w:cs="Arial" w:eastAsia="Arial" w:hAnsi="Arial"/>
                <w:sz w:val="8"/>
                <w:szCs w:val="8"/>
                <w:color w:val="auto"/>
              </w:rPr>
              <w:t>OLDMAN</w:t>
            </w:r>
          </w:p>
        </w:tc>
        <w:tc>
          <w:tcPr>
            <w:tcW w:w="0" w:type="dxa"/>
            <w:vAlign w:val="bottom"/>
          </w:tcPr>
          <w:p>
            <w:pPr>
              <w:spacing w:after="0"/>
              <w:rPr>
                <w:sz w:val="1"/>
                <w:szCs w:val="1"/>
                <w:color w:val="auto"/>
              </w:rPr>
            </w:pPr>
          </w:p>
        </w:tc>
      </w:tr>
      <w:tr>
        <w:trPr>
          <w:trHeight w:val="155"/>
        </w:trPr>
        <w:tc>
          <w:tcPr>
            <w:tcW w:w="3480" w:type="dxa"/>
            <w:vAlign w:val="bottom"/>
            <w:vMerge w:val="restart"/>
          </w:tcPr>
          <w:p>
            <w:pPr>
              <w:spacing w:after="0"/>
              <w:rPr>
                <w:sz w:val="20"/>
                <w:szCs w:val="20"/>
                <w:color w:val="auto"/>
              </w:rPr>
            </w:pPr>
            <w:r>
              <w:rPr>
                <w:rFonts w:ascii="Arial" w:cs="Arial" w:eastAsia="Arial" w:hAnsi="Arial"/>
                <w:sz w:val="10"/>
                <w:szCs w:val="10"/>
                <w:b w:val="1"/>
                <w:bCs w:val="1"/>
                <w:color w:val="FFFFFF"/>
              </w:rPr>
              <w:t>Ken Goldman</w:t>
            </w:r>
          </w:p>
        </w:tc>
        <w:tc>
          <w:tcPr>
            <w:tcW w:w="2160" w:type="dxa"/>
            <w:vAlign w:val="bottom"/>
          </w:tcPr>
          <w:p>
            <w:pPr>
              <w:jc w:val="right"/>
              <w:ind w:right="36"/>
              <w:spacing w:after="0"/>
              <w:rPr>
                <w:sz w:val="20"/>
                <w:szCs w:val="20"/>
                <w:color w:val="auto"/>
              </w:rPr>
            </w:pPr>
            <w:r>
              <w:rPr>
                <w:rFonts w:ascii="Arial" w:cs="Arial" w:eastAsia="Arial" w:hAnsi="Arial"/>
                <w:sz w:val="13"/>
                <w:szCs w:val="13"/>
                <w:color w:val="auto"/>
              </w:rPr>
              <w:t>&lt;</w:t>
            </w:r>
          </w:p>
        </w:tc>
        <w:tc>
          <w:tcPr>
            <w:tcW w:w="490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Ken Goldman</w:t>
            </w:r>
          </w:p>
        </w:tc>
        <w:tc>
          <w:tcPr>
            <w:tcW w:w="0" w:type="dxa"/>
            <w:vAlign w:val="bottom"/>
          </w:tcPr>
          <w:p>
            <w:pPr>
              <w:spacing w:after="0"/>
              <w:rPr>
                <w:sz w:val="1"/>
                <w:szCs w:val="1"/>
                <w:color w:val="auto"/>
              </w:rPr>
            </w:pPr>
          </w:p>
        </w:tc>
      </w:tr>
      <w:tr>
        <w:trPr>
          <w:trHeight w:val="40"/>
        </w:trPr>
        <w:tc>
          <w:tcPr>
            <w:tcW w:w="3480" w:type="dxa"/>
            <w:vAlign w:val="bottom"/>
            <w:vMerge w:val="continue"/>
          </w:tcPr>
          <w:p>
            <w:pPr>
              <w:spacing w:after="0"/>
              <w:rPr>
                <w:sz w:val="3"/>
                <w:szCs w:val="3"/>
                <w:color w:val="auto"/>
              </w:rPr>
            </w:pPr>
          </w:p>
        </w:tc>
        <w:tc>
          <w:tcPr>
            <w:tcW w:w="2160" w:type="dxa"/>
            <w:vAlign w:val="bottom"/>
            <w:vMerge w:val="restart"/>
          </w:tcPr>
          <w:p>
            <w:pPr>
              <w:jc w:val="center"/>
              <w:ind w:left="1296"/>
              <w:spacing w:after="0"/>
              <w:rPr>
                <w:sz w:val="20"/>
                <w:szCs w:val="20"/>
                <w:color w:val="auto"/>
              </w:rPr>
            </w:pPr>
            <w:r>
              <w:rPr>
                <w:rFonts w:ascii="Arial" w:cs="Arial" w:eastAsia="Arial" w:hAnsi="Arial"/>
                <w:sz w:val="13"/>
                <w:szCs w:val="13"/>
                <w:color w:val="auto"/>
                <w:w w:val="97"/>
              </w:rPr>
              <w:t>/font&gt;</w:t>
            </w:r>
          </w:p>
        </w:tc>
        <w:tc>
          <w:tcPr>
            <w:tcW w:w="4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3480" w:type="dxa"/>
            <w:vAlign w:val="bottom"/>
          </w:tcPr>
          <w:p>
            <w:pPr>
              <w:spacing w:after="0"/>
              <w:rPr>
                <w:sz w:val="20"/>
                <w:szCs w:val="20"/>
                <w:color w:val="auto"/>
              </w:rPr>
            </w:pPr>
            <w:r>
              <w:rPr>
                <w:rFonts w:ascii="Arial" w:cs="Arial" w:eastAsia="Arial" w:hAnsi="Arial"/>
                <w:sz w:val="10"/>
                <w:szCs w:val="10"/>
                <w:b w:val="1"/>
                <w:bCs w:val="1"/>
                <w:color w:val="FFFFFF"/>
              </w:rPr>
              <w:t>Vice President and Chief Financial Officer</w:t>
            </w:r>
          </w:p>
        </w:tc>
        <w:tc>
          <w:tcPr>
            <w:tcW w:w="2160" w:type="dxa"/>
            <w:vAlign w:val="bottom"/>
            <w:vMerge w:val="continue"/>
          </w:tcPr>
          <w:p>
            <w:pPr>
              <w:spacing w:after="0"/>
              <w:rPr>
                <w:sz w:val="11"/>
                <w:szCs w:val="11"/>
                <w:color w:val="auto"/>
              </w:rPr>
            </w:pPr>
          </w:p>
        </w:tc>
        <w:tc>
          <w:tcPr>
            <w:tcW w:w="4900" w:type="dxa"/>
            <w:vAlign w:val="bottom"/>
          </w:tcPr>
          <w:p>
            <w:pPr>
              <w:ind w:left="360"/>
              <w:spacing w:after="0"/>
              <w:rPr>
                <w:sz w:val="20"/>
                <w:szCs w:val="20"/>
                <w:color w:val="auto"/>
              </w:rPr>
            </w:pPr>
            <w:r>
              <w:rPr>
                <w:rFonts w:ascii="Arial" w:cs="Arial" w:eastAsia="Arial" w:hAnsi="Arial"/>
                <w:sz w:val="10"/>
                <w:szCs w:val="10"/>
                <w:b w:val="1"/>
                <w:bCs w:val="1"/>
                <w:color w:val="auto"/>
              </w:rPr>
              <w:t>Vice President and Chief Financial Officer</w:t>
            </w:r>
          </w:p>
        </w:tc>
        <w:tc>
          <w:tcPr>
            <w:tcW w:w="0" w:type="dxa"/>
            <w:vAlign w:val="bottom"/>
          </w:tcPr>
          <w:p>
            <w:pPr>
              <w:spacing w:after="0"/>
              <w:rPr>
                <w:sz w:val="1"/>
                <w:szCs w:val="1"/>
                <w:color w:val="auto"/>
              </w:rPr>
            </w:pPr>
          </w:p>
        </w:tc>
      </w:tr>
      <w:tr>
        <w:trPr>
          <w:trHeight w:val="471"/>
        </w:trPr>
        <w:tc>
          <w:tcPr>
            <w:tcW w:w="3480" w:type="dxa"/>
            <w:vAlign w:val="bottom"/>
          </w:tcPr>
          <w:p>
            <w:pPr>
              <w:spacing w:after="0"/>
              <w:rPr>
                <w:sz w:val="24"/>
                <w:szCs w:val="24"/>
                <w:color w:val="auto"/>
              </w:rPr>
            </w:pPr>
          </w:p>
        </w:tc>
        <w:tc>
          <w:tcPr>
            <w:tcW w:w="2160" w:type="dxa"/>
            <w:vAlign w:val="bottom"/>
          </w:tcPr>
          <w:p>
            <w:pPr>
              <w:jc w:val="right"/>
              <w:ind w:right="256"/>
              <w:spacing w:after="0"/>
              <w:rPr>
                <w:sz w:val="20"/>
                <w:szCs w:val="20"/>
                <w:color w:val="auto"/>
              </w:rPr>
            </w:pPr>
            <w:r>
              <w:rPr>
                <w:rFonts w:ascii="Arial" w:cs="Arial" w:eastAsia="Arial" w:hAnsi="Arial"/>
                <w:sz w:val="13"/>
                <w:szCs w:val="13"/>
                <w:color w:val="auto"/>
              </w:rPr>
              <w:t>63</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1140" w:top="131" w:right="199" w:bottom="1440" w:gutter="0" w:footer="0" w:header="0"/>
        </w:sectPr>
      </w:pPr>
    </w:p>
    <w:bookmarkStart w:id="62" w:name="page63"/>
    <w:bookmarkEnd w:id="62"/>
    <w:p>
      <w:pPr>
        <w:ind w:left="340"/>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20" w:type="dxa"/>
            <w:vAlign w:val="bottom"/>
            <w:gridSpan w:val="2"/>
          </w:tcPr>
          <w:p>
            <w:pPr>
              <w:ind w:left="382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411"/>
        </w:trPr>
        <w:tc>
          <w:tcPr>
            <w:tcW w:w="1300" w:type="dxa"/>
            <w:vAlign w:val="bottom"/>
            <w:gridSpan w:val="2"/>
          </w:tcPr>
          <w:p>
            <w:pPr>
              <w:ind w:left="360"/>
              <w:spacing w:after="0"/>
              <w:rPr>
                <w:sz w:val="20"/>
                <w:szCs w:val="20"/>
                <w:color w:val="auto"/>
              </w:rPr>
            </w:pPr>
            <w:r>
              <w:rPr>
                <w:rFonts w:ascii="Arial" w:cs="Arial" w:eastAsia="Arial" w:hAnsi="Arial"/>
                <w:sz w:val="12"/>
                <w:szCs w:val="12"/>
                <w:b w:val="1"/>
                <w:bCs w:val="1"/>
                <w:color w:val="auto"/>
              </w:rPr>
              <w:t>Exhibit</w:t>
            </w:r>
          </w:p>
        </w:tc>
        <w:tc>
          <w:tcPr>
            <w:tcW w:w="4820" w:type="dxa"/>
            <w:vAlign w:val="bottom"/>
            <w:gridSpan w:val="2"/>
          </w:tcPr>
          <w:p>
            <w:pPr>
              <w:ind w:left="220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24"/>
        </w:trPr>
        <w:tc>
          <w:tcPr>
            <w:tcW w:w="130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Number</w:t>
            </w:r>
          </w:p>
        </w:tc>
        <w:tc>
          <w:tcPr>
            <w:tcW w:w="4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300" w:type="dxa"/>
            <w:vAlign w:val="bottom"/>
            <w:gridSpan w:val="2"/>
            <w:vMerge w:val="continue"/>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right"/>
              <w:ind w:right="58"/>
              <w:spacing w:after="0"/>
              <w:rPr>
                <w:sz w:val="20"/>
                <w:szCs w:val="20"/>
                <w:color w:val="auto"/>
              </w:rPr>
            </w:pPr>
            <w:r>
              <w:rPr>
                <w:rFonts w:ascii="Arial" w:cs="Arial" w:eastAsia="Arial" w:hAnsi="Arial"/>
                <w:sz w:val="13"/>
                <w:szCs w:val="13"/>
                <w:color w:val="auto"/>
              </w:rPr>
              <w:t>31.1*</w:t>
            </w:r>
          </w:p>
        </w:tc>
        <w:tc>
          <w:tcPr>
            <w:tcW w:w="440" w:type="dxa"/>
            <w:vAlign w:val="bottom"/>
          </w:tcPr>
          <w:p>
            <w:pPr>
              <w:spacing w:after="0"/>
              <w:rPr>
                <w:sz w:val="24"/>
                <w:szCs w:val="24"/>
                <w:color w:val="auto"/>
              </w:rPr>
            </w:pPr>
          </w:p>
        </w:tc>
        <w:tc>
          <w:tcPr>
            <w:tcW w:w="4820" w:type="dxa"/>
            <w:vAlign w:val="bottom"/>
            <w:gridSpan w:val="2"/>
          </w:tcPr>
          <w:p>
            <w:pPr>
              <w:ind w:left="380"/>
              <w:spacing w:after="0"/>
              <w:rPr>
                <w:sz w:val="20"/>
                <w:szCs w:val="20"/>
                <w:color w:val="auto"/>
              </w:rPr>
            </w:pPr>
            <w:r>
              <w:rPr>
                <w:rFonts w:ascii="Arial" w:cs="Arial" w:eastAsia="Arial" w:hAnsi="Arial"/>
                <w:sz w:val="13"/>
                <w:szCs w:val="13"/>
                <w:color w:val="auto"/>
              </w:rPr>
              <w:t>Certification of Chief Executive Officer pursuant to Exchange Act Rules 13a-</w:t>
            </w:r>
          </w:p>
        </w:tc>
        <w:tc>
          <w:tcPr>
            <w:tcW w:w="0" w:type="dxa"/>
            <w:vAlign w:val="bottom"/>
          </w:tcPr>
          <w:p>
            <w:pPr>
              <w:spacing w:after="0"/>
              <w:rPr>
                <w:sz w:val="1"/>
                <w:szCs w:val="1"/>
                <w:color w:val="auto"/>
              </w:rPr>
            </w:pPr>
          </w:p>
        </w:tc>
      </w:tr>
      <w:tr>
        <w:trPr>
          <w:trHeight w:val="154"/>
        </w:trPr>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20" w:type="dxa"/>
            <w:vAlign w:val="bottom"/>
            <w:gridSpan w:val="2"/>
          </w:tcPr>
          <w:p>
            <w:pPr>
              <w:ind w:left="20"/>
              <w:spacing w:after="0"/>
              <w:rPr>
                <w:sz w:val="20"/>
                <w:szCs w:val="20"/>
                <w:color w:val="auto"/>
              </w:rPr>
            </w:pPr>
            <w:r>
              <w:rPr>
                <w:rFonts w:ascii="Arial" w:cs="Arial" w:eastAsia="Arial" w:hAnsi="Arial"/>
                <w:sz w:val="13"/>
                <w:szCs w:val="13"/>
                <w:color w:val="auto"/>
                <w:w w:val="95"/>
              </w:rPr>
              <w:t>14(a) and 15d-14(a), as adopted pursuant to Section 302 of the Sarbanes-Oxley Act of</w:t>
            </w:r>
          </w:p>
        </w:tc>
        <w:tc>
          <w:tcPr>
            <w:tcW w:w="0" w:type="dxa"/>
            <w:vAlign w:val="bottom"/>
          </w:tcPr>
          <w:p>
            <w:pPr>
              <w:spacing w:after="0"/>
              <w:rPr>
                <w:sz w:val="1"/>
                <w:szCs w:val="1"/>
                <w:color w:val="auto"/>
              </w:rPr>
            </w:pPr>
          </w:p>
        </w:tc>
      </w:tr>
      <w:tr>
        <w:trPr>
          <w:trHeight w:val="163"/>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20"/>
              <w:spacing w:after="0"/>
              <w:rPr>
                <w:sz w:val="20"/>
                <w:szCs w:val="20"/>
                <w:color w:val="auto"/>
              </w:rPr>
            </w:pPr>
            <w:r>
              <w:rPr>
                <w:rFonts w:ascii="Arial" w:cs="Arial" w:eastAsia="Arial" w:hAnsi="Arial"/>
                <w:sz w:val="13"/>
                <w:szCs w:val="13"/>
                <w:color w:val="auto"/>
              </w:rPr>
              <w:t>2002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860" w:type="dxa"/>
            <w:vAlign w:val="bottom"/>
          </w:tcPr>
          <w:p>
            <w:pPr>
              <w:jc w:val="right"/>
              <w:ind w:right="58"/>
              <w:spacing w:after="0"/>
              <w:rPr>
                <w:sz w:val="20"/>
                <w:szCs w:val="20"/>
                <w:color w:val="auto"/>
              </w:rPr>
            </w:pPr>
            <w:r>
              <w:rPr>
                <w:rFonts w:ascii="Arial" w:cs="Arial" w:eastAsia="Arial" w:hAnsi="Arial"/>
                <w:sz w:val="13"/>
                <w:szCs w:val="13"/>
                <w:color w:val="auto"/>
              </w:rPr>
              <w:t>31.2*</w:t>
            </w:r>
          </w:p>
        </w:tc>
        <w:tc>
          <w:tcPr>
            <w:tcW w:w="440" w:type="dxa"/>
            <w:vAlign w:val="bottom"/>
          </w:tcPr>
          <w:p>
            <w:pPr>
              <w:spacing w:after="0"/>
              <w:rPr>
                <w:sz w:val="24"/>
                <w:szCs w:val="24"/>
                <w:color w:val="auto"/>
              </w:rPr>
            </w:pPr>
          </w:p>
        </w:tc>
        <w:tc>
          <w:tcPr>
            <w:tcW w:w="4820" w:type="dxa"/>
            <w:vAlign w:val="bottom"/>
            <w:gridSpan w:val="2"/>
          </w:tcPr>
          <w:p>
            <w:pPr>
              <w:ind w:left="380"/>
              <w:spacing w:after="0"/>
              <w:rPr>
                <w:sz w:val="20"/>
                <w:szCs w:val="20"/>
                <w:color w:val="auto"/>
              </w:rPr>
            </w:pPr>
            <w:r>
              <w:rPr>
                <w:rFonts w:ascii="Arial" w:cs="Arial" w:eastAsia="Arial" w:hAnsi="Arial"/>
                <w:sz w:val="13"/>
                <w:szCs w:val="13"/>
                <w:color w:val="auto"/>
                <w:w w:val="95"/>
              </w:rPr>
              <w:t>Certification of Chief Financial Officer pursuant to Exchange Act Rules 13a-14(a)</w:t>
            </w:r>
          </w:p>
        </w:tc>
        <w:tc>
          <w:tcPr>
            <w:tcW w:w="0" w:type="dxa"/>
            <w:vAlign w:val="bottom"/>
          </w:tcPr>
          <w:p>
            <w:pPr>
              <w:spacing w:after="0"/>
              <w:rPr>
                <w:sz w:val="1"/>
                <w:szCs w:val="1"/>
                <w:color w:val="auto"/>
              </w:rPr>
            </w:pPr>
          </w:p>
        </w:tc>
      </w:tr>
      <w:tr>
        <w:trPr>
          <w:trHeight w:val="163"/>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20" w:type="dxa"/>
            <w:vAlign w:val="bottom"/>
            <w:gridSpan w:val="2"/>
          </w:tcPr>
          <w:p>
            <w:pPr>
              <w:ind w:left="20"/>
              <w:spacing w:after="0"/>
              <w:rPr>
                <w:sz w:val="20"/>
                <w:szCs w:val="20"/>
                <w:color w:val="auto"/>
              </w:rPr>
            </w:pPr>
            <w:r>
              <w:rPr>
                <w:rFonts w:ascii="Arial" w:cs="Arial" w:eastAsia="Arial" w:hAnsi="Arial"/>
                <w:sz w:val="13"/>
                <w:szCs w:val="13"/>
                <w:color w:val="auto"/>
                <w:w w:val="96"/>
              </w:rPr>
              <w:t>and 15d-14(a), as adopted pursuant to Section 302 of the Sarbanes-Oxley Act of 2002</w:t>
            </w:r>
          </w:p>
        </w:tc>
        <w:tc>
          <w:tcPr>
            <w:tcW w:w="0" w:type="dxa"/>
            <w:vAlign w:val="bottom"/>
          </w:tcPr>
          <w:p>
            <w:pPr>
              <w:spacing w:after="0"/>
              <w:rPr>
                <w:sz w:val="1"/>
                <w:szCs w:val="1"/>
                <w:color w:val="auto"/>
              </w:rPr>
            </w:pPr>
          </w:p>
        </w:tc>
      </w:tr>
      <w:tr>
        <w:trPr>
          <w:trHeight w:val="348"/>
        </w:trPr>
        <w:tc>
          <w:tcPr>
            <w:tcW w:w="860" w:type="dxa"/>
            <w:vAlign w:val="bottom"/>
          </w:tcPr>
          <w:p>
            <w:pPr>
              <w:jc w:val="right"/>
              <w:ind w:right="58"/>
              <w:spacing w:after="0"/>
              <w:rPr>
                <w:sz w:val="20"/>
                <w:szCs w:val="20"/>
                <w:color w:val="auto"/>
              </w:rPr>
            </w:pPr>
            <w:r>
              <w:rPr>
                <w:rFonts w:ascii="Arial" w:cs="Arial" w:eastAsia="Arial" w:hAnsi="Arial"/>
                <w:sz w:val="13"/>
                <w:szCs w:val="13"/>
                <w:color w:val="auto"/>
              </w:rPr>
              <w:t>32.1*</w:t>
            </w:r>
          </w:p>
        </w:tc>
        <w:tc>
          <w:tcPr>
            <w:tcW w:w="440" w:type="dxa"/>
            <w:vAlign w:val="bottom"/>
          </w:tcPr>
          <w:p>
            <w:pPr>
              <w:spacing w:after="0"/>
              <w:rPr>
                <w:sz w:val="24"/>
                <w:szCs w:val="24"/>
                <w:color w:val="auto"/>
              </w:rPr>
            </w:pPr>
          </w:p>
        </w:tc>
        <w:tc>
          <w:tcPr>
            <w:tcW w:w="4820" w:type="dxa"/>
            <w:vAlign w:val="bottom"/>
            <w:gridSpan w:val="2"/>
          </w:tcPr>
          <w:p>
            <w:pPr>
              <w:ind w:left="380"/>
              <w:spacing w:after="0"/>
              <w:rPr>
                <w:sz w:val="20"/>
                <w:szCs w:val="20"/>
                <w:color w:val="auto"/>
              </w:rPr>
            </w:pPr>
            <w:r>
              <w:rPr>
                <w:rFonts w:ascii="Arial" w:cs="Arial" w:eastAsia="Arial" w:hAnsi="Arial"/>
                <w:sz w:val="13"/>
                <w:szCs w:val="13"/>
                <w:color w:val="auto"/>
                <w:w w:val="98"/>
              </w:rPr>
              <w:t>Certifications of Chief Executive Officer and Chief Financial Officer pursuant to</w:t>
            </w:r>
          </w:p>
        </w:tc>
        <w:tc>
          <w:tcPr>
            <w:tcW w:w="0" w:type="dxa"/>
            <w:vAlign w:val="bottom"/>
          </w:tcPr>
          <w:p>
            <w:pPr>
              <w:spacing w:after="0"/>
              <w:rPr>
                <w:sz w:val="1"/>
                <w:szCs w:val="1"/>
                <w:color w:val="auto"/>
              </w:rPr>
            </w:pPr>
          </w:p>
        </w:tc>
      </w:tr>
      <w:tr>
        <w:trPr>
          <w:trHeight w:val="154"/>
        </w:trPr>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20" w:type="dxa"/>
            <w:vAlign w:val="bottom"/>
            <w:gridSpan w:val="2"/>
          </w:tcPr>
          <w:p>
            <w:pPr>
              <w:ind w:left="20"/>
              <w:spacing w:after="0"/>
              <w:rPr>
                <w:sz w:val="20"/>
                <w:szCs w:val="20"/>
                <w:color w:val="auto"/>
              </w:rPr>
            </w:pPr>
            <w:r>
              <w:rPr>
                <w:rFonts w:ascii="Arial" w:cs="Arial" w:eastAsia="Arial" w:hAnsi="Arial"/>
                <w:sz w:val="13"/>
                <w:szCs w:val="13"/>
                <w:color w:val="auto"/>
                <w:w w:val="94"/>
              </w:rPr>
              <w:t>18 U.S.C. Section 1350, as adopted pursuant to Section 906 of the Sarbanes-Oxley Act</w:t>
            </w:r>
          </w:p>
        </w:tc>
        <w:tc>
          <w:tcPr>
            <w:tcW w:w="0" w:type="dxa"/>
            <w:vAlign w:val="bottom"/>
          </w:tcPr>
          <w:p>
            <w:pPr>
              <w:spacing w:after="0"/>
              <w:rPr>
                <w:sz w:val="1"/>
                <w:szCs w:val="1"/>
                <w:color w:val="auto"/>
              </w:rPr>
            </w:pPr>
          </w:p>
        </w:tc>
      </w:tr>
      <w:tr>
        <w:trPr>
          <w:trHeight w:val="163"/>
        </w:trPr>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20" w:type="dxa"/>
            <w:vAlign w:val="bottom"/>
            <w:gridSpan w:val="2"/>
          </w:tcPr>
          <w:p>
            <w:pPr>
              <w:ind w:left="20"/>
              <w:spacing w:after="0"/>
              <w:rPr>
                <w:sz w:val="20"/>
                <w:szCs w:val="20"/>
                <w:color w:val="auto"/>
              </w:rPr>
            </w:pPr>
            <w:r>
              <w:rPr>
                <w:rFonts w:ascii="Arial" w:cs="Arial" w:eastAsia="Arial" w:hAnsi="Arial"/>
                <w:sz w:val="13"/>
                <w:szCs w:val="13"/>
                <w:color w:val="auto"/>
              </w:rPr>
              <w:t>of 2002</w:t>
            </w:r>
          </w:p>
        </w:tc>
        <w:tc>
          <w:tcPr>
            <w:tcW w:w="0" w:type="dxa"/>
            <w:vAlign w:val="bottom"/>
          </w:tcPr>
          <w:p>
            <w:pPr>
              <w:spacing w:after="0"/>
              <w:rPr>
                <w:sz w:val="1"/>
                <w:szCs w:val="1"/>
                <w:color w:val="auto"/>
              </w:rPr>
            </w:pPr>
          </w:p>
        </w:tc>
      </w:tr>
      <w:tr>
        <w:trPr>
          <w:trHeight w:val="337"/>
        </w:trPr>
        <w:tc>
          <w:tcPr>
            <w:tcW w:w="1300" w:type="dxa"/>
            <w:vAlign w:val="bottom"/>
            <w:gridSpan w:val="2"/>
          </w:tcPr>
          <w:p>
            <w:pPr>
              <w:spacing w:after="0"/>
              <w:rPr>
                <w:sz w:val="20"/>
                <w:szCs w:val="20"/>
                <w:color w:val="auto"/>
              </w:rPr>
            </w:pPr>
            <w:r>
              <w:rPr>
                <w:rFonts w:ascii="Arial" w:cs="Arial" w:eastAsia="Arial" w:hAnsi="Arial"/>
                <w:sz w:val="13"/>
                <w:szCs w:val="13"/>
                <w:color w:val="auto"/>
              </w:rPr>
              <w:t>*  Filed herewith.</w:t>
            </w: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40" w:type="dxa"/>
            <w:vAlign w:val="bottom"/>
          </w:tcPr>
          <w:p>
            <w:pPr>
              <w:ind w:left="4260"/>
              <w:spacing w:after="0"/>
              <w:rPr>
                <w:sz w:val="20"/>
                <w:szCs w:val="20"/>
                <w:color w:val="auto"/>
              </w:rPr>
            </w:pPr>
            <w:r>
              <w:rPr>
                <w:rFonts w:ascii="Arial" w:cs="Arial" w:eastAsia="Arial" w:hAnsi="Arial"/>
                <w:sz w:val="13"/>
                <w:szCs w:val="13"/>
                <w:color w:val="auto"/>
              </w:rPr>
              <w:t>64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00"/>
        <w:spacing w:after="0"/>
        <w:rPr>
          <w:sz w:val="20"/>
          <w:szCs w:val="20"/>
          <w:color w:val="auto"/>
        </w:rPr>
      </w:pPr>
      <w:r>
        <w:rPr>
          <w:rFonts w:ascii="Arial" w:cs="Arial" w:eastAsia="Arial" w:hAnsi="Arial"/>
          <w:sz w:val="12"/>
          <w:szCs w:val="12"/>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22225</wp:posOffset>
            </wp:positionV>
            <wp:extent cx="28594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9405" cy="6350"/>
                    </a:xfrm>
                    <a:prstGeom prst="rect">
                      <a:avLst/>
                    </a:prstGeom>
                    <a:noFill/>
                  </pic:spPr>
                </pic:pic>
              </a:graphicData>
            </a:graphic>
          </wp:anchor>
        </w:drawing>
      </w:r>
    </w:p>
    <w:p>
      <w:pPr>
        <w:spacing w:after="0" w:line="35" w:lineRule="exact"/>
        <w:rPr>
          <w:sz w:val="20"/>
          <w:szCs w:val="20"/>
          <w:color w:val="auto"/>
        </w:rPr>
      </w:pPr>
    </w:p>
    <w:p>
      <w:pPr>
        <w:spacing w:after="0"/>
        <w:tabs>
          <w:tab w:leader="none" w:pos="3320" w:val="left"/>
        </w:tabs>
        <w:rPr>
          <w:sz w:val="20"/>
          <w:szCs w:val="20"/>
          <w:color w:val="auto"/>
        </w:rPr>
      </w:pPr>
      <w:r>
        <w:rPr>
          <w:rFonts w:ascii="Arial" w:cs="Arial" w:eastAsia="Arial" w:hAnsi="Arial"/>
          <w:sz w:val="10"/>
          <w:szCs w:val="10"/>
          <w:b w:val="1"/>
          <w:bCs w:val="1"/>
          <w:u w:val="single" w:color="auto"/>
          <w:color w:val="auto"/>
        </w:rPr>
        <w:t>Form</w:t>
      </w:r>
      <w:r>
        <w:rPr>
          <w:sz w:val="20"/>
          <w:szCs w:val="20"/>
          <w:color w:val="auto"/>
        </w:rPr>
        <w:tab/>
      </w:r>
      <w:r>
        <w:rPr>
          <w:rFonts w:ascii="Arial" w:cs="Arial" w:eastAsia="Arial" w:hAnsi="Arial"/>
          <w:sz w:val="10"/>
          <w:szCs w:val="10"/>
          <w:b w:val="1"/>
          <w:bCs w:val="1"/>
          <w:u w:val="single" w:color="auto"/>
          <w:color w:val="auto"/>
        </w:rPr>
        <w:t>Date</w:t>
      </w:r>
    </w:p>
    <w:p>
      <w:pPr>
        <w:sectPr>
          <w:pgSz w:w="11900" w:h="16838" w:orient="portrait"/>
          <w:cols w:equalWidth="0" w:num="2">
            <w:col w:w="6120" w:space="640"/>
            <w:col w:w="3580"/>
          </w:cols>
          <w:pgMar w:left="800" w:top="131" w:right="759" w:bottom="1440" w:gutter="0" w:footer="0" w:header="0"/>
        </w:sectPr>
      </w:pPr>
    </w:p>
    <w:bookmarkStart w:id="63" w:name="page64"/>
    <w:bookmarkEnd w:id="63"/>
    <w:p>
      <w:pPr>
        <w:jc w:val="right"/>
        <w:spacing w:after="0"/>
        <w:rPr>
          <w:sz w:val="20"/>
          <w:szCs w:val="20"/>
          <w:color w:val="auto"/>
        </w:rPr>
      </w:pPr>
      <w:r>
        <w:rPr>
          <w:rFonts w:ascii="Arial" w:cs="Arial" w:eastAsia="Arial" w:hAnsi="Arial"/>
          <w:sz w:val="13"/>
          <w:szCs w:val="13"/>
          <w:b w:val="1"/>
          <w:bCs w:val="1"/>
          <w:color w:val="auto"/>
        </w:rPr>
        <w:t>Exhibit 31.1</w:t>
      </w:r>
    </w:p>
    <w:p>
      <w:pPr>
        <w:spacing w:after="0" w:line="120" w:lineRule="exact"/>
        <w:rPr>
          <w:sz w:val="20"/>
          <w:szCs w:val="20"/>
          <w:color w:val="auto"/>
        </w:rPr>
      </w:pPr>
    </w:p>
    <w:p>
      <w:pPr>
        <w:jc w:val="center"/>
        <w:ind w:left="1140" w:right="2620"/>
        <w:spacing w:after="0" w:line="261" w:lineRule="auto"/>
        <w:rPr>
          <w:sz w:val="20"/>
          <w:szCs w:val="20"/>
          <w:color w:val="auto"/>
        </w:rPr>
      </w:pPr>
      <w:r>
        <w:rPr>
          <w:rFonts w:ascii="Arial" w:cs="Arial" w:eastAsia="Arial" w:hAnsi="Arial"/>
          <w:sz w:val="13"/>
          <w:szCs w:val="13"/>
          <w:b w:val="1"/>
          <w:bCs w:val="1"/>
          <w:color w:val="auto"/>
        </w:rPr>
        <w:t>CERTIFICATION PURSUANT TO RULE 13a-14(a) OR 15d-14(a) OF THE SECURITIES EXCHANGE ACT OF 1934, AS ADOPTED PURSUANT TO SECTION 302 OF THE SARBANES-OXLEY ACT OF 2002</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3"/>
          <w:szCs w:val="13"/>
          <w:color w:val="auto"/>
        </w:rPr>
        <w:t>I, Ken Xie, certify that:</w:t>
      </w:r>
    </w:p>
    <w:p>
      <w:pPr>
        <w:spacing w:after="0" w:line="53" w:lineRule="exact"/>
        <w:rPr>
          <w:sz w:val="20"/>
          <w:szCs w:val="20"/>
          <w:color w:val="auto"/>
        </w:rPr>
      </w:pPr>
    </w:p>
    <w:p>
      <w:pPr>
        <w:ind w:left="220" w:hanging="215"/>
        <w:spacing w:after="0"/>
        <w:tabs>
          <w:tab w:leader="none" w:pos="2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Fortinet, Inc.;</w:t>
      </w:r>
    </w:p>
    <w:p>
      <w:pPr>
        <w:spacing w:after="0" w:line="52" w:lineRule="exact"/>
        <w:rPr>
          <w:rFonts w:ascii="Arial" w:cs="Arial" w:eastAsia="Arial" w:hAnsi="Arial"/>
          <w:sz w:val="13"/>
          <w:szCs w:val="13"/>
          <w:color w:val="auto"/>
        </w:rPr>
      </w:pPr>
    </w:p>
    <w:p>
      <w:pPr>
        <w:ind w:left="340" w:right="180" w:hanging="335"/>
        <w:spacing w:after="0" w:line="268" w:lineRule="auto"/>
        <w:tabs>
          <w:tab w:leader="none" w:pos="237"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3"/>
          <w:szCs w:val="13"/>
          <w:color w:val="auto"/>
        </w:rPr>
      </w:pPr>
    </w:p>
    <w:p>
      <w:pPr>
        <w:ind w:left="340" w:right="300" w:hanging="335"/>
        <w:spacing w:after="0" w:line="268" w:lineRule="auto"/>
        <w:tabs>
          <w:tab w:leader="none" w:pos="237"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rFonts w:ascii="Arial" w:cs="Arial" w:eastAsia="Arial" w:hAnsi="Arial"/>
          <w:sz w:val="13"/>
          <w:szCs w:val="13"/>
          <w:color w:val="auto"/>
        </w:rPr>
      </w:pPr>
    </w:p>
    <w:p>
      <w:pPr>
        <w:ind w:left="340" w:right="280" w:hanging="335"/>
        <w:spacing w:after="0" w:line="268" w:lineRule="auto"/>
        <w:tabs>
          <w:tab w:leader="none" w:pos="235"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for the registrant and have:</w:t>
      </w:r>
    </w:p>
    <w:p>
      <w:pPr>
        <w:spacing w:after="0" w:line="22" w:lineRule="exact"/>
        <w:rPr>
          <w:rFonts w:ascii="Arial" w:cs="Arial" w:eastAsia="Arial" w:hAnsi="Arial"/>
          <w:sz w:val="13"/>
          <w:szCs w:val="13"/>
          <w:color w:val="auto"/>
        </w:rPr>
      </w:pPr>
    </w:p>
    <w:p>
      <w:pPr>
        <w:ind w:left="640" w:right="340" w:hanging="327"/>
        <w:spacing w:after="0" w:line="338" w:lineRule="auto"/>
        <w:tabs>
          <w:tab w:leader="none" w:pos="530" w:val="left"/>
        </w:tabs>
        <w:numPr>
          <w:ilvl w:val="1"/>
          <w:numId w:val="28"/>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 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0" w:right="20" w:hanging="327"/>
        <w:spacing w:after="0" w:line="268" w:lineRule="auto"/>
        <w:tabs>
          <w:tab w:leader="none" w:pos="537" w:val="left"/>
        </w:tabs>
        <w:numPr>
          <w:ilvl w:val="1"/>
          <w:numId w:val="2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3"/>
          <w:szCs w:val="13"/>
          <w:color w:val="auto"/>
        </w:rPr>
      </w:pPr>
    </w:p>
    <w:p>
      <w:pPr>
        <w:ind w:left="640" w:right="80" w:hanging="327"/>
        <w:spacing w:after="0" w:line="310" w:lineRule="auto"/>
        <w:tabs>
          <w:tab w:leader="none" w:pos="530" w:val="left"/>
        </w:tabs>
        <w:numPr>
          <w:ilvl w:val="1"/>
          <w:numId w:val="28"/>
        </w:numPr>
        <w:rPr>
          <w:rFonts w:ascii="Arial" w:cs="Arial" w:eastAsia="Arial" w:hAnsi="Arial"/>
          <w:sz w:val="12"/>
          <w:szCs w:val="12"/>
          <w:color w:val="auto"/>
        </w:rPr>
      </w:pPr>
      <w:r>
        <w:rPr>
          <w:rFonts w:ascii="Arial" w:cs="Arial" w:eastAsia="Arial" w:hAnsi="Arial"/>
          <w:sz w:val="12"/>
          <w:szCs w:val="12"/>
          <w:color w:val="auto"/>
        </w:rPr>
        <w:t>Disclosed in this report any change in th 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right="220" w:hanging="335"/>
        <w:spacing w:after="0" w:line="268" w:lineRule="auto"/>
        <w:tabs>
          <w:tab w:leader="none" w:pos="235"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rFonts w:ascii="Arial" w:cs="Arial" w:eastAsia="Arial" w:hAnsi="Arial"/>
          <w:sz w:val="13"/>
          <w:szCs w:val="13"/>
          <w:color w:val="auto"/>
        </w:rPr>
      </w:pPr>
    </w:p>
    <w:p>
      <w:pPr>
        <w:ind w:left="640" w:right="120" w:hanging="327"/>
        <w:spacing w:after="0" w:line="268" w:lineRule="auto"/>
        <w:tabs>
          <w:tab w:leader="none" w:pos="555" w:val="left"/>
        </w:tabs>
        <w:numPr>
          <w:ilvl w:val="1"/>
          <w:numId w:val="2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3"/>
          <w:szCs w:val="13"/>
          <w:color w:val="auto"/>
        </w:rPr>
      </w:pPr>
    </w:p>
    <w:p>
      <w:pPr>
        <w:ind w:left="540" w:hanging="227"/>
        <w:spacing w:after="0"/>
        <w:tabs>
          <w:tab w:leader="none" w:pos="5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620"/>
          </w:cols>
          <w:pgMar w:left="1080" w:top="435" w:right="199" w:bottom="1440" w:gutter="0" w:footer="0" w:header="0"/>
        </w:sectPr>
      </w:pPr>
    </w:p>
    <w:p>
      <w:pPr>
        <w:spacing w:after="0" w:line="265" w:lineRule="exact"/>
        <w:rPr>
          <w:sz w:val="20"/>
          <w:szCs w:val="20"/>
          <w:color w:val="auto"/>
        </w:rPr>
      </w:pPr>
    </w:p>
    <w:p>
      <w:pPr>
        <w:ind w:left="80"/>
        <w:spacing w:after="0"/>
        <w:rPr>
          <w:sz w:val="20"/>
          <w:szCs w:val="20"/>
          <w:color w:val="auto"/>
        </w:rPr>
      </w:pPr>
      <w:r>
        <w:rPr>
          <w:rFonts w:ascii="Arial" w:cs="Arial" w:eastAsia="Arial" w:hAnsi="Arial"/>
          <w:sz w:val="13"/>
          <w:szCs w:val="13"/>
          <w:color w:val="auto"/>
        </w:rPr>
        <w:t>Date: November 5, 2010</w:t>
      </w:r>
    </w:p>
    <w:p>
      <w:pPr>
        <w:spacing w:after="0" w:line="236" w:lineRule="exact"/>
        <w:rPr>
          <w:sz w:val="20"/>
          <w:szCs w:val="20"/>
          <w:color w:val="auto"/>
        </w:rPr>
      </w:pPr>
    </w:p>
    <w:p>
      <w:pPr>
        <w:ind w:left="80"/>
        <w:spacing w:after="0"/>
        <w:rPr>
          <w:sz w:val="20"/>
          <w:szCs w:val="20"/>
          <w:color w:val="auto"/>
        </w:rPr>
      </w:pPr>
      <w:r>
        <w:rPr>
          <w:rFonts w:ascii="Arial" w:cs="Arial" w:eastAsia="Arial" w:hAnsi="Arial"/>
          <w:sz w:val="11"/>
          <w:szCs w:val="11"/>
          <w:i w:val="1"/>
          <w:iCs w:val="1"/>
          <w:color w:val="FFFFFF"/>
        </w:rPr>
        <w:t>President, Chief Executive Officer and Director</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FFFFFF"/>
        </w:rPr>
        <w:t>(Principal Executive Officer)</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20955</wp:posOffset>
            </wp:positionV>
            <wp:extent cx="30734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3400" cy="6350"/>
                    </a:xfrm>
                    <a:prstGeom prst="rect">
                      <a:avLst/>
                    </a:prstGeom>
                    <a:noFill/>
                  </pic:spPr>
                </pic:pic>
              </a:graphicData>
            </a:graphic>
          </wp:anchor>
        </w:drawing>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0"/>
          <w:szCs w:val="10"/>
          <w:color w:val="auto"/>
        </w:rPr>
        <w:t>Ken Xie</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9"/>
          <w:szCs w:val="9"/>
          <w:b w:val="1"/>
          <w:bCs w:val="1"/>
          <w:color w:val="auto"/>
        </w:rPr>
        <w:t>Pres ident, Chief Executive Officer and Director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0"/>
          <w:szCs w:val="10"/>
          <w:b w:val="1"/>
          <w:bCs w:val="1"/>
          <w:color w:val="auto"/>
        </w:rPr>
        <w:t>(Principal Executive Officer)</w:t>
      </w:r>
    </w:p>
    <w:p>
      <w:pPr>
        <w:sectPr>
          <w:pgSz w:w="11900" w:h="16838" w:orient="portrait"/>
          <w:cols w:equalWidth="0" w:num="2">
            <w:col w:w="4840" w:space="720"/>
            <w:col w:w="5060"/>
          </w:cols>
          <w:pgMar w:left="1080" w:top="435" w:right="19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3"/>
          <w:szCs w:val="13"/>
          <w:b w:val="1"/>
          <w:bCs w:val="1"/>
          <w:color w:val="auto"/>
        </w:rPr>
        <w:t>Exhibit 31.2</w:t>
      </w:r>
    </w:p>
    <w:p>
      <w:pPr>
        <w:spacing w:after="0" w:line="120" w:lineRule="exact"/>
        <w:rPr>
          <w:sz w:val="20"/>
          <w:szCs w:val="20"/>
          <w:color w:val="auto"/>
        </w:rPr>
      </w:pPr>
    </w:p>
    <w:p>
      <w:pPr>
        <w:jc w:val="center"/>
        <w:ind w:left="1140" w:right="2620"/>
        <w:spacing w:after="0" w:line="261" w:lineRule="auto"/>
        <w:rPr>
          <w:sz w:val="20"/>
          <w:szCs w:val="20"/>
          <w:color w:val="auto"/>
        </w:rPr>
      </w:pPr>
      <w:r>
        <w:rPr>
          <w:rFonts w:ascii="Arial" w:cs="Arial" w:eastAsia="Arial" w:hAnsi="Arial"/>
          <w:sz w:val="13"/>
          <w:szCs w:val="13"/>
          <w:b w:val="1"/>
          <w:bCs w:val="1"/>
          <w:color w:val="auto"/>
        </w:rPr>
        <w:t>CERTIFICATION PURSUANT TO RULE 13a-14(a) OR 15d-14(a) OF THE SECURITIES EXCHANGE ACT OF 1934, AS ADOPTED PURSUANT TO SECTION 302 OF THE SARBANES-OXLEY ACT OF 2002</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3"/>
          <w:szCs w:val="13"/>
          <w:color w:val="auto"/>
        </w:rPr>
        <w:t>I, Ken Goldman, certify that:</w:t>
      </w:r>
    </w:p>
    <w:p>
      <w:pPr>
        <w:spacing w:after="0" w:line="53" w:lineRule="exact"/>
        <w:rPr>
          <w:sz w:val="20"/>
          <w:szCs w:val="20"/>
          <w:color w:val="auto"/>
        </w:rPr>
      </w:pPr>
    </w:p>
    <w:p>
      <w:pPr>
        <w:ind w:left="220" w:hanging="215"/>
        <w:spacing w:after="0"/>
        <w:tabs>
          <w:tab w:leader="none" w:pos="2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Fortinet, Inc.;</w:t>
      </w:r>
    </w:p>
    <w:p>
      <w:pPr>
        <w:spacing w:after="0" w:line="52" w:lineRule="exact"/>
        <w:rPr>
          <w:rFonts w:ascii="Arial" w:cs="Arial" w:eastAsia="Arial" w:hAnsi="Arial"/>
          <w:sz w:val="13"/>
          <w:szCs w:val="13"/>
          <w:color w:val="auto"/>
        </w:rPr>
      </w:pPr>
    </w:p>
    <w:p>
      <w:pPr>
        <w:ind w:left="340" w:right="180" w:hanging="335"/>
        <w:spacing w:after="0" w:line="268" w:lineRule="auto"/>
        <w:tabs>
          <w:tab w:leader="none" w:pos="237"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3"/>
          <w:szCs w:val="13"/>
          <w:color w:val="auto"/>
        </w:rPr>
      </w:pPr>
    </w:p>
    <w:p>
      <w:pPr>
        <w:ind w:left="340" w:right="300" w:hanging="335"/>
        <w:spacing w:after="0" w:line="268" w:lineRule="auto"/>
        <w:tabs>
          <w:tab w:leader="none" w:pos="237"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rFonts w:ascii="Arial" w:cs="Arial" w:eastAsia="Arial" w:hAnsi="Arial"/>
          <w:sz w:val="13"/>
          <w:szCs w:val="13"/>
          <w:color w:val="auto"/>
        </w:rPr>
      </w:pPr>
    </w:p>
    <w:p>
      <w:pPr>
        <w:ind w:left="340" w:right="280" w:hanging="335"/>
        <w:spacing w:after="0" w:line="268" w:lineRule="auto"/>
        <w:tabs>
          <w:tab w:leader="none" w:pos="235"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for the registrant and have:</w:t>
      </w:r>
    </w:p>
    <w:p>
      <w:pPr>
        <w:spacing w:after="0" w:line="22" w:lineRule="exact"/>
        <w:rPr>
          <w:rFonts w:ascii="Arial" w:cs="Arial" w:eastAsia="Arial" w:hAnsi="Arial"/>
          <w:sz w:val="13"/>
          <w:szCs w:val="13"/>
          <w:color w:val="auto"/>
        </w:rPr>
      </w:pPr>
    </w:p>
    <w:p>
      <w:pPr>
        <w:ind w:left="660" w:right="320" w:hanging="337"/>
        <w:spacing w:after="0" w:line="338" w:lineRule="auto"/>
        <w:tabs>
          <w:tab w:leader="none" w:pos="550" w:val="left"/>
        </w:tabs>
        <w:numPr>
          <w:ilvl w:val="1"/>
          <w:numId w:val="29"/>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 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140" w:hanging="337"/>
        <w:spacing w:after="0" w:line="268" w:lineRule="auto"/>
        <w:tabs>
          <w:tab w:leader="none" w:pos="557" w:val="left"/>
        </w:tabs>
        <w:numPr>
          <w:ilvl w:val="1"/>
          <w:numId w:val="2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3"/>
          <w:szCs w:val="13"/>
          <w:color w:val="auto"/>
        </w:rPr>
      </w:pPr>
    </w:p>
    <w:p>
      <w:pPr>
        <w:ind w:left="660" w:right="60" w:hanging="337"/>
        <w:spacing w:after="0" w:line="310" w:lineRule="auto"/>
        <w:tabs>
          <w:tab w:leader="none" w:pos="550" w:val="left"/>
        </w:tabs>
        <w:numPr>
          <w:ilvl w:val="1"/>
          <w:numId w:val="29"/>
        </w:numPr>
        <w:rPr>
          <w:rFonts w:ascii="Arial" w:cs="Arial" w:eastAsia="Arial" w:hAnsi="Arial"/>
          <w:sz w:val="12"/>
          <w:szCs w:val="12"/>
          <w:color w:val="auto"/>
        </w:rPr>
      </w:pPr>
      <w:r>
        <w:rPr>
          <w:rFonts w:ascii="Arial" w:cs="Arial" w:eastAsia="Arial" w:hAnsi="Arial"/>
          <w:sz w:val="12"/>
          <w:szCs w:val="12"/>
          <w:color w:val="auto"/>
        </w:rPr>
        <w:t>Disclosed in this report any change i 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right="220" w:hanging="335"/>
        <w:spacing w:after="0" w:line="268" w:lineRule="auto"/>
        <w:tabs>
          <w:tab w:leader="none" w:pos="235"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rFonts w:ascii="Arial" w:cs="Arial" w:eastAsia="Arial" w:hAnsi="Arial"/>
          <w:sz w:val="13"/>
          <w:szCs w:val="13"/>
          <w:color w:val="auto"/>
        </w:rPr>
      </w:pPr>
    </w:p>
    <w:p>
      <w:pPr>
        <w:ind w:left="660" w:right="260" w:hanging="337"/>
        <w:spacing w:after="0" w:line="268" w:lineRule="auto"/>
        <w:tabs>
          <w:tab w:leader="none" w:pos="486" w:val="left"/>
        </w:tabs>
        <w:numPr>
          <w:ilvl w:val="1"/>
          <w:numId w:val="29"/>
        </w:numPr>
        <w:rPr>
          <w:rFonts w:ascii="Arial" w:cs="Arial" w:eastAsia="Arial" w:hAnsi="Arial"/>
          <w:sz w:val="13"/>
          <w:szCs w:val="13"/>
          <w:color w:val="auto"/>
        </w:rPr>
      </w:pPr>
      <w:r>
        <w:rPr>
          <w:rFonts w:ascii="Arial" w:cs="Arial" w:eastAsia="Arial" w:hAnsi="Arial"/>
          <w:sz w:val="13"/>
          <w:szCs w:val="13"/>
          <w:color w:val="auto"/>
        </w:rPr>
        <w:t>&amp;n bsp;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3"/>
          <w:szCs w:val="13"/>
          <w:color w:val="auto"/>
        </w:rPr>
      </w:pPr>
    </w:p>
    <w:p>
      <w:pPr>
        <w:ind w:left="540" w:hanging="217"/>
        <w:spacing w:after="0"/>
        <w:tabs>
          <w:tab w:leader="none" w:pos="54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Arial" w:cs="Arial" w:eastAsia="Arial" w:hAnsi="Arial"/>
                <w:sz w:val="13"/>
                <w:szCs w:val="13"/>
                <w:color w:val="auto"/>
              </w:rPr>
              <w:t>Date:</w:t>
            </w:r>
          </w:p>
        </w:tc>
        <w:tc>
          <w:tcPr>
            <w:tcW w:w="3400" w:type="dxa"/>
            <w:vAlign w:val="bottom"/>
          </w:tcPr>
          <w:p>
            <w:pPr>
              <w:ind w:left="180"/>
              <w:spacing w:after="0"/>
              <w:rPr>
                <w:sz w:val="20"/>
                <w:szCs w:val="20"/>
                <w:color w:val="auto"/>
              </w:rPr>
            </w:pPr>
            <w:r>
              <w:rPr>
                <w:rFonts w:ascii="Arial" w:cs="Arial" w:eastAsia="Arial" w:hAnsi="Arial"/>
                <w:sz w:val="13"/>
                <w:szCs w:val="13"/>
                <w:color w:val="auto"/>
              </w:rPr>
              <w:t>November 5, 2010</w:t>
            </w:r>
          </w:p>
        </w:tc>
        <w:tc>
          <w:tcPr>
            <w:tcW w:w="1880" w:type="dxa"/>
            <w:vAlign w:val="bottom"/>
          </w:tcPr>
          <w:p>
            <w:pPr>
              <w:ind w:left="1660"/>
              <w:spacing w:after="0"/>
              <w:rPr>
                <w:sz w:val="20"/>
                <w:szCs w:val="20"/>
                <w:color w:val="auto"/>
              </w:rPr>
            </w:pPr>
            <w:r>
              <w:rPr>
                <w:rFonts w:ascii="Arial" w:cs="Arial" w:eastAsia="Arial" w:hAnsi="Arial"/>
                <w:sz w:val="13"/>
                <w:szCs w:val="13"/>
                <w:color w:val="auto"/>
              </w:rPr>
              <w:t>By:</w:t>
            </w:r>
          </w:p>
        </w:tc>
        <w:tc>
          <w:tcPr>
            <w:tcW w:w="478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/s / Ken Goldman</w:t>
            </w:r>
          </w:p>
        </w:tc>
        <w:tc>
          <w:tcPr>
            <w:tcW w:w="0" w:type="dxa"/>
            <w:vAlign w:val="bottom"/>
          </w:tcPr>
          <w:p>
            <w:pPr>
              <w:spacing w:after="0"/>
              <w:rPr>
                <w:sz w:val="1"/>
                <w:szCs w:val="1"/>
                <w:color w:val="auto"/>
              </w:rPr>
            </w:pPr>
          </w:p>
        </w:tc>
      </w:tr>
      <w:tr>
        <w:trPr>
          <w:trHeight w:val="174"/>
        </w:trPr>
        <w:tc>
          <w:tcPr>
            <w:tcW w:w="4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780" w:type="dxa"/>
            <w:vAlign w:val="bottom"/>
          </w:tcPr>
          <w:p>
            <w:pPr>
              <w:ind w:left="360"/>
              <w:spacing w:after="0"/>
              <w:rPr>
                <w:sz w:val="20"/>
                <w:szCs w:val="20"/>
                <w:color w:val="auto"/>
              </w:rPr>
            </w:pPr>
            <w:r>
              <w:rPr>
                <w:rFonts w:ascii="Arial" w:cs="Arial" w:eastAsia="Arial" w:hAnsi="Arial"/>
                <w:sz w:val="10"/>
                <w:szCs w:val="10"/>
                <w:color w:val="auto"/>
              </w:rPr>
              <w:t>Ken Goldman</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3400" w:type="dxa"/>
            <w:vAlign w:val="bottom"/>
          </w:tcPr>
          <w:p>
            <w:pPr>
              <w:ind w:left="180"/>
              <w:spacing w:after="0"/>
              <w:rPr>
                <w:sz w:val="20"/>
                <w:szCs w:val="20"/>
                <w:color w:val="auto"/>
              </w:rPr>
            </w:pPr>
            <w:r>
              <w:rPr>
                <w:rFonts w:ascii="Arial" w:cs="Arial" w:eastAsia="Arial" w:hAnsi="Arial"/>
                <w:sz w:val="13"/>
                <w:szCs w:val="13"/>
                <w:i w:val="1"/>
                <w:iCs w:val="1"/>
                <w:color w:val="auto"/>
              </w:rPr>
              <w:t>Chief Financial Officer</w:t>
            </w:r>
          </w:p>
        </w:tc>
        <w:tc>
          <w:tcPr>
            <w:tcW w:w="1880" w:type="dxa"/>
            <w:vAlign w:val="bottom"/>
          </w:tcPr>
          <w:p>
            <w:pPr>
              <w:spacing w:after="0"/>
              <w:rPr>
                <w:sz w:val="15"/>
                <w:szCs w:val="15"/>
                <w:color w:val="auto"/>
              </w:rPr>
            </w:pPr>
          </w:p>
        </w:tc>
        <w:tc>
          <w:tcPr>
            <w:tcW w:w="478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Chief Financial Officer</w:t>
            </w: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3400" w:type="dxa"/>
            <w:vAlign w:val="bottom"/>
            <w:vMerge w:val="restart"/>
          </w:tcPr>
          <w:p>
            <w:pPr>
              <w:ind w:left="180"/>
              <w:spacing w:after="0"/>
              <w:rPr>
                <w:sz w:val="20"/>
                <w:szCs w:val="20"/>
                <w:color w:val="auto"/>
              </w:rPr>
            </w:pPr>
            <w:r>
              <w:rPr>
                <w:rFonts w:ascii="Arial" w:cs="Arial" w:eastAsia="Arial" w:hAnsi="Arial"/>
                <w:sz w:val="13"/>
                <w:szCs w:val="13"/>
                <w:i w:val="1"/>
                <w:iCs w:val="1"/>
                <w:color w:val="auto"/>
              </w:rPr>
              <w:t>(Principal Financing Officer)</w:t>
            </w:r>
          </w:p>
        </w:tc>
        <w:tc>
          <w:tcPr>
            <w:tcW w:w="1880" w:type="dxa"/>
            <w:vAlign w:val="bottom"/>
          </w:tcPr>
          <w:p>
            <w:pPr>
              <w:spacing w:after="0"/>
              <w:rPr>
                <w:sz w:val="3"/>
                <w:szCs w:val="3"/>
                <w:color w:val="auto"/>
              </w:rPr>
            </w:pPr>
          </w:p>
        </w:tc>
        <w:tc>
          <w:tcPr>
            <w:tcW w:w="4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80" w:type="dxa"/>
            <w:vAlign w:val="bottom"/>
          </w:tcPr>
          <w:p>
            <w:pPr>
              <w:spacing w:after="0"/>
              <w:rPr>
                <w:sz w:val="11"/>
                <w:szCs w:val="11"/>
                <w:color w:val="auto"/>
              </w:rPr>
            </w:pPr>
          </w:p>
        </w:tc>
        <w:tc>
          <w:tcPr>
            <w:tcW w:w="3400" w:type="dxa"/>
            <w:vAlign w:val="bottom"/>
            <w:vMerge w:val="continue"/>
          </w:tcPr>
          <w:p>
            <w:pPr>
              <w:spacing w:after="0"/>
              <w:rPr>
                <w:sz w:val="11"/>
                <w:szCs w:val="11"/>
                <w:color w:val="auto"/>
              </w:rPr>
            </w:pPr>
          </w:p>
        </w:tc>
        <w:tc>
          <w:tcPr>
            <w:tcW w:w="1880" w:type="dxa"/>
            <w:vAlign w:val="bottom"/>
          </w:tcPr>
          <w:p>
            <w:pPr>
              <w:spacing w:after="0"/>
              <w:rPr>
                <w:sz w:val="11"/>
                <w:szCs w:val="11"/>
                <w:color w:val="auto"/>
              </w:rPr>
            </w:pPr>
          </w:p>
        </w:tc>
        <w:tc>
          <w:tcPr>
            <w:tcW w:w="4780" w:type="dxa"/>
            <w:vAlign w:val="bottom"/>
          </w:tcPr>
          <w:p>
            <w:pPr>
              <w:ind w:left="360"/>
              <w:spacing w:after="0"/>
              <w:rPr>
                <w:sz w:val="20"/>
                <w:szCs w:val="20"/>
                <w:color w:val="auto"/>
              </w:rPr>
            </w:pPr>
            <w:r>
              <w:rPr>
                <w:rFonts w:ascii="Arial" w:cs="Arial" w:eastAsia="Arial" w:hAnsi="Arial"/>
                <w:sz w:val="10"/>
                <w:szCs w:val="10"/>
                <w:b w:val="1"/>
                <w:bCs w:val="1"/>
                <w:color w:val="auto"/>
              </w:rPr>
              <w:t>(Principal Financing Officer)</w:t>
            </w:r>
          </w:p>
        </w:tc>
        <w:tc>
          <w:tcPr>
            <w:tcW w:w="0" w:type="dxa"/>
            <w:vAlign w:val="bottom"/>
          </w:tcPr>
          <w:p>
            <w:pPr>
              <w:spacing w:after="0"/>
              <w:rPr>
                <w:sz w:val="1"/>
                <w:szCs w:val="1"/>
                <w:color w:val="auto"/>
              </w:rPr>
            </w:pPr>
          </w:p>
        </w:tc>
      </w:tr>
    </w:tbl>
    <w:p>
      <w:pPr>
        <w:sectPr>
          <w:pgSz w:w="11900" w:h="16838" w:orient="portrait"/>
          <w:cols w:equalWidth="0" w:num="1">
            <w:col w:w="10620"/>
          </w:cols>
          <w:pgMar w:left="1080" w:top="435" w:right="199" w:bottom="1440" w:gutter="0" w:footer="0" w:header="0"/>
        </w:sectPr>
      </w:pPr>
    </w:p>
    <w:bookmarkStart w:id="65" w:name="page66"/>
    <w:bookmarkEnd w:id="65"/>
    <w:p>
      <w:pPr>
        <w:jc w:val="right"/>
        <w:spacing w:after="0"/>
        <w:rPr>
          <w:sz w:val="20"/>
          <w:szCs w:val="20"/>
          <w:color w:val="auto"/>
        </w:rPr>
      </w:pPr>
      <w:r>
        <w:rPr>
          <w:rFonts w:ascii="Arial" w:cs="Arial" w:eastAsia="Arial" w:hAnsi="Arial"/>
          <w:sz w:val="13"/>
          <w:szCs w:val="13"/>
          <w:b w:val="1"/>
          <w:bCs w:val="1"/>
          <w:color w:val="auto"/>
        </w:rPr>
        <w:t>Exhibit 32.1</w:t>
      </w:r>
    </w:p>
    <w:p>
      <w:pPr>
        <w:spacing w:after="0" w:line="120" w:lineRule="exact"/>
        <w:rPr>
          <w:sz w:val="20"/>
          <w:szCs w:val="20"/>
          <w:color w:val="auto"/>
        </w:rPr>
      </w:pPr>
    </w:p>
    <w:p>
      <w:pPr>
        <w:jc w:val="center"/>
        <w:ind w:left="940"/>
        <w:spacing w:after="0"/>
        <w:rPr>
          <w:sz w:val="20"/>
          <w:szCs w:val="20"/>
          <w:color w:val="auto"/>
        </w:rPr>
      </w:pPr>
      <w:r>
        <w:rPr>
          <w:rFonts w:ascii="Arial" w:cs="Arial" w:eastAsia="Arial" w:hAnsi="Arial"/>
          <w:sz w:val="13"/>
          <w:szCs w:val="13"/>
          <w:b w:val="1"/>
          <w:bCs w:val="1"/>
          <w:color w:val="auto"/>
        </w:rPr>
        <w:t>CERTIFICATION OF CHIEF EXECUTIVE OFFICER AND CHIEF FINANCIAL OFFICER</w:t>
      </w:r>
    </w:p>
    <w:p>
      <w:pPr>
        <w:spacing w:after="0" w:line="17" w:lineRule="exact"/>
        <w:rPr>
          <w:sz w:val="20"/>
          <w:szCs w:val="20"/>
          <w:color w:val="auto"/>
        </w:rPr>
      </w:pPr>
    </w:p>
    <w:p>
      <w:pPr>
        <w:jc w:val="center"/>
        <w:ind w:left="940"/>
        <w:spacing w:after="0"/>
        <w:rPr>
          <w:sz w:val="20"/>
          <w:szCs w:val="20"/>
          <w:color w:val="auto"/>
        </w:rPr>
      </w:pPr>
      <w:r>
        <w:rPr>
          <w:rFonts w:ascii="Arial" w:cs="Arial" w:eastAsia="Arial" w:hAnsi="Arial"/>
          <w:sz w:val="13"/>
          <w:szCs w:val="13"/>
          <w:b w:val="1"/>
          <w:bCs w:val="1"/>
          <w:color w:val="auto"/>
        </w:rPr>
        <w:t>PURSUANT TO 18 U.S.C. SECTION 1350,</w:t>
      </w:r>
    </w:p>
    <w:p>
      <w:pPr>
        <w:spacing w:after="0" w:line="5" w:lineRule="exact"/>
        <w:rPr>
          <w:sz w:val="20"/>
          <w:szCs w:val="20"/>
          <w:color w:val="auto"/>
        </w:rPr>
      </w:pPr>
    </w:p>
    <w:p>
      <w:pPr>
        <w:jc w:val="center"/>
        <w:ind w:left="940"/>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266" w:lineRule="exact"/>
        <w:rPr>
          <w:sz w:val="20"/>
          <w:szCs w:val="20"/>
          <w:color w:val="auto"/>
        </w:rPr>
      </w:pPr>
    </w:p>
    <w:p>
      <w:pPr>
        <w:jc w:val="both"/>
        <w:ind w:right="40" w:firstLine="718"/>
        <w:spacing w:after="0" w:line="254" w:lineRule="auto"/>
        <w:rPr>
          <w:sz w:val="20"/>
          <w:szCs w:val="20"/>
          <w:color w:val="auto"/>
        </w:rPr>
      </w:pPr>
      <w:r>
        <w:rPr>
          <w:rFonts w:ascii="Arial" w:cs="Arial" w:eastAsia="Arial" w:hAnsi="Arial"/>
          <w:sz w:val="13"/>
          <w:szCs w:val="13"/>
          <w:color w:val="auto"/>
        </w:rPr>
        <w:t>In connection with the Quarterly Report on Form 10-Q of Fortinet, Inc. for the quarterly period ended September 30, 2010 as filed with the Securities and Exchange Commission on the date hereof (the “Report”), Ken Xie, as Principal Executive Officer of Fortinet, Inc., hereby certifies, pursuant to 18 U.S.C. Section 1350, as adopted pursuant to Section 906 of the S 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60" w:type="dxa"/>
            <w:vAlign w:val="bottom"/>
          </w:tcPr>
          <w:p>
            <w:pPr>
              <w:jc w:val="right"/>
              <w:ind w:right="36"/>
              <w:spacing w:after="0"/>
              <w:rPr>
                <w:sz w:val="20"/>
                <w:szCs w:val="20"/>
                <w:color w:val="auto"/>
              </w:rPr>
            </w:pPr>
            <w:r>
              <w:rPr>
                <w:rFonts w:ascii="Arial" w:cs="Arial" w:eastAsia="Arial" w:hAnsi="Arial"/>
                <w:sz w:val="13"/>
                <w:szCs w:val="13"/>
                <w:color w:val="auto"/>
              </w:rPr>
              <w:t>&lt;</w:t>
            </w:r>
          </w:p>
        </w:tc>
        <w:tc>
          <w:tcPr>
            <w:tcW w:w="4780" w:type="dxa"/>
            <w:vAlign w:val="bottom"/>
          </w:tcPr>
          <w:p>
            <w:pPr>
              <w:spacing w:after="0"/>
              <w:rPr>
                <w:sz w:val="14"/>
                <w:szCs w:val="14"/>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3"/>
                <w:szCs w:val="13"/>
                <w:color w:val="auto"/>
              </w:rPr>
              <w:t>Date:</w:t>
            </w:r>
          </w:p>
        </w:tc>
        <w:tc>
          <w:tcPr>
            <w:tcW w:w="4720" w:type="dxa"/>
            <w:vAlign w:val="bottom"/>
          </w:tcPr>
          <w:p>
            <w:pPr>
              <w:ind w:left="180"/>
              <w:spacing w:after="0"/>
              <w:rPr>
                <w:sz w:val="20"/>
                <w:szCs w:val="20"/>
                <w:color w:val="auto"/>
              </w:rPr>
            </w:pPr>
            <w:r>
              <w:rPr>
                <w:rFonts w:ascii="Arial" w:cs="Arial" w:eastAsia="Arial" w:hAnsi="Arial"/>
                <w:sz w:val="13"/>
                <w:szCs w:val="13"/>
                <w:color w:val="auto"/>
              </w:rPr>
              <w:t>November 5, 2010</w:t>
            </w:r>
          </w:p>
        </w:tc>
        <w:tc>
          <w:tcPr>
            <w:tcW w:w="560" w:type="dxa"/>
            <w:vAlign w:val="bottom"/>
          </w:tcPr>
          <w:p>
            <w:pPr>
              <w:jc w:val="right"/>
              <w:spacing w:after="0"/>
              <w:rPr>
                <w:sz w:val="20"/>
                <w:szCs w:val="20"/>
                <w:color w:val="auto"/>
              </w:rPr>
            </w:pPr>
            <w:r>
              <w:rPr>
                <w:rFonts w:ascii="Arial" w:cs="Arial" w:eastAsia="Arial" w:hAnsi="Arial"/>
                <w:sz w:val="13"/>
                <w:szCs w:val="13"/>
                <w:color w:val="auto"/>
              </w:rPr>
              <w:t>By:</w:t>
            </w:r>
          </w:p>
        </w:tc>
        <w:tc>
          <w:tcPr>
            <w:tcW w:w="478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/s/ Ken Xie</w:t>
            </w:r>
          </w:p>
        </w:tc>
      </w:tr>
      <w:tr>
        <w:trPr>
          <w:trHeight w:val="165"/>
        </w:trPr>
        <w:tc>
          <w:tcPr>
            <w:tcW w:w="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80" w:type="dxa"/>
            <w:vAlign w:val="bottom"/>
          </w:tcPr>
          <w:p>
            <w:pPr>
              <w:ind w:left="360"/>
              <w:spacing w:after="0"/>
              <w:rPr>
                <w:sz w:val="20"/>
                <w:szCs w:val="20"/>
                <w:color w:val="auto"/>
              </w:rPr>
            </w:pPr>
            <w:r>
              <w:rPr>
                <w:rFonts w:ascii="Arial" w:cs="Arial" w:eastAsia="Arial" w:hAnsi="Arial"/>
                <w:sz w:val="10"/>
                <w:szCs w:val="10"/>
                <w:color w:val="auto"/>
              </w:rPr>
              <w:t>Ken Xie</w:t>
            </w:r>
          </w:p>
        </w:tc>
      </w:tr>
      <w:tr>
        <w:trPr>
          <w:trHeight w:val="193"/>
        </w:trPr>
        <w:tc>
          <w:tcPr>
            <w:tcW w:w="480" w:type="dxa"/>
            <w:vAlign w:val="bottom"/>
          </w:tcPr>
          <w:p>
            <w:pPr>
              <w:spacing w:after="0"/>
              <w:rPr>
                <w:sz w:val="16"/>
                <w:szCs w:val="16"/>
                <w:color w:val="auto"/>
              </w:rPr>
            </w:pPr>
          </w:p>
        </w:tc>
        <w:tc>
          <w:tcPr>
            <w:tcW w:w="4720" w:type="dxa"/>
            <w:vAlign w:val="bottom"/>
          </w:tcPr>
          <w:p>
            <w:pPr>
              <w:ind w:left="180"/>
              <w:spacing w:after="0"/>
              <w:rPr>
                <w:sz w:val="20"/>
                <w:szCs w:val="20"/>
                <w:color w:val="auto"/>
              </w:rPr>
            </w:pPr>
            <w:r>
              <w:rPr>
                <w:rFonts w:ascii="Arial" w:cs="Arial" w:eastAsia="Arial" w:hAnsi="Arial"/>
                <w:sz w:val="13"/>
                <w:szCs w:val="13"/>
                <w:color w:val="FFFFFF"/>
                <w:w w:val="99"/>
              </w:rPr>
              <w:t>President and Chief Executive Officer and Director(Principal FExecutiveOfficer)</w:t>
            </w:r>
          </w:p>
        </w:tc>
        <w:tc>
          <w:tcPr>
            <w:tcW w:w="560" w:type="dxa"/>
            <w:vAlign w:val="bottom"/>
          </w:tcPr>
          <w:p>
            <w:pPr>
              <w:spacing w:after="0"/>
              <w:rPr>
                <w:sz w:val="16"/>
                <w:szCs w:val="16"/>
                <w:color w:val="auto"/>
              </w:rPr>
            </w:pPr>
          </w:p>
        </w:tc>
        <w:tc>
          <w:tcPr>
            <w:tcW w:w="4780" w:type="dxa"/>
            <w:vAlign w:val="bottom"/>
          </w:tcPr>
          <w:p>
            <w:pPr>
              <w:ind w:left="360"/>
              <w:spacing w:after="0"/>
              <w:rPr>
                <w:sz w:val="20"/>
                <w:szCs w:val="20"/>
                <w:color w:val="auto"/>
              </w:rPr>
            </w:pPr>
            <w:r>
              <w:rPr>
                <w:rFonts w:ascii="Arial" w:cs="Arial" w:eastAsia="Arial" w:hAnsi="Arial"/>
                <w:sz w:val="10"/>
                <w:szCs w:val="10"/>
                <w:b w:val="1"/>
                <w:bCs w:val="1"/>
                <w:color w:val="auto"/>
              </w:rPr>
              <w:t>President and Chief Executive Officer and Director (Principal Executive Officer)</w:t>
            </w:r>
          </w:p>
        </w:tc>
      </w:tr>
    </w:tbl>
    <w:p>
      <w:pPr>
        <w:spacing w:after="0" w:line="231" w:lineRule="exact"/>
        <w:rPr>
          <w:sz w:val="20"/>
          <w:szCs w:val="20"/>
          <w:color w:val="auto"/>
        </w:rPr>
      </w:pPr>
    </w:p>
    <w:p>
      <w:pPr>
        <w:jc w:val="both"/>
        <w:ind w:right="40" w:firstLine="718"/>
        <w:spacing w:after="0" w:line="254" w:lineRule="auto"/>
        <w:rPr>
          <w:sz w:val="20"/>
          <w:szCs w:val="20"/>
          <w:color w:val="auto"/>
        </w:rPr>
      </w:pPr>
      <w:r>
        <w:rPr>
          <w:rFonts w:ascii="Arial" w:cs="Arial" w:eastAsia="Arial" w:hAnsi="Arial"/>
          <w:sz w:val="13"/>
          <w:szCs w:val="13"/>
          <w:color w:val="auto"/>
        </w:rPr>
        <w:t>In connection with the Quarterly Report on Form 10-Q of Fortinet, Inc. for the quarterly period ended September 30, 2010 as filed with the Securities and Exchange Commission on the date hereof (the “Report”), Ken Goldman, as Principal Financial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235" w:lineRule="exact"/>
        <w:rPr>
          <w:sz w:val="20"/>
          <w:szCs w:val="20"/>
          <w:color w:val="auto"/>
        </w:rPr>
      </w:pPr>
    </w:p>
    <w:p>
      <w:pPr>
        <w:ind w:left="340"/>
        <w:spacing w:after="0"/>
        <w:tabs>
          <w:tab w:leader="none" w:pos="980" w:val="left"/>
          <w:tab w:leader="none" w:pos="5860" w:val="left"/>
          <w:tab w:leader="none" w:pos="644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November 5, 2010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20955</wp:posOffset>
            </wp:positionV>
            <wp:extent cx="30308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0855" cy="6350"/>
                    </a:xfrm>
                    <a:prstGeom prst="rect">
                      <a:avLst/>
                    </a:prstGeom>
                    <a:noFill/>
                  </pic:spPr>
                </pic:pic>
              </a:graphicData>
            </a:graphic>
          </wp:anchor>
        </w:drawing>
      </w:r>
    </w:p>
    <w:p>
      <w:pPr>
        <w:spacing w:after="0" w:line="68" w:lineRule="exact"/>
        <w:rPr>
          <w:sz w:val="20"/>
          <w:szCs w:val="20"/>
          <w:color w:val="auto"/>
        </w:rPr>
      </w:pPr>
    </w:p>
    <w:p>
      <w:pPr>
        <w:ind w:left="6460"/>
        <w:spacing w:after="0"/>
        <w:rPr>
          <w:sz w:val="20"/>
          <w:szCs w:val="20"/>
          <w:color w:val="auto"/>
        </w:rPr>
      </w:pPr>
      <w:r>
        <w:rPr>
          <w:rFonts w:ascii="Arial" w:cs="Arial" w:eastAsia="Arial" w:hAnsi="Arial"/>
          <w:sz w:val="10"/>
          <w:szCs w:val="10"/>
          <w:color w:val="auto"/>
        </w:rPr>
        <w:t>Ken Goldman</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0"/>
          <w:szCs w:val="10"/>
          <w:b w:val="1"/>
          <w:bCs w:val="1"/>
          <w:color w:val="auto"/>
        </w:rPr>
        <w:t>Chief Financial Officer</w:t>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0"/>
          <w:szCs w:val="10"/>
          <w:b w:val="1"/>
          <w:bCs w:val="1"/>
          <w:color w:val="auto"/>
        </w:rPr>
        <w:t>(Principal Financing Officer)</w:t>
      </w:r>
    </w:p>
    <w:sectPr>
      <w:pgSz w:w="11900" w:h="16838" w:orient="portrait"/>
      <w:cols w:equalWidth="0" w:num="1">
        <w:col w:w="10880"/>
      </w:cols>
      <w:pgMar w:left="820" w:top="43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4"/>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lvl w:ilvl="1">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2019-12-10T23:13:06Z</dcterms:created>
  <dcterms:modified xsi:type="dcterms:W3CDTF">2019-12-10T23:13:06Z</dcterms:modified>
</cp:coreProperties>
</file>