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90640.xml.htm"/>
      <w:bookmarkStart w:id="1" w:name="ksform406122026_0906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53,082</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r>
              <w:rPr/>
              <w:t xml:space="preserve"> </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Ming Hsieh Trust (the "Hsieh Trust"). Mr. Hsieh is the trustee of the Hsieh Trust and possesses the sole voting and dispositive power with respect to securities held by the Hsieh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the Pauline Hsieh Irrevocable Trust dated 05/12/04,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by the Tiffany Hsieh Irrevocable Trust dated 05/12/04,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held by the Ming Hsieh Revocable Family Trust,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RSUs do not expire; they either vest or are canceled prior to vest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number of shares reported as directly owned by the Reporting Person has been adjusted in connection with a reconciliation to the Reporting Person's shareholdings as reflected in the records of the Issuer's transfer agent.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4476</Characters>
  <CharactersWithSpaces>5244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