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76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9" w:right="3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April 24, 2015, there were 169,563,012 shares of the registrant’s common stock outstanding.</w:t>
      </w:r>
    </w:p>
    <w:p>
      <w:pPr>
        <w:sectPr>
          <w:pgSz w:w="11900" w:h="16838" w:orient="portrait"/>
          <w:cols w:equalWidth="0" w:num="1">
            <w:col w:w="11300"/>
          </w:cols>
          <w:pgMar w:left="240" w:top="229"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2015</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7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and December 31,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March 31,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2015 and 2014</w:t>
              </w:r>
            </w:hyperlink>
          </w:p>
        </w:tc>
        <w:tc>
          <w:tcPr>
            <w:tcW w:w="8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700" w:type="dxa"/>
            <w:vAlign w:val="bottom"/>
            <w:tcBorders>
              <w:top w:val="single" w:sz="8" w:color="0000EE"/>
            </w:tcBorders>
            <w:gridSpan w:val="4"/>
          </w:tcPr>
          <w:p>
            <w:pPr>
              <w:spacing w:after="0"/>
              <w:rPr>
                <w:sz w:val="21"/>
                <w:szCs w:val="21"/>
                <w:color w:val="auto"/>
              </w:rPr>
            </w:pPr>
          </w:p>
        </w:tc>
        <w:tc>
          <w:tcPr>
            <w:tcW w:w="17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78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78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78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615"/>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78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88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9780" w:type="dxa"/>
            <w:vAlign w:val="bottom"/>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902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417,605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436,766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6"/>
              </w:rPr>
              <w:t>Accounts receivable—Net of sales returns reserve and allowance for doubtful accounts of $4,882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$6,204 as of March 31, 2015 and December 31, 2014,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184,741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69,477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31,143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1,046,865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271,724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31,080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1,498,303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406,526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368,929</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518,633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496,456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189,828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45,139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17,385</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778,556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748,808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Common stock, $0.001 par value — 300,000 shares authorized; 169,247 and 166,443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as of March 31, 2015 and December 31, 2014,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604,147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562,504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113,645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675,966</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1,498,303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97,509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76,765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92,184</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212,886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168,949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32,139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73,580</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149,284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6):</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168,077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162,391</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168,114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Unrealized gains on investments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related to items of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7,378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2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8,393</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4,422</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18,880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12,930</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23,621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19,119</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3,326</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(7,918)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(3,450)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1,071</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16,155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18,469</w:t>
            </w: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(18,420)</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64,619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60,902</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(120,991)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(120,590)</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6,679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10,920</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118,641</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(4,927)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(11,318)</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business acquisitions—net of cash acquired</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16,124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28,955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14,471</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(12,305)</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22,355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103,098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57,095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283,254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115,873</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386,352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172,968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22,136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2,307</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657</w:t>
            </w:r>
          </w:p>
        </w:tc>
      </w:tr>
      <w:tr>
        <w:trPr>
          <w:trHeight w:val="20"/>
        </w:trPr>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2014, contained in our Annual Report on Form 10-K (“Form 10-K”) filed with the SEC on March 2, 2015.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2015 are not necessarily indicative of the results for the full year or for any future periods. The condensed consolidated balance sheet as of December 31, 2014 is derived from the audited consolidated financial statements for the year ended December 31, 2014.</w:t>
      </w:r>
    </w:p>
    <w:p>
      <w:pPr>
        <w:spacing w:after="0" w:line="19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2015.</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the third quarter of 2014, we reevaluated the selected functional currency of our international subsidiaries due to the nature of our business operations and recorded the cumulative impact of the reevaluation of the functional currency in the consolidated statement of operations. Subsequently, the remeasurement of the assets and liabilities of all international subsidiaries has been recorded in the consolidated statement of operations prospectively. The impact of this reevaluation is not material for our fiscal 2014 or any of our previously issued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May 2014, the Financial Accounting Standards Board issued Accounting Standards Update No. 2014-09—Revenue from Contracts with Customers (Topic 606) (“ASU 2014-09”) to create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ASU 2014-09 is effective for us beginning on January 1, 2017. We are currently evaluating the impact of ASU 2014-09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March 31, 2015 and December 31, 2014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2015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568,806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43,758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43,750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49,820</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13,080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13,080</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10,757</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685,868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686,213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589,016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39,721</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22,854</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5,744</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709,030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708,490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8"/>
          <w:szCs w:val="18"/>
          <w:color w:val="auto"/>
        </w:rPr>
        <w:t>The majority of our certificates of deposit and term deposits are foreign deposits.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March 31, 2015 and December 31,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190,506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217,944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231,086</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323,022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362,636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as of March 31, 2015 and December 31, 2014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268,608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271,724</w:t>
            </w:r>
          </w:p>
        </w:tc>
      </w:tr>
      <w:tr>
        <w:trPr>
          <w:trHeight w:val="27"/>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686,213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708,490</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expense—net in our condensed consolidated statements of operations. Realized gains and losses from the sale of available-for-sale securities were not significant in any period presented.</w:t>
      </w:r>
    </w:p>
    <w:p>
      <w:pPr>
        <w:spacing w:after="0" w:line="14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unrealized losses on our available-for-sale securities were caused by fluctuations in market value and interest rates as a result of the economic environment. As the decline in market value is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March 31, 2015.</w:t>
      </w:r>
    </w:p>
    <w:p>
      <w:pPr>
        <w:spacing w:after="0" w:line="171" w:lineRule="exact"/>
        <w:rPr>
          <w:sz w:val="20"/>
          <w:szCs w:val="20"/>
          <w:color w:val="auto"/>
        </w:rPr>
      </w:pPr>
    </w:p>
    <w:p>
      <w:pPr>
        <w:ind w:right="720" w:firstLine="689"/>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of our financial assets and liabilities measured at fair value on a recurring basis as of March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March 31,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37"/>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7"/>
              </w:rPr>
              <w:t>Quoted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7"/>
              </w:rPr>
              <w:t>Quoted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Prices in</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Prices in</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Active</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Observable</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Observable</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Identical</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Remaining</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Identical</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r>
      <w:tr>
        <w:trPr>
          <w:trHeight w:val="224"/>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568,806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568,806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589,016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589,016</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49,820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49,820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39,721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39,721</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22,854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29,154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29,154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8,756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715,367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31,155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684,212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721,801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15,309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706,492</w:t>
            </w:r>
          </w:p>
        </w:tc>
        <w:tc>
          <w:tcPr>
            <w:tcW w:w="100" w:type="dxa"/>
            <w:vAlign w:val="bottom"/>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29,154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436,766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268,608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271,724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715,367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721,801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period ended March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as of March 31, 2015 and December 31, 2014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59,983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58,860</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72,060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69,477</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$1.0 million and $1.2 million as of March 31, 2015 and December 31, 2014, respectively. Inventory also includes materials at contract manufacturers of $4.6 million and $4.8 million as of March 31, 2015 and December 31, 2014,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as of March 31, 2015 and December 31, 2014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20,224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20,166</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38,306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31,821</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3,902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123,815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114,352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63,487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58,919</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$6.0 million and $3.9 million during the three months ended March 31, 2015 and March 31, 2014,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of March 31, 2015, we have invested a total of $6.4 million in the equity securities of three privately-held companies.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2015, no events have occurred that would adversely affect the carrying value of these investments.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including performance stock units (“PSUs”), and the employee stock purchase plan (“ESPP”). Dilutive shares of common stock are determined by applying the treasury stock method.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162,391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162,391</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7440" w:type="dxa"/>
            <w:vAlign w:val="bottom"/>
          </w:tcPr>
          <w:p>
            <w:pPr>
              <w:ind w:left="920"/>
              <w:spacing w:after="0"/>
              <w:rPr>
                <w:sz w:val="20"/>
                <w:szCs w:val="20"/>
                <w:color w:val="auto"/>
              </w:rPr>
            </w:pPr>
            <w:r>
              <w:rPr>
                <w:rFonts w:ascii="Arial" w:cs="Arial" w:eastAsia="Arial" w:hAnsi="Arial"/>
                <w:sz w:val="18"/>
                <w:szCs w:val="18"/>
                <w:color w:val="auto"/>
              </w:rPr>
              <w:t>RSUs (including PSUs)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3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173,720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168,114</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980" w:type="dxa"/>
            <w:vAlign w:val="bottom"/>
            <w:gridSpan w:val="3"/>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2040" w:type="dxa"/>
            <w:vAlign w:val="bottom"/>
            <w:gridSpan w:val="2"/>
          </w:tcPr>
          <w:p>
            <w:pPr>
              <w:ind w:left="600"/>
              <w:spacing w:after="0"/>
              <w:rPr>
                <w:sz w:val="20"/>
                <w:szCs w:val="20"/>
                <w:color w:val="auto"/>
              </w:rPr>
            </w:pPr>
            <w:r>
              <w:rPr>
                <w:rFonts w:ascii="Arial" w:cs="Arial" w:eastAsia="Arial" w:hAnsi="Arial"/>
                <w:sz w:val="16"/>
                <w:szCs w:val="16"/>
                <w:b w:val="1"/>
                <w:bCs w:val="1"/>
                <w:color w:val="auto"/>
              </w:rPr>
              <w:t>March 31,</w:t>
            </w:r>
          </w:p>
        </w:tc>
        <w:tc>
          <w:tcPr>
            <w:tcW w:w="1940" w:type="dxa"/>
            <w:vAlign w:val="bottom"/>
          </w:tcPr>
          <w:p>
            <w:pPr>
              <w:jc w:val="right"/>
              <w:ind w:right="5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440" w:type="dxa"/>
            <w:vAlign w:val="bottom"/>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940" w:type="dxa"/>
            <w:vAlign w:val="bottom"/>
          </w:tcPr>
          <w:p>
            <w:pPr>
              <w:jc w:val="right"/>
              <w:ind w:right="713"/>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RSUs (including PSUs)</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1,348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r>
      <w:tr>
        <w:trPr>
          <w:trHeight w:val="237"/>
        </w:trPr>
        <w:tc>
          <w:tcPr>
            <w:tcW w:w="7440" w:type="dxa"/>
            <w:vAlign w:val="bottom"/>
          </w:tcPr>
          <w:p>
            <w:pPr>
              <w:spacing w:after="0"/>
              <w:rPr>
                <w:sz w:val="20"/>
                <w:szCs w:val="20"/>
                <w:color w:val="auto"/>
              </w:rPr>
            </w:pP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6,785</w:t>
            </w: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as of March 31, 2015 and December 31, 2014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56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595,916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554,115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600,171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558,757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Reported As:</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368,929</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Non-current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193,645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189,828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600,171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558,757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2015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67,715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67,715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135,729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103,071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2,792</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—We lease certain facilities under various non-cancelable operating leases, which expire through 2024. In addition to the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above, certain leases require us to pay variable costs such as taxes, maintenance, insurance, and asset retirement obligations. The terms of certain operating leases also provide for renewal options and escalation clauses. Rent expense was $3.1 million and $2.7 million during the three months ended March 31, 2015 and 2014, respectively. Rent expense is recognized using the straight-line method over the term of the lease.</w:t>
      </w:r>
    </w:p>
    <w:p>
      <w:pPr>
        <w:spacing w:after="0" w:line="16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Contract Manufacturer and Other Commitments</w:t>
      </w:r>
      <w:r>
        <w:rPr>
          <w:rFonts w:ascii="Arial" w:cs="Arial" w:eastAsia="Arial" w:hAnsi="Arial"/>
          <w:sz w:val="18"/>
          <w:szCs w:val="18"/>
          <w:color w:val="auto"/>
        </w:rPr>
        <w:t>—Our independent contract manufacturers procure components and build our products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our forecasts. These forecasts are based on estimates of future demand for our products, which are in turn based on historical trends and analysis, adjusted for overall market conditions. In order to reduce manufacturing lead times and plan for adequate component supply, we may issue purchase orders to some of our independent contract manufacturers which may not be cancelable. As of March 31, 2015, we had $67.7 million of open purchase orders with our independent contract manufacturers.</w:t>
      </w:r>
    </w:p>
    <w:p>
      <w:pPr>
        <w:spacing w:after="0" w:line="16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to commitments with contract manufacturers, we have other contractual commitments and open purchase orders in the ordinary course of business for which we have not received goods or services. As of March 31, 2015, we had $28.1 million in other contractual commitments and open purchase orders.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estimates, if any, which could result in the need to adjust the liability and record additional expenses. We have not recorded any significant accrual for loss contingencies associated with such legal proceedings; determined that an unfavorable outcome is probable or reasonably possible; or determined that the amount or range of any possible loss is reasonably estimable.</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damage resulting from product defects and infringement of certain intellectual property rights, which may include patents, copyrights, trademarks, or trade secrets, and to pay judgments entered on such claims. Our exposure under these indemnification provisions is generally limited by the terms of our contracts to certain defined limits, such as the total amount paid by our customer under the agreement. However, certain agreements include covenants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stock options and RSUs, including PSUs. The Company also has an ESPP for all eligible employees. As of March 31, 2015, there were a total of 44,040,580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336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9"/>
        </w:trPr>
        <w:tc>
          <w:tcPr>
            <w:tcW w:w="7560" w:type="dxa"/>
            <w:vAlign w:val="bottom"/>
          </w:tcPr>
          <w:p>
            <w:pPr>
              <w:spacing w:after="0"/>
              <w:rPr>
                <w:sz w:val="18"/>
                <w:szCs w:val="18"/>
                <w:color w:val="auto"/>
              </w:rPr>
            </w:pPr>
          </w:p>
        </w:tc>
        <w:tc>
          <w:tcPr>
            <w:tcW w:w="1360" w:type="dxa"/>
            <w:vAlign w:val="bottom"/>
          </w:tcPr>
          <w:p>
            <w:pPr>
              <w:ind w:left="560"/>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left="379"/>
              <w:spacing w:after="0"/>
              <w:rPr>
                <w:sz w:val="20"/>
                <w:szCs w:val="20"/>
                <w:color w:val="auto"/>
              </w:rPr>
            </w:pPr>
            <w:r>
              <w:rPr>
                <w:rFonts w:ascii="Arial" w:cs="Arial" w:eastAsia="Arial" w:hAnsi="Arial"/>
                <w:sz w:val="16"/>
                <w:szCs w:val="16"/>
                <w:b w:val="1"/>
                <w:bCs w:val="1"/>
                <w:color w:val="auto"/>
                <w:w w:val="97"/>
              </w:rPr>
              <w:t>March 31,</w:t>
            </w:r>
          </w:p>
        </w:tc>
        <w:tc>
          <w:tcPr>
            <w:tcW w:w="500" w:type="dxa"/>
            <w:vAlign w:val="bottom"/>
          </w:tcPr>
          <w:p>
            <w:pPr>
              <w:spacing w:after="0"/>
              <w:rPr>
                <w:sz w:val="18"/>
                <w:szCs w:val="18"/>
                <w:color w:val="auto"/>
              </w:rPr>
            </w:pPr>
          </w:p>
        </w:tc>
      </w:tr>
      <w:tr>
        <w:trPr>
          <w:trHeight w:val="210"/>
        </w:trPr>
        <w:tc>
          <w:tcPr>
            <w:tcW w:w="8920" w:type="dxa"/>
            <w:vAlign w:val="bottom"/>
            <w:gridSpan w:val="2"/>
          </w:tcPr>
          <w:p>
            <w:pPr>
              <w:ind w:left="8340"/>
              <w:spacing w:after="0"/>
              <w:rPr>
                <w:sz w:val="20"/>
                <w:szCs w:val="20"/>
                <w:color w:val="auto"/>
              </w:rPr>
            </w:pPr>
            <w:r>
              <w:rPr>
                <w:rFonts w:ascii="Arial" w:cs="Arial" w:eastAsia="Arial" w:hAnsi="Arial"/>
                <w:sz w:val="16"/>
                <w:szCs w:val="16"/>
                <w:b w:val="1"/>
                <w:bCs w:val="1"/>
                <w:color w:val="auto"/>
              </w:rPr>
              <w:t>2015</w:t>
            </w:r>
          </w:p>
        </w:tc>
        <w:tc>
          <w:tcPr>
            <w:tcW w:w="20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5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r>
      <w:tr>
        <w:trPr>
          <w:trHeight w:val="243"/>
        </w:trPr>
        <w:tc>
          <w:tcPr>
            <w:tcW w:w="892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92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2000" w:type="dxa"/>
            <w:vAlign w:val="bottom"/>
            <w:gridSpan w:val="3"/>
          </w:tcPr>
          <w:p>
            <w:pPr>
              <w:jc w:val="right"/>
              <w:ind w:right="14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2015</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8,967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2015</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8,924</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165,975</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2015</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153,634</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March 31, 2015, for all in-the-money options. As of March 31, 2015, total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compensation expense related to unvested stock options granted to employees but not yet recognized was $15.6 million, net of estimated forfeitures. This expense is expected to be amortized on a straight-line basis over a weighted-average period of 1.8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2015</w:t>
            </w: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March 31, 2014</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41,003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15,321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4,562</w:t>
            </w:r>
          </w:p>
        </w:tc>
      </w:tr>
      <w:tr>
        <w:trPr>
          <w:trHeight w:val="27"/>
        </w:trPr>
        <w:tc>
          <w:tcPr>
            <w:tcW w:w="7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Weighted-Average</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3"/>
              <w:spacing w:after="0"/>
              <w:rPr>
                <w:sz w:val="20"/>
                <w:szCs w:val="20"/>
                <w:color w:val="auto"/>
              </w:rPr>
            </w:pPr>
            <w:r>
              <w:rPr>
                <w:rFonts w:ascii="Arial" w:cs="Arial" w:eastAsia="Arial" w:hAnsi="Arial"/>
                <w:sz w:val="16"/>
                <w:szCs w:val="16"/>
                <w:b w:val="1"/>
                <w:bCs w:val="1"/>
                <w:color w:val="auto"/>
                <w:w w:val="96"/>
              </w:rPr>
              <w:t>Grant-Date-Fair Value</w:t>
            </w:r>
          </w:p>
        </w:tc>
      </w:tr>
      <w:tr>
        <w:trPr>
          <w:trHeight w:val="210"/>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170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per 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22.93</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32.96</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26.36</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22.01</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2015</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26.18</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RSUs expected to vest—March 31, 2015</w:t>
            </w: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26.02</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of March 31, 2015, total compensation expense related to unvested RSUs that were granted to employees and non-employees, but not yet recognized, was $197.8 million, net of estimated forfeitures. This expense is expected to be amortized on a straight-line basis over a weighted-average vesting period of 3.1 years.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13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6,600</w:t>
            </w:r>
          </w:p>
        </w:tc>
        <w:tc>
          <w:tcPr>
            <w:tcW w:w="120" w:type="dxa"/>
            <w:vAlign w:val="bottom"/>
          </w:tcPr>
          <w:p>
            <w:pPr>
              <w:spacing w:after="0"/>
              <w:rPr>
                <w:sz w:val="21"/>
                <w:szCs w:val="21"/>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3,633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Stock Units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granted PSUs to certain of our executive officers and employees. PSUs granted to executive officers are based on the achievement of the market-based vesting conditions during the performance period, the final settlement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 PSUs granted to certain employees are based on the achievement of personal- and company-based performance vesting conditions during the performance period. The final settlement of these PSUs will range between 50% to 150% of the target shares underlying the PSUs based on specified objective formula approved by our Compensation Committee. The PSUs entitle the employees to receive a number of shares of our common stock based on a one year performance period, and vest equally in the second and third years.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PSUs granted to our executive officers: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2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2015</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March 31, 2014</w:t>
            </w:r>
          </w:p>
        </w:tc>
      </w:tr>
      <w:tr>
        <w:trPr>
          <w:trHeight w:val="27"/>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PSUs for the periods presented below (in thousands, except per share amounts):</w:t>
      </w:r>
    </w:p>
    <w:p>
      <w:pPr>
        <w:spacing w:after="0" w:line="329"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3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7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granted to executive officers and employees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29"/>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9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34.86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22.44</w:t>
            </w:r>
          </w:p>
        </w:tc>
      </w:tr>
    </w:tbl>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March 31, 2015, total compensation expense related to unvested PSUs that were granted to certain of our executive officers and employees, but not yet recognized, was $9.5 million, net of estimated forfeitures. This expense is expected to be amortized on a straight-line basis over a weighted-average vesting period of 2.5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34290</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940" w:type="dxa"/>
            <w:vAlign w:val="bottom"/>
            <w:gridSpan w:val="2"/>
          </w:tcPr>
          <w:p>
            <w:pPr>
              <w:ind w:left="832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7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7560" w:type="dxa"/>
            <w:vAlign w:val="bottom"/>
          </w:tcPr>
          <w:p>
            <w:pPr>
              <w:ind w:left="5620"/>
              <w:spacing w:after="0"/>
              <w:rPr>
                <w:sz w:val="20"/>
                <w:szCs w:val="20"/>
                <w:color w:val="auto"/>
              </w:rPr>
            </w:pPr>
            <w:r>
              <w:rPr>
                <w:rFonts w:ascii="Arial" w:cs="Arial" w:eastAsia="Arial" w:hAnsi="Arial"/>
                <w:sz w:val="18"/>
                <w:szCs w:val="18"/>
                <w:color w:val="auto"/>
              </w:rPr>
              <w:t>16</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4"/>
          </w:tcPr>
          <w:p>
            <w:pPr>
              <w:jc w:val="right"/>
              <w:ind w:right="951"/>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8"/>
                <w:szCs w:val="18"/>
                <w:color w:val="auto"/>
              </w:rPr>
            </w:pPr>
          </w:p>
        </w:tc>
        <w:tc>
          <w:tcPr>
            <w:tcW w:w="1520" w:type="dxa"/>
            <w:vAlign w:val="bottom"/>
          </w:tcPr>
          <w:p>
            <w:pPr>
              <w:jc w:val="right"/>
              <w:ind w:right="451"/>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51"/>
              <w:spacing w:after="0"/>
              <w:rPr>
                <w:sz w:val="20"/>
                <w:szCs w:val="20"/>
                <w:color w:val="auto"/>
              </w:rPr>
            </w:pPr>
            <w:r>
              <w:rPr>
                <w:rFonts w:ascii="Arial" w:cs="Arial" w:eastAsia="Arial" w:hAnsi="Arial"/>
                <w:sz w:val="18"/>
                <w:szCs w:val="18"/>
                <w:b w:val="1"/>
                <w:bCs w:val="1"/>
                <w:color w:val="auto"/>
              </w:rPr>
              <w:t>2014</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424</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r>
      <w:tr>
        <w:trPr>
          <w:trHeight w:val="432"/>
        </w:trPr>
        <w:tc>
          <w:tcPr>
            <w:tcW w:w="7660" w:type="dxa"/>
            <w:vAlign w:val="bottom"/>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7660" w:type="dxa"/>
            <w:vAlign w:val="bottom"/>
          </w:tcPr>
          <w:p>
            <w:pPr>
              <w:ind w:left="660"/>
              <w:spacing w:after="0"/>
              <w:rPr>
                <w:sz w:val="20"/>
                <w:szCs w:val="20"/>
                <w:color w:val="auto"/>
              </w:rPr>
            </w:pPr>
            <w:r>
              <w:rPr>
                <w:rFonts w:ascii="Arial" w:cs="Arial" w:eastAsia="Arial" w:hAnsi="Arial"/>
                <w:sz w:val="18"/>
                <w:szCs w:val="18"/>
                <w:color w:val="auto"/>
                <w:w w:val="90"/>
              </w:rPr>
              <w:t>Stock-based compensation expense is included in costs and expenses as follows (in thousands):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9"/>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March 31,</w:t>
            </w:r>
          </w:p>
        </w:tc>
        <w:tc>
          <w:tcPr>
            <w:tcW w:w="300" w:type="dxa"/>
            <w:vAlign w:val="bottom"/>
          </w:tcPr>
          <w:p>
            <w:pPr>
              <w:spacing w:after="0"/>
              <w:rPr>
                <w:sz w:val="18"/>
                <w:szCs w:val="18"/>
                <w:color w:val="auto"/>
              </w:rPr>
            </w:pPr>
          </w:p>
        </w:tc>
        <w:tc>
          <w:tcPr>
            <w:tcW w:w="1520" w:type="dxa"/>
            <w:vAlign w:val="bottom"/>
          </w:tcPr>
          <w:p>
            <w:pPr>
              <w:jc w:val="right"/>
              <w:ind w:right="49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651"/>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1,329</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9,307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5,746</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r>
      <w:tr>
        <w:trPr>
          <w:trHeight w:val="257"/>
        </w:trPr>
        <w:tc>
          <w:tcPr>
            <w:tcW w:w="76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12,930</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653"/>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RSUs (including PSUs)</w:t>
            </w: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14,292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7,363</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57"/>
        </w:trPr>
        <w:tc>
          <w:tcPr>
            <w:tcW w:w="76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12,930</w:t>
            </w: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operations is as follows (in thousands):</w:t>
      </w:r>
    </w:p>
    <w:p>
      <w:pPr>
        <w:spacing w:after="0" w:line="329"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280" w:type="dxa"/>
            <w:vAlign w:val="bottom"/>
          </w:tcPr>
          <w:p>
            <w:pPr>
              <w:jc w:val="center"/>
              <w:ind w:left="436"/>
              <w:spacing w:after="0"/>
              <w:rPr>
                <w:sz w:val="20"/>
                <w:szCs w:val="20"/>
                <w:color w:val="auto"/>
              </w:rPr>
            </w:pPr>
            <w:r>
              <w:rPr>
                <w:rFonts w:ascii="Arial" w:cs="Arial" w:eastAsia="Arial" w:hAnsi="Arial"/>
                <w:sz w:val="16"/>
                <w:szCs w:val="16"/>
                <w:b w:val="1"/>
                <w:bCs w:val="1"/>
                <w:color w:val="auto"/>
                <w:w w:val="97"/>
              </w:rPr>
              <w:t>March 31,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276"/>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66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656"/>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3,377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3,349</w:t>
            </w:r>
          </w:p>
        </w:tc>
      </w:tr>
      <w:tr>
        <w:trPr>
          <w:trHeight w:val="27"/>
        </w:trPr>
        <w:tc>
          <w:tcPr>
            <w:tcW w:w="76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December 2013, our Board of Directors (“Board”) authorized a Share Repurchase Program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October 2014, our Board extended the share repurchase authorization under the Program through December 31, 2015. During the three months ended March 31, 2015, there were no shares repurchased under the Program. As of March 31, 2015, $122.5 million remains available for future share repurchases under the Program.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effective tax rate was 5% for the three months ended March 31, 2015, compared to an effective tax rate of 39% for the same period last year. The provision for income taxes for the periods presented is comprised of U.S. federal and state taxes, Singapore and other foreign income taxes, withholding tax, and transfer pricing allocations which impact jurisdictional income taxed at various tax rates. During the three months ended March 31, 2015, discrete items included a higher tax benefit from stock-based compensation expense and foreign exchange impact relating to uncertain tax benefit for developments in international tax that impacted the quarterly effective tax rate.</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2015 and December 31, 2014, unrecognized tax benefits were $46.6 million and $44.2 million, respectively. The total amount of $46.6 million in unrecognized tax benefits, if recognized, would favorably impact the effective tax rate.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2015, we had accrued approximately $4.5 million for estimated interest related to uncertain tax positions.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2008. We are no longer subject to examination by U.S federal income tax authorities for tax years prior to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PLANS</w:t>
      </w:r>
    </w:p>
    <w:p>
      <w:pPr>
        <w:spacing w:after="0" w:line="229"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approved 50% matching contributions on employee contributions up to 4% of each employee’s eligible earnings. Our matching contributions to the 401(k) Plans and RRSP during the three months ended March 31, 2015 and March 31, 2014 were $0.8 million and $0.6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geographic region is based on the billing address of the customer. The following table sets forth revenue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March 31,</w:t>
            </w:r>
          </w:p>
        </w:tc>
      </w:tr>
      <w:tr>
        <w:trPr>
          <w:trHeight w:val="176"/>
        </w:trPr>
        <w:tc>
          <w:tcPr>
            <w:tcW w:w="76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5"/>
                <w:szCs w:val="15"/>
                <w:color w:val="auto"/>
              </w:rPr>
            </w:pPr>
          </w:p>
        </w:tc>
        <w:tc>
          <w:tcPr>
            <w:tcW w:w="1480" w:type="dxa"/>
            <w:vAlign w:val="bottom"/>
          </w:tcPr>
          <w:p>
            <w:pPr>
              <w:jc w:val="right"/>
              <w:ind w:right="653"/>
              <w:spacing w:after="0" w:line="176"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52"/>
              <w:spacing w:after="0" w:line="176" w:lineRule="exact"/>
              <w:rPr>
                <w:sz w:val="20"/>
                <w:szCs w:val="20"/>
                <w:color w:val="auto"/>
              </w:rPr>
            </w:pPr>
            <w:r>
              <w:rPr>
                <w:rFonts w:ascii="Arial" w:cs="Arial" w:eastAsia="Arial" w:hAnsi="Arial"/>
                <w:sz w:val="16"/>
                <w:szCs w:val="16"/>
                <w:b w:val="1"/>
                <w:bCs w:val="1"/>
                <w:color w:val="auto"/>
              </w:rPr>
              <w:t>2014</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70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58,501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44,793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27,639</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91,560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72,432</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56,643</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45,662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39,874</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212,886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168,949</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property and equipment by geographic region as of March 31, 2015 and December 31, 2014 (in thousands):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4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56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76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ind w:right="652"/>
              <w:spacing w:after="0" w:line="176"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652"/>
              <w:spacing w:after="0" w:line="176" w:lineRule="exact"/>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5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49,471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46,116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53,045</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62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63,487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338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7560" w:type="dxa"/>
            <w:vAlign w:val="bottom"/>
          </w:tcPr>
          <w:p>
            <w:pPr>
              <w:spacing w:after="0"/>
              <w:rPr>
                <w:sz w:val="18"/>
                <w:szCs w:val="18"/>
                <w:color w:val="auto"/>
              </w:rPr>
            </w:pPr>
          </w:p>
        </w:tc>
        <w:tc>
          <w:tcPr>
            <w:tcW w:w="13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8"/>
                <w:szCs w:val="18"/>
                <w:color w:val="auto"/>
              </w:rPr>
            </w:pPr>
          </w:p>
        </w:tc>
      </w:tr>
      <w:tr>
        <w:trPr>
          <w:trHeight w:val="210"/>
        </w:trPr>
        <w:tc>
          <w:tcPr>
            <w:tcW w:w="89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0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18"/>
                <w:szCs w:val="18"/>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2000" w:type="dxa"/>
            <w:vAlign w:val="bottom"/>
            <w:gridSpan w:val="3"/>
          </w:tcPr>
          <w:p>
            <w:pPr>
              <w:jc w:val="right"/>
              <w:ind w:right="14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Fine Tec Computer</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7540" w:type="dxa"/>
            <w:vAlign w:val="bottom"/>
          </w:tcPr>
          <w:p>
            <w:pPr>
              <w:jc w:val="right"/>
              <w:ind w:right="1652"/>
              <w:spacing w:after="0"/>
              <w:rPr>
                <w:sz w:val="20"/>
                <w:szCs w:val="20"/>
                <w:color w:val="auto"/>
              </w:rPr>
            </w:pPr>
            <w:r>
              <w:rPr>
                <w:rFonts w:ascii="Arial" w:cs="Arial" w:eastAsia="Arial" w:hAnsi="Arial"/>
                <w:sz w:val="18"/>
                <w:szCs w:val="18"/>
                <w:color w:val="auto"/>
              </w:rPr>
              <w:t>19</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Tax benefit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Unrealized Gains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(Losses)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income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578</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as of March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about the reclassification out of accumulated other comprehensive income (loss)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center"/>
              <w:ind w:left="155"/>
              <w:spacing w:after="0"/>
              <w:rPr>
                <w:sz w:val="20"/>
                <w:szCs w:val="20"/>
                <w:color w:val="auto"/>
              </w:rPr>
            </w:pPr>
            <w:r>
              <w:rPr>
                <w:rFonts w:ascii="Arial" w:cs="Arial" w:eastAsia="Arial" w:hAnsi="Arial"/>
                <w:sz w:val="16"/>
                <w:szCs w:val="16"/>
                <w:b w:val="1"/>
                <w:bCs w:val="1"/>
                <w:color w:val="auto"/>
                <w:w w:val="93"/>
              </w:rPr>
              <w:t>Accumulated Other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Affected Line Item in the Statement</w:t>
            </w:r>
          </w:p>
        </w:tc>
      </w:tr>
      <w:tr>
        <w:trPr>
          <w:trHeight w:val="210"/>
        </w:trPr>
        <w:tc>
          <w:tcPr>
            <w:tcW w:w="6540" w:type="dxa"/>
            <w:vAlign w:val="bottom"/>
            <w:gridSpan w:val="2"/>
          </w:tcPr>
          <w:p>
            <w:pPr>
              <w:ind w:left="76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1900" w:type="dxa"/>
            <w:vAlign w:val="bottom"/>
          </w:tcPr>
          <w:p>
            <w:pPr>
              <w:jc w:val="center"/>
              <w:ind w:left="155"/>
              <w:spacing w:after="0"/>
              <w:rPr>
                <w:sz w:val="20"/>
                <w:szCs w:val="20"/>
                <w:color w:val="auto"/>
              </w:rPr>
            </w:pPr>
            <w:r>
              <w:rPr>
                <w:rFonts w:ascii="Arial" w:cs="Arial" w:eastAsia="Arial" w:hAnsi="Arial"/>
                <w:sz w:val="16"/>
                <w:szCs w:val="16"/>
                <w:b w:val="1"/>
                <w:bCs w:val="1"/>
                <w:color w:val="auto"/>
                <w:w w:val="89"/>
              </w:rPr>
              <w:t>Comprehensive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1900" w:type="dxa"/>
            <w:vAlign w:val="bottom"/>
            <w:tcBorders>
              <w:bottom w:val="single" w:sz="8" w:color="CCEEFF"/>
            </w:tcBorders>
            <w:shd w:val="clear" w:color="auto" w:fill="CCEEFF"/>
          </w:tcPr>
          <w:p>
            <w:pPr>
              <w:jc w:val="right"/>
              <w:ind w:right="171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w:t>
            </w:r>
          </w:p>
        </w:tc>
        <w:tc>
          <w:tcPr>
            <w:tcW w:w="1900" w:type="dxa"/>
            <w:vAlign w:val="bottom"/>
          </w:tcPr>
          <w:p>
            <w:pPr>
              <w:spacing w:after="0"/>
              <w:rPr>
                <w:sz w:val="21"/>
                <w:szCs w:val="21"/>
                <w:color w:val="auto"/>
              </w:rPr>
            </w:pPr>
          </w:p>
        </w:tc>
        <w:tc>
          <w:tcPr>
            <w:tcW w:w="2980" w:type="dxa"/>
            <w:vAlign w:val="bottom"/>
            <w:gridSpan w:val="3"/>
          </w:tcPr>
          <w:p>
            <w:pPr>
              <w:ind w:left="60"/>
              <w:spacing w:after="0"/>
              <w:rPr>
                <w:sz w:val="20"/>
                <w:szCs w:val="20"/>
                <w:color w:val="auto"/>
              </w:rPr>
            </w:pPr>
            <w:r>
              <w:rPr>
                <w:rFonts w:ascii="Arial" w:cs="Arial" w:eastAsia="Arial" w:hAnsi="Arial"/>
                <w:sz w:val="18"/>
                <w:szCs w:val="18"/>
                <w:color w:val="auto"/>
              </w:rPr>
              <w:t>1   Provision for income taxes</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900" w:type="dxa"/>
            <w:vAlign w:val="bottom"/>
            <w:tcBorders>
              <w:bottom w:val="single" w:sz="8" w:color="auto"/>
            </w:tcBorders>
            <w:shd w:val="clear" w:color="auto" w:fill="CCEEFF"/>
          </w:tcPr>
          <w:p>
            <w:pPr>
              <w:jc w:val="right"/>
              <w:ind w:right="171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FOREIGN CURRENCY DERIVATIVES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and the Euro (“EUR”). To help protect against significant fluctuations in value and the volatility of future cash flows caused by changes in currency exchange rates, we engage in foreign currency risk management activities, including forward contracts,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of one month. We record changes in the fair value of forward exchange contracts related to balance sheet accounts as Other expense—net in the condensed consolidated statement of operations.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Other expense—net in our condensed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GBP and EUR could adversely impact our operating expenses in the future.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560" w:type="dxa"/>
            <w:vAlign w:val="bottom"/>
            <w:gridSpan w:val="4"/>
          </w:tcPr>
          <w:p>
            <w:pPr>
              <w:ind w:left="620"/>
              <w:spacing w:after="0"/>
              <w:rPr>
                <w:sz w:val="20"/>
                <w:szCs w:val="20"/>
                <w:color w:val="auto"/>
              </w:rPr>
            </w:pPr>
            <w:r>
              <w:rPr>
                <w:rFonts w:ascii="Arial" w:cs="Arial" w:eastAsia="Arial" w:hAnsi="Arial"/>
                <w:sz w:val="18"/>
                <w:szCs w:val="18"/>
                <w:color w:val="auto"/>
              </w:rPr>
              <w:t>The notional amount of forward exchange contracts to hedge balance sheet accounts were (in thousands):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Pr>
          <w:p>
            <w:pPr>
              <w:ind w:left="360"/>
              <w:spacing w:after="0"/>
              <w:rPr>
                <w:sz w:val="20"/>
                <w:szCs w:val="20"/>
                <w:color w:val="auto"/>
              </w:rPr>
            </w:pPr>
            <w:r>
              <w:rPr>
                <w:rFonts w:ascii="Arial" w:cs="Arial" w:eastAsia="Arial" w:hAnsi="Arial"/>
                <w:sz w:val="18"/>
                <w:szCs w:val="18"/>
                <w:b w:val="1"/>
                <w:bCs w:val="1"/>
                <w:color w:val="auto"/>
                <w:w w:val="90"/>
              </w:rPr>
              <w:t>Buy/Sell</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96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Currency—As of March 31, 2015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00" w:type="dxa"/>
            <w:vAlign w:val="bottom"/>
            <w:gridSpan w:val="5"/>
          </w:tcPr>
          <w:p>
            <w:pPr>
              <w:ind w:left="40"/>
              <w:spacing w:after="0"/>
              <w:rPr>
                <w:sz w:val="20"/>
                <w:szCs w:val="20"/>
                <w:color w:val="auto"/>
              </w:rPr>
            </w:pPr>
            <w:r>
              <w:rPr>
                <w:rFonts w:ascii="Arial" w:cs="Arial" w:eastAsia="Arial" w:hAnsi="Arial"/>
                <w:sz w:val="18"/>
                <w:szCs w:val="18"/>
                <w:color w:val="auto"/>
              </w:rPr>
              <w:t>CAD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Sell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9,093</w:t>
            </w:r>
          </w:p>
        </w:tc>
      </w:tr>
      <w:tr>
        <w:trPr>
          <w:trHeight w:val="27"/>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3"/>
        </w:trPr>
        <w:tc>
          <w:tcPr>
            <w:tcW w:w="96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3"/>
        </w:trPr>
        <w:tc>
          <w:tcPr>
            <w:tcW w:w="96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Buy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r>
      <w:tr>
        <w:trPr>
          <w:trHeight w:val="27"/>
        </w:trPr>
        <w:tc>
          <w:tcPr>
            <w:tcW w:w="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son of one member of our Board is a partner of an outside law firm that we utilize for certain complex litigation matters. Expenses for legal services provided by the law firm related to matters that arose subsequent to the member joining our Board were $1.9 million and $0.3 million for the three months ended March 31, 2015 and March 31, 2014, respectively. Amounts due and payable to the law firm were $1.7 million and $1.3 million as of March 31, 2015 and December 31, 2014,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proportion of our revenue that consists of our product and service revenue, and the mix of billings between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large enterprises, service providers, and government organizations;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9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research and development expenses, sales and marketing expenses and general and administrative expenses,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right="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provide high performance cyber security solutions to some of the largest enterprise, service providers and government organizations across the globe, including a majority of the 2014 Fortune 100. Our cyber security solutions are fast and secure and designed to provide broad, high-performance protection against dynamic security threats while simplifying the information technology (“IT”) infrastructure of our end-customers worldwide.</w:t>
      </w:r>
    </w:p>
    <w:p>
      <w:pPr>
        <w:spacing w:after="0" w:line="36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flagship integrated network security solution consists of our FortiGate physical and virtual appliance products that provide a broad array of integrated security and networking functions to protect data, applications, and users from network-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content-level security threats. These functions, which can be integrated in a variety of ways, include firewall, intrusion prevention, anti-malware, application control, virtual private network, web-filtering, vulnerability management, anti-spam, wireless controller, and wide area network acceleration. Our FortiGate appliances may be deployed as Next Generation Firewalls, Data Center Firewalls, Unified Threat Management systems, Internal Network Firewall, Virtual Machine Firewalls or Cloud Firewalls. Our FortiGate appliances range from the FortiGate-20 series for small businesses and branch offices to the FortiGate-5000 series for large enterprises and service providers, and are based on our proprietary technology platform. This platform includes our FortiASICs, which are specifically designed for accelerated processing of security and networking functions, and our FortiOS operating system, which provides the foundation for all FortiGate security functions. Our FortiGuard security subscription services provide end-customers with access to dynamic updates to our application control, anti-malware, intrusion prevention, web filtering, and anti-spam functionality. Our security services are based on intelligence gathered by our FortiGuard Labs team, which is comprised of a large team of threat researchers who detect threats and help protect our customers. By combining multiple proprietary security and networking functions with our purpose-built FortiASIC and FortiOS, our FortiGate solution delivers broad protection against dynamic security threats while reducing the operational burden and costs associated with managing multiple point products.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complement our FortiGate product line with the FortiManager product family, which enables end-customers to manage the system configuration and security functions of multiple FortiGate devices from a centralized console, as well as the FortiAnalyzer product family, which enables collection, analysis and archiving of content and log data generated by our products.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offer virtual appliances for the FortiGate, FortiManager, FortiAnalyzer, FortiWeb, FortiMail, FortiCache, and FortiADC product lines that can be used in conjunction with traditional Fortinet physical appliances, such as FortiGate, FortiManager, and FortiAnalyzer, to help ensure the visibility, management, and protection of physical and virtual environments. We also offer on-demand cloud-based versions of FortiGate and FortiWeb.</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0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recorded total revenue of $212.9 million for the three months ended March 31, 2015, an increase of 26% compared to the same period last year. Product revenue was $97.5 million during the three months ended March 31, 2015, an increase of 27% compared to the same period last year. Service revenue was $115.4 million for the three months ended March 31, 2015, an increase of 25% compared to the same period last year.</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$1.07 billion as of March 31, 2015, an increase of $80.8 million, or 8%, from December 31, 2014.</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$600.2 million as of March 31, 2015, an increase of $41.4 million, or 7%, from December 31, 2014</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$64.6 million during the three months ended March 31, 2015, an increase of $3.7 million, or 6%, compared to the same period last year.</w:t>
      </w:r>
    </w:p>
    <w:p>
      <w:pPr>
        <w:spacing w:after="0" w:line="25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Revenue grew as a result of our focus on growth and our strategy to increase sales capacity and invest in our marketing activities. We continue to grow and strengthen our enterprise sales force. Our marketing investments are also beginning to yield returns, with improvement in lead quality and conversion rates. Our strategy is enabling us to gain market share, win new customers, and expand within existing customer accounts, especially in the enterprise market. We continue to grow the number of large deals with enterprises and service providers, which is key to our long-term growth strategy as these high-end customers tend to provide higher lifetime value and are beneficial to our business model over time.</w:t>
      </w:r>
    </w:p>
    <w:p>
      <w:pPr>
        <w:spacing w:after="0" w:line="25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During the three months ended March 31, 2015, our revenue growth was primarily driven by greater sales volume in our FortiGate product family due to increased demand across all product categories. Our high-end FortiGate products (FortiGate-1000 to -5000 series) accounted for 37% of billings primarily driven by continued enterprise adoption of our high-end appliances such as the FortiGate-1500D and 3700D series appliances. Our mid-range products (FortiGate-200 to -800 series) accounted for 26% of billings, and our entry-level products (FortiGate-20 to -100 series) accounted for 37% of billings.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three months ended March 31, 2015, while our operating expenses benefited from favorable foreign exchange rates, operating expenses increased compared to the same period last year. The increase was primarily driven by our accelerated pace of hiring and marketing investments to support our growth as we continued to invest in expanding our sales coverage, marketing capabilities, developing new products and scaling our customer support organization to meet the needs of</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our customer base. Headcount, including full time equivalent employees, increased to 3,076 as of March 31, 2015 from 2,389 as of March 31,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March 31, 2015</w:t>
            </w:r>
          </w:p>
        </w:tc>
        <w:tc>
          <w:tcPr>
            <w:tcW w:w="3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212,886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600,171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451,303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254,300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187,624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1,072,565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888,314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64,619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60,902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59,692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49,584</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unamortized portion of services revenue from FortiGuard security subscription and FortiCare support service contracts. We monitor our deferred revenue balance because it represents a significant portion of revenue to be recognized in future periods.</w:t>
      </w:r>
    </w:p>
    <w:p>
      <w:pPr>
        <w:spacing w:after="0" w:line="14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Billings (Non-GAAP).</w:t>
      </w:r>
      <w:r>
        <w:rPr>
          <w:rFonts w:ascii="Arial" w:cs="Arial" w:eastAsia="Arial" w:hAnsi="Arial"/>
          <w:sz w:val="16"/>
          <w:szCs w:val="16"/>
          <w:color w:val="auto"/>
        </w:rPr>
        <w:t>We define billings as revenue recognized plus the change in deferred revenue from the beginning to the end of the period less</w:t>
      </w:r>
      <w:r>
        <w:rPr>
          <w:rFonts w:ascii="Arial" w:cs="Arial" w:eastAsia="Arial" w:hAnsi="Arial"/>
          <w:sz w:val="16"/>
          <w:szCs w:val="16"/>
          <w:i w:val="1"/>
          <w:iCs w:val="1"/>
          <w:color w:val="auto"/>
        </w:rPr>
        <w:t xml:space="preserve"> </w:t>
      </w:r>
      <w:r>
        <w:rPr>
          <w:rFonts w:ascii="Arial" w:cs="Arial" w:eastAsia="Arial" w:hAnsi="Arial"/>
          <w:sz w:val="16"/>
          <w:szCs w:val="16"/>
          <w:color w:val="auto"/>
        </w:rPr>
        <w:t>any deferred revenue balances acquired from business combination(s) during the period, if any. We consider billings to be a useful metric for management and investors because billings drives deferred revenue, which is an important indicator of the health and viability of our business, and historically the recognition of previously deferred revenue represented a majority of the quarterly revenue that we recognize. There are a number of limitations related to the use of billings versus revenue calculated in accordance with GAAP. First, billings include amounts that have not yet been recognized as revenue. Second, we may calculate billings in a manner that is different from peer companies that report similar financial measures. Management compensates for these limitations by providing specific information regarding GAAP revenue and evaluating billings together with revenue calculated in accordance with GAAP. A reconciliation of billings to revenue, the most directly comparable financial measure calculated and presented in accordance with GAAP, is provided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4"/>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212,886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168,949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deferred revenue</w:t>
            </w:r>
          </w:p>
        </w:tc>
        <w:tc>
          <w:tcPr>
            <w:tcW w:w="30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18,675</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254,300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187,624</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We consider free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comparisons of our operating results to competitors’ operating results. A limitation of using free cash flow versus the GAAP measure of net cash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provided by operating activities as a means for evaluating liquidity is that free cash flow does not represent the total increase or decrease in the cash, cash equivalents and investments balance for the period because free cash flow excludes cash used for capital expenditures and also excludes cash provided by or used for other investing and financing activities. Management compensates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4"/>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(11,318)</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59,692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49,584</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expenses, and related disclosures. Our estimates include those related to revenue recognition, stock-based compensation expense, valuation of inventory, warranty liabilities, investments,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of and for the three months ended March 31, 2015, as compared to the critical accounting policies and estimates described in the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3"/>
              <w:spacing w:after="0"/>
              <w:rPr>
                <w:sz w:val="20"/>
                <w:szCs w:val="20"/>
                <w:color w:val="auto"/>
              </w:rPr>
            </w:pPr>
            <w:r>
              <w:rPr>
                <w:rFonts w:ascii="Arial" w:cs="Arial" w:eastAsia="Arial" w:hAnsi="Arial"/>
                <w:sz w:val="16"/>
                <w:szCs w:val="16"/>
                <w:b w:val="1"/>
                <w:bCs w:val="1"/>
                <w:color w:val="auto"/>
                <w:w w:val="89"/>
              </w:rPr>
              <w:t>2014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97,509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76,765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20,744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92,184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25</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212,886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168,949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43,937</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26%</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91,560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72,432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19,128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34</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45,662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39,874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5,788</w:t>
            </w:r>
          </w:p>
        </w:tc>
        <w:tc>
          <w:tcPr>
            <w:tcW w:w="1420" w:type="dxa"/>
            <w:vAlign w:val="bottom"/>
          </w:tcPr>
          <w:p>
            <w:pPr>
              <w:ind w:left="1060"/>
              <w:spacing w:after="0"/>
              <w:rPr>
                <w:sz w:val="20"/>
                <w:szCs w:val="20"/>
                <w:color w:val="auto"/>
              </w:rPr>
            </w:pPr>
            <w:r>
              <w:rPr>
                <w:rFonts w:ascii="Arial" w:cs="Arial" w:eastAsia="Arial" w:hAnsi="Arial"/>
                <w:sz w:val="18"/>
                <w:szCs w:val="18"/>
                <w:color w:val="auto"/>
              </w:rPr>
              <w:t>15</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212,886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168,949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43,937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26%</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Total revenue increased by $43.9 million, or 26%, during the three months ended March 31, 2015 compared to the same period last year. The EMEA region grew by 34% due to strong sales performance across the region. The Americas region grew by 26% as we saw continued strength in the U.S. enterprise market driven by increased sales to large enterprises. The APAC region grew by 15% as we saw continued growth in certain parts of the region. Product revenue increased by $20.7 million, or 27%, during the three months ended March 31, 2015 compared to the same period last year. The increase in product revenue was primarily driven by greater sales volume in our FortiGate product family due to increased demand across all product categories for our entry-level products for smaller enterprises, our mid-range products for mid-to-large enterprises and branch deployments, and our high-end products for large enterprise and service provider customers.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Service revenue increased by $23.2 million, or 25%, during the three months ended March 31, 2015 compared to the same period last year due to the recognition of revenue from our deferred revenue balance consisting of FortiGuard security subscription and FortiCare technical support contracts sold to a larger customer base as well as the renewals of similar contracts sold in earlier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8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ind w:left="42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4"/>
          </w:tcPr>
          <w:p>
            <w:pPr>
              <w:ind w:left="44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41,368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32,139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9,229</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29%</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3,630</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20</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63,602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50,743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12,859</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25%</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Total gross margin remained relatively consistent during the three months ended March 31, 2015 compared to the same period last year. Product gross margin decreased by 0.5 percentage points during the three months ended March 31, 2015 compared to the same period last year primarily due to an increase in freight costs of $1.3 million and warranty costs of $1.0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Service gross margin increased by 0.9 percentage points during the three months ended March 31, 2015 as compared to the same period last year. Cost of service revenue increased by $3.6 million primarily due to a $2.9 million increase in personnel costs, including stock-based compensation, related to headcount increases, and a $0.7 million increase in depreciation and other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4"/>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4"/>
              <w:spacing w:after="0"/>
              <w:rPr>
                <w:sz w:val="20"/>
                <w:szCs w:val="20"/>
                <w:color w:val="auto"/>
              </w:rPr>
            </w:pPr>
            <w:r>
              <w:rPr>
                <w:rFonts w:ascii="Arial" w:cs="Arial" w:eastAsia="Arial" w:hAnsi="Arial"/>
                <w:sz w:val="16"/>
                <w:szCs w:val="16"/>
                <w:b w:val="1"/>
                <w:bCs w:val="1"/>
                <w:color w:val="auto"/>
                <w:w w:val="89"/>
              </w:rPr>
              <w:t>2014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35,816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6,761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49</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2,951</w:t>
            </w:r>
          </w:p>
        </w:tc>
        <w:tc>
          <w:tcPr>
            <w:tcW w:w="1420" w:type="dxa"/>
            <w:vAlign w:val="bottom"/>
          </w:tcPr>
          <w:p>
            <w:pPr>
              <w:ind w:left="1060"/>
              <w:spacing w:after="0"/>
              <w:rPr>
                <w:sz w:val="20"/>
                <w:szCs w:val="20"/>
                <w:color w:val="auto"/>
              </w:rPr>
            </w:pPr>
            <w:r>
              <w:rPr>
                <w:rFonts w:ascii="Arial" w:cs="Arial" w:eastAsia="Arial" w:hAnsi="Arial"/>
                <w:sz w:val="18"/>
                <w:szCs w:val="18"/>
                <w:color w:val="auto"/>
              </w:rPr>
              <w:t>33</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148,386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42,995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41%</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Research and development expense increased by $6.8 million, or 23%, during the three months ended March 31, 2015 compared to the same period last year primarily due to an increase of $3.2 million in personnel costs and $1.3 million in stock-based compensation as a result of increased headcount to support the development of new products and continued enhancements of our existing products. Occupancy-related and other costs increased by $0.7 million and depreciation expense increased by $0.5 million. During the three months ended March 31, 2014, expenses were also lower by $1.1 million due to the reversal of a previously recorded liability for estimated contingent consideration. We intend to continue to invest in our research and development organization but expect research and development expense as a percentage of total revenue to remain at comparable levels during the remainder of 2015.</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Sales and marketing expense increased by $33.3 million, or 49%, during the three months ended March 31, 2015 compared to the same period last year, primarily due to an increase of $19.9 million in personnel costs as we continued to increase our sales headcount in order to drive continued market share gains globally. Marketing-related expenses increased by $3.6 million as we invested significantly in marketing to capture market share, particularly in the enterprise market, including costs related to trade-shows and lead generation campaigns. In addition, stock-based compensation expense increased by $3.6 million, depreciation and other expenses increased by $2.8 million, travel expenses increased by $1.7 million, and supplies increased by $1.6 million. As a percentage of total revenue, sales and marketing expenses increased as we accelerated the investment in our sales force and marketing campaigns to drive future growth. We intend to continue to make investments in our sales resources and infrastructure and marketing, which are critical to support growth, and expect sales and marketing expense as a percentage of total revenue to decrease during the remainder of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 increased by $3.0 million, or 33%, during the three months ended March 31, 2015 compared to the same period last year. Personnel costs, including stock-based compensation, increased by $2.6 million, as we continued to increase our headcount in order to support our expanding business. In addition, depreciation and other expenses increased by $0.3 million. We expect general and administrative expense to increase as a percentage of total revenue during the remainder of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80" w:type="dxa"/>
            <w:vAlign w:val="bottom"/>
          </w:tcPr>
          <w:p>
            <w:pPr>
              <w:jc w:val="center"/>
              <w:ind w:left="417"/>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80" w:type="dxa"/>
            <w:vAlign w:val="bottom"/>
          </w:tcPr>
          <w:p>
            <w:pPr>
              <w:jc w:val="right"/>
              <w:ind w:right="137"/>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8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1,422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89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(389)</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(288)</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74</w:t>
            </w:r>
          </w:p>
        </w:tc>
      </w:tr>
    </w:tbl>
    <w:p>
      <w:pPr>
        <w:spacing w:after="0" w:line="31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income increased in the three months ended March 31, 2015 compared to the same period last year due to interest earned on higher invested balances of cash, cash equivalents and investments. The increase in other expense—net for the three months ended March 31, 2015 when compared to the same period last year, was the result of higher foreign exchange losses.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2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380" w:type="dxa"/>
            <w:vAlign w:val="bottom"/>
          </w:tcPr>
          <w:p>
            <w:pPr>
              <w:jc w:val="center"/>
              <w:ind w:left="357"/>
              <w:spacing w:after="0"/>
              <w:rPr>
                <w:sz w:val="20"/>
                <w:szCs w:val="20"/>
                <w:color w:val="auto"/>
              </w:rPr>
            </w:pPr>
            <w:r>
              <w:rPr>
                <w:rFonts w:ascii="Arial" w:cs="Arial" w:eastAsia="Arial" w:hAnsi="Arial"/>
                <w:sz w:val="16"/>
                <w:szCs w:val="16"/>
                <w:b w:val="1"/>
                <w:bCs w:val="1"/>
                <w:color w:val="auto"/>
                <w:w w:val="94"/>
              </w:rPr>
              <w:t>March 31,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1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380" w:type="dxa"/>
            <w:vAlign w:val="bottom"/>
          </w:tcPr>
          <w:p>
            <w:pPr>
              <w:jc w:val="right"/>
              <w:ind w:right="197"/>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75"/>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bottom w:val="single" w:sz="8" w:color="CCEEFF"/>
            </w:tcBorders>
            <w:shd w:val="clear" w:color="auto" w:fill="CCEEFF"/>
          </w:tcPr>
          <w:p>
            <w:pPr>
              <w:jc w:val="right"/>
              <w:ind w:right="11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5,366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(5,283)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(34)%</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effective tax rate was 5% for the three months ended March 31, 2015, compared with an effective tax rate of 39% for the same period last year. The provision for income taxes for the three months ended March 31, 2015 was comprised primarily of U.S. federal and state taxes, other foreign income taxes, foreign withholding taxes, and transfer pricing allocations which impact jurisdictional income taxed at various tax rates. During the three months ended March 31, 2015, discrete items included a higher tax benefit from stock-based compensation expense and foreign exchange impact relating to uncertain tax benefit for developments in international tax that impacted the quarterly effective tax rate.</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2015, we had accrued $4.5 million for estimated interest related to uncertain tax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cash equivalents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(used in) 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March 31, 2015</w:t>
            </w:r>
          </w:p>
        </w:tc>
        <w:tc>
          <w:tcPr>
            <w:tcW w:w="160" w:type="dxa"/>
            <w:vAlign w:val="bottom"/>
          </w:tcPr>
          <w:p>
            <w:pPr>
              <w:spacing w:after="0"/>
              <w:rPr>
                <w:sz w:val="18"/>
                <w:szCs w:val="18"/>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330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88"/>
              </w:rPr>
              <w:t>(in thousands)</w:t>
            </w:r>
          </w:p>
        </w:tc>
      </w:tr>
      <w:tr>
        <w:trPr>
          <w:trHeight w:val="276"/>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386,352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283,254</w:t>
            </w:r>
          </w:p>
        </w:tc>
      </w:tr>
      <w:tr>
        <w:trPr>
          <w:trHeight w:val="270"/>
        </w:trPr>
        <w:tc>
          <w:tcPr>
            <w:tcW w:w="220" w:type="dxa"/>
            <w:vAlign w:val="bottom"/>
          </w:tcPr>
          <w:p>
            <w:pPr>
              <w:spacing w:after="0"/>
              <w:rPr>
                <w:sz w:val="23"/>
                <w:szCs w:val="23"/>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686,213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708,490</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1,072,565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991,744</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48"/>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593,170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550,409</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704"/>
        </w:trPr>
        <w:tc>
          <w:tcPr>
            <w:tcW w:w="220" w:type="dxa"/>
            <w:vAlign w:val="bottom"/>
          </w:tcPr>
          <w:p>
            <w:pPr>
              <w:spacing w:after="0"/>
              <w:rPr>
                <w:sz w:val="24"/>
                <w:szCs w:val="24"/>
                <w:color w:val="auto"/>
              </w:rPr>
            </w:pPr>
          </w:p>
        </w:tc>
        <w:tc>
          <w:tcPr>
            <w:tcW w:w="330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92"/>
              </w:rPr>
              <w:t>Three Months Ended</w:t>
            </w:r>
          </w:p>
        </w:tc>
      </w:tr>
      <w:tr>
        <w:trPr>
          <w:trHeight w:val="33"/>
        </w:trPr>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16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220" w:type="dxa"/>
            <w:vAlign w:val="bottom"/>
          </w:tcPr>
          <w:p>
            <w:pPr>
              <w:spacing w:after="0"/>
              <w:rPr>
                <w:sz w:val="18"/>
                <w:szCs w:val="18"/>
                <w:color w:val="auto"/>
              </w:rPr>
            </w:pPr>
          </w:p>
        </w:tc>
        <w:tc>
          <w:tcPr>
            <w:tcW w:w="150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330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88"/>
              </w:rPr>
              <w:t>(in thousands)</w:t>
            </w:r>
          </w:p>
        </w:tc>
      </w:tr>
      <w:tr>
        <w:trPr>
          <w:trHeight w:val="276"/>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64,619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60,902</w:t>
            </w:r>
          </w:p>
        </w:tc>
      </w:tr>
      <w:tr>
        <w:trPr>
          <w:trHeight w:val="270"/>
        </w:trPr>
        <w:tc>
          <w:tcPr>
            <w:tcW w:w="220" w:type="dxa"/>
            <w:vAlign w:val="bottom"/>
          </w:tcPr>
          <w:p>
            <w:pPr>
              <w:spacing w:after="0"/>
              <w:rPr>
                <w:sz w:val="23"/>
                <w:szCs w:val="23"/>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16,124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(2,364)</w:t>
            </w:r>
          </w:p>
        </w:tc>
      </w:tr>
      <w:tr>
        <w:trPr>
          <w:trHeight w:val="270"/>
        </w:trPr>
        <w:tc>
          <w:tcPr>
            <w:tcW w:w="220" w:type="dxa"/>
            <w:vAlign w:val="bottom"/>
          </w:tcPr>
          <w:p>
            <w:pPr>
              <w:spacing w:after="0"/>
              <w:rPr>
                <w:sz w:val="23"/>
                <w:szCs w:val="23"/>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0"/>
        </w:trPr>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103,098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57,095</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1" w:right="239" w:bottom="1440" w:gutter="0" w:footer="0" w:header="0"/>
        </w:sectPr>
      </w:pPr>
    </w:p>
    <w:p>
      <w:pPr>
        <w:spacing w:after="0" w:line="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acquisitions, capital expenditures, stock repurchases, proceeds associated with stock option exercises and issuances of common stock under the ESPP, payment of taxes in connection with the net settlement of RSUs, and investments in strategic relationships that we have made or may make in the future. As of March 31, 2015, $122.5 million remains available for future share repurchases under our stock repurchase program (“Program”), which will be financed through our available working capital. In recent years, we have received significant capital resources as a result of exercises of stock options and purchases under our ESPP. We expect proceeds in future years to be impacted by our share price and the changing mix of stock options and RSUs granted. We expect to spend approximately $30.0 million to $35.0 million primarily related to expansion of our offices to support worldwide growth, as well as the implementation of our enterprise resource planning system.</w:t>
      </w:r>
    </w:p>
    <w:p>
      <w:pPr>
        <w:spacing w:after="0" w:line="16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of March 31, 2015, our cash, cash equivalents, and investments of $1.07 billion were invested primarily in corporate debt securities, commercial paper, municipal bonds, certificates of deposit and term deposits, money market funds, and U.S. government and agency debt securities.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March 31, 2015, $326.2 million of our cash and investments were held by our international subsidiaries and are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Cash generated by operating activities is our primary source of liquidity. It is primarily comprised of net income, adjusted for non-cash items, and changes in operating assets and liabilities. Non-cash adjustments consisted primarily of stock-based compensation, depreciation of property and equipment, amortization of intangible assets, excess tax benefit from stock-based compensation, and amortization of investment premiums.</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operating activities during the three months ended March 31, 2015 provided $64.6 million in cash as a result of profitability, timing of billings and collections, and the ability to successfully manage our working capital. The primary sources of cash from operating activities during the three months ended March 31, 2015 consisted of net income of $1.6 million increased by non-cash adjustments of $27.3 million and changes in operating assets and liabilities of $35.7 million. Changes in operating assets and liabilities primarily included an increase in payments received from customers, partially offset by an increase in payments to vendors for inventory-related purchases and prepayment of certain expenses.</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operating activities during the three months ended March 31, 2014, provided $60.9 million in cash as a result of our growth in billings, profitability, and the ability to successfully manage our working capital. The primary sources of cash from operating activities during the three months ended March 31, 2014 consisted of net income of $8.4 million increased by non-cash adjustments of $19.2 million and changes in operating assets and liabilities of $33.3 million. During the three months ended March 31, 2014, we received $20.0 million pursuant to a six 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 of income taxes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three months ended March 31, 2015, cash provided by investing activities was a result of positive cash flow due to maturities, net of purchases, from our investments of $21.1 million, partially offset by capital expenditures of $4.9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March 31, 2014, cash used by investing activities was primarily due to capital expenditures of $11.3 million, partially offset by positive cash flow due to maturities, net of purchases, from our investments of $9.0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excess tax benefit from stock-based compensation, and repurchase and retirement of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months ended March 31, 2015, cash provided by financing activities was $22.4 million as a result of proceeds of $29.0 million from the issuance of common stock under our stock plans. This cash inflow was partially offset by $6.6 million of tax payments related to withholding upon the issuance of RSUs.</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three months ended March 31, 2014, we used $12.3 million to repurchase and retire our common stock and $3.6 million to pay taxes related to withholding upon issuance of RSUs. These cash outflows were partially offset by proceeds of $14.5 million from the issuance of common stock under our stock plans, as well as excess tax benefit from employee stock-based compensation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have been no material changes outside the ordinary course of business during the three months ended March 31, 2015 to the contractual obligations and commitments disclosed in Management’s Discussion and Analysis of Financial Condition and Results of Operations, set forth in Part II, Item 7, of the Form 10-K. See Note 8 to the notes to the condensed consolidated financial statements included in Part I, Item 1 of this Form 10-Q for additional information regarding contractual obligations and commitments.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March 31,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 months ended March 31, 2015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March 31, 2015.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Based on that evaluation, our CEO and CFO concluded that our disclosure controls and procedures were effective as of March 31, 2015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18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logistics, shipping delays at ports or otherwise, our ability to ship new products on schedule and to accurately forecast inventory requirements, and potential delays in the manufacturing process;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1" w:right="2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6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81"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21" w:right="3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will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but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subscriptions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2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An important part of our growth strategy is to increase sales of our products to large enterprises, service providers and government organizations. While we have increased sales to service providers and enterprises in recent periods, we have experienced less traction selling to certain government organizations and there can be no assurance that we will be successful selling to these customers. Sales to enterprises, service providers and government organizations involve risks that may not be present (or that are present to a lesser extent) with sales to small-to-mid-sized entities. These risks include:</w:t>
      </w:r>
    </w:p>
    <w:p>
      <w:pPr>
        <w:spacing w:after="0" w:line="154" w:lineRule="exact"/>
        <w:rPr>
          <w:sz w:val="20"/>
          <w:szCs w:val="20"/>
          <w:color w:val="auto"/>
        </w:rPr>
      </w:pPr>
    </w:p>
    <w:p>
      <w:pPr>
        <w:ind w:left="1300" w:right="1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enterprises,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Enterprises, service providers and government organizations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32%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based on trade compliance requirements, or any shipment delays based on labor disputes at shipping ports, our billings and revenue for that quarter could fall below our expectations or those of securities analysts and investors, resulting in a decline in our stock price.</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certain marketing activities. While we have recently been increasing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our business, financial condition and results of operations will be adversely affected, and we will not be able to achieve sustained growth.</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provide sales channel partners with specific programs to assist them in selling our products and incentivize them to sell our products, but there can be no assurance that these programs will be effective. In addition, our channel partners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March 31, 2015, Exclusive Networks Group, which distributed our solutions to a large group of resellers and end-customers, accounted for 17% of our total revenue. During the three months ended March 31, 2014, Exclusive Networks Group and Ingram Micro, which distributed our solutions to a large group of resellers and end-customers, accounted for 14% and 10%,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8" w:lineRule="exact"/>
        <w:rPr>
          <w:sz w:val="20"/>
          <w:szCs w:val="20"/>
          <w:color w:val="auto"/>
        </w:rPr>
      </w:pPr>
    </w:p>
    <w:p>
      <w:pPr>
        <w:ind w:right="30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purchased a new enterprise resource planning system during the second quarter of 2014. We are in the early stages of implementing the new system and, as a result, we have incurred and will continue to incur additional costs in connection with implementing the system. In addition, we may experience some disruption during the system implementation process.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7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our operating expenses are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that we will win a sale.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All of our sales to government organizations have been made indirectly through our distribution channel.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3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succeed unless the marketplace is confident that we provide effective network security protection. Increasingly, companies are subject to a wide variety of attacks on their networks and websites. Despite our efforts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disclose information in order to gain access to our network. We cannot assure you that the measures we have taken to protect our network and website will provide absolute security. Moreover, because we provide network security products, we may be a more attractive target for attacks by computer hackers. Although we have not experienced significant damages from unauthorized access by a third party of our internal network or website, if an actual or perceived breach of network security occurs in our internal systems or website it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200" w:lineRule="exact"/>
        <w:rPr>
          <w:sz w:val="20"/>
          <w:szCs w:val="20"/>
          <w:color w:val="auto"/>
        </w:rPr>
      </w:pPr>
    </w:p>
    <w:p>
      <w:pPr>
        <w:spacing w:after="0" w:line="2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 organizations. As a result, our failure to maintain high quality support services would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For example, in the second quarter of 2014, we recognized an impairment charge of $2.4 million for intangible assets from our acquisition of Coyote Point Systems, Inc.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122" w:right="4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significant natural disaster, such as an earthquake, fire, power outages, floods, or other catastrophic events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the economy as a whole. For example, recently, ports in the west coast of the United States have experienced work slowdowns related to ongoing union labor contract negotiations. Given our typical concentration of sales at each quarter end,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 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companies such as Blue Coat, Check Point, Cisco, Dell/SonicWall, F5 Networks, FireEye, Intel/McAfee, Juniper, Palo Alto Networks, and others.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2014, our internal controls over financial reporting were effective, we cannot predict the outcome of our testing in 2015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2017,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or announcements regarding the Program and the timing and amount of shares we purchase under the Program. For example, during the three months ended March 31, 2015, the closing price of our common stock ranged from $29.22 to $35.48.</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March 31, 2015, there were no shares repurchased under the Program. As of March 31, 2015, $122.5 million remains available for future share repurchases under the Program.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pacing w:after="0" w:line="35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522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224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240" w:top="122" w:right="71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5120" w:type="dxa"/>
            <w:vAlign w:val="bottom"/>
            <w:gridSpan w:val="3"/>
          </w:tcPr>
          <w:p>
            <w:pPr>
              <w:ind w:left="1640"/>
              <w:spacing w:after="0"/>
              <w:rPr>
                <w:sz w:val="20"/>
                <w:szCs w:val="20"/>
                <w:color w:val="auto"/>
              </w:rPr>
            </w:pPr>
            <w:r>
              <w:rPr>
                <w:rFonts w:ascii="Arial" w:cs="Arial" w:eastAsia="Arial" w:hAnsi="Arial"/>
                <w:sz w:val="14"/>
                <w:szCs w:val="14"/>
                <w:b w:val="1"/>
                <w:bCs w:val="1"/>
                <w:color w:val="auto"/>
              </w:rPr>
              <w:t>Description</w:t>
            </w:r>
          </w:p>
        </w:tc>
        <w:tc>
          <w:tcPr>
            <w:tcW w:w="3360" w:type="dxa"/>
            <w:vAlign w:val="bottom"/>
            <w:gridSpan w:val="5"/>
          </w:tcPr>
          <w:p>
            <w:pPr>
              <w:jc w:val="center"/>
              <w:ind w:right="928"/>
              <w:spacing w:after="0"/>
              <w:rPr>
                <w:sz w:val="20"/>
                <w:szCs w:val="20"/>
                <w:color w:val="auto"/>
              </w:rPr>
            </w:pPr>
            <w:r>
              <w:rPr>
                <w:rFonts w:ascii="Arial" w:cs="Arial" w:eastAsia="Arial" w:hAnsi="Arial"/>
                <w:sz w:val="14"/>
                <w:szCs w:val="14"/>
                <w:b w:val="1"/>
                <w:bCs w:val="1"/>
                <w:color w:val="auto"/>
                <w:w w:val="93"/>
              </w:rPr>
              <w:t>Incorporated by reference herein</w:t>
            </w:r>
          </w:p>
        </w:tc>
      </w:tr>
      <w:tr>
        <w:trPr>
          <w:trHeight w:val="264"/>
        </w:trPr>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Form</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 Number</w:t>
            </w:r>
          </w:p>
        </w:tc>
      </w:tr>
      <w:tr>
        <w:trPr>
          <w:trHeight w:val="278"/>
        </w:trPr>
        <w:tc>
          <w:tcPr>
            <w:tcW w:w="142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Certification of Chief Executive Officer pursuant to Exchange Act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Rules 13a-14(a) and 15d-14(a), as adopted pursuant to Section 302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of the Sarbanes-Oxley Act of 2002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Certification of Chief Financial Officer pursuant to Exchange Act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Rules 13a-14(a) and 15d-14(a), as adopted pursuant to Section 302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of the Sarbanes-Oxley Act of 2002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Certifications of Chief Executive Officer and Chief Financial</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Officer pursuant to 18 U.S.C. Section 1350, as adopted pursuant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Section 906 of the Sarbanes-Oxley Act of 2002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2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Taxonomy Extension Schema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Taxonomy Extension Calculation Linkbase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Taxonomy Extension Definition Linkbase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Taxonomy Extension Label Linkbase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120" w:type="dxa"/>
            <w:vAlign w:val="bottom"/>
            <w:gridSpan w:val="3"/>
          </w:tcPr>
          <w:p>
            <w:pPr>
              <w:ind w:left="20"/>
              <w:spacing w:after="0"/>
              <w:rPr>
                <w:sz w:val="20"/>
                <w:szCs w:val="20"/>
                <w:color w:val="auto"/>
              </w:rPr>
            </w:pPr>
            <w:r>
              <w:rPr>
                <w:rFonts w:ascii="Arial" w:cs="Arial" w:eastAsia="Arial" w:hAnsi="Arial"/>
                <w:sz w:val="14"/>
                <w:szCs w:val="14"/>
                <w:color w:val="auto"/>
              </w:rPr>
              <w:t>XBRL Instance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34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122"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March 31, 2015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1, 2015</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quarterly period ended March 31, 2015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1, 2015</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2019-12-29T17:44:26Z</dcterms:created>
  <dcterms:modified xsi:type="dcterms:W3CDTF">2019-12-29T17:44:26Z</dcterms:modified>
</cp:coreProperties>
</file>