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56" w:lineRule="exact"/>
        <w:rPr>
          <w:sz w:val="24"/>
          <w:szCs w:val="24"/>
          <w:color w:val="auto"/>
        </w:rPr>
      </w:pPr>
    </w:p>
    <w:p>
      <w:pPr>
        <w:ind w:left="4820"/>
        <w:spacing w:after="0"/>
        <w:rPr>
          <w:sz w:val="20"/>
          <w:szCs w:val="20"/>
          <w:color w:val="auto"/>
        </w:rPr>
      </w:pPr>
      <w:r>
        <w:rPr>
          <w:rFonts w:ascii="Arial" w:cs="Arial" w:eastAsia="Arial" w:hAnsi="Arial"/>
          <w:sz w:val="29"/>
          <w:szCs w:val="29"/>
          <w:b w:val="1"/>
          <w:bCs w:val="1"/>
          <w:color w:val="auto"/>
        </w:rPr>
        <w:t>FORM 10-Q/A</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7"/>
          <w:szCs w:val="17"/>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80"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39" w:lineRule="exact"/>
        <w:rPr>
          <w:sz w:val="24"/>
          <w:szCs w:val="24"/>
          <w:color w:val="auto"/>
        </w:rPr>
      </w:pPr>
    </w:p>
    <w:p>
      <w:pPr>
        <w:ind w:left="3700"/>
        <w:spacing w:after="0"/>
        <w:tabs>
          <w:tab w:leader="none" w:pos="694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921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1385" cy="8890"/>
                    </a:xfrm>
                    <a:prstGeom prst="rect">
                      <a:avLst/>
                    </a:prstGeom>
                    <a:noFill/>
                  </pic:spPr>
                </pic:pic>
              </a:graphicData>
            </a:graphic>
          </wp:anchor>
        </w:drawing>
      </w:r>
    </w:p>
    <w:p>
      <w:pPr>
        <w:spacing w:after="0" w:line="149" w:lineRule="exact"/>
        <w:rPr>
          <w:sz w:val="24"/>
          <w:szCs w:val="24"/>
          <w:color w:val="auto"/>
        </w:rPr>
      </w:pPr>
    </w:p>
    <w:tbl>
      <w:tblPr>
        <w:tblLayout w:type="fixed"/>
        <w:tblInd w:w="1520" w:type="dxa"/>
        <w:tblCellMar>
          <w:top w:w="0" w:type="dxa"/>
          <w:left w:w="0" w:type="dxa"/>
          <w:bottom w:w="0" w:type="dxa"/>
          <w:right w:w="0" w:type="dxa"/>
        </w:tblCellMar>
      </w:tblPr>
      <w:tr>
        <w:trPr>
          <w:trHeight w:val="243"/>
        </w:trPr>
        <w:tc>
          <w:tcPr>
            <w:tcW w:w="6300" w:type="dxa"/>
            <w:vAlign w:val="bottom"/>
          </w:tcPr>
          <w:p>
            <w:pPr>
              <w:jc w:val="center"/>
              <w:ind w:left="2009"/>
              <w:spacing w:after="0"/>
              <w:rPr>
                <w:sz w:val="20"/>
                <w:szCs w:val="20"/>
                <w:color w:val="auto"/>
              </w:rPr>
            </w:pPr>
            <w:r>
              <w:rPr>
                <w:rFonts w:ascii="Arial" w:cs="Arial" w:eastAsia="Arial" w:hAnsi="Arial"/>
                <w:sz w:val="20"/>
                <w:szCs w:val="20"/>
                <w:b w:val="1"/>
                <w:bCs w:val="1"/>
                <w:color w:val="auto"/>
                <w:w w:val="89"/>
              </w:rPr>
              <w:t>Commission file number: 001-34511</w:t>
            </w:r>
          </w:p>
        </w:tc>
        <w:tc>
          <w:tcPr>
            <w:tcW w:w="1380" w:type="dxa"/>
            <w:vAlign w:val="bottom"/>
          </w:tcPr>
          <w:p>
            <w:pPr>
              <w:spacing w:after="0"/>
              <w:rPr>
                <w:sz w:val="21"/>
                <w:szCs w:val="21"/>
                <w:color w:val="auto"/>
              </w:rPr>
            </w:pPr>
          </w:p>
        </w:tc>
      </w:tr>
      <w:tr>
        <w:trPr>
          <w:trHeight w:val="167"/>
        </w:trPr>
        <w:tc>
          <w:tcPr>
            <w:tcW w:w="6300" w:type="dxa"/>
            <w:vAlign w:val="bottom"/>
          </w:tcPr>
          <w:p>
            <w:pPr>
              <w:jc w:val="center"/>
              <w:ind w:left="2009"/>
              <w:spacing w:after="0" w:line="167" w:lineRule="exact"/>
              <w:rPr>
                <w:sz w:val="20"/>
                <w:szCs w:val="20"/>
                <w:color w:val="auto"/>
              </w:rPr>
            </w:pPr>
            <w:r>
              <w:rPr>
                <w:rFonts w:ascii="Arial" w:cs="Arial" w:eastAsia="Arial" w:hAnsi="Arial"/>
                <w:sz w:val="16"/>
                <w:szCs w:val="16"/>
                <w:color w:val="auto"/>
                <w:w w:val="91"/>
              </w:rPr>
              <w:t>______________________________________</w:t>
            </w:r>
          </w:p>
        </w:tc>
        <w:tc>
          <w:tcPr>
            <w:tcW w:w="1380" w:type="dxa"/>
            <w:vAlign w:val="bottom"/>
          </w:tcPr>
          <w:p>
            <w:pPr>
              <w:spacing w:after="0"/>
              <w:rPr>
                <w:sz w:val="14"/>
                <w:szCs w:val="14"/>
                <w:color w:val="auto"/>
              </w:rPr>
            </w:pPr>
          </w:p>
        </w:tc>
      </w:tr>
      <w:tr>
        <w:trPr>
          <w:trHeight w:val="351"/>
        </w:trPr>
        <w:tc>
          <w:tcPr>
            <w:tcW w:w="6300" w:type="dxa"/>
            <w:vAlign w:val="bottom"/>
          </w:tcPr>
          <w:p>
            <w:pPr>
              <w:ind w:left="3120"/>
              <w:spacing w:after="0"/>
              <w:rPr>
                <w:sz w:val="20"/>
                <w:szCs w:val="20"/>
                <w:color w:val="auto"/>
              </w:rPr>
            </w:pPr>
            <w:r>
              <w:rPr>
                <w:rFonts w:ascii="Arial" w:cs="Arial" w:eastAsia="Arial" w:hAnsi="Arial"/>
                <w:sz w:val="29"/>
                <w:szCs w:val="29"/>
                <w:b w:val="1"/>
                <w:bCs w:val="1"/>
                <w:color w:val="auto"/>
              </w:rPr>
              <w:t>FORTINET, INC.</w:t>
            </w:r>
          </w:p>
        </w:tc>
        <w:tc>
          <w:tcPr>
            <w:tcW w:w="1380" w:type="dxa"/>
            <w:vAlign w:val="bottom"/>
          </w:tcPr>
          <w:p>
            <w:pPr>
              <w:spacing w:after="0"/>
              <w:rPr>
                <w:sz w:val="24"/>
                <w:szCs w:val="24"/>
                <w:color w:val="auto"/>
              </w:rPr>
            </w:pPr>
          </w:p>
        </w:tc>
      </w:tr>
      <w:tr>
        <w:trPr>
          <w:trHeight w:val="225"/>
        </w:trPr>
        <w:tc>
          <w:tcPr>
            <w:tcW w:w="6300" w:type="dxa"/>
            <w:vAlign w:val="bottom"/>
          </w:tcPr>
          <w:p>
            <w:pPr>
              <w:jc w:val="center"/>
              <w:ind w:left="198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80" w:type="dxa"/>
            <w:vAlign w:val="bottom"/>
          </w:tcPr>
          <w:p>
            <w:pPr>
              <w:spacing w:after="0"/>
              <w:rPr>
                <w:sz w:val="19"/>
                <w:szCs w:val="19"/>
                <w:color w:val="auto"/>
              </w:rPr>
            </w:pPr>
          </w:p>
        </w:tc>
      </w:tr>
      <w:tr>
        <w:trPr>
          <w:trHeight w:val="206"/>
        </w:trPr>
        <w:tc>
          <w:tcPr>
            <w:tcW w:w="6300" w:type="dxa"/>
            <w:vAlign w:val="bottom"/>
          </w:tcPr>
          <w:p>
            <w:pPr>
              <w:jc w:val="center"/>
              <w:ind w:left="2009"/>
              <w:spacing w:after="0"/>
              <w:rPr>
                <w:sz w:val="20"/>
                <w:szCs w:val="20"/>
                <w:color w:val="auto"/>
              </w:rPr>
            </w:pPr>
            <w:r>
              <w:rPr>
                <w:rFonts w:ascii="Arial" w:cs="Arial" w:eastAsia="Arial" w:hAnsi="Arial"/>
                <w:sz w:val="16"/>
                <w:szCs w:val="16"/>
                <w:color w:val="auto"/>
                <w:w w:val="91"/>
              </w:rPr>
              <w:t>______________________________________</w:t>
            </w:r>
          </w:p>
        </w:tc>
        <w:tc>
          <w:tcPr>
            <w:tcW w:w="1380" w:type="dxa"/>
            <w:vAlign w:val="bottom"/>
          </w:tcPr>
          <w:p>
            <w:pPr>
              <w:spacing w:after="0"/>
              <w:rPr>
                <w:sz w:val="17"/>
                <w:szCs w:val="17"/>
                <w:color w:val="auto"/>
              </w:rPr>
            </w:pPr>
          </w:p>
        </w:tc>
      </w:tr>
      <w:tr>
        <w:trPr>
          <w:trHeight w:val="587"/>
        </w:trPr>
        <w:tc>
          <w:tcPr>
            <w:tcW w:w="6300" w:type="dxa"/>
            <w:vAlign w:val="bottom"/>
          </w:tcPr>
          <w:p>
            <w:pPr>
              <w:jc w:val="center"/>
              <w:ind w:right="3529"/>
              <w:spacing w:after="0"/>
              <w:rPr>
                <w:sz w:val="20"/>
                <w:szCs w:val="20"/>
                <w:color w:val="auto"/>
              </w:rPr>
            </w:pPr>
            <w:r>
              <w:rPr>
                <w:rFonts w:ascii="Arial" w:cs="Arial" w:eastAsia="Arial" w:hAnsi="Arial"/>
                <w:sz w:val="18"/>
                <w:szCs w:val="18"/>
                <w:b w:val="1"/>
                <w:bCs w:val="1"/>
                <w:color w:val="auto"/>
                <w:w w:val="91"/>
              </w:rPr>
              <w:t>Delaware</w:t>
            </w:r>
          </w:p>
        </w:tc>
        <w:tc>
          <w:tcPr>
            <w:tcW w:w="138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300" w:type="dxa"/>
            <w:vAlign w:val="bottom"/>
          </w:tcPr>
          <w:p>
            <w:pPr>
              <w:jc w:val="center"/>
              <w:ind w:right="3509"/>
              <w:spacing w:after="0"/>
              <w:rPr>
                <w:sz w:val="20"/>
                <w:szCs w:val="20"/>
                <w:color w:val="auto"/>
              </w:rPr>
            </w:pPr>
            <w:r>
              <w:rPr>
                <w:rFonts w:ascii="Arial" w:cs="Arial" w:eastAsia="Arial" w:hAnsi="Arial"/>
                <w:sz w:val="16"/>
                <w:szCs w:val="16"/>
                <w:b w:val="1"/>
                <w:bCs w:val="1"/>
                <w:color w:val="auto"/>
                <w:w w:val="91"/>
              </w:rPr>
              <w:t>(State or other jurisdiction of</w:t>
            </w:r>
          </w:p>
        </w:tc>
        <w:tc>
          <w:tcPr>
            <w:tcW w:w="1380" w:type="dxa"/>
            <w:vAlign w:val="bottom"/>
          </w:tcPr>
          <w:p>
            <w:pPr>
              <w:jc w:val="center"/>
              <w:ind w:left="3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300" w:type="dxa"/>
            <w:vAlign w:val="bottom"/>
          </w:tcPr>
          <w:p>
            <w:pPr>
              <w:jc w:val="center"/>
              <w:ind w:right="3529"/>
              <w:spacing w:after="0"/>
              <w:rPr>
                <w:sz w:val="20"/>
                <w:szCs w:val="20"/>
                <w:color w:val="auto"/>
              </w:rPr>
            </w:pPr>
            <w:r>
              <w:rPr>
                <w:rFonts w:ascii="Arial" w:cs="Arial" w:eastAsia="Arial" w:hAnsi="Arial"/>
                <w:sz w:val="16"/>
                <w:szCs w:val="16"/>
                <w:b w:val="1"/>
                <w:bCs w:val="1"/>
                <w:color w:val="auto"/>
                <w:w w:val="92"/>
              </w:rPr>
              <w:t>incorporation or organization)</w:t>
            </w:r>
          </w:p>
        </w:tc>
        <w:tc>
          <w:tcPr>
            <w:tcW w:w="1380" w:type="dxa"/>
            <w:vAlign w:val="bottom"/>
          </w:tcPr>
          <w:p>
            <w:pPr>
              <w:jc w:val="center"/>
              <w:ind w:left="3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300" w:type="dxa"/>
            <w:vAlign w:val="bottom"/>
          </w:tcPr>
          <w:p>
            <w:pPr>
              <w:jc w:val="center"/>
              <w:ind w:right="3529"/>
              <w:spacing w:after="0"/>
              <w:rPr>
                <w:sz w:val="20"/>
                <w:szCs w:val="20"/>
                <w:color w:val="auto"/>
              </w:rPr>
            </w:pPr>
            <w:r>
              <w:rPr>
                <w:rFonts w:ascii="Arial" w:cs="Arial" w:eastAsia="Arial" w:hAnsi="Arial"/>
                <w:sz w:val="18"/>
                <w:szCs w:val="18"/>
                <w:b w:val="1"/>
                <w:bCs w:val="1"/>
                <w:color w:val="auto"/>
                <w:w w:val="94"/>
              </w:rPr>
              <w:t>1090 Kifer Road</w:t>
            </w:r>
          </w:p>
        </w:tc>
        <w:tc>
          <w:tcPr>
            <w:tcW w:w="1380" w:type="dxa"/>
            <w:vAlign w:val="bottom"/>
          </w:tcPr>
          <w:p>
            <w:pPr>
              <w:spacing w:after="0"/>
              <w:rPr>
                <w:sz w:val="24"/>
                <w:szCs w:val="24"/>
                <w:color w:val="auto"/>
              </w:rPr>
            </w:pPr>
          </w:p>
        </w:tc>
      </w:tr>
      <w:tr>
        <w:trPr>
          <w:trHeight w:val="234"/>
        </w:trPr>
        <w:tc>
          <w:tcPr>
            <w:tcW w:w="6300" w:type="dxa"/>
            <w:vAlign w:val="bottom"/>
          </w:tcPr>
          <w:p>
            <w:pPr>
              <w:jc w:val="center"/>
              <w:ind w:right="3529"/>
              <w:spacing w:after="0"/>
              <w:rPr>
                <w:sz w:val="20"/>
                <w:szCs w:val="20"/>
                <w:color w:val="auto"/>
              </w:rPr>
            </w:pPr>
            <w:r>
              <w:rPr>
                <w:rFonts w:ascii="Arial" w:cs="Arial" w:eastAsia="Arial" w:hAnsi="Arial"/>
                <w:sz w:val="18"/>
                <w:szCs w:val="18"/>
                <w:b w:val="1"/>
                <w:bCs w:val="1"/>
                <w:color w:val="auto"/>
                <w:w w:val="91"/>
              </w:rPr>
              <w:t>Sunnyvale, California</w:t>
            </w:r>
          </w:p>
        </w:tc>
        <w:tc>
          <w:tcPr>
            <w:tcW w:w="138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300" w:type="dxa"/>
            <w:vAlign w:val="bottom"/>
          </w:tcPr>
          <w:p>
            <w:pPr>
              <w:jc w:val="center"/>
              <w:ind w:right="352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380" w:type="dxa"/>
            <w:vAlign w:val="bottom"/>
          </w:tcPr>
          <w:p>
            <w:pPr>
              <w:jc w:val="center"/>
              <w:ind w:left="3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300" w:type="dxa"/>
            <w:vAlign w:val="bottom"/>
          </w:tcPr>
          <w:p>
            <w:pPr>
              <w:jc w:val="center"/>
              <w:ind w:left="2009"/>
              <w:spacing w:after="0"/>
              <w:rPr>
                <w:sz w:val="20"/>
                <w:szCs w:val="20"/>
                <w:color w:val="auto"/>
              </w:rPr>
            </w:pPr>
            <w:r>
              <w:rPr>
                <w:rFonts w:ascii="Arial" w:cs="Arial" w:eastAsia="Arial" w:hAnsi="Arial"/>
                <w:sz w:val="18"/>
                <w:szCs w:val="18"/>
                <w:b w:val="1"/>
                <w:bCs w:val="1"/>
                <w:color w:val="auto"/>
                <w:w w:val="90"/>
              </w:rPr>
              <w:t>(408) 235-7700</w:t>
            </w:r>
          </w:p>
        </w:tc>
        <w:tc>
          <w:tcPr>
            <w:tcW w:w="1380" w:type="dxa"/>
            <w:vAlign w:val="bottom"/>
          </w:tcPr>
          <w:p>
            <w:pPr>
              <w:spacing w:after="0"/>
              <w:rPr>
                <w:sz w:val="20"/>
                <w:szCs w:val="20"/>
                <w:color w:val="auto"/>
              </w:rPr>
            </w:pPr>
          </w:p>
        </w:tc>
      </w:tr>
      <w:tr>
        <w:trPr>
          <w:trHeight w:val="210"/>
        </w:trPr>
        <w:tc>
          <w:tcPr>
            <w:tcW w:w="6300" w:type="dxa"/>
            <w:vAlign w:val="bottom"/>
          </w:tcPr>
          <w:p>
            <w:pPr>
              <w:jc w:val="center"/>
              <w:ind w:left="198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380" w:type="dxa"/>
            <w:vAlign w:val="bottom"/>
          </w:tcPr>
          <w:p>
            <w:pPr>
              <w:spacing w:after="0"/>
              <w:rPr>
                <w:sz w:val="18"/>
                <w:szCs w:val="18"/>
                <w:color w:val="auto"/>
              </w:rPr>
            </w:pPr>
          </w:p>
        </w:tc>
      </w:tr>
    </w:tbl>
    <w:p>
      <w:pPr>
        <w:spacing w:after="0" w:line="194" w:lineRule="exact"/>
        <w:rPr>
          <w:sz w:val="24"/>
          <w:szCs w:val="24"/>
          <w:color w:val="auto"/>
        </w:rPr>
      </w:pPr>
    </w:p>
    <w:p>
      <w:pPr>
        <w:ind w:right="160"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220"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right="80"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4">
            <w:col w:w="2000" w:space="720"/>
            <w:col w:w="4780" w:space="720"/>
            <w:col w:w="1960" w:space="720"/>
            <w:col w:w="480"/>
          </w:cols>
          <w:pgMar w:left="240" w:top="229" w:right="279" w:bottom="1440" w:gutter="0" w:footer="0" w:header="0"/>
          <w:type w:val="continuous"/>
        </w:sect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4"/>
          <w:szCs w:val="24"/>
          <w:color w:val="auto"/>
        </w:rPr>
      </w:pPr>
    </w:p>
    <w:p>
      <w:pPr>
        <w:sectPr>
          <w:pgSz w:w="11900" w:h="16838" w:orient="portrait"/>
          <w:cols w:equalWidth="0" w:num="4">
            <w:col w:w="2000" w:space="720"/>
            <w:col w:w="4780" w:space="720"/>
            <w:col w:w="1960" w:space="720"/>
            <w:col w:w="480"/>
          </w:cols>
          <w:pgMar w:left="240" w:top="229" w:right="279" w:bottom="1440" w:gutter="0" w:footer="0" w:header="0"/>
          <w:type w:val="continuous"/>
        </w:sectPr>
      </w:pPr>
    </w:p>
    <w:p>
      <w:pPr>
        <w:ind w:left="280" w:right="1680"/>
        <w:spacing w:after="0" w:line="465"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 As of July 31, 2013, there were 162,586,517 shares of the registrant’s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Fortinet, Inc. is filing this Amendment No. 1 on Form 10-Q/A (''Amendment No. 1'') to amend its Quarterly Report on Form 10-Q for the quarter ended June 30, 2013, which was filed with the Securities and Exchange Commission on August 6, 2013 (the ''Original Filing''), for the sole purpose of correcting the inadvertent omission of a conformed signature on the certification of our Chief Executive Officer furnished as Exhibit 32.1 to the Original Filing. Amendment No. 1 repeats the entire text of the Original Filing. No other changes to the Original Filing other than the change described above and an updated Exhibit Index are reflected in Amendment No. 1, which is not intended to, nor does it, reflect events occurring after the filing of the Original Report, or modify or update the disclosures therein in any way.</w:t>
      </w:r>
    </w:p>
    <w:p>
      <w:pPr>
        <w:sectPr>
          <w:pgSz w:w="11900" w:h="16838" w:orient="portrait"/>
          <w:cols w:equalWidth="0" w:num="1">
            <w:col w:w="11320"/>
          </w:cols>
          <w:pgMar w:left="240" w:top="12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June 30, 2013</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40" w:type="dxa"/>
            <w:vAlign w:val="bottom"/>
            <w:gridSpan w:val="6"/>
            <w:vMerge w:val="restart"/>
          </w:tcPr>
          <w:p>
            <w:pPr>
              <w:jc w:val="center"/>
              <w:ind w:right="438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Financial Statements</w:t>
              </w:r>
            </w:hyperlink>
          </w:p>
        </w:tc>
        <w:tc>
          <w:tcPr>
            <w:tcW w:w="828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4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Sheets as of June 30, 2013 and December 31, 2012</w:t>
              </w:r>
            </w:hyperlink>
          </w:p>
        </w:tc>
        <w:tc>
          <w:tcPr>
            <w:tcW w:w="3400" w:type="dxa"/>
            <w:vAlign w:val="bottom"/>
            <w:gridSpan w:val="5"/>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0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Operations for the Three and Six Months Ended June 30, 2013 and 2012</w:t>
              </w:r>
            </w:hyperlink>
          </w:p>
        </w:tc>
        <w:tc>
          <w:tcPr>
            <w:tcW w:w="144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2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Comprehensive Income for the Three and Six Months Ended June 30, 2013 and 2012</w:t>
              </w:r>
            </w:hyperlink>
          </w:p>
        </w:tc>
        <w:tc>
          <w:tcPr>
            <w:tcW w:w="5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3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Cash Flows for the Six Months Ended June 30, 2013 and 2012</w:t>
              </w:r>
            </w:hyperlink>
          </w:p>
        </w:tc>
        <w:tc>
          <w:tcPr>
            <w:tcW w:w="216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5540" w:type="dxa"/>
            <w:vAlign w:val="bottom"/>
            <w:gridSpan w:val="7"/>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Management’s Discussion and Analysis of Financial Condition and Results of Operations</w:t>
              </w:r>
            </w:hyperlink>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Quantitative and Qualitative Disclosures About Market Risk</w:t>
              </w:r>
            </w:hyperlink>
          </w:p>
        </w:tc>
        <w:tc>
          <w:tcPr>
            <w:tcW w:w="2120" w:type="dxa"/>
            <w:vAlign w:val="bottom"/>
            <w:gridSpan w:val="2"/>
          </w:tcPr>
          <w:p>
            <w:pPr>
              <w:spacing w:after="0"/>
              <w:rPr>
                <w:sz w:val="21"/>
                <w:szCs w:val="21"/>
                <w:color w:val="auto"/>
              </w:rPr>
            </w:pPr>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440" w:type="dxa"/>
            <w:vAlign w:val="bottom"/>
            <w:tcBorders>
              <w:left w:val="single" w:sz="8" w:color="0000FF"/>
            </w:tcBorders>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54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6"/>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Legal Proceedings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43">
              <w:r>
                <w:rPr>
                  <w:rFonts w:ascii="Arial" w:cs="Arial" w:eastAsia="Arial" w:hAnsi="Arial"/>
                  <w:sz w:val="18"/>
                  <w:szCs w:val="18"/>
                  <w:color w:val="0000FF"/>
                  <w:w w:val="87"/>
                </w:rPr>
                <w:t>Risk Factors</w:t>
              </w:r>
            </w:hyperlink>
          </w:p>
        </w:tc>
        <w:tc>
          <w:tcPr>
            <w:tcW w:w="400" w:type="dxa"/>
            <w:vAlign w:val="bottom"/>
          </w:tcPr>
          <w:p>
            <w:pPr>
              <w:spacing w:after="0"/>
              <w:rPr>
                <w:sz w:val="21"/>
                <w:szCs w:val="21"/>
                <w:color w:val="auto"/>
              </w:rPr>
            </w:pPr>
          </w:p>
        </w:tc>
        <w:tc>
          <w:tcPr>
            <w:tcW w:w="848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6"/>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8"/>
          </w:tcPr>
          <w:p>
            <w:pPr>
              <w:spacing w:after="0"/>
              <w:rPr>
                <w:rFonts w:ascii="Arial" w:cs="Arial" w:eastAsia="Arial" w:hAnsi="Arial"/>
                <w:sz w:val="18"/>
                <w:szCs w:val="18"/>
                <w:color w:val="0000FF"/>
                <w:w w:val="90"/>
              </w:rPr>
            </w:pPr>
            <w:hyperlink w:anchor="page64">
              <w:r>
                <w:rPr>
                  <w:rFonts w:ascii="Arial" w:cs="Arial" w:eastAsia="Arial" w:hAnsi="Arial"/>
                  <w:sz w:val="18"/>
                  <w:szCs w:val="18"/>
                  <w:color w:val="0000FF"/>
                  <w:w w:val="90"/>
                </w:rPr>
                <w:t>Defaults Upon Senior Securities</w:t>
              </w:r>
            </w:hyperlink>
          </w:p>
        </w:tc>
        <w:tc>
          <w:tcPr>
            <w:tcW w:w="2020" w:type="dxa"/>
            <w:vAlign w:val="bottom"/>
            <w:gridSpan w:val="2"/>
          </w:tcPr>
          <w:p>
            <w:pPr>
              <w:spacing w:after="0"/>
              <w:rPr>
                <w:sz w:val="21"/>
                <w:szCs w:val="21"/>
                <w:color w:val="auto"/>
              </w:rPr>
            </w:pPr>
          </w:p>
        </w:tc>
        <w:tc>
          <w:tcPr>
            <w:tcW w:w="54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4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Mine Safety Disclosures</w:t>
              </w:r>
            </w:hyperlink>
          </w:p>
        </w:tc>
        <w:tc>
          <w:tcPr>
            <w:tcW w:w="7460" w:type="dxa"/>
            <w:vAlign w:val="bottom"/>
            <w:gridSpan w:val="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7"/>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Other Information</w:t>
              </w:r>
            </w:hyperlink>
          </w:p>
        </w:tc>
        <w:tc>
          <w:tcPr>
            <w:tcW w:w="802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64">
              <w:r>
                <w:rPr>
                  <w:rFonts w:ascii="Arial" w:cs="Arial" w:eastAsia="Arial" w:hAnsi="Arial"/>
                  <w:sz w:val="18"/>
                  <w:szCs w:val="18"/>
                  <w:color w:val="0000FF"/>
                  <w:w w:val="91"/>
                </w:rPr>
                <w:t>Exhibits</w:t>
              </w:r>
            </w:hyperlink>
          </w:p>
        </w:tc>
        <w:tc>
          <w:tcPr>
            <w:tcW w:w="700" w:type="dxa"/>
            <w:vAlign w:val="bottom"/>
            <w:gridSpan w:val="3"/>
          </w:tcPr>
          <w:p>
            <w:pPr>
              <w:spacing w:after="0"/>
              <w:rPr>
                <w:sz w:val="21"/>
                <w:szCs w:val="21"/>
                <w:color w:val="auto"/>
              </w:rPr>
            </w:pPr>
          </w:p>
        </w:tc>
        <w:tc>
          <w:tcPr>
            <w:tcW w:w="848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64">
              <w:r>
                <w:rPr>
                  <w:rFonts w:ascii="Arial" w:cs="Arial" w:eastAsia="Arial" w:hAnsi="Arial"/>
                  <w:sz w:val="18"/>
                  <w:szCs w:val="18"/>
                  <w:color w:val="0000FF"/>
                  <w:w w:val="85"/>
                </w:rPr>
                <w:t>Signatures</w:t>
              </w:r>
            </w:hyperlink>
          </w:p>
        </w:tc>
        <w:tc>
          <w:tcPr>
            <w:tcW w:w="902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648"/>
        </w:trPr>
        <w:tc>
          <w:tcPr>
            <w:tcW w:w="8100" w:type="dxa"/>
            <w:vAlign w:val="bottom"/>
          </w:tcPr>
          <w:p>
            <w:pPr>
              <w:jc w:val="center"/>
              <w:ind w:left="3230"/>
              <w:spacing w:after="0"/>
              <w:rPr>
                <w:sz w:val="20"/>
                <w:szCs w:val="20"/>
                <w:color w:val="auto"/>
              </w:rPr>
            </w:pPr>
            <w:r>
              <w:rPr>
                <w:rFonts w:ascii="Arial" w:cs="Arial" w:eastAsia="Arial" w:hAnsi="Arial"/>
                <w:sz w:val="18"/>
                <w:szCs w:val="18"/>
                <w:b w:val="1"/>
                <w:bCs w:val="1"/>
                <w:color w:val="auto"/>
              </w:rPr>
              <w:t>FORTINET, INC.</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9"/>
        </w:trPr>
        <w:tc>
          <w:tcPr>
            <w:tcW w:w="810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4"/>
        </w:trPr>
        <w:tc>
          <w:tcPr>
            <w:tcW w:w="8100" w:type="dxa"/>
            <w:vAlign w:val="bottom"/>
          </w:tcPr>
          <w:p>
            <w:pPr>
              <w:jc w:val="center"/>
              <w:ind w:left="325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549"/>
        </w:trPr>
        <w:tc>
          <w:tcPr>
            <w:tcW w:w="8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122,975</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379,229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290,719</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107,642</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21,060</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26,878</w:t>
            </w:r>
          </w:p>
        </w:tc>
      </w:tr>
      <w:tr>
        <w:trPr>
          <w:trHeight w:val="237"/>
        </w:trPr>
        <w:tc>
          <w:tcPr>
            <w:tcW w:w="8100" w:type="dxa"/>
            <w:vAlign w:val="bottom"/>
          </w:tcPr>
          <w:p>
            <w:pPr>
              <w:ind w:left="9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672,400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569,274</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25,638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311,713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325,892</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2,117</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DEFERRED TAX ASSETS—Non-current</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48,525</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4,051</w:t>
            </w: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1,085,746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975,497</w:t>
            </w: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76"/>
        </w:trPr>
        <w:tc>
          <w:tcPr>
            <w:tcW w:w="8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20,816</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22,263</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28,957</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265,639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247,268</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360,481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319,304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DEFERRED REVENUE—Non-current</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124,043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115,917</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28,778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564</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518,561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464,563</w:t>
            </w: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COMMITMENTS AND CONTINGENCIES (Note 7)</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100" w:type="dxa"/>
            <w:vAlign w:val="bottom"/>
          </w:tcPr>
          <w:p>
            <w:pPr>
              <w:ind w:left="500"/>
              <w:spacing w:after="0"/>
              <w:rPr>
                <w:sz w:val="20"/>
                <w:szCs w:val="20"/>
                <w:color w:val="auto"/>
              </w:rPr>
            </w:pPr>
            <w:r>
              <w:rPr>
                <w:rFonts w:ascii="Arial" w:cs="Arial" w:eastAsia="Arial" w:hAnsi="Arial"/>
                <w:sz w:val="18"/>
                <w:szCs w:val="18"/>
                <w:color w:val="auto"/>
                <w:w w:val="90"/>
              </w:rPr>
              <w:t>Common stock, $0.001 par value — 300,000 shares authorized; 163,773 and 161,757 shares issued and</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00" w:type="dxa"/>
            <w:vAlign w:val="bottom"/>
          </w:tcPr>
          <w:p>
            <w:pPr>
              <w:ind w:left="500"/>
              <w:spacing w:after="0"/>
              <w:rPr>
                <w:sz w:val="20"/>
                <w:szCs w:val="20"/>
                <w:color w:val="auto"/>
              </w:rPr>
            </w:pPr>
            <w:r>
              <w:rPr>
                <w:rFonts w:ascii="Arial" w:cs="Arial" w:eastAsia="Arial" w:hAnsi="Arial"/>
                <w:sz w:val="18"/>
                <w:szCs w:val="18"/>
                <w:color w:val="auto"/>
                <w:w w:val="95"/>
              </w:rPr>
              <w:t>162,364 and 160,348 shares outstanding as of June 30, 2013 and December 31, 2012, respectively</w:t>
            </w:r>
          </w:p>
        </w:tc>
        <w:tc>
          <w:tcPr>
            <w:tcW w:w="2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162</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400,075</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Treasury stock</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(2,995)</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3,091</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131,829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110,601</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567,185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510,934</w:t>
            </w: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1,085,746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975,497</w:t>
            </w: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2" w:right="25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18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w w:val="96"/>
              </w:rPr>
              <w:t>June 30,</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5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66,525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61,692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124,475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114,896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127,550</w:t>
            </w: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3,209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147,428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128,962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283,248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246,209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43,003</w:t>
            </w: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12,467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31,833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23,680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37"/>
        </w:trPr>
        <w:tc>
          <w:tcPr>
            <w:tcW w:w="652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43,708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37,127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82,836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68,170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39,577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37,757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74,569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71,893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123,731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103,870</w:t>
            </w: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gross profit</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103,720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200,412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178,039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40,055</w:t>
            </w: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55,997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44,259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105,973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86,295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12,023</w:t>
            </w:r>
          </w:p>
        </w:tc>
        <w:tc>
          <w:tcPr>
            <w:tcW w:w="0" w:type="dxa"/>
            <w:vAlign w:val="bottom"/>
          </w:tcPr>
          <w:p>
            <w:pPr>
              <w:spacing w:after="0"/>
              <w:rPr>
                <w:sz w:val="1"/>
                <w:szCs w:val="1"/>
                <w:color w:val="auto"/>
              </w:rPr>
            </w:pPr>
          </w:p>
        </w:tc>
      </w:tr>
      <w:tr>
        <w:trPr>
          <w:trHeight w:val="237"/>
        </w:trPr>
        <w:tc>
          <w:tcPr>
            <w:tcW w:w="652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89,943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70,885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171,244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138,373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39,666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INCOME—Net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41,956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13,833</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13,950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21,228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28,123</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5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162,247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157,474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161,767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156,742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20" w:type="dxa"/>
            <w:vAlign w:val="bottom"/>
          </w:tcPr>
          <w:p>
            <w:pPr>
              <w:ind w:left="50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168,042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166,061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168,033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165,808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00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6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6"/>
                <w:szCs w:val="16"/>
                <w:b w:val="1"/>
                <w:bCs w:val="1"/>
                <w:color w:val="auto"/>
                <w:w w:val="93"/>
              </w:rPr>
              <w:t>June 30,</w:t>
            </w:r>
          </w:p>
        </w:tc>
      </w:tr>
      <w:tr>
        <w:trPr>
          <w:trHeight w:val="210"/>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53"/>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Arial" w:cs="Arial" w:eastAsia="Arial" w:hAnsi="Arial"/>
                <w:sz w:val="16"/>
                <w:szCs w:val="16"/>
                <w:b w:val="1"/>
                <w:bCs w:val="1"/>
                <w:color w:val="auto"/>
              </w:rPr>
              <w:t>2012</w:t>
            </w:r>
          </w:p>
        </w:tc>
      </w:tr>
      <w:tr>
        <w:trPr>
          <w:trHeight w:val="33"/>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28,123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reclassification adjustments: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Unrealized (losses) gains on investments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1,473</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gains on 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Tax benefit (provision) related to items of other comprehensive income or loss</w:t>
            </w: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752</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7,163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12,974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18,487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28,875</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180" w:type="dxa"/>
            <w:vAlign w:val="bottom"/>
          </w:tcPr>
          <w:p>
            <w:pPr>
              <w:jc w:val="right"/>
              <w:ind w:right="428"/>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8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2012</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21,228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28,123</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7,322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5,077</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6,528</w:t>
            </w: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Stock-based compensation expense</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20,006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15,098</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Excess tax benefit from employee stock option plans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(5,158)</w:t>
            </w: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Other non-cash items, net</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171</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(16,375)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(7,952)</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1,461</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14,255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4,337</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payroll and compensation</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3,119</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Accrued and other liabilities</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revenue</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36,492</w:t>
            </w:r>
          </w:p>
        </w:tc>
      </w:tr>
      <w:tr>
        <w:trPr>
          <w:trHeight w:val="264"/>
        </w:trPr>
        <w:tc>
          <w:tcPr>
            <w:tcW w:w="8340" w:type="dxa"/>
            <w:vAlign w:val="bottom"/>
            <w:tcBorders>
              <w:bottom w:val="single" w:sz="8" w:color="CCEEFF"/>
            </w:tcBorders>
          </w:tcPr>
          <w:p>
            <w:pPr>
              <w:ind w:left="1460"/>
              <w:spacing w:after="0"/>
              <w:rPr>
                <w:sz w:val="20"/>
                <w:szCs w:val="20"/>
                <w:color w:val="auto"/>
              </w:rPr>
            </w:pPr>
            <w:r>
              <w:rPr>
                <w:rFonts w:ascii="Arial" w:cs="Arial" w:eastAsia="Arial" w:hAnsi="Arial"/>
                <w:sz w:val="14"/>
                <w:szCs w:val="14"/>
                <w:color w:val="auto"/>
              </w:rPr>
              <w:t>Income taxes payable</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11,339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5,743</w:t>
            </w:r>
          </w:p>
        </w:tc>
      </w:tr>
      <w:tr>
        <w:trPr>
          <w:trHeight w:val="256"/>
        </w:trPr>
        <w:tc>
          <w:tcPr>
            <w:tcW w:w="83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75,332</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92,803</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investments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(275,029)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(355,025)</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Sales of investments</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16,691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44,255</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Maturities of investments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176,378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209,242</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(3,569)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(3,855)</w:t>
            </w:r>
          </w:p>
        </w:tc>
      </w:tr>
      <w:tr>
        <w:trPr>
          <w:trHeight w:val="27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Payments made in connection with acquisitions, net of cash acquired</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(5,985)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r>
      <w:tr>
        <w:trPr>
          <w:trHeight w:val="250"/>
        </w:trPr>
        <w:tc>
          <w:tcPr>
            <w:tcW w:w="834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(91,514)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(105,933)</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15,590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17,650</w:t>
            </w:r>
          </w:p>
        </w:tc>
      </w:tr>
      <w:tr>
        <w:trPr>
          <w:trHeight w:val="27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Excess tax benefit from employee stock option plans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1,894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5,158</w:t>
            </w:r>
          </w:p>
        </w:tc>
      </w:tr>
      <w:tr>
        <w:trPr>
          <w:trHeight w:val="250"/>
        </w:trPr>
        <w:tc>
          <w:tcPr>
            <w:tcW w:w="834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17,484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22,808</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8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9,236</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122,975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71,990</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123,468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81,226</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Cash paid for income taxes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11,640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6,380</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Purchase of property and equipment not yet paid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580</w:t>
            </w:r>
          </w:p>
        </w:tc>
      </w:tr>
      <w:tr>
        <w:trPr>
          <w:trHeight w:val="21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Liability incurred in connection with business acquisition</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660" w:right="6040" w:hanging="652"/>
        <w:spacing w:after="0" w:line="503"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 and Preparation</w:t>
      </w:r>
    </w:p>
    <w:p>
      <w:pPr>
        <w:spacing w:after="0" w:line="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unaudited condensed consolidated financial statements of Fortinet, Inc. and its wholly owned subsidiaries (collectively, “we,” “us,” or “our”) have been prepared in accordance with U.S. generally accepted accounting principles (“GAAP”) for interim financial information as well as the instructions to Form 10-Q and the rules and regulations of the U.S. Securities and Exchange Commission (“SEC”). Accordingly, they do not include all of the information and footnotes required by GAAP for complete financial statements, and should be read in conjunction with our audited consolidated financial statements as of and for the fiscal year ended December 31, 2012, contained in our Annual Report on Form 10-K (“Form 10-K”) filed with the SEC on February 27, 2013. In the opinion of management, all adjustments, including normal recurring accruals, considered necessary for a fair presentation have been included. All intercompany balances, transactions and cash flows have been eliminated. The results of operations for the three and six months ended June 30, 2013 are not necessarily indicative of the operating results for any subsequent quarter, for the full year or for any future periods. The condensed consolidated balance sheets as of December 31, 2012 are derived from the audited consolidated financial statements for the year ended December 31, 2012.</w:t>
      </w:r>
    </w:p>
    <w:p>
      <w:pPr>
        <w:spacing w:after="0" w:line="16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There have been no material changes in our significant accounting policies as of and for the three and six months ended June 30, 2013, as compared to the significant accounting policies described in the Form 10-K, except for the inclusion of policies related to goodwill and other indefinite-lived assets.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 and other indefinite-lived intangible assets</w:t>
      </w:r>
    </w:p>
    <w:p>
      <w:pPr>
        <w:spacing w:after="0" w:line="9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Goodwill represents the excess of purchase consideration over the estimated fair value of net assets of businesses acquired in a business combination. Goodwill and other indefinite-lived intangible assets such as in-process research and development acquired in a business combination are not amortized, but instead tested for impairment at least annually during the fourth quarter. We perform our annual goodwill impairment analysis at the reporting unit level. As of June 30, 2013, we had one reporting unit.</w:t>
      </w:r>
    </w:p>
    <w:p>
      <w:pPr>
        <w:spacing w:after="0" w:line="14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reviewing goodwill for impairment we have the option to (i) assess qualitative factors to determine whether it is more-likely-than-not that the fair value of the reporting unit is less than its carrying amount or (ii) bypass the qualitative assessment and proceed directly to a quantitative assessment. If we opt to perform a qualitative assessment, the factors we may review include, but are not limited to (a) macroeconomic conditions; (b) industry and market considerations; (c) cost factors; (d) overall financial performance; (e) other relevant entity-specific events such as changes in management, strategy, customers, or litigation; (f) events affecting the reporting unit; or (g) or sustained decrease in share price. If we believe, as a result of the qualitative assessment, that it is more-likely-than-not that the fair value of the reporting unit is less than its carrying amount, the quantitative impairment test will be required. Otherwise, no further testing will be required. A quantitative assessment utilizes a two-step process. In the first step, the fair value of the reporting unit is determined, and is compared against its carrying amount, including goodwill. We consider a combination of an income-based approach using projected discounted cash flows and a market-based approach using multiples of comparable companies to determine the fair value. The fair value of the reporting unit is estimated using significant judgment based on a combination of the income and the market approaches. Under the income approach, we estimate fair value of the reporting unit based on the present value of forecasted future cash flows that the reporting unit is expected to generate over its remaining life. Under the market approach, we estimate fair value of our reporting unit based on an analysis that compares the value of the reporting unit to values of other companies in similar lines of business. If the fair value of the reporting unit does not exceed its carrying value, then we perform the second step to measure the amount of impairment loss. The amount of impairment is determined by comparing the implied fair value of reporting unit goodwill to the carrying value of the goodwill. When the carrying value of the reporting unit's goodwill exceeds its implied fair value, we record an impairment loss equal to the difference.</w:t>
      </w:r>
    </w:p>
    <w:p>
      <w:pPr>
        <w:spacing w:after="0" w:line="12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Determining the fair value of the reporting unit is highly judgmental in nature and involves the use of significant estimates and assumptions. These estimates and assumptions include revenue growth rates and operating margins used to</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calculate projected future cash flows, operating trends, risk-adjusted discount rates, future economic and market conditions and determination of appropriate market comparables. We base our fair value estimates on assumptions we believe to be reasonable but that are unpredictable and inherently uncertain. Actual future results may differ from those estimates. We may also test goodwill and other intangible assets for impairment between annual tests in the presence of impairment indicators. Acquired in-process research and development assets are classified as indefinite-lived intangible assets until the successful completion or abandonment of the associated research and development efforts. Upon successful completion of the associated research and development efforts, the useful life of the asset is determined and the asset is amortized over its useful life. If the associated research and development efforts are abandoned, an impairment loss is recognized for the carrying value of the related asset.</w:t>
      </w:r>
    </w:p>
    <w:p>
      <w:pPr>
        <w:spacing w:after="0" w:line="200" w:lineRule="exact"/>
        <w:rPr>
          <w:sz w:val="20"/>
          <w:szCs w:val="20"/>
          <w:color w:val="auto"/>
        </w:rPr>
      </w:pPr>
    </w:p>
    <w:p>
      <w:pPr>
        <w:spacing w:after="0" w:line="3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Certain prior period amounts have been combined on the condensed consolidated balance sheets and statements of cash flows to conform to the current period presentation.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February 2013, the Financial Accounting Standards Board (“FASB”) issued Accounting Standards Update No. 2013-02, </w:t>
      </w:r>
      <w:r>
        <w:rPr>
          <w:rFonts w:ascii="Arial" w:cs="Arial" w:eastAsia="Arial" w:hAnsi="Arial"/>
          <w:sz w:val="18"/>
          <w:szCs w:val="18"/>
          <w:i w:val="1"/>
          <w:iCs w:val="1"/>
          <w:color w:val="auto"/>
        </w:rPr>
        <w:t>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220)—Reporting of Amounts Reclassified Out of Accumulated Other Comprehensive Income </w:t>
      </w:r>
      <w:r>
        <w:rPr>
          <w:rFonts w:ascii="Arial" w:cs="Arial" w:eastAsia="Arial" w:hAnsi="Arial"/>
          <w:sz w:val="18"/>
          <w:szCs w:val="18"/>
          <w:color w:val="auto"/>
        </w:rPr>
        <w:t>(“ASU 2013-02”). ASU 2013-02 requires an entity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report the effect of significant reclassifications out of accumulated 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We adopted ASU 2013-02 on January 1, 2013, and presented the effects within Note 15, </w:t>
      </w:r>
      <w:r>
        <w:rPr>
          <w:rFonts w:ascii="Arial" w:cs="Arial" w:eastAsia="Arial" w:hAnsi="Arial"/>
          <w:sz w:val="18"/>
          <w:szCs w:val="18"/>
          <w:i w:val="1"/>
          <w:iCs w:val="1"/>
          <w:color w:val="auto"/>
        </w:rPr>
        <w:t>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ind w:right="100" w:firstLine="648"/>
        <w:spacing w:after="0" w:line="281" w:lineRule="auto"/>
        <w:rPr>
          <w:sz w:val="20"/>
          <w:szCs w:val="20"/>
          <w:color w:val="auto"/>
        </w:rPr>
      </w:pPr>
      <w:r>
        <w:rPr>
          <w:rFonts w:ascii="Arial" w:cs="Arial" w:eastAsia="Arial" w:hAnsi="Arial"/>
          <w:sz w:val="19"/>
          <w:szCs w:val="19"/>
          <w:color w:val="auto"/>
        </w:rPr>
        <w:t>I</w:t>
      </w:r>
      <w:r>
        <w:rPr>
          <w:rFonts w:ascii="Arial" w:cs="Arial" w:eastAsia="Arial" w:hAnsi="Arial"/>
          <w:sz w:val="17"/>
          <w:szCs w:val="17"/>
          <w:color w:val="auto"/>
        </w:rPr>
        <w:t>n July 2013, the FASB issued ASU No. 2013-11,</w:t>
      </w:r>
      <w:r>
        <w:rPr>
          <w:rFonts w:ascii="Arial" w:cs="Arial" w:eastAsia="Arial" w:hAnsi="Arial"/>
          <w:sz w:val="19"/>
          <w:szCs w:val="19"/>
          <w:color w:val="auto"/>
        </w:rPr>
        <w:t xml:space="preserve"> </w:t>
      </w:r>
      <w:r>
        <w:rPr>
          <w:rFonts w:ascii="Arial" w:cs="Arial" w:eastAsia="Arial" w:hAnsi="Arial"/>
          <w:sz w:val="17"/>
          <w:szCs w:val="17"/>
          <w:i w:val="1"/>
          <w:iCs w:val="1"/>
          <w:color w:val="auto"/>
        </w:rPr>
        <w:t>Income Taxes (Topic 740)-Presentation of an Unrecognized Tax Benefit When a Net Operating</w:t>
      </w:r>
      <w:r>
        <w:rPr>
          <w:rFonts w:ascii="Arial" w:cs="Arial" w:eastAsia="Arial" w:hAnsi="Arial"/>
          <w:sz w:val="19"/>
          <w:szCs w:val="19"/>
          <w:color w:val="auto"/>
        </w:rPr>
        <w:t xml:space="preserve"> </w:t>
      </w:r>
      <w:r>
        <w:rPr>
          <w:rFonts w:ascii="Arial" w:cs="Arial" w:eastAsia="Arial" w:hAnsi="Arial"/>
          <w:sz w:val="17"/>
          <w:szCs w:val="17"/>
          <w:i w:val="1"/>
          <w:iCs w:val="1"/>
          <w:color w:val="auto"/>
        </w:rPr>
        <w:t xml:space="preserve">Loss Carryforward, a Similar Tax Loss, or a Tax Credit Carryforward Exists </w:t>
      </w:r>
      <w:r>
        <w:rPr>
          <w:rFonts w:ascii="Arial" w:cs="Arial" w:eastAsia="Arial" w:hAnsi="Arial"/>
          <w:sz w:val="17"/>
          <w:szCs w:val="17"/>
          <w:color w:val="auto"/>
        </w:rPr>
        <w:t>(“ASU 2013-11”). ASU 2013-11 provides guidance on the financial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of an unrecognized tax benefit when a net operating loss carryforward, similar tax loss, or tax credit carryforward exists. This new standard requires the netting of unrecognized tax benefits (“UTBs”) against a deferred tax asset for a loss or other carryforward that would apply in settlement of the uncertain tax positions. UTBs will be netted against all available same-jurisdiction loss or other tax carryforwards that would be utilized, rather than only against carryforwards that are created by the UTBs. ASU 2013-11 will be effective for us beginning in the first quarter of fiscal 2014. Early adoption is permitted. Since ASU 2013-11 only impacts financial statement disclosure requirements for unrecognized tax benefits, we do not expect its adoption to have an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investments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June 30, 2013</w:t>
            </w:r>
          </w:p>
        </w:tc>
        <w:tc>
          <w:tcPr>
            <w:tcW w:w="148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Amortized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Unrealized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Unrealized</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Cost</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Gains</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79"/>
              </w:rPr>
              <w:t>Losses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576,447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576,716</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71,844</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71,852</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34,387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34,438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7,933</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7,936</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690,611</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690,942</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December 31, 2012</w:t>
            </w:r>
          </w:p>
        </w:tc>
        <w:tc>
          <w:tcPr>
            <w:tcW w:w="148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Amortized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Unrealized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Unrealized</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Cost</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Gains</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79"/>
              </w:rPr>
              <w:t>Losses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529,738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531,391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39,229</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39,245</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36,787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36,870</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9,099</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9,105</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614,853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616,611</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June 30, 2013 ($ amounts in 000’s):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560" w:type="dxa"/>
            <w:vAlign w:val="bottom"/>
            <w:gridSpan w:val="4"/>
          </w:tcPr>
          <w:p>
            <w:pPr>
              <w:ind w:left="500"/>
              <w:spacing w:after="0"/>
              <w:rPr>
                <w:sz w:val="20"/>
                <w:szCs w:val="20"/>
                <w:color w:val="auto"/>
              </w:rPr>
            </w:pPr>
            <w:r>
              <w:rPr>
                <w:rFonts w:ascii="Arial" w:cs="Arial" w:eastAsia="Arial" w:hAnsi="Arial"/>
                <w:sz w:val="16"/>
                <w:szCs w:val="16"/>
                <w:b w:val="1"/>
                <w:bCs w:val="1"/>
                <w:color w:val="auto"/>
              </w:rPr>
              <w:t>Less Than 12 Months</w:t>
            </w:r>
          </w:p>
        </w:tc>
        <w:tc>
          <w:tcPr>
            <w:tcW w:w="2480" w:type="dxa"/>
            <w:vAlign w:val="bottom"/>
            <w:gridSpan w:val="4"/>
          </w:tcPr>
          <w:p>
            <w:pPr>
              <w:ind w:left="440"/>
              <w:spacing w:after="0"/>
              <w:rPr>
                <w:sz w:val="20"/>
                <w:szCs w:val="20"/>
                <w:color w:val="auto"/>
              </w:rPr>
            </w:pPr>
            <w:r>
              <w:rPr>
                <w:rFonts w:ascii="Arial" w:cs="Arial" w:eastAsia="Arial" w:hAnsi="Arial"/>
                <w:sz w:val="16"/>
                <w:szCs w:val="16"/>
                <w:b w:val="1"/>
                <w:bCs w:val="1"/>
                <w:color w:val="auto"/>
              </w:rPr>
              <w:t>12 Months or Greater</w:t>
            </w:r>
          </w:p>
        </w:tc>
        <w:tc>
          <w:tcPr>
            <w:tcW w:w="1020" w:type="dxa"/>
            <w:vAlign w:val="bottom"/>
          </w:tcPr>
          <w:p>
            <w:pPr>
              <w:spacing w:after="0"/>
              <w:rPr>
                <w:sz w:val="18"/>
                <w:szCs w:val="18"/>
                <w:color w:val="auto"/>
              </w:rPr>
            </w:pPr>
          </w:p>
        </w:tc>
        <w:tc>
          <w:tcPr>
            <w:tcW w:w="136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w w:val="88"/>
              </w:rPr>
              <w:t>Total</w:t>
            </w:r>
          </w:p>
        </w:tc>
      </w:tr>
      <w:tr>
        <w:trPr>
          <w:trHeight w:val="33"/>
        </w:trPr>
        <w:tc>
          <w:tcPr>
            <w:tcW w:w="40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Fair</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1240" w:type="dxa"/>
            <w:vAlign w:val="bottom"/>
            <w:gridSpan w:val="2"/>
          </w:tcPr>
          <w:p>
            <w:pPr>
              <w:ind w:left="420"/>
              <w:spacing w:after="0"/>
              <w:rPr>
                <w:sz w:val="20"/>
                <w:szCs w:val="20"/>
                <w:color w:val="auto"/>
              </w:rPr>
            </w:pPr>
            <w:r>
              <w:rPr>
                <w:rFonts w:ascii="Arial" w:cs="Arial" w:eastAsia="Arial" w:hAnsi="Arial"/>
                <w:sz w:val="16"/>
                <w:szCs w:val="16"/>
                <w:b w:val="1"/>
                <w:bCs w:val="1"/>
                <w:color w:val="auto"/>
              </w:rPr>
              <w:t>Fair</w:t>
            </w: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Unrealized</w:t>
            </w:r>
          </w:p>
        </w:tc>
        <w:tc>
          <w:tcPr>
            <w:tcW w:w="102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Unrealized</w:t>
            </w:r>
          </w:p>
        </w:tc>
      </w:tr>
      <w:tr>
        <w:trPr>
          <w:trHeight w:val="210"/>
        </w:trPr>
        <w:tc>
          <w:tcPr>
            <w:tcW w:w="40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Value</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Losses</w:t>
            </w:r>
          </w:p>
        </w:tc>
        <w:tc>
          <w:tcPr>
            <w:tcW w:w="1240" w:type="dxa"/>
            <w:vAlign w:val="bottom"/>
            <w:gridSpan w:val="2"/>
          </w:tcPr>
          <w:p>
            <w:pPr>
              <w:ind w:left="380"/>
              <w:spacing w:after="0"/>
              <w:rPr>
                <w:sz w:val="20"/>
                <w:szCs w:val="20"/>
                <w:color w:val="auto"/>
              </w:rPr>
            </w:pPr>
            <w:r>
              <w:rPr>
                <w:rFonts w:ascii="Arial" w:cs="Arial" w:eastAsia="Arial" w:hAnsi="Arial"/>
                <w:sz w:val="16"/>
                <w:szCs w:val="16"/>
                <w:b w:val="1"/>
                <w:bCs w:val="1"/>
                <w:color w:val="auto"/>
              </w:rPr>
              <w:t>Value</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Losses</w:t>
            </w:r>
          </w:p>
        </w:tc>
        <w:tc>
          <w:tcPr>
            <w:tcW w:w="102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262,379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262,379</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18,372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18,372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10,370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Certificate of deposit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292,121</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292,121</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December 31, 2012 ($ amounts in 000’s):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560" w:type="dxa"/>
            <w:vAlign w:val="bottom"/>
            <w:gridSpan w:val="4"/>
          </w:tcPr>
          <w:p>
            <w:pPr>
              <w:ind w:left="500"/>
              <w:spacing w:after="0"/>
              <w:rPr>
                <w:sz w:val="20"/>
                <w:szCs w:val="20"/>
                <w:color w:val="auto"/>
              </w:rPr>
            </w:pPr>
            <w:r>
              <w:rPr>
                <w:rFonts w:ascii="Arial" w:cs="Arial" w:eastAsia="Arial" w:hAnsi="Arial"/>
                <w:sz w:val="16"/>
                <w:szCs w:val="16"/>
                <w:b w:val="1"/>
                <w:bCs w:val="1"/>
                <w:color w:val="auto"/>
              </w:rPr>
              <w:t>Less Than 12 Months</w:t>
            </w:r>
          </w:p>
        </w:tc>
        <w:tc>
          <w:tcPr>
            <w:tcW w:w="2480" w:type="dxa"/>
            <w:vAlign w:val="bottom"/>
            <w:gridSpan w:val="4"/>
          </w:tcPr>
          <w:p>
            <w:pPr>
              <w:ind w:left="440"/>
              <w:spacing w:after="0"/>
              <w:rPr>
                <w:sz w:val="20"/>
                <w:szCs w:val="20"/>
                <w:color w:val="auto"/>
              </w:rPr>
            </w:pPr>
            <w:r>
              <w:rPr>
                <w:rFonts w:ascii="Arial" w:cs="Arial" w:eastAsia="Arial" w:hAnsi="Arial"/>
                <w:sz w:val="16"/>
                <w:szCs w:val="16"/>
                <w:b w:val="1"/>
                <w:bCs w:val="1"/>
                <w:color w:val="auto"/>
              </w:rPr>
              <w:t>12 Months or Greater</w:t>
            </w:r>
          </w:p>
        </w:tc>
        <w:tc>
          <w:tcPr>
            <w:tcW w:w="1020" w:type="dxa"/>
            <w:vAlign w:val="bottom"/>
          </w:tcPr>
          <w:p>
            <w:pPr>
              <w:spacing w:after="0"/>
              <w:rPr>
                <w:sz w:val="18"/>
                <w:szCs w:val="18"/>
                <w:color w:val="auto"/>
              </w:rPr>
            </w:pPr>
          </w:p>
        </w:tc>
        <w:tc>
          <w:tcPr>
            <w:tcW w:w="136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w w:val="88"/>
              </w:rPr>
              <w:t>Total</w:t>
            </w:r>
          </w:p>
        </w:tc>
      </w:tr>
      <w:tr>
        <w:trPr>
          <w:trHeight w:val="33"/>
        </w:trPr>
        <w:tc>
          <w:tcPr>
            <w:tcW w:w="40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Fair</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Fair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1020" w:type="dxa"/>
            <w:vAlign w:val="bottom"/>
          </w:tcPr>
          <w:p>
            <w:pPr>
              <w:jc w:val="right"/>
              <w:ind w:right="214"/>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Unrealized</w:t>
            </w:r>
          </w:p>
        </w:tc>
      </w:tr>
      <w:tr>
        <w:trPr>
          <w:trHeight w:val="210"/>
        </w:trPr>
        <w:tc>
          <w:tcPr>
            <w:tcW w:w="40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Value</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Losses</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Value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Losses</w:t>
            </w:r>
          </w:p>
        </w:tc>
        <w:tc>
          <w:tcPr>
            <w:tcW w:w="1020" w:type="dxa"/>
            <w:vAlign w:val="bottom"/>
          </w:tcPr>
          <w:p>
            <w:pPr>
              <w:jc w:val="right"/>
              <w:ind w:right="174"/>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133,006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138,016</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8,464</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8,464</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141,470</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146,480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260" w:type="dxa"/>
            <w:vAlign w:val="bottom"/>
          </w:tcPr>
          <w:p>
            <w:pPr>
              <w:jc w:val="center"/>
              <w:ind w:left="599"/>
              <w:spacing w:after="0"/>
              <w:rPr>
                <w:sz w:val="20"/>
                <w:szCs w:val="20"/>
                <w:color w:val="auto"/>
              </w:rPr>
            </w:pPr>
            <w:r>
              <w:rPr>
                <w:rFonts w:ascii="Arial" w:cs="Arial" w:eastAsia="Arial" w:hAnsi="Arial"/>
                <w:sz w:val="16"/>
                <w:szCs w:val="16"/>
                <w:b w:val="1"/>
                <w:bCs w:val="1"/>
                <w:color w:val="auto"/>
                <w:w w:val="90"/>
              </w:rPr>
              <w:t>June 30,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8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right"/>
              <w:ind w:right="654"/>
              <w:spacing w:after="0"/>
              <w:rPr>
                <w:sz w:val="20"/>
                <w:szCs w:val="20"/>
                <w:color w:val="auto"/>
              </w:rPr>
            </w:pPr>
            <w:r>
              <w:rPr>
                <w:rFonts w:ascii="Arial" w:cs="Arial" w:eastAsia="Arial" w:hAnsi="Arial"/>
                <w:sz w:val="16"/>
                <w:szCs w:val="16"/>
                <w:b w:val="1"/>
                <w:bCs w:val="1"/>
                <w:color w:val="auto"/>
              </w:rPr>
              <w:t>2012</w:t>
            </w:r>
          </w:p>
        </w:tc>
      </w:tr>
      <w:tr>
        <w:trPr>
          <w:trHeight w:val="33"/>
        </w:trPr>
        <w:tc>
          <w:tcPr>
            <w:tcW w:w="75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379,229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290,719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Due within one to three years</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311,713</w:t>
            </w:r>
          </w:p>
        </w:tc>
        <w:tc>
          <w:tcPr>
            <w:tcW w:w="12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325,892</w:t>
            </w:r>
          </w:p>
        </w:tc>
      </w:tr>
      <w:tr>
        <w:trPr>
          <w:trHeight w:val="27"/>
        </w:trPr>
        <w:tc>
          <w:tcPr>
            <w:tcW w:w="75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8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690,942</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616,611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or losses from the sale of available-for-sale securities were not significant for any of the periods presented.</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the fair value of our financial assets measured at fair value on a recurring basis as of June 30, 2013 and December 31, 2012 ($ amounts in 000’s):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2013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 2012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7"/>
              </w:rPr>
              <w:t>Quoted</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83"/>
              </w:rPr>
              <w:t>Quoted</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Prices in</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Prices in</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Active</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Active</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Observable</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Identical</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Remaining</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Identical</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Inputs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1)</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(Level 2)</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1)</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(Level 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576,716</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2"/>
              <w:spacing w:after="0"/>
              <w:rPr>
                <w:sz w:val="20"/>
                <w:szCs w:val="20"/>
                <w:color w:val="auto"/>
              </w:rPr>
            </w:pPr>
            <w:r>
              <w:rPr>
                <w:rFonts w:ascii="Arial" w:cs="Arial" w:eastAsia="Arial" w:hAnsi="Arial"/>
                <w:sz w:val="18"/>
                <w:szCs w:val="18"/>
                <w:color w:val="auto"/>
              </w:rPr>
              <w:t>576,716</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531,391</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2"/>
              <w:spacing w:after="0"/>
              <w:rPr>
                <w:sz w:val="20"/>
                <w:szCs w:val="20"/>
                <w:color w:val="auto"/>
              </w:rPr>
            </w:pPr>
            <w:r>
              <w:rPr>
                <w:rFonts w:ascii="Arial" w:cs="Arial" w:eastAsia="Arial" w:hAnsi="Arial"/>
                <w:sz w:val="18"/>
                <w:szCs w:val="18"/>
                <w:color w:val="auto"/>
              </w:rPr>
              <w:t>531,391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75,977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75,977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41,994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41,994</w:t>
            </w: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34,438</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2"/>
              <w:spacing w:after="0"/>
              <w:rPr>
                <w:sz w:val="20"/>
                <w:szCs w:val="20"/>
                <w:color w:val="auto"/>
              </w:rPr>
            </w:pPr>
            <w:r>
              <w:rPr>
                <w:rFonts w:ascii="Arial" w:cs="Arial" w:eastAsia="Arial" w:hAnsi="Arial"/>
                <w:sz w:val="18"/>
                <w:szCs w:val="18"/>
                <w:color w:val="auto"/>
              </w:rPr>
              <w:t>34,438</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36,870</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2"/>
              <w:spacing w:after="0"/>
              <w:rPr>
                <w:sz w:val="20"/>
                <w:szCs w:val="20"/>
                <w:color w:val="auto"/>
              </w:rPr>
            </w:pPr>
            <w:r>
              <w:rPr>
                <w:rFonts w:ascii="Arial" w:cs="Arial" w:eastAsia="Arial" w:hAnsi="Arial"/>
                <w:sz w:val="18"/>
                <w:szCs w:val="18"/>
                <w:color w:val="auto"/>
              </w:rPr>
              <w:t>36,870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7,936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7,936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9,105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9,105</w:t>
            </w: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6,674</w:t>
            </w:r>
          </w:p>
        </w:tc>
        <w:tc>
          <w:tcPr>
            <w:tcW w:w="1300" w:type="dxa"/>
            <w:vAlign w:val="bottom"/>
            <w:gridSpan w:val="2"/>
          </w:tcPr>
          <w:p>
            <w:pPr>
              <w:jc w:val="right"/>
              <w:ind w:right="65"/>
              <w:spacing w:after="0"/>
              <w:rPr>
                <w:sz w:val="20"/>
                <w:szCs w:val="20"/>
                <w:color w:val="auto"/>
              </w:rPr>
            </w:pPr>
            <w:r>
              <w:rPr>
                <w:rFonts w:ascii="Arial" w:cs="Arial" w:eastAsia="Arial" w:hAnsi="Arial"/>
                <w:sz w:val="18"/>
                <w:szCs w:val="18"/>
                <w:color w:val="auto"/>
              </w:rPr>
              <w:t>6,674</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39,871</w:t>
            </w:r>
          </w:p>
        </w:tc>
        <w:tc>
          <w:tcPr>
            <w:tcW w:w="1240" w:type="dxa"/>
            <w:vAlign w:val="bottom"/>
            <w:gridSpan w:val="2"/>
          </w:tcPr>
          <w:p>
            <w:pPr>
              <w:jc w:val="right"/>
              <w:ind w:right="46"/>
              <w:spacing w:after="0"/>
              <w:rPr>
                <w:sz w:val="20"/>
                <w:szCs w:val="20"/>
                <w:color w:val="auto"/>
              </w:rPr>
            </w:pPr>
            <w:r>
              <w:rPr>
                <w:rFonts w:ascii="Arial" w:cs="Arial" w:eastAsia="Arial" w:hAnsi="Arial"/>
                <w:sz w:val="18"/>
                <w:szCs w:val="18"/>
                <w:color w:val="auto"/>
              </w:rPr>
              <w:t>39,871</w:t>
            </w:r>
          </w:p>
        </w:tc>
        <w:tc>
          <w:tcPr>
            <w:tcW w:w="100" w:type="dxa"/>
            <w:vAlign w:val="bottom"/>
          </w:tcPr>
          <w:p>
            <w:pPr>
              <w:spacing w:after="0"/>
              <w:rPr>
                <w:sz w:val="21"/>
                <w:szCs w:val="21"/>
                <w:color w:val="auto"/>
              </w:rPr>
            </w:pPr>
          </w:p>
        </w:tc>
        <w:tc>
          <w:tcPr>
            <w:tcW w:w="11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701,741</w:t>
            </w:r>
          </w:p>
        </w:tc>
        <w:tc>
          <w:tcPr>
            <w:tcW w:w="1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6,674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695,067</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659,231</w:t>
            </w:r>
          </w:p>
        </w:tc>
        <w:tc>
          <w:tcPr>
            <w:tcW w:w="12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39,871</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619,360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Reported as: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equivalents</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10,799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42,620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379,229</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290,719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investments</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311,713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325,892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50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701,741</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659,231</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We did not hold financial assets or liabilities which were recorded at fair value using inputs in the Level 3 category as of June 30, 2013 or December 31, 2012. There were no transfers between Level 1 and Level 2 of the fair value hierarchy during the three and six months ended June 30,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280" w:type="dxa"/>
            <w:vAlign w:val="bottom"/>
          </w:tcPr>
          <w:p>
            <w:pPr>
              <w:jc w:val="center"/>
              <w:ind w:left="539"/>
              <w:spacing w:after="0"/>
              <w:rPr>
                <w:sz w:val="20"/>
                <w:szCs w:val="20"/>
                <w:color w:val="auto"/>
              </w:rPr>
            </w:pPr>
            <w:r>
              <w:rPr>
                <w:rFonts w:ascii="Arial" w:cs="Arial" w:eastAsia="Arial" w:hAnsi="Arial"/>
                <w:sz w:val="16"/>
                <w:szCs w:val="16"/>
                <w:b w:val="1"/>
                <w:bCs w:val="1"/>
                <w:color w:val="auto"/>
                <w:w w:val="90"/>
              </w:rPr>
              <w:t>June 30,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7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2012</w:t>
            </w:r>
          </w:p>
        </w:tc>
      </w:tr>
      <w:tr>
        <w:trPr>
          <w:trHeight w:val="33"/>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8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4,958</w:t>
            </w:r>
          </w:p>
        </w:tc>
      </w:tr>
      <w:tr>
        <w:trPr>
          <w:trHeight w:val="243"/>
        </w:trPr>
        <w:tc>
          <w:tcPr>
            <w:tcW w:w="8720" w:type="dxa"/>
            <w:vAlign w:val="bottom"/>
            <w:gridSpan w:val="2"/>
          </w:tcPr>
          <w:p>
            <w:pPr>
              <w:ind w:left="40"/>
              <w:spacing w:after="0"/>
              <w:rPr>
                <w:sz w:val="20"/>
                <w:szCs w:val="20"/>
                <w:color w:val="auto"/>
              </w:rPr>
            </w:pPr>
            <w:r>
              <w:rPr>
                <w:rFonts w:ascii="Arial" w:cs="Arial" w:eastAsia="Arial" w:hAnsi="Arial"/>
                <w:sz w:val="18"/>
                <w:szCs w:val="18"/>
                <w:color w:val="auto"/>
              </w:rPr>
              <w:t>Finished goods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26,692</w:t>
            </w:r>
          </w:p>
        </w:tc>
        <w:tc>
          <w:tcPr>
            <w:tcW w:w="100" w:type="dxa"/>
            <w:vAlign w:val="bottom"/>
          </w:tcPr>
          <w:p>
            <w:pPr>
              <w:spacing w:after="0"/>
              <w:rPr>
                <w:sz w:val="21"/>
                <w:szCs w:val="21"/>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16,102</w:t>
            </w: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8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33,317</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21,060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260" w:type="dxa"/>
            <w:vAlign w:val="bottom"/>
          </w:tcPr>
          <w:p>
            <w:pPr>
              <w:ind w:left="660"/>
              <w:spacing w:after="0"/>
              <w:rPr>
                <w:sz w:val="20"/>
                <w:szCs w:val="20"/>
                <w:color w:val="auto"/>
              </w:rPr>
            </w:pPr>
            <w:r>
              <w:rPr>
                <w:rFonts w:ascii="Arial" w:cs="Arial" w:eastAsia="Arial" w:hAnsi="Arial"/>
                <w:sz w:val="16"/>
                <w:szCs w:val="16"/>
                <w:b w:val="1"/>
                <w:bCs w:val="1"/>
                <w:color w:val="auto"/>
                <w:w w:val="90"/>
              </w:rPr>
              <w:t>June 30,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right"/>
              <w:ind w:right="43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700" w:type="dxa"/>
            <w:vAlign w:val="bottom"/>
            <w:gridSpan w:val="2"/>
          </w:tcPr>
          <w:p>
            <w:pPr>
              <w:ind w:left="8240"/>
              <w:spacing w:after="0"/>
              <w:rPr>
                <w:sz w:val="20"/>
                <w:szCs w:val="20"/>
                <w:color w:val="auto"/>
              </w:rPr>
            </w:pPr>
            <w:r>
              <w:rPr>
                <w:rFonts w:ascii="Arial" w:cs="Arial" w:eastAsia="Arial" w:hAnsi="Arial"/>
                <w:sz w:val="16"/>
                <w:szCs w:val="16"/>
                <w:b w:val="1"/>
                <w:bCs w:val="1"/>
                <w:color w:val="auto"/>
              </w:rPr>
              <w:t>2013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712"/>
              <w:spacing w:after="0"/>
              <w:rPr>
                <w:sz w:val="20"/>
                <w:szCs w:val="20"/>
                <w:color w:val="auto"/>
              </w:rPr>
            </w:pPr>
            <w:r>
              <w:rPr>
                <w:rFonts w:ascii="Arial" w:cs="Arial" w:eastAsia="Arial" w:hAnsi="Arial"/>
                <w:sz w:val="16"/>
                <w:szCs w:val="16"/>
                <w:b w:val="1"/>
                <w:bCs w:val="1"/>
                <w:color w:val="auto"/>
              </w:rPr>
              <w:t>2012</w:t>
            </w:r>
          </w:p>
        </w:tc>
      </w:tr>
      <w:tr>
        <w:trPr>
          <w:trHeight w:val="33"/>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13,895</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Building and building improvements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610</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18,322</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Computer equipment and software</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20,478</w:t>
            </w:r>
          </w:p>
        </w:tc>
        <w:tc>
          <w:tcPr>
            <w:tcW w:w="10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17,176</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Leasehold improvements and tooling</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5,368</w:t>
            </w:r>
          </w:p>
        </w:tc>
        <w:tc>
          <w:tcPr>
            <w:tcW w:w="10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5,354</w:t>
            </w:r>
          </w:p>
        </w:tc>
      </w:tr>
      <w:tr>
        <w:trPr>
          <w:trHeight w:val="27"/>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property and equipment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63,171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56,858</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(36,124)</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(31,220)</w:t>
            </w:r>
          </w:p>
        </w:tc>
      </w:tr>
      <w:tr>
        <w:trPr>
          <w:trHeight w:val="27"/>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8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27,047</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25,638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Depreciation expense was $3.4 million and $2.4 million for the three months ended June 30, 2013 and June 30, 2012, respectively. Depreciation expense was $6.6 million and $4.5 million for the six months ended June 30, 2013 and June 30, 2012,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restricted stock units (“RSUs”), and the employee stock purchase plan (“ESPP”). Potentially dilutive shares of common stock are determined by applying the treasury stock method.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 and share amounts in 000’s, except per 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300" w:type="dxa"/>
            <w:vAlign w:val="bottom"/>
            <w:gridSpan w:val="4"/>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260" w:type="dxa"/>
            <w:vAlign w:val="bottom"/>
            <w:gridSpan w:val="3"/>
          </w:tcPr>
          <w:p>
            <w:pPr>
              <w:jc w:val="right"/>
              <w:ind w:right="39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1140" w:type="dxa"/>
            <w:vAlign w:val="bottom"/>
          </w:tcPr>
          <w:p>
            <w:pPr>
              <w:jc w:val="right"/>
              <w:ind w:right="212"/>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8,979</w:t>
            </w:r>
          </w:p>
        </w:tc>
        <w:tc>
          <w:tcPr>
            <w:tcW w:w="140" w:type="dxa"/>
            <w:vAlign w:val="bottom"/>
          </w:tcPr>
          <w:p>
            <w:pPr>
              <w:spacing w:after="0"/>
              <w:rPr>
                <w:sz w:val="22"/>
                <w:szCs w:val="22"/>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13,950</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21,228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28,123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Basic shares: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162,247</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157,474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161,767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156,742</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Arial" w:cs="Arial" w:eastAsia="Arial" w:hAnsi="Arial"/>
                <w:sz w:val="18"/>
                <w:szCs w:val="18"/>
                <w:color w:val="auto"/>
              </w:rPr>
              <w:t>Diluted shares:</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162,247</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157,474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161,767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156,742</w:t>
            </w:r>
          </w:p>
        </w:tc>
        <w:tc>
          <w:tcPr>
            <w:tcW w:w="0" w:type="dxa"/>
            <w:vAlign w:val="bottom"/>
          </w:tcPr>
          <w:p>
            <w:pPr>
              <w:spacing w:after="0"/>
              <w:rPr>
                <w:sz w:val="1"/>
                <w:szCs w:val="1"/>
                <w:color w:val="auto"/>
              </w:rPr>
            </w:pP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9,043</w:t>
            </w:r>
          </w:p>
        </w:tc>
        <w:tc>
          <w:tcPr>
            <w:tcW w:w="0" w:type="dxa"/>
            <w:vAlign w:val="bottom"/>
          </w:tcPr>
          <w:p>
            <w:pPr>
              <w:spacing w:after="0"/>
              <w:rPr>
                <w:sz w:val="1"/>
                <w:szCs w:val="1"/>
                <w:color w:val="auto"/>
              </w:rPr>
            </w:pPr>
          </w:p>
        </w:tc>
      </w:tr>
      <w:tr>
        <w:trPr>
          <w:trHeight w:val="243"/>
        </w:trPr>
        <w:tc>
          <w:tcPr>
            <w:tcW w:w="6860" w:type="dxa"/>
            <w:vAlign w:val="bottom"/>
          </w:tcPr>
          <w:p>
            <w:pPr>
              <w:ind w:left="920"/>
              <w:spacing w:after="0"/>
              <w:rPr>
                <w:sz w:val="20"/>
                <w:szCs w:val="20"/>
                <w:color w:val="auto"/>
              </w:rPr>
            </w:pPr>
            <w:r>
              <w:rPr>
                <w:rFonts w:ascii="Arial" w:cs="Arial" w:eastAsia="Arial" w:hAnsi="Arial"/>
                <w:sz w:val="18"/>
                <w:szCs w:val="18"/>
                <w:color w:val="auto"/>
              </w:rPr>
              <w:t>RSUs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ESPP</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used to compute diluted net income per share</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168,042</w:t>
            </w:r>
          </w:p>
        </w:tc>
        <w:tc>
          <w:tcPr>
            <w:tcW w:w="14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166,061</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168,033</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165,808</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8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0.06</w:t>
            </w:r>
          </w:p>
        </w:tc>
        <w:tc>
          <w:tcPr>
            <w:tcW w:w="1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51"/>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000’s):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540" w:type="dxa"/>
            <w:vAlign w:val="bottom"/>
            <w:gridSpan w:val="4"/>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2480" w:type="dxa"/>
            <w:vAlign w:val="bottom"/>
            <w:gridSpan w:val="3"/>
          </w:tcPr>
          <w:p>
            <w:pPr>
              <w:jc w:val="right"/>
              <w:ind w:right="49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240" w:type="dxa"/>
            <w:vAlign w:val="bottom"/>
          </w:tcPr>
          <w:p>
            <w:pPr>
              <w:jc w:val="right"/>
              <w:ind w:right="273"/>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4260" w:type="dxa"/>
            <w:vAlign w:val="bottom"/>
            <w:gridSpan w:val="2"/>
          </w:tcPr>
          <w:p>
            <w:pPr>
              <w:jc w:val="right"/>
              <w:ind w:right="33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120" w:type="dxa"/>
            <w:vAlign w:val="bottom"/>
          </w:tcPr>
          <w:p>
            <w:pPr>
              <w:jc w:val="right"/>
              <w:ind w:right="313"/>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120" w:type="dxa"/>
            <w:vAlign w:val="bottom"/>
          </w:tcPr>
          <w:p>
            <w:pPr>
              <w:jc w:val="right"/>
              <w:ind w:right="31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240" w:type="dxa"/>
            <w:vAlign w:val="bottom"/>
          </w:tcPr>
          <w:p>
            <w:pPr>
              <w:jc w:val="right"/>
              <w:ind w:right="373"/>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426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7,472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RSUs</w:t>
            </w:r>
          </w:p>
        </w:tc>
        <w:tc>
          <w:tcPr>
            <w:tcW w:w="4260" w:type="dxa"/>
            <w:vAlign w:val="bottom"/>
            <w:gridSpan w:val="2"/>
          </w:tcPr>
          <w:p>
            <w:pPr>
              <w:jc w:val="right"/>
              <w:ind w:right="54"/>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30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1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10,460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7,786</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9,682</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80" w:type="dxa"/>
            <w:vAlign w:val="bottom"/>
            <w:vMerge w:val="restart"/>
          </w:tcPr>
          <w:p>
            <w:pPr>
              <w:jc w:val="right"/>
              <w:ind w:right="512"/>
              <w:spacing w:after="0"/>
              <w:rPr>
                <w:sz w:val="20"/>
                <w:szCs w:val="20"/>
                <w:color w:val="auto"/>
              </w:rPr>
            </w:pPr>
            <w:r>
              <w:rPr>
                <w:rFonts w:ascii="Arial" w:cs="Arial" w:eastAsia="Arial" w:hAnsi="Arial"/>
                <w:sz w:val="18"/>
                <w:szCs w:val="18"/>
                <w:color w:val="auto"/>
              </w:rPr>
              <w:t>13</w:t>
            </w: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080" w:type="dxa"/>
            <w:vAlign w:val="bottom"/>
            <w:vMerge w:val="continue"/>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revenue consisted of the following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960" w:type="dxa"/>
            <w:vAlign w:val="bottom"/>
            <w:gridSpan w:val="2"/>
          </w:tcPr>
          <w:p>
            <w:pPr>
              <w:ind w:left="620"/>
              <w:spacing w:after="0"/>
              <w:rPr>
                <w:sz w:val="20"/>
                <w:szCs w:val="20"/>
                <w:color w:val="auto"/>
              </w:rPr>
            </w:pPr>
            <w:r>
              <w:rPr>
                <w:rFonts w:ascii="Arial" w:cs="Arial" w:eastAsia="Arial" w:hAnsi="Arial"/>
                <w:sz w:val="16"/>
                <w:szCs w:val="16"/>
                <w:b w:val="1"/>
                <w:bCs w:val="1"/>
                <w:color w:val="auto"/>
              </w:rPr>
              <w:t>June 30,</w:t>
            </w:r>
          </w:p>
        </w:tc>
        <w:tc>
          <w:tcPr>
            <w:tcW w:w="180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660" w:type="dxa"/>
            <w:vAlign w:val="bottom"/>
          </w:tcPr>
          <w:p>
            <w:pPr>
              <w:spacing w:after="0"/>
              <w:rPr>
                <w:sz w:val="18"/>
                <w:szCs w:val="18"/>
                <w:color w:val="auto"/>
              </w:rPr>
            </w:pPr>
          </w:p>
        </w:tc>
        <w:tc>
          <w:tcPr>
            <w:tcW w:w="18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800" w:type="dxa"/>
            <w:vAlign w:val="bottom"/>
          </w:tcPr>
          <w:p>
            <w:pPr>
              <w:jc w:val="right"/>
              <w:ind w:right="652"/>
              <w:spacing w:after="0"/>
              <w:rPr>
                <w:sz w:val="20"/>
                <w:szCs w:val="20"/>
                <w:color w:val="auto"/>
              </w:rPr>
            </w:pPr>
            <w:r>
              <w:rPr>
                <w:rFonts w:ascii="Arial" w:cs="Arial" w:eastAsia="Arial" w:hAnsi="Arial"/>
                <w:sz w:val="16"/>
                <w:szCs w:val="16"/>
                <w:b w:val="1"/>
                <w:bCs w:val="1"/>
                <w:color w:val="auto"/>
              </w:rPr>
              <w:t>2012</w:t>
            </w:r>
          </w:p>
        </w:tc>
      </w:tr>
      <w:tr>
        <w:trPr>
          <w:trHeight w:val="33"/>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Services</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378,453</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348,548</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Ratable and other revenue</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6,618</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9,226</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revenue</w:t>
            </w:r>
          </w:p>
        </w:tc>
        <w:tc>
          <w:tcPr>
            <w:tcW w:w="1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389,682</w:t>
            </w:r>
          </w:p>
        </w:tc>
        <w:tc>
          <w:tcPr>
            <w:tcW w:w="120" w:type="dxa"/>
            <w:vAlign w:val="bottom"/>
            <w:tcBorders>
              <w:bottom w:val="single" w:sz="8" w:color="CCEEFF"/>
            </w:tcBorders>
          </w:tcPr>
          <w:p>
            <w:pPr>
              <w:spacing w:after="0"/>
              <w:rPr>
                <w:sz w:val="24"/>
                <w:szCs w:val="24"/>
                <w:color w:val="auto"/>
              </w:rPr>
            </w:pP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363,185</w:t>
            </w: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Short-term</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265,639</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247,268</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124,043</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115,917</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deferred revenue</w:t>
            </w:r>
          </w:p>
        </w:tc>
        <w:tc>
          <w:tcPr>
            <w:tcW w:w="1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389,682</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363,185</w:t>
            </w:r>
          </w:p>
        </w:tc>
      </w:tr>
      <w:tr>
        <w:trPr>
          <w:trHeight w:val="20"/>
        </w:trPr>
        <w:tc>
          <w:tcPr>
            <w:tcW w:w="76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ind w:right="220" w:firstLine="648"/>
        <w:spacing w:after="0" w:line="303" w:lineRule="auto"/>
        <w:rPr>
          <w:sz w:val="20"/>
          <w:szCs w:val="20"/>
          <w:color w:val="auto"/>
        </w:rPr>
      </w:pPr>
      <w:r>
        <w:rPr>
          <w:rFonts w:ascii="Arial" w:cs="Arial" w:eastAsia="Arial" w:hAnsi="Arial"/>
          <w:sz w:val="16"/>
          <w:szCs w:val="16"/>
          <w:b w:val="1"/>
          <w:bCs w:val="1"/>
          <w:color w:val="auto"/>
        </w:rPr>
        <w:t>Leases</w:t>
      </w:r>
      <w:r>
        <w:rPr>
          <w:rFonts w:ascii="Arial" w:cs="Arial" w:eastAsia="Arial" w:hAnsi="Arial"/>
          <w:sz w:val="16"/>
          <w:szCs w:val="16"/>
          <w:color w:val="auto"/>
        </w:rPr>
        <w:t>—We lease certain facilities under various non-cancelable operating leases, which expire through 2020. Rent expense was $2.4 million and</w:t>
      </w:r>
      <w:r>
        <w:rPr>
          <w:rFonts w:ascii="Arial" w:cs="Arial" w:eastAsia="Arial" w:hAnsi="Arial"/>
          <w:sz w:val="16"/>
          <w:szCs w:val="16"/>
          <w:b w:val="1"/>
          <w:bCs w:val="1"/>
          <w:color w:val="auto"/>
        </w:rPr>
        <w:t xml:space="preserve"> </w:t>
      </w:r>
      <w:r>
        <w:rPr>
          <w:rFonts w:ascii="Arial" w:cs="Arial" w:eastAsia="Arial" w:hAnsi="Arial"/>
          <w:sz w:val="16"/>
          <w:szCs w:val="16"/>
          <w:color w:val="auto"/>
        </w:rPr>
        <w:t>$2.2 million for the three months ended June 30, 2013 and June 30, 2012, respectively. Rent expense was $4.7 million and $4.4 million for the six months ended June 30, 2013 and June 30, 2012, respectively. Rent expense is recognized using the straight-line method over the term of the lease. The aggregate future non-cancelable minimum rental payments on operating leases as of June 30, 2013 are as follows ($ amounts in 000’s):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2160" w:type="dxa"/>
            <w:vAlign w:val="bottom"/>
          </w:tcPr>
          <w:p>
            <w:pPr>
              <w:jc w:val="right"/>
              <w:ind w:right="772"/>
              <w:spacing w:after="0"/>
              <w:rPr>
                <w:sz w:val="20"/>
                <w:szCs w:val="20"/>
                <w:color w:val="auto"/>
              </w:rPr>
            </w:pPr>
            <w:r>
              <w:rPr>
                <w:rFonts w:ascii="Arial" w:cs="Arial" w:eastAsia="Arial" w:hAnsi="Arial"/>
                <w:sz w:val="16"/>
                <w:szCs w:val="16"/>
                <w:b w:val="1"/>
                <w:bCs w:val="1"/>
                <w:color w:val="auto"/>
              </w:rPr>
              <w:t>Rental</w:t>
            </w:r>
          </w:p>
        </w:tc>
      </w:tr>
      <w:tr>
        <w:trPr>
          <w:trHeight w:val="210"/>
        </w:trPr>
        <w:tc>
          <w:tcPr>
            <w:tcW w:w="9260" w:type="dxa"/>
            <w:vAlign w:val="bottom"/>
          </w:tcPr>
          <w:p>
            <w:pPr>
              <w:spacing w:after="0"/>
              <w:rPr>
                <w:sz w:val="18"/>
                <w:szCs w:val="18"/>
                <w:color w:val="auto"/>
              </w:rPr>
            </w:pPr>
          </w:p>
        </w:tc>
        <w:tc>
          <w:tcPr>
            <w:tcW w:w="2160" w:type="dxa"/>
            <w:vAlign w:val="bottom"/>
          </w:tcPr>
          <w:p>
            <w:pPr>
              <w:jc w:val="right"/>
              <w:ind w:right="692"/>
              <w:spacing w:after="0"/>
              <w:rPr>
                <w:sz w:val="20"/>
                <w:szCs w:val="20"/>
                <w:color w:val="auto"/>
              </w:rPr>
            </w:pPr>
            <w:r>
              <w:rPr>
                <w:rFonts w:ascii="Arial" w:cs="Arial" w:eastAsia="Arial" w:hAnsi="Arial"/>
                <w:sz w:val="16"/>
                <w:szCs w:val="16"/>
                <w:b w:val="1"/>
                <w:bCs w:val="1"/>
                <w:color w:val="auto"/>
              </w:rPr>
              <w:t>Payment</w:t>
            </w:r>
          </w:p>
        </w:tc>
      </w:tr>
      <w:tr>
        <w:trPr>
          <w:trHeight w:val="33"/>
        </w:trPr>
        <w:tc>
          <w:tcPr>
            <w:tcW w:w="92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Years:</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500"/>
              <w:spacing w:after="0"/>
              <w:rPr>
                <w:sz w:val="20"/>
                <w:szCs w:val="20"/>
                <w:color w:val="auto"/>
              </w:rPr>
            </w:pPr>
            <w:r>
              <w:rPr>
                <w:rFonts w:ascii="Arial" w:cs="Arial" w:eastAsia="Arial" w:hAnsi="Arial"/>
                <w:sz w:val="18"/>
                <w:szCs w:val="18"/>
                <w:color w:val="auto"/>
              </w:rPr>
              <w:t>2013 (remainder)</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4,325</w:t>
            </w: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2014</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5,974</w:t>
            </w:r>
          </w:p>
        </w:tc>
      </w:tr>
      <w:tr>
        <w:trPr>
          <w:trHeight w:val="243"/>
        </w:trPr>
        <w:tc>
          <w:tcPr>
            <w:tcW w:w="9260" w:type="dxa"/>
            <w:vAlign w:val="bottom"/>
          </w:tcPr>
          <w:p>
            <w:pPr>
              <w:ind w:left="500"/>
              <w:spacing w:after="0"/>
              <w:rPr>
                <w:sz w:val="20"/>
                <w:szCs w:val="20"/>
                <w:color w:val="auto"/>
              </w:rPr>
            </w:pPr>
            <w:r>
              <w:rPr>
                <w:rFonts w:ascii="Arial" w:cs="Arial" w:eastAsia="Arial" w:hAnsi="Arial"/>
                <w:sz w:val="18"/>
                <w:szCs w:val="18"/>
                <w:color w:val="auto"/>
              </w:rPr>
              <w:t>2015</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4,384</w:t>
            </w: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2016</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3,968</w:t>
            </w:r>
          </w:p>
        </w:tc>
      </w:tr>
      <w:tr>
        <w:trPr>
          <w:trHeight w:val="243"/>
        </w:trPr>
        <w:tc>
          <w:tcPr>
            <w:tcW w:w="9260" w:type="dxa"/>
            <w:vAlign w:val="bottom"/>
          </w:tcPr>
          <w:p>
            <w:pPr>
              <w:ind w:left="500"/>
              <w:spacing w:after="0"/>
              <w:rPr>
                <w:sz w:val="20"/>
                <w:szCs w:val="20"/>
                <w:color w:val="auto"/>
              </w:rPr>
            </w:pPr>
            <w:r>
              <w:rPr>
                <w:rFonts w:ascii="Arial" w:cs="Arial" w:eastAsia="Arial" w:hAnsi="Arial"/>
                <w:sz w:val="18"/>
                <w:szCs w:val="18"/>
                <w:color w:val="auto"/>
              </w:rPr>
              <w:t>2017</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3,632</w:t>
            </w: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Thereafter</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7,544</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Total</w:t>
            </w:r>
          </w:p>
        </w:tc>
        <w:tc>
          <w:tcPr>
            <w:tcW w:w="2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29,827</w:t>
            </w:r>
          </w:p>
        </w:tc>
      </w:tr>
      <w:tr>
        <w:trPr>
          <w:trHeight w:val="20"/>
        </w:trPr>
        <w:tc>
          <w:tcPr>
            <w:tcW w:w="92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Contract Manufacturer and Other Commitments</w:t>
      </w:r>
      <w:r>
        <w:rPr>
          <w:rFonts w:ascii="Arial" w:cs="Arial" w:eastAsia="Arial" w:hAnsi="Arial"/>
          <w:sz w:val="17"/>
          <w:szCs w:val="17"/>
          <w:color w:val="auto"/>
        </w:rPr>
        <w:t>—Our independent contract manufacturers procure components and build our products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our 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issue non-cancelable purchase orders to some of our independent contract manufacturers. As of June 30, 2013, we had $39.8 million of open purchase orders with our independent contract manufacturers that may not be cancelable.</w:t>
      </w:r>
    </w:p>
    <w:p>
      <w:pPr>
        <w:spacing w:after="0" w:line="145"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In addition to commitments with contract manufacturers, we have open purchase orders and contractual obligations in the ordinary course of business for which we have not received goods or services. As of June 30, 2013, we had $9.1 million in other purchase commitments.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—We generally provide a 1-year warranty on hardware products and a 90-day warranty on software.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warranty activities are summarized as follows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3"/>
          </w:tcPr>
          <w:p>
            <w:pPr>
              <w:jc w:val="right"/>
              <w:ind w:right="493"/>
              <w:spacing w:after="0"/>
              <w:rPr>
                <w:sz w:val="20"/>
                <w:szCs w:val="20"/>
                <w:color w:val="auto"/>
              </w:rPr>
            </w:pPr>
            <w:r>
              <w:rPr>
                <w:rFonts w:ascii="Arial" w:cs="Arial" w:eastAsia="Arial" w:hAnsi="Arial"/>
                <w:sz w:val="16"/>
                <w:szCs w:val="16"/>
                <w:b w:val="1"/>
                <w:bCs w:val="1"/>
                <w:color w:val="auto"/>
              </w:rPr>
              <w:t>For The Six Months Ended</w:t>
            </w: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60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340" w:type="dxa"/>
            <w:vAlign w:val="bottom"/>
          </w:tcPr>
          <w:p>
            <w:pPr>
              <w:spacing w:after="0"/>
              <w:rPr>
                <w:sz w:val="18"/>
                <w:szCs w:val="18"/>
                <w:color w:val="auto"/>
              </w:rPr>
            </w:pPr>
          </w:p>
        </w:tc>
        <w:tc>
          <w:tcPr>
            <w:tcW w:w="15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2012</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150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warranty</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prior period estimates</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1,940</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—In August 2009, Enhanced Security Research, LLC and Security Research Holdings LLC (collectively “ESR”), a non-practicing entity,</w:t>
      </w:r>
      <w:r>
        <w:rPr>
          <w:rFonts w:ascii="Arial" w:cs="Arial" w:eastAsia="Arial" w:hAnsi="Arial"/>
          <w:sz w:val="17"/>
          <w:szCs w:val="17"/>
          <w:b w:val="1"/>
          <w:bCs w:val="1"/>
          <w:color w:val="auto"/>
        </w:rPr>
        <w:t xml:space="preserve"> </w:t>
      </w:r>
      <w:r>
        <w:rPr>
          <w:rFonts w:ascii="Arial" w:cs="Arial" w:eastAsia="Arial" w:hAnsi="Arial"/>
          <w:sz w:val="17"/>
          <w:szCs w:val="17"/>
          <w:color w:val="auto"/>
        </w:rPr>
        <w:t>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in the U.S. Patent and Trademark Office (“PTO”) on both asserted patents. The PTO rejected all of the claims of the patents in the suit and ESR appealed this result to the Board of Patent Appeals and Interferences (“BPAI”). In August 2012, the BPAI completed its review of both reexamination proceedings, and, after the BPAI’s review, all claims of the asserted ESR patents remain rejected. In October 2012, ESR filed an additional appeal of the BPAI decision with the United States Court of Appeal for the Federal Circuit. That appeal is still pending. We have determined that, as of this time, there is not a reasonable possibility that a loss has been incurred. The litigation related to ESR is no longer material to us, and we will no longer report on this case.</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July 2010, Network Protection Sciences, LLC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is proceeding with Fortinet as the sole defendant. We have filed a motion to dismiss the case and a separate motion for summary judgment, both of which are pending. This case is currently scheduled for a jury trial starting in September 2013. We have determined that, as of this time, there is not a reasonable possibility that a loss has been incurred.</w:t>
      </w:r>
    </w:p>
    <w:p>
      <w:pPr>
        <w:spacing w:after="0" w:line="39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June 2012, we received a letter from SRI International, (“SRI”) claiming that we infringed certain SRI patents. Subsequently, we filed a complaint in the United States District Court for the Northern District of California seeking declaratory relief and a judgment that the SRI patents were invalid, unenforceable and not infringed by any of our products or services. The case is proceeding in the United States District Court for the Northern District of California. The case is currently in the early stages, and we have determined that, as of this time, there is not a reasonable possibility that a loss has been incurred.</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infringement of certain intellectual property rights, which may include patents, copyrights, trademarks, or trade secrets, and to pay judgments entered on such claims. Our exposure under these indemnification provisions is generally limited by the terms of our contracts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left="660" w:right="8880" w:hanging="652"/>
        <w:spacing w:after="0" w:line="604" w:lineRule="auto"/>
        <w:tabs>
          <w:tab w:leader="none" w:pos="192"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Employee Stock Options</w:t>
      </w:r>
    </w:p>
    <w:p>
      <w:pPr>
        <w:ind w:left="660"/>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summarizes the weighted-average assumptions relating to our employee stock options: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2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2"/>
              </w:rPr>
              <w:t>Six Months Ended</w:t>
            </w:r>
          </w:p>
        </w:tc>
      </w:tr>
      <w:tr>
        <w:trPr>
          <w:trHeight w:val="33"/>
        </w:trPr>
        <w:tc>
          <w:tcPr>
            <w:tcW w:w="708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9"/>
        </w:trPr>
        <w:tc>
          <w:tcPr>
            <w:tcW w:w="7080" w:type="dxa"/>
            <w:vAlign w:val="bottom"/>
          </w:tcPr>
          <w:p>
            <w:pPr>
              <w:spacing w:after="0"/>
              <w:rPr>
                <w:sz w:val="18"/>
                <w:szCs w:val="18"/>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7"/>
              </w:rPr>
              <w:t>June 30,</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7"/>
              </w:rPr>
              <w:t>June 30,</w:t>
            </w:r>
          </w:p>
        </w:tc>
      </w:tr>
      <w:tr>
        <w:trPr>
          <w:trHeight w:val="210"/>
        </w:trPr>
        <w:tc>
          <w:tcPr>
            <w:tcW w:w="7080" w:type="dxa"/>
            <w:vAlign w:val="bottom"/>
          </w:tcPr>
          <w:p>
            <w:pPr>
              <w:spacing w:after="0"/>
              <w:rPr>
                <w:sz w:val="18"/>
                <w:szCs w:val="18"/>
                <w:color w:val="auto"/>
              </w:rPr>
            </w:pPr>
          </w:p>
        </w:tc>
        <w:tc>
          <w:tcPr>
            <w:tcW w:w="2200" w:type="dxa"/>
            <w:vAlign w:val="bottom"/>
          </w:tcPr>
          <w:p>
            <w:pPr>
              <w:jc w:val="center"/>
              <w:ind w:left="34"/>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r>
      <w:tr>
        <w:trPr>
          <w:trHeight w:val="33"/>
        </w:trPr>
        <w:tc>
          <w:tcPr>
            <w:tcW w:w="70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Volatility (%)</w:t>
            </w:r>
          </w:p>
        </w:tc>
        <w:tc>
          <w:tcPr>
            <w:tcW w:w="2200" w:type="dxa"/>
            <w:vAlign w:val="bottom"/>
          </w:tcPr>
          <w:p>
            <w:pPr>
              <w:jc w:val="right"/>
              <w:ind w:right="34"/>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46.4 - 51.9</w:t>
            </w:r>
          </w:p>
        </w:tc>
      </w:tr>
      <w:tr>
        <w:trPr>
          <w:trHeight w:val="27"/>
        </w:trPr>
        <w:tc>
          <w:tcPr>
            <w:tcW w:w="70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2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0.7 - 0.9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Dividend rate (%)</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stock options granted during the three and six months ended June 30, 2013.</w:t>
      </w:r>
    </w:p>
    <w:p>
      <w:pPr>
        <w:spacing w:after="0" w:line="27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000’s, except per share amounts,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ind w:left="680"/>
              <w:spacing w:after="0"/>
              <w:rPr>
                <w:sz w:val="20"/>
                <w:szCs w:val="20"/>
                <w:color w:val="auto"/>
              </w:rPr>
            </w:pPr>
            <w:r>
              <w:rPr>
                <w:rFonts w:ascii="Arial" w:cs="Arial" w:eastAsia="Arial" w:hAnsi="Arial"/>
                <w:sz w:val="16"/>
                <w:szCs w:val="16"/>
                <w:b w:val="1"/>
                <w:bCs w:val="1"/>
                <w:color w:val="auto"/>
              </w:rPr>
              <w:t>Options Outstanding</w:t>
            </w:r>
          </w:p>
        </w:tc>
        <w:tc>
          <w:tcPr>
            <w:tcW w:w="13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360" w:type="dxa"/>
            <w:vAlign w:val="bottom"/>
          </w:tcPr>
          <w:p>
            <w:pPr>
              <w:spacing w:after="0"/>
              <w:rPr>
                <w:sz w:val="18"/>
                <w:szCs w:val="18"/>
                <w:color w:val="auto"/>
              </w:rPr>
            </w:pP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3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620" w:type="dxa"/>
            <w:vAlign w:val="bottom"/>
          </w:tcPr>
          <w:p>
            <w:pPr>
              <w:spacing w:after="0"/>
              <w:rPr>
                <w:sz w:val="17"/>
                <w:szCs w:val="17"/>
                <w:color w:val="auto"/>
              </w:rPr>
            </w:pPr>
          </w:p>
        </w:tc>
        <w:tc>
          <w:tcPr>
            <w:tcW w:w="1380" w:type="dxa"/>
            <w:vAlign w:val="bottom"/>
          </w:tcPr>
          <w:p>
            <w:pPr>
              <w:jc w:val="right"/>
              <w:ind w:right="33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620" w:type="dxa"/>
            <w:vAlign w:val="bottom"/>
          </w:tcPr>
          <w:p>
            <w:pPr>
              <w:spacing w:after="0"/>
              <w:rPr>
                <w:sz w:val="18"/>
                <w:szCs w:val="18"/>
                <w:color w:val="auto"/>
              </w:rPr>
            </w:pPr>
          </w:p>
        </w:tc>
        <w:tc>
          <w:tcPr>
            <w:tcW w:w="1380" w:type="dxa"/>
            <w:vAlign w:val="bottom"/>
          </w:tcPr>
          <w:p>
            <w:pPr>
              <w:jc w:val="right"/>
              <w:ind w:right="292"/>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Price ($)</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Value ($)</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2012</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18,571</w:t>
            </w: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(464)</w:t>
            </w:r>
          </w:p>
        </w:tc>
        <w:tc>
          <w:tcPr>
            <w:tcW w:w="1480" w:type="dxa"/>
            <w:vAlign w:val="bottom"/>
            <w:gridSpan w:val="2"/>
          </w:tcPr>
          <w:p>
            <w:pPr>
              <w:jc w:val="right"/>
              <w:ind w:right="39"/>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Balance—June 30, 2013</w:t>
            </w:r>
          </w:p>
        </w:tc>
        <w:tc>
          <w:tcPr>
            <w:tcW w:w="13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16,420</w:t>
            </w:r>
          </w:p>
        </w:tc>
        <w:tc>
          <w:tcPr>
            <w:tcW w:w="1480" w:type="dxa"/>
            <w:vAlign w:val="bottom"/>
            <w:tcBorders>
              <w:bottom w:val="single" w:sz="8" w:color="CCEEFF"/>
            </w:tcBorders>
            <w:gridSpan w:val="2"/>
          </w:tcPr>
          <w:p>
            <w:pPr>
              <w:jc w:val="right"/>
              <w:ind w:right="39"/>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117,043</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and expected to vest—June 30, 2013</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16,405</w:t>
            </w: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117,034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exercisable—June 30, 2013</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11,657</w:t>
            </w:r>
          </w:p>
        </w:tc>
        <w:tc>
          <w:tcPr>
            <w:tcW w:w="1480" w:type="dxa"/>
            <w:vAlign w:val="bottom"/>
            <w:gridSpan w:val="2"/>
          </w:tcPr>
          <w:p>
            <w:pPr>
              <w:jc w:val="right"/>
              <w:ind w:right="39"/>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112,038</w:t>
            </w:r>
          </w:p>
        </w:tc>
      </w:tr>
    </w:tbl>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June 30, 2013, for all in-the-money options. As of June 30, 2013, total compensation expense related to unvested stock options granted to employees but not yet recognized was $51.2 million, net of estimated forfeitures. This expense is expected to be amortized on a straight-line basis over a weighted-average period of 2.1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 amounts in 000’s,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4"/>
          </w:tcPr>
          <w:p>
            <w:pPr>
              <w:ind w:left="740"/>
              <w:spacing w:after="0"/>
              <w:rPr>
                <w:sz w:val="20"/>
                <w:szCs w:val="20"/>
                <w:color w:val="auto"/>
              </w:rPr>
            </w:pPr>
            <w:r>
              <w:rPr>
                <w:rFonts w:ascii="Arial" w:cs="Arial" w:eastAsia="Arial" w:hAnsi="Arial"/>
                <w:sz w:val="18"/>
                <w:szCs w:val="18"/>
                <w:b w:val="1"/>
                <w:bCs w:val="1"/>
                <w:color w:val="auto"/>
              </w:rPr>
              <w:t>Three Months Ended</w:t>
            </w:r>
          </w:p>
        </w:tc>
        <w:tc>
          <w:tcPr>
            <w:tcW w:w="30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62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2013</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2012</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2013</w:t>
            </w: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June 30, 2012</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3,058</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12,588</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29,117</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50,690</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13,074</w:t>
            </w:r>
          </w:p>
        </w:tc>
      </w:tr>
      <w:tr>
        <w:trPr>
          <w:trHeight w:val="459"/>
        </w:trPr>
        <w:tc>
          <w:tcPr>
            <w:tcW w:w="5160" w:type="dxa"/>
            <w:vAlign w:val="bottom"/>
          </w:tcPr>
          <w:p>
            <w:pPr>
              <w:spacing w:after="0"/>
              <w:rPr>
                <w:sz w:val="24"/>
                <w:szCs w:val="24"/>
                <w:color w:val="auto"/>
              </w:rPr>
            </w:pPr>
          </w:p>
        </w:tc>
        <w:tc>
          <w:tcPr>
            <w:tcW w:w="1500" w:type="dxa"/>
            <w:vAlign w:val="bottom"/>
          </w:tcPr>
          <w:p>
            <w:pPr>
              <w:jc w:val="right"/>
              <w:ind w:right="77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and related information for RSUs for the period presented below (in 000’s, except per share amounts):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980" w:type="dxa"/>
            <w:vAlign w:val="bottom"/>
            <w:gridSpan w:val="3"/>
          </w:tcPr>
          <w:p>
            <w:pPr>
              <w:jc w:val="right"/>
              <w:ind w:right="67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4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Weighted-Average Grant-</w:t>
            </w:r>
          </w:p>
        </w:tc>
      </w:tr>
      <w:tr>
        <w:trPr>
          <w:trHeight w:val="203"/>
        </w:trPr>
        <w:tc>
          <w:tcPr>
            <w:tcW w:w="7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3"/>
              </w:rPr>
              <w:t>Date Fair Value per Share</w:t>
            </w:r>
          </w:p>
        </w:tc>
      </w:tr>
      <w:tr>
        <w:trPr>
          <w:trHeight w:val="210"/>
        </w:trPr>
        <w:tc>
          <w:tcPr>
            <w:tcW w:w="74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6"/>
                <w:szCs w:val="16"/>
                <w:b w:val="1"/>
                <w:bCs w:val="1"/>
                <w:color w:val="auto"/>
              </w:rPr>
              <w:t>Number of Shares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33"/>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2012</w:t>
            </w: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23.73</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22.12</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23.36</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Balance—June 30, 2013</w:t>
            </w:r>
          </w:p>
        </w:tc>
        <w:tc>
          <w:tcPr>
            <w:tcW w:w="1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CEEFF"/>
            </w:tcBorders>
          </w:tcPr>
          <w:p>
            <w:pPr>
              <w:spacing w:after="0"/>
              <w:rPr>
                <w:sz w:val="24"/>
                <w:szCs w:val="24"/>
                <w:color w:val="auto"/>
              </w:rPr>
            </w:pPr>
          </w:p>
        </w:tc>
        <w:tc>
          <w:tcPr>
            <w:tcW w:w="1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22.35</w:t>
            </w:r>
          </w:p>
        </w:tc>
      </w:tr>
      <w:tr>
        <w:trPr>
          <w:trHeight w:val="23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RSUs expected to vest—June 30, 2013</w:t>
            </w:r>
          </w:p>
        </w:tc>
        <w:tc>
          <w:tcPr>
            <w:tcW w:w="1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22.36</w:t>
            </w:r>
          </w:p>
        </w:tc>
      </w:tr>
      <w:tr>
        <w:trPr>
          <w:trHeight w:val="27"/>
        </w:trPr>
        <w:tc>
          <w:tcPr>
            <w:tcW w:w="74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June 30, 2013, total compensation expense related to unvested RSUs that were granted to employees and non-employees, but not yet recognized, was $71.2 million, net of estimated forfeitures. This expense is expected to be amortized on a straight-line basis over a weighted-average vesting period of 3.5 years.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determining the fair value of the shares subject to our ESPP, we use the Black-Scholes option pricing model that employs the following weighted-average assumptions: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30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836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2013</w:t>
            </w: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June 30, 2012</w:t>
            </w: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Volatility (%)</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Dividend rate (%)</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59"/>
        </w:trPr>
        <w:tc>
          <w:tcPr>
            <w:tcW w:w="8360" w:type="dxa"/>
            <w:vAlign w:val="bottom"/>
          </w:tcPr>
          <w:p>
            <w:pPr>
              <w:ind w:left="660"/>
              <w:spacing w:after="0"/>
              <w:rPr>
                <w:sz w:val="20"/>
                <w:szCs w:val="20"/>
                <w:color w:val="auto"/>
              </w:rPr>
            </w:pPr>
            <w:r>
              <w:rPr>
                <w:rFonts w:ascii="Arial" w:cs="Arial" w:eastAsia="Arial" w:hAnsi="Arial"/>
                <w:sz w:val="18"/>
                <w:szCs w:val="18"/>
                <w:color w:val="auto"/>
                <w:w w:val="98"/>
              </w:rPr>
              <w:t>Additional information related to our ESPP is provided below (in 000’s, except per share amounts):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30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836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2013</w:t>
            </w: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June 30, 2012</w:t>
            </w: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 ($)</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Shares issued under the ESPP</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288</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 issued ($)</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17.51</w:t>
            </w:r>
          </w:p>
        </w:tc>
      </w:tr>
      <w:tr>
        <w:trPr>
          <w:trHeight w:val="27"/>
        </w:trPr>
        <w:tc>
          <w:tcPr>
            <w:tcW w:w="83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ESPP shares granted or issued during the three months ended June 30, 2013 and June 30, 2012.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 amounts in 000’s):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520" w:type="dxa"/>
            <w:vAlign w:val="bottom"/>
            <w:gridSpan w:val="4"/>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380" w:type="dxa"/>
            <w:vAlign w:val="bottom"/>
            <w:gridSpan w:val="3"/>
          </w:tcPr>
          <w:p>
            <w:pPr>
              <w:jc w:val="right"/>
              <w:ind w:right="45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65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652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140" w:type="dxa"/>
            <w:vAlign w:val="bottom"/>
          </w:tcPr>
          <w:p>
            <w:pPr>
              <w:jc w:val="right"/>
              <w:ind w:right="21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520" w:type="dxa"/>
            <w:vAlign w:val="bottom"/>
          </w:tcPr>
          <w:p>
            <w:pPr>
              <w:spacing w:after="0"/>
              <w:rPr>
                <w:sz w:val="18"/>
                <w:szCs w:val="18"/>
                <w:color w:val="auto"/>
              </w:rPr>
            </w:pPr>
          </w:p>
        </w:tc>
        <w:tc>
          <w:tcPr>
            <w:tcW w:w="1160" w:type="dxa"/>
            <w:vAlign w:val="bottom"/>
          </w:tcPr>
          <w:p>
            <w:pPr>
              <w:jc w:val="right"/>
              <w:ind w:right="333"/>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1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140" w:type="dxa"/>
            <w:vAlign w:val="bottom"/>
          </w:tcPr>
          <w:p>
            <w:pPr>
              <w:jc w:val="right"/>
              <w:ind w:right="31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2012</w:t>
            </w:r>
          </w:p>
        </w:tc>
      </w:tr>
      <w:tr>
        <w:trPr>
          <w:trHeight w:val="33"/>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of services revenue</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1,686</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6,057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4,594</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8,712</w:t>
            </w:r>
          </w:p>
        </w:tc>
        <w:tc>
          <w:tcPr>
            <w:tcW w:w="1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6,918</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20,006</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15,098</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 amounts in 000’s)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2380" w:type="dxa"/>
            <w:vAlign w:val="bottom"/>
            <w:gridSpan w:val="3"/>
          </w:tcPr>
          <w:p>
            <w:pPr>
              <w:jc w:val="right"/>
              <w:ind w:right="45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4760" w:type="dxa"/>
            <w:vAlign w:val="bottom"/>
          </w:tcPr>
          <w:p>
            <w:pPr>
              <w:spacing w:after="0"/>
              <w:rPr>
                <w:sz w:val="18"/>
                <w:szCs w:val="18"/>
                <w:color w:val="auto"/>
              </w:rPr>
            </w:pPr>
          </w:p>
        </w:tc>
        <w:tc>
          <w:tcPr>
            <w:tcW w:w="2920" w:type="dxa"/>
            <w:vAlign w:val="bottom"/>
            <w:gridSpan w:val="2"/>
          </w:tcPr>
          <w:p>
            <w:pPr>
              <w:jc w:val="center"/>
              <w:ind w:left="1673"/>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r>
      <w:tr>
        <w:trPr>
          <w:trHeight w:val="33"/>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12,997</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RSUs</w:t>
            </w:r>
          </w:p>
        </w:tc>
        <w:tc>
          <w:tcPr>
            <w:tcW w:w="2920" w:type="dxa"/>
            <w:vAlign w:val="bottom"/>
            <w:gridSpan w:val="2"/>
          </w:tcPr>
          <w:p>
            <w:pPr>
              <w:jc w:val="right"/>
              <w:ind w:right="34"/>
              <w:spacing w:after="0"/>
              <w:rPr>
                <w:sz w:val="20"/>
                <w:szCs w:val="20"/>
                <w:color w:val="auto"/>
              </w:rPr>
            </w:pPr>
            <w:r>
              <w:rPr>
                <w:rFonts w:ascii="Arial" w:cs="Arial" w:eastAsia="Arial" w:hAnsi="Arial"/>
                <w:sz w:val="18"/>
                <w:szCs w:val="18"/>
                <w:color w:val="auto"/>
              </w:rPr>
              <w:t>4,357</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5,135</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7,809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2,101</w:t>
            </w:r>
          </w:p>
        </w:tc>
      </w:tr>
      <w:tr>
        <w:trPr>
          <w:trHeight w:val="257"/>
        </w:trPr>
        <w:tc>
          <w:tcPr>
            <w:tcW w:w="47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76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20,006</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15,098</w:t>
            </w:r>
          </w:p>
        </w:tc>
      </w:tr>
      <w:tr>
        <w:trPr>
          <w:trHeight w:val="20"/>
        </w:trPr>
        <w:tc>
          <w:tcPr>
            <w:tcW w:w="652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05"/>
        </w:trPr>
        <w:tc>
          <w:tcPr>
            <w:tcW w:w="11420" w:type="dxa"/>
            <w:vAlign w:val="bottom"/>
            <w:gridSpan w:val="9"/>
          </w:tcPr>
          <w:p>
            <w:pPr>
              <w:jc w:val="right"/>
              <w:spacing w:after="0"/>
              <w:rPr>
                <w:sz w:val="20"/>
                <w:szCs w:val="20"/>
                <w:color w:val="auto"/>
              </w:rPr>
            </w:pPr>
            <w:r>
              <w:rPr>
                <w:rFonts w:ascii="Arial" w:cs="Arial" w:eastAsia="Arial" w:hAnsi="Arial"/>
                <w:sz w:val="18"/>
                <w:szCs w:val="18"/>
                <w:color w:val="auto"/>
                <w:w w:val="96"/>
              </w:rPr>
              <w:t>Total income tax benefit from employee stock option plans that is recognized in the consolidated statements of operations is as follows ($ amounts in</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000’s):</w:t>
            </w:r>
          </w:p>
        </w:tc>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94"/>
        </w:trPr>
        <w:tc>
          <w:tcPr>
            <w:tcW w:w="4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2380" w:type="dxa"/>
            <w:vAlign w:val="bottom"/>
            <w:gridSpan w:val="3"/>
          </w:tcPr>
          <w:p>
            <w:pPr>
              <w:jc w:val="right"/>
              <w:ind w:right="374"/>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4760" w:type="dxa"/>
            <w:vAlign w:val="bottom"/>
          </w:tcPr>
          <w:p>
            <w:pPr>
              <w:spacing w:after="0"/>
              <w:rPr>
                <w:sz w:val="18"/>
                <w:szCs w:val="18"/>
                <w:color w:val="auto"/>
              </w:rPr>
            </w:pPr>
          </w:p>
        </w:tc>
        <w:tc>
          <w:tcPr>
            <w:tcW w:w="2920" w:type="dxa"/>
            <w:vAlign w:val="bottom"/>
            <w:gridSpan w:val="2"/>
          </w:tcPr>
          <w:p>
            <w:pPr>
              <w:jc w:val="center"/>
              <w:ind w:left="1673"/>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r>
      <w:tr>
        <w:trPr>
          <w:trHeight w:val="33"/>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employee stock option plans</w:t>
            </w:r>
          </w:p>
        </w:tc>
        <w:tc>
          <w:tcPr>
            <w:tcW w:w="2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10,387</w:t>
            </w:r>
          </w:p>
        </w:tc>
      </w:tr>
      <w:tr>
        <w:trPr>
          <w:trHeight w:val="891"/>
        </w:trPr>
        <w:tc>
          <w:tcPr>
            <w:tcW w:w="4760" w:type="dxa"/>
            <w:vAlign w:val="bottom"/>
          </w:tcPr>
          <w:p>
            <w:pPr>
              <w:spacing w:after="0"/>
              <w:rPr>
                <w:sz w:val="24"/>
                <w:szCs w:val="24"/>
                <w:color w:val="auto"/>
              </w:rPr>
            </w:pPr>
          </w:p>
        </w:tc>
        <w:tc>
          <w:tcPr>
            <w:tcW w:w="1760" w:type="dxa"/>
            <w:vAlign w:val="bottom"/>
          </w:tcPr>
          <w:p>
            <w:pPr>
              <w:jc w:val="right"/>
              <w:ind w:right="633"/>
              <w:spacing w:after="0"/>
              <w:rPr>
                <w:sz w:val="20"/>
                <w:szCs w:val="20"/>
                <w:color w:val="auto"/>
              </w:rPr>
            </w:pPr>
            <w:r>
              <w:rPr>
                <w:rFonts w:ascii="Arial" w:cs="Arial" w:eastAsia="Arial" w:hAnsi="Arial"/>
                <w:sz w:val="18"/>
                <w:szCs w:val="18"/>
                <w:color w:val="auto"/>
              </w:rPr>
              <w:t>18</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effective tax rate was 40% for the three months ended June 30, 2013, compared to an effective tax rate of 37% for the three months ended June 30, 2012. The effective tax rate was 34% for the six months ended June 30, 2013, compared to an effective tax rate of 33% for the six months ended June 30, 2012. The provision for income taxes for the periods presented is comprised of foreign income taxes, U.S. federal and state taxes, and withholding tax.</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June 30, 2013 and December 31, 2012, unrecognized tax benefits were $31.2 million and $27.8 million, respectively. The total amount of $30.8 million in unrecognized tax benefits, if recognized, would favorably impact the effective tax rate.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June 30, 2013, we had accrued approximately $2.2 million for estimated interest related to uncertain tax provisions.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State of California has been conducting an audit of our state income tax returns for fiscal 2010 and fiscal 2011. We do not expect this audit to have a significant detrimental effect on our income tax liability nor have a material impact on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401(k) tax-deferred savings plan (the “401(k) Plan”) permits participants to make contributions by salary deduction pursuant to Section 401(k) of the Internal Revenue Code of 1986, as amended. Under the 401(k) Plan, participating employees may defer a portion of their pre-tax earnings, up to the annual contribution limit specified by the Internal Revenue Service (“IRS”). In Canada, we have a Group Registered Retirement Savings Plan program (the “RRSP”) which permits participants to make tax deductible contributions up to the maximum contribution limits under the Income Tax Act. Our matching contributions to the 401(k) Plan and RRSP were $0.5 million for each of the three months ended June 30, 2013 and June 30, 2012. Our matching contributions to the 401(k) Plan and RRSP were $1.1 million and $0.9 million for the six months ended June 30, 2013 and June 30, 2012,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SIGNIFICANT CUSTOMER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revenue and property and equipment by geographic region ($ amounts in 000’s):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760" w:type="dxa"/>
            <w:vAlign w:val="bottom"/>
            <w:gridSpan w:val="4"/>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2600" w:type="dxa"/>
            <w:vAlign w:val="bottom"/>
            <w:gridSpan w:val="3"/>
          </w:tcPr>
          <w:p>
            <w:pPr>
              <w:jc w:val="right"/>
              <w:ind w:right="55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June 30,</w:t>
            </w:r>
          </w:p>
        </w:tc>
        <w:tc>
          <w:tcPr>
            <w:tcW w:w="1380" w:type="dxa"/>
            <w:vAlign w:val="bottom"/>
            <w:gridSpan w:val="2"/>
          </w:tcPr>
          <w:p>
            <w:pPr>
              <w:ind w:left="340"/>
              <w:spacing w:after="0"/>
              <w:rPr>
                <w:sz w:val="20"/>
                <w:szCs w:val="20"/>
                <w:color w:val="auto"/>
              </w:rPr>
            </w:pPr>
            <w:r>
              <w:rPr>
                <w:rFonts w:ascii="Arial" w:cs="Arial" w:eastAsia="Arial" w:hAnsi="Arial"/>
                <w:sz w:val="16"/>
                <w:szCs w:val="16"/>
                <w:b w:val="1"/>
                <w:bCs w:val="1"/>
                <w:color w:val="auto"/>
              </w:rPr>
              <w:t>June 30,</w:t>
            </w:r>
          </w:p>
        </w:tc>
        <w:tc>
          <w:tcPr>
            <w:tcW w:w="1360" w:type="dxa"/>
            <w:vAlign w:val="bottom"/>
            <w:gridSpan w:val="2"/>
          </w:tcPr>
          <w:p>
            <w:pPr>
              <w:ind w:left="320"/>
              <w:spacing w:after="0"/>
              <w:rPr>
                <w:sz w:val="20"/>
                <w:szCs w:val="20"/>
                <w:color w:val="auto"/>
              </w:rPr>
            </w:pPr>
            <w:r>
              <w:rPr>
                <w:rFonts w:ascii="Arial" w:cs="Arial" w:eastAsia="Arial" w:hAnsi="Arial"/>
                <w:sz w:val="16"/>
                <w:szCs w:val="16"/>
                <w:b w:val="1"/>
                <w:bCs w:val="1"/>
                <w:color w:val="auto"/>
              </w:rPr>
              <w:t>June 30,</w:t>
            </w:r>
          </w:p>
        </w:tc>
        <w:tc>
          <w:tcPr>
            <w:tcW w:w="1240" w:type="dxa"/>
            <w:vAlign w:val="bottom"/>
          </w:tcPr>
          <w:p>
            <w:pPr>
              <w:jc w:val="right"/>
              <w:ind w:right="272"/>
              <w:spacing w:after="0"/>
              <w:rPr>
                <w:sz w:val="20"/>
                <w:szCs w:val="20"/>
                <w:color w:val="auto"/>
              </w:rPr>
            </w:pPr>
            <w:r>
              <w:rPr>
                <w:rFonts w:ascii="Arial" w:cs="Arial" w:eastAsia="Arial" w:hAnsi="Arial"/>
                <w:sz w:val="16"/>
                <w:szCs w:val="16"/>
                <w:b w:val="1"/>
                <w:bCs w:val="1"/>
                <w:color w:val="auto"/>
              </w:rPr>
              <w:t>June 30,</w:t>
            </w:r>
          </w:p>
        </w:tc>
      </w:tr>
      <w:tr>
        <w:trPr>
          <w:trHeight w:val="176"/>
        </w:trPr>
        <w:tc>
          <w:tcPr>
            <w:tcW w:w="60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1260" w:type="dxa"/>
            <w:vAlign w:val="bottom"/>
          </w:tcPr>
          <w:p>
            <w:pPr>
              <w:jc w:val="right"/>
              <w:ind w:right="373"/>
              <w:spacing w:after="0" w:line="176" w:lineRule="exact"/>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c>
          <w:tcPr>
            <w:tcW w:w="1280" w:type="dxa"/>
            <w:vAlign w:val="bottom"/>
          </w:tcPr>
          <w:p>
            <w:pPr>
              <w:jc w:val="right"/>
              <w:ind w:right="392"/>
              <w:spacing w:after="0" w:line="176" w:lineRule="exact"/>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5"/>
                <w:szCs w:val="15"/>
                <w:color w:val="auto"/>
              </w:rPr>
            </w:pPr>
          </w:p>
        </w:tc>
        <w:tc>
          <w:tcPr>
            <w:tcW w:w="1240" w:type="dxa"/>
            <w:vAlign w:val="bottom"/>
          </w:tcPr>
          <w:p>
            <w:pPr>
              <w:jc w:val="right"/>
              <w:ind w:right="353"/>
              <w:spacing w:after="0" w:line="176" w:lineRule="exact"/>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c>
          <w:tcPr>
            <w:tcW w:w="1240" w:type="dxa"/>
            <w:vAlign w:val="bottom"/>
          </w:tcPr>
          <w:p>
            <w:pPr>
              <w:jc w:val="right"/>
              <w:ind w:right="372"/>
              <w:spacing w:after="0" w:line="176" w:lineRule="exact"/>
              <w:rPr>
                <w:sz w:val="20"/>
                <w:szCs w:val="20"/>
                <w:color w:val="auto"/>
              </w:rPr>
            </w:pPr>
            <w:r>
              <w:rPr>
                <w:rFonts w:ascii="Arial" w:cs="Arial" w:eastAsia="Arial" w:hAnsi="Arial"/>
                <w:sz w:val="16"/>
                <w:szCs w:val="16"/>
                <w:b w:val="1"/>
                <w:bCs w:val="1"/>
                <w:color w:val="auto"/>
              </w:rPr>
              <w:t>2012</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54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38,815</w:t>
            </w: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34,190</w:t>
            </w:r>
          </w:p>
        </w:tc>
        <w:tc>
          <w:tcPr>
            <w:tcW w:w="1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73,603</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65,309</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21,211</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17,732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39,050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33,044</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60,026</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51,922</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112,653</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98,353</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Middle East and Africa (“EMEA”)</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50,801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43,664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98,127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84,550</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Asia Pacific and Japan (“APAC”)</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36,601</w:t>
            </w: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33,376</w:t>
            </w:r>
          </w:p>
        </w:tc>
        <w:tc>
          <w:tcPr>
            <w:tcW w:w="1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72,468</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63,306</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147,428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128,962</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283,248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246,209</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three and six months ended June 30, 2013, one distributor, Exclusive Networks Group, accounted for 11% and 12% of revenue, respectively. During the three and six months ended June 30, 2012, one distributor, Exclusive Networks Group, accounted for 11% and 12% of total revenue,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1720" w:type="dxa"/>
            <w:vAlign w:val="bottom"/>
            <w:gridSpan w:val="2"/>
          </w:tcPr>
          <w:p>
            <w:pPr>
              <w:ind w:left="480"/>
              <w:spacing w:after="0"/>
              <w:rPr>
                <w:sz w:val="20"/>
                <w:szCs w:val="20"/>
                <w:color w:val="auto"/>
              </w:rPr>
            </w:pPr>
            <w:r>
              <w:rPr>
                <w:rFonts w:ascii="Arial" w:cs="Arial" w:eastAsia="Arial" w:hAnsi="Arial"/>
                <w:sz w:val="16"/>
                <w:szCs w:val="16"/>
                <w:b w:val="1"/>
                <w:bCs w:val="1"/>
                <w:color w:val="auto"/>
              </w:rPr>
              <w:t>June 30,</w:t>
            </w:r>
          </w:p>
        </w:tc>
        <w:tc>
          <w:tcPr>
            <w:tcW w:w="1580" w:type="dxa"/>
            <w:vAlign w:val="bottom"/>
          </w:tcPr>
          <w:p>
            <w:pPr>
              <w:jc w:val="right"/>
              <w:ind w:right="25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81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Property and Equipment</w:t>
            </w:r>
          </w:p>
        </w:tc>
        <w:tc>
          <w:tcPr>
            <w:tcW w:w="160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c>
          <w:tcPr>
            <w:tcW w:w="1580" w:type="dxa"/>
            <w:vAlign w:val="bottom"/>
          </w:tcPr>
          <w:p>
            <w:pPr>
              <w:jc w:val="right"/>
              <w:ind w:right="532"/>
              <w:spacing w:after="0" w:line="176" w:lineRule="exact"/>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8120" w:type="dxa"/>
            <w:vAlign w:val="bottom"/>
            <w:gridSpan w:val="3"/>
            <w:vMerge w:val="restart"/>
          </w:tcPr>
          <w:p>
            <w:pPr>
              <w:ind w:left="40"/>
              <w:spacing w:after="0"/>
              <w:rPr>
                <w:sz w:val="20"/>
                <w:szCs w:val="20"/>
                <w:color w:val="auto"/>
              </w:rPr>
            </w:pPr>
            <w:r>
              <w:rPr>
                <w:rFonts w:ascii="Arial" w:cs="Arial" w:eastAsia="Arial" w:hAnsi="Arial"/>
                <w:sz w:val="18"/>
                <w:szCs w:val="18"/>
                <w:color w:val="auto"/>
              </w:rPr>
              <w:t>Americas:</w:t>
            </w:r>
          </w:p>
        </w:tc>
        <w:tc>
          <w:tcPr>
            <w:tcW w:w="1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120" w:type="dxa"/>
            <w:vAlign w:val="bottom"/>
            <w:gridSpan w:val="3"/>
            <w:vMerge w:val="continue"/>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19,704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Canada</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4,268</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24,033</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APAC</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property and equipment—net</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27,047</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25,638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FOREIGN CURRENCY DERIVATIVES</w:t>
      </w:r>
    </w:p>
    <w:p>
      <w:pPr>
        <w:spacing w:after="0" w:line="31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notional amounts of forward exchange contracts to hedge balance sheet accounts as of June 30, 2013 and December 31, 2012 were ($ amounts in 000’s):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Buy/Sell</w:t>
            </w:r>
          </w:p>
        </w:tc>
        <w:tc>
          <w:tcPr>
            <w:tcW w:w="1580" w:type="dxa"/>
            <w:vAlign w:val="bottom"/>
          </w:tcPr>
          <w:p>
            <w:pPr>
              <w:jc w:val="right"/>
              <w:ind w:right="370"/>
              <w:spacing w:after="0"/>
              <w:rPr>
                <w:sz w:val="20"/>
                <w:szCs w:val="20"/>
                <w:color w:val="auto"/>
              </w:rPr>
            </w:pPr>
            <w:r>
              <w:rPr>
                <w:rFonts w:ascii="Arial" w:cs="Arial" w:eastAsia="Arial" w:hAnsi="Arial"/>
                <w:sz w:val="18"/>
                <w:szCs w:val="18"/>
                <w:b w:val="1"/>
                <w:bCs w:val="1"/>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Contracts: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03"/>
        </w:trPr>
        <w:tc>
          <w:tcPr>
            <w:tcW w:w="812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Currency - As of June 30, 2013</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CAD</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Buy</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23,025</w:t>
            </w:r>
          </w:p>
        </w:tc>
      </w:tr>
      <w:tr>
        <w:trPr>
          <w:trHeight w:val="297"/>
        </w:trPr>
        <w:tc>
          <w:tcPr>
            <w:tcW w:w="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81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Currency - As of December 31, 2012</w:t>
            </w: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53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CAD</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Buy</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17,968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March 21, 2013, we acquired all of the outstanding equity securities of Coyote Point Systems, Inc. (“Coyote”), a provider of application delivery, load balancing and acceleration solutions, for $6.0 million in cash. The acquisition also includes a contingent obligation for up to $5.5 million in future earn-out payments to former stockholders of Coyote, if specified future operational objectives, service conditions and financial results are met within two years of the acquisition date. Of the maximum $5.5 million in contingent earn-out payments, up to $3.5 million will be payable after eighteen months from the acquisition date, and up to $2.0 million will be payable after two years from the acquisition date. As the future earn-out payments are also contingent upon one of Coyote's former stockholder's employment during the earn-out period, these contingent obligations are being recorded as compensation expense ratably over the earn-out periods.</w:t>
      </w:r>
    </w:p>
    <w:p>
      <w:pPr>
        <w:spacing w:after="0" w:line="18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accounted for this acquisition as a purchase of a business and, accordingly, the total purchase price was allocated to Coyote’s identifiable tangible and intangible assets acquired and liabilities assumed based on their estimated fair values as of the acquisition date. The fair value assigned to the intangible assets acquired was determined using the income approach which discounts expected cash flows to present value using our estimates and assumptions.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60" w:type="dxa"/>
            <w:vAlign w:val="bottom"/>
            <w:gridSpan w:val="2"/>
          </w:tcPr>
          <w:p>
            <w:pPr>
              <w:ind w:left="660"/>
              <w:spacing w:after="0"/>
              <w:rPr>
                <w:sz w:val="20"/>
                <w:szCs w:val="20"/>
                <w:color w:val="auto"/>
              </w:rPr>
            </w:pPr>
            <w:r>
              <w:rPr>
                <w:rFonts w:ascii="Arial" w:cs="Arial" w:eastAsia="Arial" w:hAnsi="Arial"/>
                <w:sz w:val="18"/>
                <w:szCs w:val="18"/>
                <w:color w:val="auto"/>
                <w:w w:val="92"/>
              </w:rPr>
              <w:t>The following table summarizes the fair value of assets acquired and liabilities assumed as of the acquisition date ($ amounts in 000’s):</w:t>
            </w:r>
          </w:p>
        </w:tc>
        <w:tc>
          <w:tcPr>
            <w:tcW w:w="760" w:type="dxa"/>
            <w:vAlign w:val="bottom"/>
          </w:tcPr>
          <w:p>
            <w:pPr>
              <w:spacing w:after="0"/>
              <w:rPr>
                <w:sz w:val="20"/>
                <w:szCs w:val="20"/>
                <w:color w:val="auto"/>
              </w:rPr>
            </w:pPr>
          </w:p>
        </w:tc>
      </w:tr>
      <w:tr>
        <w:trPr>
          <w:trHeight w:val="135"/>
        </w:trPr>
        <w:tc>
          <w:tcPr>
            <w:tcW w:w="10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50"/>
        </w:trPr>
        <w:tc>
          <w:tcPr>
            <w:tcW w:w="10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106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501</w:t>
            </w:r>
          </w:p>
        </w:tc>
      </w:tr>
      <w:tr>
        <w:trPr>
          <w:trHeight w:val="27"/>
        </w:trPr>
        <w:tc>
          <w:tcPr>
            <w:tcW w:w="10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r>
      <w:tr>
        <w:trPr>
          <w:trHeight w:val="243"/>
        </w:trPr>
        <w:tc>
          <w:tcPr>
            <w:tcW w:w="10660" w:type="dxa"/>
            <w:vAlign w:val="bottom"/>
            <w:gridSpan w:val="2"/>
          </w:tcPr>
          <w:p>
            <w:pPr>
              <w:ind w:left="40"/>
              <w:spacing w:after="0"/>
              <w:rPr>
                <w:sz w:val="20"/>
                <w:szCs w:val="20"/>
                <w:color w:val="auto"/>
              </w:rPr>
            </w:pPr>
            <w:r>
              <w:rPr>
                <w:rFonts w:ascii="Arial" w:cs="Arial" w:eastAsia="Arial" w:hAnsi="Arial"/>
                <w:sz w:val="18"/>
                <w:szCs w:val="18"/>
                <w:color w:val="auto"/>
              </w:rPr>
              <w:t>Indefinite-lived intangible assets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10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w:t>
            </w:r>
          </w:p>
        </w:tc>
      </w:tr>
      <w:tr>
        <w:trPr>
          <w:trHeight w:val="243"/>
        </w:trPr>
        <w:tc>
          <w:tcPr>
            <w:tcW w:w="106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10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8,961</w:t>
            </w:r>
          </w:p>
        </w:tc>
      </w:tr>
      <w:tr>
        <w:trPr>
          <w:trHeight w:val="243"/>
        </w:trPr>
        <w:tc>
          <w:tcPr>
            <w:tcW w:w="1066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1,078</w:t>
            </w:r>
          </w:p>
        </w:tc>
      </w:tr>
      <w:tr>
        <w:trPr>
          <w:trHeight w:val="27"/>
        </w:trPr>
        <w:tc>
          <w:tcPr>
            <w:tcW w:w="10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6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w:t>
            </w:r>
          </w:p>
        </w:tc>
      </w:tr>
      <w:tr>
        <w:trPr>
          <w:trHeight w:val="237"/>
        </w:trPr>
        <w:tc>
          <w:tcPr>
            <w:tcW w:w="1006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6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2,976</w:t>
            </w:r>
          </w:p>
        </w:tc>
      </w:tr>
      <w:tr>
        <w:trPr>
          <w:trHeight w:val="27"/>
        </w:trPr>
        <w:tc>
          <w:tcPr>
            <w:tcW w:w="10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5,985</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Of the total acquired identified intangible assets, we allocated $2.3 million to developed technology, $0.5 million to customer relationships, and $2.6 million to in-process research and development. Identified finite-lived intangible assets consist of developed technology and customer relationships that will be amortized as cost of revenue and sales and marketing expense, respectively, ratably on a straight-line basis, each over an estimated useful life of 6 years.</w:t>
      </w:r>
    </w:p>
    <w:p>
      <w:pPr>
        <w:ind w:right="140"/>
        <w:spacing w:after="0" w:line="273" w:lineRule="auto"/>
        <w:rPr>
          <w:sz w:val="20"/>
          <w:szCs w:val="20"/>
          <w:color w:val="auto"/>
        </w:rPr>
      </w:pPr>
      <w:r>
        <w:rPr>
          <w:rFonts w:ascii="Arial" w:cs="Arial" w:eastAsia="Arial" w:hAnsi="Arial"/>
          <w:sz w:val="17"/>
          <w:szCs w:val="17"/>
          <w:color w:val="auto"/>
        </w:rPr>
        <w:t>Identified indefinite-lived intangible assets consist of in-process research and development. The goodwill of $2.8 million represents the premium we paid over the fair value of the net tangible liabilities assumed and identified intangible assets acquired. We paid this premium for a number of reasons, primarily for acquiring developed and in-process technology. None of the goodwill recognized as a result of the acquisition is deductible for income tax purposes. The financial results of this acquisition were considered immaterial for purposes of pro-forma financial disclosures.</w:t>
      </w:r>
    </w:p>
    <w:p>
      <w:pPr>
        <w:spacing w:after="0" w:line="17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7, 2012, we completed the acquisition of XDN, Inc., a provider of cloud-based content delivery solutions, for a total consideration of $0.5 million. We accounted for this acquisition as a purchase of a business and, accordingly, the total purchase price was allocated to identifiable intangible assets acquired based on their estimated fair market value as of the acquisition date. The purchase price allocation resulted in purchased identifiable intangible assets of $0.5 million. Identifiable intangible assets consist of developed technology. The fair value assigned to identifiable intangible assets acquired was determined using the market approach, which compares the value of the purchased assets to similar assets in similar lines of business. Purchased identifiable intangible assets are being amortized as cost of revenue ratably over three years. The financial results of this acquisition were considered immaterial for purposes of pro forma financial disclosures.</w:t>
      </w:r>
    </w:p>
    <w:p>
      <w:pPr>
        <w:spacing w:after="0" w:line="18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On March 8, 2012, we completed the acquisition of IntruGuard Devices, Inc. (“IntruGuard”), a supplier of Distributed Denial of Services ("DDoS"), prevention products, for a total consideration of $1.0 million. Of the total consideration, $0.4 million was withheld in escrow as security for IntruGuard’s indemnification obligations. We accounted for this acquisition as a purchase of a business and, accordingly, the total purchase price was allocated to tangible and identifiable intangible assets acquired and liabilities assumed based on their estimated fair market values as of the acquisition date. The purchase price allocation resulted in purchased tangible assets of $53,000 and liabilities of $43,000, and purchased identifiable intangible assets of $0.9 million. Identifiable intangible assets consist of purchased technology. The fair value assigned to identifiable intangible assets acquired was determined using the income approach, which discounts expected future cash flows to present value using estimates and assumptions determined by us. Purchased identifiable intangible assets are being amortized as cost of revenue ratably over three years. Of the $0.4 million previously withheld in escrow, $0.2 million and $0.2 million were released to the selling stockholders during the three months ended September 30, 2012 and the three months ended March 31, 2013, respectively. The financial results of this acquisition were considered immaterial for purposes of pro forma financial disclosures.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GOODWILL AND OTHER INTANGIBLE ASSETS—NET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acquired $2.8 million of goodwill during the six months ended June 30, 2013, which approximated the carrying value as of June 30, 2013.</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acquired $2.3 million of developed technology, $0.5 million of customer relationships, and $2.6 million of in-process research and development during the six months ended June 30, 2013. The following tables present other intangible assets ($ amounts in 000’s):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4"/>
          </w:tcPr>
          <w:p>
            <w:pPr>
              <w:ind w:left="320"/>
              <w:spacing w:after="0"/>
              <w:rPr>
                <w:sz w:val="20"/>
                <w:szCs w:val="20"/>
                <w:color w:val="auto"/>
              </w:rPr>
            </w:pPr>
            <w:r>
              <w:rPr>
                <w:rFonts w:ascii="Arial" w:cs="Arial" w:eastAsia="Arial" w:hAnsi="Arial"/>
                <w:sz w:val="16"/>
                <w:szCs w:val="16"/>
                <w:b w:val="1"/>
                <w:bCs w:val="1"/>
                <w:color w:val="auto"/>
              </w:rPr>
              <w:t>June 30, 2013</w:t>
            </w: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3"/>
        </w:trPr>
        <w:tc>
          <w:tcPr>
            <w:tcW w:w="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9"/>
        </w:trPr>
        <w:tc>
          <w:tcPr>
            <w:tcW w:w="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4"/>
          </w:tcPr>
          <w:p>
            <w:pPr>
              <w:ind w:left="340"/>
              <w:spacing w:after="0"/>
              <w:rPr>
                <w:sz w:val="20"/>
                <w:szCs w:val="20"/>
                <w:color w:val="auto"/>
              </w:rPr>
            </w:pPr>
            <w:r>
              <w:rPr>
                <w:rFonts w:ascii="Arial" w:cs="Arial" w:eastAsia="Arial" w:hAnsi="Arial"/>
                <w:sz w:val="16"/>
                <w:szCs w:val="16"/>
                <w:b w:val="1"/>
                <w:bCs w:val="1"/>
                <w:color w:val="auto"/>
              </w:rPr>
              <w:t>Accumulated</w:t>
            </w: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740" w:type="dxa"/>
            <w:vAlign w:val="bottom"/>
            <w:gridSpan w:val="4"/>
          </w:tcPr>
          <w:p>
            <w:pPr>
              <w:ind w:left="620"/>
              <w:spacing w:after="0"/>
              <w:rPr>
                <w:sz w:val="20"/>
                <w:szCs w:val="20"/>
                <w:color w:val="auto"/>
              </w:rPr>
            </w:pPr>
            <w:r>
              <w:rPr>
                <w:rFonts w:ascii="Arial" w:cs="Arial" w:eastAsia="Arial" w:hAnsi="Arial"/>
                <w:sz w:val="16"/>
                <w:szCs w:val="16"/>
                <w:b w:val="1"/>
                <w:bCs w:val="1"/>
                <w:color w:val="auto"/>
              </w:rPr>
              <w:t>Gross</w:t>
            </w:r>
          </w:p>
        </w:tc>
        <w:tc>
          <w:tcPr>
            <w:tcW w:w="1700" w:type="dxa"/>
            <w:vAlign w:val="bottom"/>
            <w:gridSpan w:val="4"/>
          </w:tcPr>
          <w:p>
            <w:pPr>
              <w:ind w:left="340"/>
              <w:spacing w:after="0"/>
              <w:rPr>
                <w:sz w:val="20"/>
                <w:szCs w:val="20"/>
                <w:color w:val="auto"/>
              </w:rPr>
            </w:pPr>
            <w:r>
              <w:rPr>
                <w:rFonts w:ascii="Arial" w:cs="Arial" w:eastAsia="Arial" w:hAnsi="Arial"/>
                <w:sz w:val="16"/>
                <w:szCs w:val="16"/>
                <w:b w:val="1"/>
                <w:bCs w:val="1"/>
                <w:color w:val="auto"/>
              </w:rPr>
              <w:t>Amortization</w:t>
            </w:r>
          </w:p>
        </w:tc>
        <w:tc>
          <w:tcPr>
            <w:tcW w:w="1580" w:type="dxa"/>
            <w:vAlign w:val="bottom"/>
            <w:gridSpan w:val="2"/>
          </w:tcPr>
          <w:p>
            <w:pPr>
              <w:ind w:left="660"/>
              <w:spacing w:after="0"/>
              <w:rPr>
                <w:sz w:val="20"/>
                <w:szCs w:val="20"/>
                <w:color w:val="auto"/>
              </w:rPr>
            </w:pPr>
            <w:r>
              <w:rPr>
                <w:rFonts w:ascii="Arial" w:cs="Arial" w:eastAsia="Arial" w:hAnsi="Arial"/>
                <w:sz w:val="16"/>
                <w:szCs w:val="16"/>
                <w:b w:val="1"/>
                <w:bCs w:val="1"/>
                <w:color w:val="auto"/>
              </w:rPr>
              <w:t>Net</w:t>
            </w:r>
          </w:p>
        </w:tc>
      </w:tr>
      <w:tr>
        <w:trPr>
          <w:trHeight w:val="33"/>
        </w:trPr>
        <w:tc>
          <w:tcPr>
            <w:tcW w:w="8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other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Developed technology</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5,784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2,090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3,694</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80" w:type="dxa"/>
            <w:vAlign w:val="bottom"/>
            <w:tcBorders>
              <w:bottom w:val="single" w:sz="8" w:color="CCEEFF"/>
            </w:tcBorders>
            <w:shd w:val="clear" w:color="auto" w:fill="CCEEFF"/>
          </w:tcPr>
          <w:p>
            <w:pPr>
              <w:spacing w:after="0"/>
              <w:rPr>
                <w:sz w:val="23"/>
                <w:szCs w:val="23"/>
                <w:color w:val="auto"/>
              </w:rPr>
            </w:pPr>
          </w:p>
        </w:tc>
        <w:tc>
          <w:tcPr>
            <w:tcW w:w="6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6,284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4,173</w:t>
            </w:r>
          </w:p>
        </w:tc>
        <w:tc>
          <w:tcPr>
            <w:tcW w:w="60" w:type="dxa"/>
            <w:vAlign w:val="bottom"/>
            <w:tcBorders>
              <w:top w:val="single" w:sz="8" w:color="auto"/>
            </w:tcBorders>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Indefinite-lived other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In-process research and development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2,600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2,600</w:t>
            </w:r>
          </w:p>
        </w:tc>
        <w:tc>
          <w:tcPr>
            <w:tcW w:w="60" w:type="dxa"/>
            <w:vAlign w:val="bottom"/>
          </w:tcPr>
          <w:p>
            <w:pPr>
              <w:spacing w:after="0"/>
              <w:rPr>
                <w:sz w:val="21"/>
                <w:szCs w:val="2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7"/>
        </w:trPr>
        <w:tc>
          <w:tcPr>
            <w:tcW w:w="80" w:type="dxa"/>
            <w:vAlign w:val="bottom"/>
            <w:tcBorders>
              <w:bottom w:val="single" w:sz="8" w:color="CCEEFF"/>
            </w:tcBorders>
            <w:shd w:val="clear" w:color="auto" w:fill="CCEEFF"/>
          </w:tcPr>
          <w:p>
            <w:pPr>
              <w:spacing w:after="0"/>
              <w:rPr>
                <w:sz w:val="22"/>
                <w:szCs w:val="22"/>
                <w:color w:val="auto"/>
              </w:rPr>
            </w:pPr>
          </w:p>
        </w:tc>
        <w:tc>
          <w:tcPr>
            <w:tcW w:w="63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other intangible assets</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8,884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60" w:type="dxa"/>
            <w:vAlign w:val="bottom"/>
            <w:tcBorders>
              <w:bottom w:val="single" w:sz="8" w:color="auto"/>
            </w:tcBorders>
            <w:shd w:val="clear" w:color="auto" w:fill="CCEEFF"/>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575"/>
        </w:trPr>
        <w:tc>
          <w:tcPr>
            <w:tcW w:w="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4"/>
          </w:tcPr>
          <w:p>
            <w:pPr>
              <w:ind w:left="100"/>
              <w:spacing w:after="0"/>
              <w:rPr>
                <w:sz w:val="20"/>
                <w:szCs w:val="20"/>
                <w:color w:val="auto"/>
              </w:rPr>
            </w:pPr>
            <w:r>
              <w:rPr>
                <w:rFonts w:ascii="Arial" w:cs="Arial" w:eastAsia="Arial" w:hAnsi="Arial"/>
                <w:sz w:val="16"/>
                <w:szCs w:val="16"/>
                <w:b w:val="1"/>
                <w:bCs w:val="1"/>
                <w:color w:val="auto"/>
              </w:rPr>
              <w:t>December 31, 2012</w:t>
            </w: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
        </w:trPr>
        <w:tc>
          <w:tcPr>
            <w:tcW w:w="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9"/>
        </w:trPr>
        <w:tc>
          <w:tcPr>
            <w:tcW w:w="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4"/>
          </w:tcPr>
          <w:p>
            <w:pPr>
              <w:ind w:left="300"/>
              <w:spacing w:after="0"/>
              <w:rPr>
                <w:sz w:val="20"/>
                <w:szCs w:val="20"/>
                <w:color w:val="auto"/>
              </w:rPr>
            </w:pPr>
            <w:r>
              <w:rPr>
                <w:rFonts w:ascii="Arial" w:cs="Arial" w:eastAsia="Arial" w:hAnsi="Arial"/>
                <w:sz w:val="16"/>
                <w:szCs w:val="16"/>
                <w:b w:val="1"/>
                <w:bCs w:val="1"/>
                <w:color w:val="auto"/>
              </w:rPr>
              <w:t>Accumulated</w:t>
            </w: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740" w:type="dxa"/>
            <w:vAlign w:val="bottom"/>
            <w:gridSpan w:val="4"/>
          </w:tcPr>
          <w:p>
            <w:pPr>
              <w:ind w:left="600"/>
              <w:spacing w:after="0"/>
              <w:rPr>
                <w:sz w:val="20"/>
                <w:szCs w:val="20"/>
                <w:color w:val="auto"/>
              </w:rPr>
            </w:pPr>
            <w:r>
              <w:rPr>
                <w:rFonts w:ascii="Arial" w:cs="Arial" w:eastAsia="Arial" w:hAnsi="Arial"/>
                <w:sz w:val="16"/>
                <w:szCs w:val="16"/>
                <w:b w:val="1"/>
                <w:bCs w:val="1"/>
                <w:color w:val="auto"/>
              </w:rPr>
              <w:t>Gross</w:t>
            </w:r>
          </w:p>
        </w:tc>
        <w:tc>
          <w:tcPr>
            <w:tcW w:w="1700" w:type="dxa"/>
            <w:vAlign w:val="bottom"/>
            <w:gridSpan w:val="4"/>
          </w:tcPr>
          <w:p>
            <w:pPr>
              <w:ind w:left="300"/>
              <w:spacing w:after="0"/>
              <w:rPr>
                <w:sz w:val="20"/>
                <w:szCs w:val="20"/>
                <w:color w:val="auto"/>
              </w:rPr>
            </w:pPr>
            <w:r>
              <w:rPr>
                <w:rFonts w:ascii="Arial" w:cs="Arial" w:eastAsia="Arial" w:hAnsi="Arial"/>
                <w:sz w:val="16"/>
                <w:szCs w:val="16"/>
                <w:b w:val="1"/>
                <w:bCs w:val="1"/>
                <w:color w:val="auto"/>
              </w:rPr>
              <w:t>Amortization</w:t>
            </w:r>
          </w:p>
        </w:tc>
        <w:tc>
          <w:tcPr>
            <w:tcW w:w="1580" w:type="dxa"/>
            <w:vAlign w:val="bottom"/>
            <w:gridSpan w:val="2"/>
          </w:tcPr>
          <w:p>
            <w:pPr>
              <w:ind w:left="620"/>
              <w:spacing w:after="0"/>
              <w:rPr>
                <w:sz w:val="20"/>
                <w:szCs w:val="20"/>
                <w:color w:val="auto"/>
              </w:rPr>
            </w:pPr>
            <w:r>
              <w:rPr>
                <w:rFonts w:ascii="Arial" w:cs="Arial" w:eastAsia="Arial" w:hAnsi="Arial"/>
                <w:sz w:val="16"/>
                <w:szCs w:val="16"/>
                <w:b w:val="1"/>
                <w:bCs w:val="1"/>
                <w:color w:val="auto"/>
              </w:rPr>
              <w:t>Net</w:t>
            </w:r>
          </w:p>
        </w:tc>
      </w:tr>
      <w:tr>
        <w:trPr>
          <w:trHeight w:val="33"/>
        </w:trPr>
        <w:tc>
          <w:tcPr>
            <w:tcW w:w="80" w:type="dxa"/>
            <w:vAlign w:val="bottom"/>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other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32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3,541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1,424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2,117</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6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intangible assets</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3,541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1,424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2,117</w:t>
            </w:r>
          </w:p>
        </w:tc>
        <w:tc>
          <w:tcPr>
            <w:tcW w:w="6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Amortization expense was $0.4 million and $0.3 million for the three months ended June 30, 2013 and June 30, 2012, respectively. Amortization expense was $0.7 million and $0.6 million for the six months ended June 30, 2013 and June 30, 2012, respectively. The following table summarizes estimated future amortization expense of other intangible assets with finite lives for future fiscal years ($ amounts in 000’s):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160" w:type="dxa"/>
            <w:vAlign w:val="bottom"/>
          </w:tcPr>
          <w:p>
            <w:pPr>
              <w:jc w:val="right"/>
              <w:ind w:right="71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Years:</w:t>
            </w:r>
          </w:p>
        </w:tc>
        <w:tc>
          <w:tcPr>
            <w:tcW w:w="56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2013 (remainder)</w:t>
            </w:r>
          </w:p>
        </w:tc>
        <w:tc>
          <w:tcPr>
            <w:tcW w:w="7780" w:type="dxa"/>
            <w:vAlign w:val="bottom"/>
            <w:gridSpan w:val="2"/>
          </w:tcPr>
          <w:p>
            <w:pPr>
              <w:jc w:val="right"/>
              <w:ind w:right="13"/>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2014</w:t>
            </w:r>
          </w:p>
        </w:tc>
        <w:tc>
          <w:tcPr>
            <w:tcW w:w="77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2015</w:t>
            </w:r>
          </w:p>
        </w:tc>
        <w:tc>
          <w:tcPr>
            <w:tcW w:w="7780" w:type="dxa"/>
            <w:vAlign w:val="bottom"/>
            <w:gridSpan w:val="2"/>
          </w:tcPr>
          <w:p>
            <w:pPr>
              <w:jc w:val="right"/>
              <w:ind w:right="13"/>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77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2017</w:t>
            </w:r>
          </w:p>
        </w:tc>
        <w:tc>
          <w:tcPr>
            <w:tcW w:w="7780" w:type="dxa"/>
            <w:vAlign w:val="bottom"/>
            <w:gridSpan w:val="2"/>
          </w:tcPr>
          <w:p>
            <w:pPr>
              <w:jc w:val="right"/>
              <w:ind w:right="13"/>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Thereafter</w:t>
            </w:r>
          </w:p>
        </w:tc>
        <w:tc>
          <w:tcPr>
            <w:tcW w:w="56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7"/>
        </w:trPr>
        <w:tc>
          <w:tcPr>
            <w:tcW w:w="3640" w:type="dxa"/>
            <w:vAlign w:val="bottom"/>
          </w:tcPr>
          <w:p>
            <w:pPr>
              <w:ind w:left="40"/>
              <w:spacing w:after="0"/>
              <w:rPr>
                <w:sz w:val="20"/>
                <w:szCs w:val="20"/>
                <w:color w:val="auto"/>
              </w:rPr>
            </w:pPr>
            <w:r>
              <w:rPr>
                <w:rFonts w:ascii="Arial" w:cs="Arial" w:eastAsia="Arial" w:hAnsi="Arial"/>
                <w:sz w:val="18"/>
                <w:szCs w:val="18"/>
                <w:color w:val="auto"/>
              </w:rPr>
              <w:t>Total</w:t>
            </w:r>
          </w:p>
        </w:tc>
        <w:tc>
          <w:tcPr>
            <w:tcW w:w="5620" w:type="dxa"/>
            <w:vAlign w:val="bottom"/>
          </w:tcPr>
          <w:p>
            <w:pPr>
              <w:spacing w:after="0"/>
              <w:rPr>
                <w:sz w:val="22"/>
                <w:szCs w:val="22"/>
                <w:color w:val="auto"/>
              </w:rPr>
            </w:pPr>
          </w:p>
        </w:tc>
        <w:tc>
          <w:tcPr>
            <w:tcW w:w="2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4,173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620" w:type="dxa"/>
            <w:vAlign w:val="bottom"/>
            <w:vMerge w:val="restart"/>
          </w:tcPr>
          <w:p>
            <w:pPr>
              <w:jc w:val="right"/>
              <w:ind w:right="3370"/>
              <w:spacing w:after="0"/>
              <w:rPr>
                <w:sz w:val="20"/>
                <w:szCs w:val="20"/>
                <w:color w:val="auto"/>
              </w:rPr>
            </w:pPr>
            <w:r>
              <w:rPr>
                <w:rFonts w:ascii="Arial" w:cs="Arial" w:eastAsia="Arial" w:hAnsi="Arial"/>
                <w:sz w:val="18"/>
                <w:szCs w:val="18"/>
                <w:color w:val="auto"/>
              </w:rPr>
              <w:t>22</w:t>
            </w: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4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changes in accumulated balances of other comprehensive income for the six months ended June 30, 2013 ($ amounts in 000's):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Tax benefit or</w:t>
            </w:r>
          </w:p>
        </w:tc>
        <w:tc>
          <w:tcPr>
            <w:tcW w:w="15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provision related to</w:t>
            </w:r>
          </w:p>
        </w:tc>
        <w:tc>
          <w:tcPr>
            <w:tcW w:w="15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Foreign Currency</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Unrealized Gains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items of other</w:t>
            </w:r>
          </w:p>
        </w:tc>
        <w:tc>
          <w:tcPr>
            <w:tcW w:w="15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Translation Gains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and Losses on</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158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and Losses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Investments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income or loss</w:t>
            </w: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1,758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(2,738)</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(2,741)</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provides details about the reclassification out of accumulated other comprehensive income for the six months ended June 30, 2013 ($ amounts in 000s):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Amount Reclassified from</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2"/>
              </w:rPr>
              <w:t>Affected Line Item in the</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Accumulated Other</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Statement Where Net Income is</w:t>
            </w:r>
          </w:p>
        </w:tc>
        <w:tc>
          <w:tcPr>
            <w:tcW w:w="0" w:type="dxa"/>
            <w:vAlign w:val="bottom"/>
          </w:tcPr>
          <w:p>
            <w:pPr>
              <w:spacing w:after="0"/>
              <w:rPr>
                <w:sz w:val="1"/>
                <w:szCs w:val="1"/>
                <w:color w:val="auto"/>
              </w:rPr>
            </w:pPr>
          </w:p>
        </w:tc>
      </w:tr>
      <w:tr>
        <w:trPr>
          <w:trHeight w:val="234"/>
        </w:trPr>
        <w:tc>
          <w:tcPr>
            <w:tcW w:w="6540" w:type="dxa"/>
            <w:vAlign w:val="bottom"/>
            <w:gridSpan w:val="2"/>
          </w:tcPr>
          <w:p>
            <w:pPr>
              <w:ind w:left="480"/>
              <w:spacing w:after="0"/>
              <w:rPr>
                <w:sz w:val="20"/>
                <w:szCs w:val="20"/>
                <w:color w:val="auto"/>
              </w:rPr>
            </w:pPr>
            <w:r>
              <w:rPr>
                <w:rFonts w:ascii="Arial" w:cs="Arial" w:eastAsia="Arial" w:hAnsi="Arial"/>
                <w:sz w:val="18"/>
                <w:szCs w:val="18"/>
                <w:b w:val="1"/>
                <w:bCs w:val="1"/>
                <w:color w:val="auto"/>
                <w:w w:val="99"/>
              </w:rPr>
              <w:t>Details about Accumulated Other Comprehensive Income Components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Comprehensive Income</w:t>
            </w:r>
          </w:p>
        </w:tc>
        <w:tc>
          <w:tcPr>
            <w:tcW w:w="10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4"/>
              </w:rPr>
              <w:t>Presented</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gains on investments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43"/>
        </w:trPr>
        <w:tc>
          <w:tcPr>
            <w:tcW w:w="6540" w:type="dxa"/>
            <w:vAlign w:val="bottom"/>
            <w:gridSpan w:val="2"/>
          </w:tcPr>
          <w:p>
            <w:pPr>
              <w:ind w:left="280"/>
              <w:spacing w:after="0"/>
              <w:rPr>
                <w:sz w:val="20"/>
                <w:szCs w:val="20"/>
                <w:color w:val="auto"/>
              </w:rPr>
            </w:pPr>
            <w:r>
              <w:rPr>
                <w:rFonts w:ascii="Arial" w:cs="Arial" w:eastAsia="Arial" w:hAnsi="Arial"/>
                <w:sz w:val="18"/>
                <w:szCs w:val="18"/>
                <w:color w:val="auto"/>
              </w:rPr>
              <w:t>Tax provision related to items of other comprehensive income or loss</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reclassification for the period</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56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t>
      </w: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w:t>
      </w:r>
      <w:r>
        <w:rPr>
          <w:rFonts w:ascii="Arial" w:cs="Arial" w:eastAsia="Arial" w:hAnsi="Arial"/>
          <w:sz w:val="18"/>
          <w:szCs w:val="18"/>
          <w:i w:val="1"/>
          <w:iCs w:val="1"/>
          <w:color w:val="auto"/>
        </w:rPr>
        <w:t>). These statements include, among other things, statements concerning our expectations regarding:</w:t>
      </w:r>
    </w:p>
    <w:p>
      <w:pPr>
        <w:spacing w:after="0" w:line="73"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continued sales into large enterprises and service providers;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significance of stock-based compensation as an expense;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the proportion of our revenue that consists of our product and service revenues, and the mix of billings between products and services;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personnel costs, research and development expense, sales and marketing expense and general and administrative expense, and expectations regarding these expenses as a percentage of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the sufficiency of our existing cash, cash equivalents and investments to meet our cash needs for at least the next 12 months;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as well as other statements regarding our future operations, financial condition and prospects and business strategies.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included in Part II, Item 1A. Risk Factors and elsewhere in this Quarterly Report on Form 10-Q and in our other SEC filings, including the Form 10-K.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provide network security solutions, which enable broad, integrated and high performance protection against dynamic security threats while simplifying the IT security infrastructure for enterprises, service providers and governmental entities worldwide. From inception through June 30, 2013, we shipped over 1,250,000 appliances via more than 15,000 channel partners to more than 160,000 end-customers worldwide, including a majority of the 2012 Fortune Global 100.</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core Unified Threat Management (“UTM”)/Next Generation Firewall (“NGFW”) product line of FortiGate physical and virtual appliances ships with a set of security and networking capabilities, including firewall, VPN, application control, anti-malware, intrusion prevention, Web filtering, anti-spam and WAN acceleration functionality. We derive a substantial majority of product sales from our FortiGate appliances, which range from the FortiGate-20, designed for small businesses, to the FortiGate-5000 series for large enterprises, telecommunications carriers, and service providers. Our UTM/NGFW solution also includes our FortiGuard security subscription services, which end-customers can subscribe to in order to obtain access to dynamic updates to intrusion prevention, application control, anti-malware, Web filtering, vulnerability management and anti-spam functionality included in our appliances. End-customers can also choose to purchase FortiCare technical support services for our products. End-customers also often use FortiManager and FortiAnalyzer products in conjunction with a FortiGate deployment to provide centralized management, analysis and reporting capabilities.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complement our core FortiGate product line with other appliances and software that offer additional protection from security threats to other critical areas of the enterprise, such as messaging, Web application firewalls, databases, protection against DDoS, endpoint security for employee computers and mobile devices and wireless access point. Although sales of these complementary products have grown in recent quarters, these products still represent less than 10% of our total revenue.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Highlights</w:t>
      </w:r>
    </w:p>
    <w:p>
      <w:pPr>
        <w:spacing w:after="0" w:line="225" w:lineRule="exact"/>
        <w:rPr>
          <w:sz w:val="20"/>
          <w:szCs w:val="20"/>
          <w:color w:val="auto"/>
        </w:rPr>
      </w:pPr>
    </w:p>
    <w:p>
      <w:pPr>
        <w:ind w:left="1300" w:right="180" w:hanging="644"/>
        <w:spacing w:after="0" w:line="25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total revenue of $147.4 million and $283.2 million during the three and six months ended June 30, 2013, respectively. This represents an increase of 14% and 15% during the three and six months ended June 30, 2013, respectively, compared to the same periods last year. Product revenue was $66.5 million and $124.5 million during the three and six months ended June 30, 2013, respectively, an increase of 8% during each of the periods, compared to the same periods last year. Services revenue was $79.7 million and $155.6 million during the three and six months ended June 30, 2013, respectively, an increase of 22% during each of the periods, compared to the same periods last year.</w:t>
      </w:r>
    </w:p>
    <w:p>
      <w:pPr>
        <w:spacing w:after="0" w:line="19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$75.3 million during the six months ended June 30, 2013, a decrease of 19% compared to the same period last year.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cash equivalents and investments were $814.4 million as of June 30, 2013, an increase of $74.8 million from December 31, 2012.</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revenue was $389.7 million as of June 30, 2013, an increase of $26.5 million from December 31, 2012.</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the three and six months ended June 30, 2013, revenue grew as a result of our sales efforts and product offerings. We also continued to gain traction with several recently introduced products, including new FortiGate entry-level appliances such as the FG-60D with its WIFI counterparts; the FG-800C mid-range appliance; and the FG-3600C and FG-5001C for large enterprises and service providers.</w:t>
      </w:r>
    </w:p>
    <w:p>
      <w:pPr>
        <w:spacing w:after="0" w:line="18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continue to invest in research and development to strengthen our technology leadership position, as well as sales and marketing to expand brand awareness, strengthen our value proposition, and expand our global sales team and distribution channels. During the three and six months ended June 30, 2013, we experienced higher sales volume in our FortiGate product family, particularly entry-level products, wireless security and access point products, which contributed to the largest portion of the growth during this period. Although we experienced a decline in deals valued at greater than $500,000 during the six months ended June 30, 2013 when compared to the same period last year, during the three and six months ended June 30, 2013, we experienced an increase in the number of deals involving sales greater than $250,000 and deals greater than $100,000 when compared to the same periods last year. Specifically, the number of deals involving sales greater than $500,000 was 20 and 33 in the three and six months ended June 30, 2013, respectively, compared to 19 and 38 in the three and six months ended June 30, 2012, respectively. The number of deals involving sales greater than $250,000 was 58 and 113 in the three and six months ended June 30, 2013, respectively, compared to 55 and 102 in the three and six months ended June 30, 2012, respectively. The number of deals involving sales greater than $100,000 was 190 and 360 in the three and six months ended June 30, 2013, respectively, compared to 168 and 321 in the three and six months ended June 30, 2012, respectively. We expect some variability in this metric, and remain focused on investing in our sales and marketing and research and development resources in order to expand our reach into new high-growth verticals and emerging markets. Moreover, such investments will allow us to meet increasing customer expectations about the quality and functionality of our products, as we continue to sell to large enterprises and service providers. While we have experienced some success selling to large enterprises, across key verticals, including service provider, government, retail, financial services and education, we experienced slower sales in the U.S. service provider sector during the three and six months ended June 30, 2013, and there can be no assurance we will be successful selling into these vertical customer segments.</w:t>
      </w:r>
    </w:p>
    <w:p>
      <w:pPr>
        <w:spacing w:after="0" w:line="17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During the three and six months ended June 30, 2013, operating expenses increased by 27% and 24% compared to the same periods last year. The increase was primarily driven by additional headcount as we continued to invest in the development of new products and expand our sales coverage. Headcount increased to 2,182 as of June 30, 2013 from 1,762 as of June 30, 2012. Our accelerated pace of hiring continued during the three and six months ended June 30, 2013, particularly in sales and marketing, research and development, and technical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monitor the key financial metrics set forth below to help us evaluate growth trends, establish budgets, measure the effectiveness of our sales and marketing efforts, and assess operational efficiencies. Our total deferred revenue increased by $13.3 million from $376.4 million as of March 31, 2013 to $389.7 million as of June 30, 2013. Revenue recognized plus the change in deferred revenue from the beginning to the end of the period less any deferred revenue balances acquired from business combination(s) is a useful metric that management identifies as billings. Billings for services drive deferred revenue, which is an important indicator of the health and visibility of our business, and has historically represented a majority of the revenue that we recognize in a typical quarter. As of June 30, 2013, we had $814.4 million in cash, cash equivalents and investments and have had positive cash flow from operations every fiscal year since 2005. We discuss revenue, gross margin, and the components of operating income and margin below under “—Results of Operations,” and we discuss our cash, cash equivalents, and investments under “—Liquidity and Capital Resources.” Deferred revenue and cash flow from operations are discussed immediately below the following table.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3220" w:type="dxa"/>
            <w:vAlign w:val="bottom"/>
            <w:gridSpan w:val="2"/>
          </w:tcPr>
          <w:p>
            <w:pPr>
              <w:jc w:val="right"/>
              <w:ind w:right="434"/>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8200" w:type="dxa"/>
            <w:vAlign w:val="bottom"/>
          </w:tcPr>
          <w:p>
            <w:pPr>
              <w:spacing w:after="0"/>
              <w:rPr>
                <w:sz w:val="18"/>
                <w:szCs w:val="18"/>
                <w:color w:val="auto"/>
              </w:rPr>
            </w:pPr>
          </w:p>
        </w:tc>
        <w:tc>
          <w:tcPr>
            <w:tcW w:w="1820" w:type="dxa"/>
            <w:vAlign w:val="bottom"/>
          </w:tcPr>
          <w:p>
            <w:pPr>
              <w:jc w:val="right"/>
              <w:ind w:right="675"/>
              <w:spacing w:after="0"/>
              <w:rPr>
                <w:sz w:val="20"/>
                <w:szCs w:val="20"/>
                <w:color w:val="auto"/>
              </w:rPr>
            </w:pPr>
            <w:r>
              <w:rPr>
                <w:rFonts w:ascii="Arial" w:cs="Arial" w:eastAsia="Arial" w:hAnsi="Arial"/>
                <w:sz w:val="16"/>
                <w:szCs w:val="16"/>
                <w:b w:val="1"/>
                <w:bCs w:val="1"/>
                <w:color w:val="auto"/>
              </w:rPr>
              <w:t>June 30,</w:t>
            </w:r>
          </w:p>
        </w:tc>
        <w:tc>
          <w:tcPr>
            <w:tcW w:w="1400" w:type="dxa"/>
            <w:vAlign w:val="bottom"/>
          </w:tcPr>
          <w:p>
            <w:pPr>
              <w:jc w:val="right"/>
              <w:ind w:right="41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200" w:type="dxa"/>
            <w:vAlign w:val="bottom"/>
          </w:tcPr>
          <w:p>
            <w:pPr>
              <w:spacing w:after="0"/>
              <w:rPr>
                <w:sz w:val="18"/>
                <w:szCs w:val="18"/>
                <w:color w:val="auto"/>
              </w:rPr>
            </w:pPr>
          </w:p>
        </w:tc>
        <w:tc>
          <w:tcPr>
            <w:tcW w:w="1820" w:type="dxa"/>
            <w:vAlign w:val="bottom"/>
          </w:tcPr>
          <w:p>
            <w:pPr>
              <w:jc w:val="right"/>
              <w:ind w:right="795"/>
              <w:spacing w:after="0"/>
              <w:rPr>
                <w:sz w:val="20"/>
                <w:szCs w:val="20"/>
                <w:color w:val="auto"/>
              </w:rPr>
            </w:pPr>
            <w:r>
              <w:rPr>
                <w:rFonts w:ascii="Arial" w:cs="Arial" w:eastAsia="Arial" w:hAnsi="Arial"/>
                <w:sz w:val="16"/>
                <w:szCs w:val="16"/>
                <w:b w:val="1"/>
                <w:bCs w:val="1"/>
                <w:color w:val="auto"/>
              </w:rPr>
              <w:t>2013</w:t>
            </w:r>
          </w:p>
        </w:tc>
        <w:tc>
          <w:tcPr>
            <w:tcW w:w="1400" w:type="dxa"/>
            <w:vAlign w:val="bottom"/>
          </w:tcPr>
          <w:p>
            <w:pPr>
              <w:jc w:val="right"/>
              <w:ind w:right="534"/>
              <w:spacing w:after="0"/>
              <w:rPr>
                <w:sz w:val="20"/>
                <w:szCs w:val="20"/>
                <w:color w:val="auto"/>
              </w:rPr>
            </w:pPr>
            <w:r>
              <w:rPr>
                <w:rFonts w:ascii="Arial" w:cs="Arial" w:eastAsia="Arial" w:hAnsi="Arial"/>
                <w:sz w:val="16"/>
                <w:szCs w:val="16"/>
                <w:b w:val="1"/>
                <w:bCs w:val="1"/>
                <w:color w:val="auto"/>
              </w:rPr>
              <w:t>2012</w:t>
            </w:r>
          </w:p>
        </w:tc>
      </w:tr>
      <w:tr>
        <w:trPr>
          <w:trHeight w:val="33"/>
        </w:trPr>
        <w:tc>
          <w:tcPr>
            <w:tcW w:w="8200" w:type="dxa"/>
            <w:vAlign w:val="bottom"/>
          </w:tcPr>
          <w:p>
            <w:pPr>
              <w:spacing w:after="0"/>
              <w:rPr>
                <w:sz w:val="2"/>
                <w:szCs w:val="2"/>
                <w:color w:val="auto"/>
              </w:rPr>
            </w:pPr>
          </w:p>
        </w:tc>
        <w:tc>
          <w:tcPr>
            <w:tcW w:w="3220" w:type="dxa"/>
            <w:vAlign w:val="bottom"/>
            <w:tcBorders>
              <w:bottom w:val="single" w:sz="8" w:color="auto"/>
            </w:tcBorders>
            <w:gridSpan w:val="2"/>
          </w:tcPr>
          <w:p>
            <w:pPr>
              <w:spacing w:after="0"/>
              <w:rPr>
                <w:sz w:val="2"/>
                <w:szCs w:val="2"/>
                <w:color w:val="auto"/>
              </w:rPr>
            </w:pPr>
          </w:p>
        </w:tc>
      </w:tr>
      <w:tr>
        <w:trPr>
          <w:trHeight w:val="217"/>
        </w:trPr>
        <w:tc>
          <w:tcPr>
            <w:tcW w:w="8200" w:type="dxa"/>
            <w:vAlign w:val="bottom"/>
          </w:tcPr>
          <w:p>
            <w:pPr>
              <w:spacing w:after="0"/>
              <w:rPr>
                <w:sz w:val="18"/>
                <w:szCs w:val="18"/>
                <w:color w:val="auto"/>
              </w:rPr>
            </w:pPr>
          </w:p>
        </w:tc>
        <w:tc>
          <w:tcPr>
            <w:tcW w:w="3220" w:type="dxa"/>
            <w:vAlign w:val="bottom"/>
            <w:gridSpan w:val="2"/>
          </w:tcPr>
          <w:p>
            <w:pPr>
              <w:jc w:val="right"/>
              <w:ind w:right="814"/>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8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2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8"/>
                <w:szCs w:val="18"/>
                <w:color w:val="auto"/>
              </w:rPr>
              <w:t>147,428</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128,962</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Gross margin</w:t>
            </w:r>
          </w:p>
        </w:tc>
        <w:tc>
          <w:tcPr>
            <w:tcW w:w="1820" w:type="dxa"/>
            <w:vAlign w:val="bottom"/>
          </w:tcPr>
          <w:p>
            <w:pPr>
              <w:jc w:val="right"/>
              <w:ind w:right="215"/>
              <w:spacing w:after="0"/>
              <w:rPr>
                <w:sz w:val="20"/>
                <w:szCs w:val="20"/>
                <w:color w:val="auto"/>
              </w:rPr>
            </w:pPr>
            <w:r>
              <w:rPr>
                <w:rFonts w:ascii="Arial" w:cs="Arial" w:eastAsia="Arial" w:hAnsi="Arial"/>
                <w:sz w:val="18"/>
                <w:szCs w:val="18"/>
                <w:color w:val="auto"/>
              </w:rPr>
              <w:t>70%</w:t>
            </w:r>
          </w:p>
        </w:tc>
        <w:tc>
          <w:tcPr>
            <w:tcW w:w="14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18"/>
                <w:szCs w:val="18"/>
                <w:color w:val="auto"/>
                <w:vertAlign w:val="superscript"/>
              </w:rPr>
              <w:t>(1)</w:t>
            </w:r>
          </w:p>
        </w:tc>
        <w:tc>
          <w:tcPr>
            <w:tcW w:w="18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13,777</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20,950</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Operating margin</w:t>
            </w:r>
          </w:p>
        </w:tc>
        <w:tc>
          <w:tcPr>
            <w:tcW w:w="1820" w:type="dxa"/>
            <w:vAlign w:val="bottom"/>
          </w:tcPr>
          <w:p>
            <w:pPr>
              <w:jc w:val="right"/>
              <w:ind w:right="215"/>
              <w:spacing w:after="0"/>
              <w:rPr>
                <w:sz w:val="20"/>
                <w:szCs w:val="20"/>
                <w:color w:val="auto"/>
              </w:rPr>
            </w:pPr>
            <w:r>
              <w:rPr>
                <w:rFonts w:ascii="Arial" w:cs="Arial" w:eastAsia="Arial" w:hAnsi="Arial"/>
                <w:sz w:val="18"/>
                <w:szCs w:val="18"/>
                <w:color w:val="auto"/>
              </w:rPr>
              <w:t>9%</w:t>
            </w: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182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8"/>
                <w:szCs w:val="18"/>
                <w:color w:val="auto"/>
              </w:rPr>
              <w:t>389,682</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331,368</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Increase in total deferred revenue</w:t>
            </w:r>
          </w:p>
        </w:tc>
        <w:tc>
          <w:tcPr>
            <w:tcW w:w="1820" w:type="dxa"/>
            <w:vAlign w:val="bottom"/>
          </w:tcPr>
          <w:p>
            <w:pPr>
              <w:jc w:val="right"/>
              <w:ind w:right="355"/>
              <w:spacing w:after="0"/>
              <w:rPr>
                <w:sz w:val="20"/>
                <w:szCs w:val="20"/>
                <w:color w:val="auto"/>
              </w:rPr>
            </w:pPr>
            <w:r>
              <w:rPr>
                <w:rFonts w:ascii="Arial" w:cs="Arial" w:eastAsia="Arial" w:hAnsi="Arial"/>
                <w:sz w:val="18"/>
                <w:szCs w:val="18"/>
                <w:color w:val="auto"/>
              </w:rPr>
              <w:t>13,268</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16,796</w:t>
            </w:r>
          </w:p>
        </w:tc>
      </w:tr>
      <w:tr>
        <w:trPr>
          <w:trHeight w:val="27"/>
        </w:trPr>
        <w:tc>
          <w:tcPr>
            <w:tcW w:w="8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182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8"/>
                <w:szCs w:val="18"/>
                <w:color w:val="auto"/>
              </w:rPr>
              <w:t>814,410</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644,398</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Cash provided by operating activities</w:t>
            </w:r>
          </w:p>
        </w:tc>
        <w:tc>
          <w:tcPr>
            <w:tcW w:w="1820" w:type="dxa"/>
            <w:vAlign w:val="bottom"/>
          </w:tcPr>
          <w:p>
            <w:pPr>
              <w:jc w:val="right"/>
              <w:ind w:right="355"/>
              <w:spacing w:after="0"/>
              <w:rPr>
                <w:sz w:val="20"/>
                <w:szCs w:val="20"/>
                <w:color w:val="auto"/>
              </w:rPr>
            </w:pPr>
            <w:r>
              <w:rPr>
                <w:rFonts w:ascii="Arial" w:cs="Arial" w:eastAsia="Arial" w:hAnsi="Arial"/>
                <w:sz w:val="18"/>
                <w:szCs w:val="18"/>
                <w:color w:val="auto"/>
              </w:rPr>
              <w:t>37,221</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44,285</w:t>
            </w:r>
          </w:p>
        </w:tc>
      </w:tr>
      <w:tr>
        <w:trPr>
          <w:trHeight w:val="27"/>
        </w:trPr>
        <w:tc>
          <w:tcPr>
            <w:tcW w:w="8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r>
              <w:rPr>
                <w:rFonts w:ascii="Arial" w:cs="Arial" w:eastAsia="Arial" w:hAnsi="Arial"/>
                <w:sz w:val="18"/>
                <w:szCs w:val="18"/>
                <w:color w:val="auto"/>
                <w:vertAlign w:val="superscript"/>
              </w:rPr>
              <w:t>(2)</w:t>
            </w:r>
          </w:p>
        </w:tc>
        <w:tc>
          <w:tcPr>
            <w:tcW w:w="18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35,186</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42,054</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___________________</w:t>
            </w:r>
          </w:p>
        </w:tc>
        <w:tc>
          <w:tcPr>
            <w:tcW w:w="18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5"/>
        </w:trPr>
        <w:tc>
          <w:tcPr>
            <w:tcW w:w="8200" w:type="dxa"/>
            <w:vAlign w:val="bottom"/>
          </w:tcPr>
          <w:p>
            <w:pPr>
              <w:ind w:left="40"/>
              <w:spacing w:after="0"/>
              <w:rPr>
                <w:sz w:val="20"/>
                <w:szCs w:val="20"/>
                <w:color w:val="auto"/>
              </w:rPr>
            </w:pPr>
            <w:r>
              <w:rPr>
                <w:rFonts w:ascii="Arial" w:cs="Arial" w:eastAsia="Arial" w:hAnsi="Arial"/>
                <w:sz w:val="14"/>
                <w:szCs w:val="14"/>
                <w:color w:val="auto"/>
              </w:rPr>
              <w:t>(1) Includes:</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1820" w:type="dxa"/>
            <w:vAlign w:val="bottom"/>
          </w:tcPr>
          <w:p>
            <w:pPr>
              <w:jc w:val="right"/>
              <w:ind w:right="375"/>
              <w:spacing w:after="0"/>
              <w:rPr>
                <w:sz w:val="20"/>
                <w:szCs w:val="20"/>
                <w:color w:val="auto"/>
              </w:rPr>
            </w:pPr>
            <w:r>
              <w:rPr>
                <w:rFonts w:ascii="Arial" w:cs="Arial" w:eastAsia="Arial" w:hAnsi="Arial"/>
                <w:sz w:val="14"/>
                <w:szCs w:val="14"/>
                <w:color w:val="auto"/>
              </w:rPr>
              <w:t>10,707</w:t>
            </w:r>
          </w:p>
        </w:tc>
        <w:tc>
          <w:tcPr>
            <w:tcW w:w="1400" w:type="dxa"/>
            <w:vAlign w:val="bottom"/>
          </w:tcPr>
          <w:p>
            <w:pPr>
              <w:jc w:val="right"/>
              <w:ind w:right="94"/>
              <w:spacing w:after="0"/>
              <w:rPr>
                <w:sz w:val="20"/>
                <w:szCs w:val="20"/>
                <w:color w:val="auto"/>
              </w:rPr>
            </w:pPr>
            <w:r>
              <w:rPr>
                <w:rFonts w:ascii="Arial" w:cs="Arial" w:eastAsia="Arial" w:hAnsi="Arial"/>
                <w:sz w:val="14"/>
                <w:szCs w:val="14"/>
                <w:color w:val="auto"/>
              </w:rPr>
              <w:t>7,852</w:t>
            </w:r>
          </w:p>
        </w:tc>
      </w:tr>
      <w:tr>
        <w:trPr>
          <w:trHeight w:val="270"/>
        </w:trPr>
        <w:tc>
          <w:tcPr>
            <w:tcW w:w="8200" w:type="dxa"/>
            <w:vAlign w:val="bottom"/>
          </w:tcPr>
          <w:p>
            <w:pPr>
              <w:ind w:left="380"/>
              <w:spacing w:after="0"/>
              <w:rPr>
                <w:sz w:val="20"/>
                <w:szCs w:val="20"/>
                <w:color w:val="auto"/>
              </w:rPr>
            </w:pPr>
            <w:r>
              <w:rPr>
                <w:rFonts w:ascii="Arial" w:cs="Arial" w:eastAsia="Arial" w:hAnsi="Arial"/>
                <w:sz w:val="14"/>
                <w:szCs w:val="14"/>
                <w:color w:val="auto"/>
              </w:rPr>
              <w:t>Patent settlement income</w:t>
            </w:r>
          </w:p>
        </w:tc>
        <w:tc>
          <w:tcPr>
            <w:tcW w:w="1820" w:type="dxa"/>
            <w:vAlign w:val="bottom"/>
          </w:tcPr>
          <w:p>
            <w:pPr>
              <w:jc w:val="right"/>
              <w:ind w:right="375"/>
              <w:spacing w:after="0"/>
              <w:rPr>
                <w:sz w:val="20"/>
                <w:szCs w:val="20"/>
                <w:color w:val="auto"/>
              </w:rPr>
            </w:pPr>
            <w:r>
              <w:rPr>
                <w:rFonts w:ascii="Arial" w:cs="Arial" w:eastAsia="Arial" w:hAnsi="Arial"/>
                <w:sz w:val="14"/>
                <w:szCs w:val="14"/>
                <w:color w:val="auto"/>
              </w:rPr>
              <w:t>478</w:t>
            </w:r>
          </w:p>
        </w:tc>
        <w:tc>
          <w:tcPr>
            <w:tcW w:w="1400" w:type="dxa"/>
            <w:vAlign w:val="bottom"/>
          </w:tcPr>
          <w:p>
            <w:pPr>
              <w:jc w:val="right"/>
              <w:ind w:right="94"/>
              <w:spacing w:after="0"/>
              <w:rPr>
                <w:sz w:val="20"/>
                <w:szCs w:val="20"/>
                <w:color w:val="auto"/>
              </w:rPr>
            </w:pPr>
            <w:r>
              <w:rPr>
                <w:rFonts w:ascii="Arial" w:cs="Arial" w:eastAsia="Arial" w:hAnsi="Arial"/>
                <w:sz w:val="14"/>
                <w:szCs w:val="14"/>
                <w:color w:val="auto"/>
              </w:rPr>
              <w:t>478</w:t>
            </w:r>
          </w:p>
        </w:tc>
      </w:tr>
      <w:tr>
        <w:trPr>
          <w:trHeight w:val="324"/>
        </w:trPr>
        <w:tc>
          <w:tcPr>
            <w:tcW w:w="8200" w:type="dxa"/>
            <w:vAlign w:val="bottom"/>
          </w:tcPr>
          <w:p>
            <w:pPr>
              <w:ind w:left="40"/>
              <w:spacing w:after="0"/>
              <w:rPr>
                <w:sz w:val="20"/>
                <w:szCs w:val="20"/>
                <w:color w:val="auto"/>
              </w:rPr>
            </w:pPr>
            <w:r>
              <w:rPr>
                <w:rFonts w:ascii="Arial" w:cs="Arial" w:eastAsia="Arial" w:hAnsi="Arial"/>
                <w:sz w:val="14"/>
                <w:szCs w:val="14"/>
                <w:color w:val="auto"/>
              </w:rPr>
              <w:t>(2) See “—Cash flow from operations” below for a definition of free cash flow.</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1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Our deferred revenue consists of amounts that have been invoiced but that have not yet been recognized as revenue.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our deferred revenue balance consists of the unamortized portion of services revenue from subscription and support service contracts. We monitor our deferred revenue balance because it represents a significant portion of revenue to be recognized in future periods. We define billings as revenue recognized during a period plus the change in deferred revenue from the beginning to the end of the period less any deferred revenue balances acquired from business combination(s) during the period. The following table reflects the reconciliation of billings to revenue. For a discussion of the limitations of non-GAAP financial measures, see “—Other Non-GAAP Financial Measures” below.</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3"/>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1820" w:type="dxa"/>
            <w:vAlign w:val="bottom"/>
            <w:gridSpan w:val="2"/>
          </w:tcPr>
          <w:p>
            <w:pPr>
              <w:ind w:left="540"/>
              <w:spacing w:after="0"/>
              <w:rPr>
                <w:sz w:val="20"/>
                <w:szCs w:val="20"/>
                <w:color w:val="auto"/>
              </w:rPr>
            </w:pPr>
            <w:r>
              <w:rPr>
                <w:rFonts w:ascii="Arial" w:cs="Arial" w:eastAsia="Arial" w:hAnsi="Arial"/>
                <w:sz w:val="16"/>
                <w:szCs w:val="16"/>
                <w:b w:val="1"/>
                <w:bCs w:val="1"/>
                <w:color w:val="auto"/>
              </w:rPr>
              <w:t>June 30,</w:t>
            </w:r>
          </w:p>
        </w:tc>
        <w:tc>
          <w:tcPr>
            <w:tcW w:w="1700" w:type="dxa"/>
            <w:vAlign w:val="bottom"/>
          </w:tcPr>
          <w:p>
            <w:pPr>
              <w:jc w:val="right"/>
              <w:ind w:right="49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7900" w:type="dxa"/>
            <w:vAlign w:val="bottom"/>
          </w:tcPr>
          <w:p>
            <w:pPr>
              <w:spacing w:after="0"/>
              <w:rPr>
                <w:sz w:val="18"/>
                <w:szCs w:val="18"/>
                <w:color w:val="auto"/>
              </w:rPr>
            </w:pPr>
          </w:p>
        </w:tc>
        <w:tc>
          <w:tcPr>
            <w:tcW w:w="1720" w:type="dxa"/>
            <w:vAlign w:val="bottom"/>
          </w:tcPr>
          <w:p>
            <w:pPr>
              <w:jc w:val="right"/>
              <w:ind w:right="615"/>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700" w:type="dxa"/>
            <w:vAlign w:val="bottom"/>
          </w:tcPr>
          <w:p>
            <w:pPr>
              <w:jc w:val="right"/>
              <w:ind w:right="594"/>
              <w:spacing w:after="0"/>
              <w:rPr>
                <w:sz w:val="20"/>
                <w:szCs w:val="20"/>
                <w:color w:val="auto"/>
              </w:rPr>
            </w:pPr>
            <w:r>
              <w:rPr>
                <w:rFonts w:ascii="Arial" w:cs="Arial" w:eastAsia="Arial" w:hAnsi="Arial"/>
                <w:sz w:val="16"/>
                <w:szCs w:val="16"/>
                <w:b w:val="1"/>
                <w:bCs w:val="1"/>
                <w:color w:val="auto"/>
              </w:rPr>
              <w:t>2012</w:t>
            </w:r>
          </w:p>
        </w:tc>
      </w:tr>
      <w:tr>
        <w:trPr>
          <w:trHeight w:val="33"/>
        </w:trPr>
        <w:tc>
          <w:tcPr>
            <w:tcW w:w="7900" w:type="dxa"/>
            <w:vAlign w:val="bottom"/>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520" w:type="dxa"/>
            <w:vAlign w:val="bottom"/>
            <w:gridSpan w:val="3"/>
          </w:tcPr>
          <w:p>
            <w:pPr>
              <w:jc w:val="right"/>
              <w:ind w:right="974"/>
              <w:spacing w:after="0"/>
              <w:rPr>
                <w:sz w:val="20"/>
                <w:szCs w:val="20"/>
                <w:color w:val="auto"/>
              </w:rPr>
            </w:pPr>
            <w:r>
              <w:rPr>
                <w:rFonts w:ascii="Arial" w:cs="Arial" w:eastAsia="Arial" w:hAnsi="Arial"/>
                <w:sz w:val="16"/>
                <w:szCs w:val="16"/>
                <w:b w:val="1"/>
                <w:bCs w:val="1"/>
                <w:color w:val="auto"/>
              </w:rPr>
              <w:t>($ amounts in 000’s)</w:t>
            </w:r>
          </w:p>
        </w:tc>
      </w:tr>
      <w:tr>
        <w:trPr>
          <w:trHeight w:val="276"/>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Billings: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147,428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128,962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Add increase in deferred revenue</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13,268</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16,796</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160,696</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145,758</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Cash flow from operations. </w:t>
      </w:r>
      <w:r>
        <w:rPr>
          <w:rFonts w:ascii="Arial" w:cs="Arial" w:eastAsia="Arial" w:hAnsi="Arial"/>
          <w:sz w:val="18"/>
          <w:szCs w:val="18"/>
          <w:color w:val="auto"/>
        </w:rPr>
        <w:t>We monitor cash flow from operations as a measure of our overall business performance. Our cash flow from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driven in large part by our billings growth, profitability, and our ability to successfully manage our working capital. Monitoring cash flow from operations and free cash flow enables us to analyze our financial performance excluding the non-cash effects of certain items such as depreciation, amortization and stock-based compensation expenses, thereby allowing us to better understand and manage the cash needs of our business. Free cash flow, an alternative non-GAAP financial measure of liquidity, is defined as net cash provided by operating activities less capital expenditures. The following table provides a reconciliation of free cash flow to cash provided by operating activities. For a discussion of the limitations of non-GAAP financial measures, see “—Other Non-GAAP Financial Measures”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3"/>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1820" w:type="dxa"/>
            <w:vAlign w:val="bottom"/>
            <w:gridSpan w:val="2"/>
          </w:tcPr>
          <w:p>
            <w:pPr>
              <w:ind w:left="540"/>
              <w:spacing w:after="0"/>
              <w:rPr>
                <w:sz w:val="20"/>
                <w:szCs w:val="20"/>
                <w:color w:val="auto"/>
              </w:rPr>
            </w:pPr>
            <w:r>
              <w:rPr>
                <w:rFonts w:ascii="Arial" w:cs="Arial" w:eastAsia="Arial" w:hAnsi="Arial"/>
                <w:sz w:val="16"/>
                <w:szCs w:val="16"/>
                <w:b w:val="1"/>
                <w:bCs w:val="1"/>
                <w:color w:val="auto"/>
              </w:rPr>
              <w:t>June 30,</w:t>
            </w:r>
          </w:p>
        </w:tc>
        <w:tc>
          <w:tcPr>
            <w:tcW w:w="1700" w:type="dxa"/>
            <w:vAlign w:val="bottom"/>
          </w:tcPr>
          <w:p>
            <w:pPr>
              <w:jc w:val="right"/>
              <w:ind w:right="49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7900" w:type="dxa"/>
            <w:vAlign w:val="bottom"/>
          </w:tcPr>
          <w:p>
            <w:pPr>
              <w:spacing w:after="0"/>
              <w:rPr>
                <w:sz w:val="18"/>
                <w:szCs w:val="18"/>
                <w:color w:val="auto"/>
              </w:rPr>
            </w:pPr>
          </w:p>
        </w:tc>
        <w:tc>
          <w:tcPr>
            <w:tcW w:w="1720" w:type="dxa"/>
            <w:vAlign w:val="bottom"/>
          </w:tcPr>
          <w:p>
            <w:pPr>
              <w:jc w:val="right"/>
              <w:ind w:right="615"/>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700" w:type="dxa"/>
            <w:vAlign w:val="bottom"/>
          </w:tcPr>
          <w:p>
            <w:pPr>
              <w:jc w:val="right"/>
              <w:ind w:right="594"/>
              <w:spacing w:after="0"/>
              <w:rPr>
                <w:sz w:val="20"/>
                <w:szCs w:val="20"/>
                <w:color w:val="auto"/>
              </w:rPr>
            </w:pPr>
            <w:r>
              <w:rPr>
                <w:rFonts w:ascii="Arial" w:cs="Arial" w:eastAsia="Arial" w:hAnsi="Arial"/>
                <w:sz w:val="16"/>
                <w:szCs w:val="16"/>
                <w:b w:val="1"/>
                <w:bCs w:val="1"/>
                <w:color w:val="auto"/>
              </w:rPr>
              <w:t>2012</w:t>
            </w:r>
          </w:p>
        </w:tc>
      </w:tr>
      <w:tr>
        <w:trPr>
          <w:trHeight w:val="33"/>
        </w:trPr>
        <w:tc>
          <w:tcPr>
            <w:tcW w:w="7900" w:type="dxa"/>
            <w:vAlign w:val="bottom"/>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520" w:type="dxa"/>
            <w:vAlign w:val="bottom"/>
            <w:gridSpan w:val="3"/>
          </w:tcPr>
          <w:p>
            <w:pPr>
              <w:jc w:val="right"/>
              <w:ind w:right="974"/>
              <w:spacing w:after="0"/>
              <w:rPr>
                <w:sz w:val="20"/>
                <w:szCs w:val="20"/>
                <w:color w:val="auto"/>
              </w:rPr>
            </w:pPr>
            <w:r>
              <w:rPr>
                <w:rFonts w:ascii="Arial" w:cs="Arial" w:eastAsia="Arial" w:hAnsi="Arial"/>
                <w:sz w:val="16"/>
                <w:szCs w:val="16"/>
                <w:b w:val="1"/>
                <w:bCs w:val="1"/>
                <w:color w:val="auto"/>
              </w:rPr>
              <w:t>($ amounts in 000’s)</w:t>
            </w:r>
          </w:p>
        </w:tc>
      </w:tr>
      <w:tr>
        <w:trPr>
          <w:trHeight w:val="276"/>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Free Cash Flow:</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37,221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44,285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172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35,186</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42,054</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Non-GAAP Financial Measures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To supplement our consolidated financial statements presented in accordance with GAAP, we consider certain financial measures that are not prepared in accordance with GAAP, including billings and free cash flow discussed above as well as non-GAAP gross margin, non-GAAP operating income, non-GAAP operating margin, non-GAAP operating expenses, and non-GAAP net income. These non-GAAP financial measures are not based on any standardized methodology prescribed by GAAP and are not necessarily comparable to similar measures presented by other companies.</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use these non-GAAP financial measures internally in analyzing our financial results and believe they are useful to investors, as a supplement to GAAP measures, in evaluating our ongoing operational performance and enhancing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also believe that the use of these non-GAAP financial measures provides an additional tool for investors to use in comparing our recurring core business operating results over multiple periods with other companies in our industry, many of which present similar non-GAAP financial measures to investors.</w:t>
      </w:r>
    </w:p>
    <w:p>
      <w:pPr>
        <w:spacing w:after="0" w:line="16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such as stock-based compensation expense, offset by patent settlement income. Effective second quarter of fiscal 2013, our non-GAAP financial measures will include amortization expense of certain intangible assets. Prior period amounts have been adjusted to conform to current period presentation. Stock-based compensation expense has been, and will continue to be, for the foreseeable future, a significant recurring expense in our business and is an important part of our employees’ overall compensation.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the section entitled “—Results of Operations” below.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Non-GAAP gross margin represents gross margin as reported in our consolidated statements of operations, excluding the impact of stock-based compensation expense and amortization expense of certain intangible assets, both of which are non-cash charges. Non-GAAP operating income is operating income, as reported on our consolidated statements of operations, excluding the impact of stock-based compensation expense, amortization expense of certain intangible assets, and the income we received from a patent settlement. Non-GAAP operating margin is non-GAAP operating income divided by revenue. The following table reconciles GAAP gross profit, GAAP gross margin, GAAP operating income, and GAAP operating margin to non-GAAP gross margin, non-GAAP operating income, and non-GAAP operating margin for the three months ended June 30, 2013 and June 30, 2012.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620"/>
              <w:spacing w:after="0"/>
              <w:rPr>
                <w:sz w:val="20"/>
                <w:szCs w:val="20"/>
                <w:color w:val="auto"/>
              </w:rPr>
            </w:pPr>
            <w:r>
              <w:rPr>
                <w:rFonts w:ascii="Arial" w:cs="Arial" w:eastAsia="Arial" w:hAnsi="Arial"/>
                <w:sz w:val="16"/>
                <w:szCs w:val="16"/>
                <w:b w:val="1"/>
                <w:bCs w:val="1"/>
                <w:color w:val="auto"/>
                <w:w w:val="93"/>
              </w:rPr>
              <w:t>Three Months Ended</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6520" w:type="dxa"/>
            <w:vAlign w:val="bottom"/>
          </w:tcPr>
          <w:p>
            <w:pPr>
              <w:spacing w:after="0"/>
              <w:rPr>
                <w:sz w:val="18"/>
                <w:szCs w:val="18"/>
                <w:color w:val="auto"/>
              </w:rPr>
            </w:pPr>
          </w:p>
        </w:tc>
        <w:tc>
          <w:tcPr>
            <w:tcW w:w="1520" w:type="dxa"/>
            <w:vAlign w:val="bottom"/>
            <w:gridSpan w:val="3"/>
          </w:tcPr>
          <w:p>
            <w:pPr>
              <w:jc w:val="center"/>
              <w:ind w:left="792"/>
              <w:spacing w:after="0"/>
              <w:rPr>
                <w:sz w:val="20"/>
                <w:szCs w:val="20"/>
                <w:color w:val="auto"/>
              </w:rPr>
            </w:pPr>
            <w:r>
              <w:rPr>
                <w:rFonts w:ascii="Arial" w:cs="Arial" w:eastAsia="Arial" w:hAnsi="Arial"/>
                <w:sz w:val="16"/>
                <w:szCs w:val="16"/>
                <w:b w:val="1"/>
                <w:bCs w:val="1"/>
                <w:color w:val="auto"/>
                <w:w w:val="87"/>
              </w:rPr>
              <w:t>June 30,</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left="792"/>
              <w:spacing w:after="0"/>
              <w:rPr>
                <w:sz w:val="20"/>
                <w:szCs w:val="20"/>
                <w:color w:val="auto"/>
              </w:rPr>
            </w:pPr>
            <w:r>
              <w:rPr>
                <w:rFonts w:ascii="Arial" w:cs="Arial" w:eastAsia="Arial" w:hAnsi="Arial"/>
                <w:sz w:val="16"/>
                <w:szCs w:val="16"/>
                <w:b w:val="1"/>
                <w:bCs w:val="1"/>
                <w:color w:val="auto"/>
                <w:w w:val="90"/>
              </w:rPr>
              <w:t>June 30,</w:t>
            </w:r>
          </w:p>
        </w:tc>
        <w:tc>
          <w:tcPr>
            <w:tcW w:w="880" w:type="dxa"/>
            <w:vAlign w:val="bottom"/>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2013</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2012</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6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 of</w:t>
            </w:r>
          </w:p>
        </w:tc>
      </w:tr>
      <w:tr>
        <w:trPr>
          <w:trHeight w:val="210"/>
        </w:trPr>
        <w:tc>
          <w:tcPr>
            <w:tcW w:w="652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6"/>
              </w:rPr>
              <w:t>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880" w:type="dxa"/>
            <w:vAlign w:val="bottom"/>
          </w:tcPr>
          <w:p>
            <w:pPr>
              <w:jc w:val="right"/>
              <w:ind w:right="191"/>
              <w:spacing w:after="0"/>
              <w:rPr>
                <w:sz w:val="20"/>
                <w:szCs w:val="20"/>
                <w:color w:val="auto"/>
              </w:rPr>
            </w:pPr>
            <w:r>
              <w:rPr>
                <w:rFonts w:ascii="Arial" w:cs="Arial" w:eastAsia="Arial" w:hAnsi="Arial"/>
                <w:sz w:val="16"/>
                <w:szCs w:val="16"/>
                <w:b w:val="1"/>
                <w:bCs w:val="1"/>
                <w:color w:val="auto"/>
                <w:w w:val="86"/>
              </w:rPr>
              <w:t>Revenue</w:t>
            </w:r>
          </w:p>
        </w:tc>
      </w:tr>
      <w:tr>
        <w:trPr>
          <w:trHeight w:val="33"/>
        </w:trPr>
        <w:tc>
          <w:tcPr>
            <w:tcW w:w="6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6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620"/>
              <w:spacing w:after="0"/>
              <w:rPr>
                <w:sz w:val="20"/>
                <w:szCs w:val="20"/>
                <w:color w:val="auto"/>
              </w:rPr>
            </w:pPr>
            <w:r>
              <w:rPr>
                <w:rFonts w:ascii="Arial" w:cs="Arial" w:eastAsia="Arial" w:hAnsi="Arial"/>
                <w:sz w:val="16"/>
                <w:szCs w:val="16"/>
                <w:b w:val="1"/>
                <w:bCs w:val="1"/>
                <w:color w:val="auto"/>
                <w:w w:val="90"/>
              </w:rPr>
              <w:t>($ amounts in 000’s)</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147,428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128,962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GAAP gross profit and margin</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103,720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91,835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6520" w:type="dxa"/>
            <w:vAlign w:val="bottom"/>
          </w:tcPr>
          <w:p>
            <w:pPr>
              <w:ind w:left="380"/>
              <w:spacing w:after="0"/>
              <w:rPr>
                <w:sz w:val="20"/>
                <w:szCs w:val="20"/>
                <w:color w:val="auto"/>
              </w:rPr>
            </w:pPr>
            <w:r>
              <w:rPr>
                <w:rFonts w:ascii="Arial" w:cs="Arial" w:eastAsia="Arial" w:hAnsi="Arial"/>
                <w:sz w:val="18"/>
                <w:szCs w:val="18"/>
                <w:color w:val="auto"/>
              </w:rPr>
              <w:t xml:space="preserve">Amortization expense of certain intangible assets </w:t>
            </w:r>
            <w:r>
              <w:rPr>
                <w:rFonts w:ascii="Arial" w:cs="Arial" w:eastAsia="Arial" w:hAnsi="Arial"/>
                <w:sz w:val="18"/>
                <w:szCs w:val="18"/>
                <w:color w:val="auto"/>
                <w:vertAlign w:val="superscript"/>
              </w:rPr>
              <w:t>(1)</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gross profit and margin</w:t>
            </w:r>
          </w:p>
        </w:tc>
        <w:tc>
          <w:tcPr>
            <w:tcW w:w="11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105,396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93,090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GAAP operating income and margin</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13,777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20,950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Cost of revenue</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Amortization expense of certain intangible assets </w:t>
            </w:r>
            <w:r>
              <w:rPr>
                <w:rFonts w:ascii="Arial" w:cs="Arial" w:eastAsia="Arial" w:hAnsi="Arial"/>
                <w:sz w:val="18"/>
                <w:szCs w:val="18"/>
                <w:color w:val="auto"/>
                <w:vertAlign w:val="superscript"/>
              </w:rPr>
              <w:t>(1)</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Patent settlement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operating income and margin</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24,360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28,550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80" w:right="360" w:hanging="572"/>
        <w:spacing w:after="0" w:line="273" w:lineRule="auto"/>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Effective second quarter of fiscal 2013, amortization expense of certain intangible assets is excluded from GAAP gross profit and margin, and GAAP operating income and margin to reconcile to non-GAAP financial metrics. Prior period amounts have been adjusted to conform to current period presentation.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Non-GAAP operating expenses represent operating expenses, as reported in our condensed consolidated statements of operations, excluding the impact of stock-based compensation expense and the income from a patent settlement. The following table reconciles GAAP operating expenses to non-GAAP operating expenses for the three months ended June 30, 2013 and June 30, 2012.</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6"/>
                <w:szCs w:val="16"/>
                <w:b w:val="1"/>
                <w:bCs w:val="1"/>
                <w:color w:val="auto"/>
                <w:w w:val="93"/>
              </w:rPr>
              <w:t>Three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3"/>
          </w:tcPr>
          <w:p>
            <w:pPr>
              <w:jc w:val="center"/>
              <w:ind w:left="794"/>
              <w:spacing w:after="0"/>
              <w:rPr>
                <w:sz w:val="20"/>
                <w:szCs w:val="20"/>
                <w:color w:val="auto"/>
              </w:rPr>
            </w:pPr>
            <w:r>
              <w:rPr>
                <w:rFonts w:ascii="Arial" w:cs="Arial" w:eastAsia="Arial" w:hAnsi="Arial"/>
                <w:sz w:val="16"/>
                <w:szCs w:val="16"/>
                <w:b w:val="1"/>
                <w:bCs w:val="1"/>
                <w:color w:val="auto"/>
                <w:w w:val="87"/>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left="792"/>
              <w:spacing w:after="0"/>
              <w:rPr>
                <w:sz w:val="20"/>
                <w:szCs w:val="20"/>
                <w:color w:val="auto"/>
              </w:rPr>
            </w:pPr>
            <w:r>
              <w:rPr>
                <w:rFonts w:ascii="Arial" w:cs="Arial" w:eastAsia="Arial" w:hAnsi="Arial"/>
                <w:sz w:val="16"/>
                <w:szCs w:val="16"/>
                <w:b w:val="1"/>
                <w:bCs w:val="1"/>
                <w:color w:val="auto"/>
                <w:w w:val="90"/>
              </w:rPr>
              <w:t>June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328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2013</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Revenue</w:t>
            </w:r>
          </w:p>
        </w:tc>
        <w:tc>
          <w:tcPr>
            <w:tcW w:w="150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880" w:type="dxa"/>
            <w:vAlign w:val="bottom"/>
          </w:tcPr>
          <w:p>
            <w:pPr>
              <w:jc w:val="right"/>
              <w:ind w:right="191"/>
              <w:spacing w:after="0"/>
              <w:rPr>
                <w:sz w:val="20"/>
                <w:szCs w:val="20"/>
                <w:color w:val="auto"/>
              </w:rPr>
            </w:pPr>
            <w:r>
              <w:rPr>
                <w:rFonts w:ascii="Arial" w:cs="Arial" w:eastAsia="Arial" w:hAnsi="Arial"/>
                <w:sz w:val="16"/>
                <w:szCs w:val="16"/>
                <w:b w:val="1"/>
                <w:bCs w:val="1"/>
                <w:color w:val="auto"/>
                <w:w w:val="86"/>
              </w:rPr>
              <w:t>Revenue</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6"/>
                <w:szCs w:val="16"/>
                <w:b w:val="1"/>
                <w:bCs w:val="1"/>
                <w:color w:val="auto"/>
                <w:w w:val="90"/>
              </w:rPr>
              <w:t>($ amounts in 000’s)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research and development expenses</w:t>
            </w:r>
          </w:p>
        </w:tc>
        <w:tc>
          <w:tcPr>
            <w:tcW w:w="2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25,158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Non-GAAP research and development expenses</w:t>
            </w:r>
          </w:p>
        </w:tc>
        <w:tc>
          <w:tcPr>
            <w:tcW w:w="292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21,867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18,096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Sales and marketing expenses:</w:t>
            </w:r>
          </w:p>
        </w:tc>
        <w:tc>
          <w:tcPr>
            <w:tcW w:w="1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sales and marketing expenses</w:t>
            </w:r>
          </w:p>
        </w:tc>
        <w:tc>
          <w:tcPr>
            <w:tcW w:w="2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55,997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(4,594)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Non-GAAP sales and marketing expenses</w:t>
            </w:r>
          </w:p>
        </w:tc>
        <w:tc>
          <w:tcPr>
            <w:tcW w:w="292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51,403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40,784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general and administrative expenses</w:t>
            </w:r>
          </w:p>
        </w:tc>
        <w:tc>
          <w:tcPr>
            <w:tcW w:w="2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8,788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 settlement income</w:t>
            </w:r>
          </w:p>
        </w:tc>
        <w:tc>
          <w:tcPr>
            <w:tcW w:w="1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general and administrative expenses</w:t>
            </w:r>
          </w:p>
        </w:tc>
        <w:tc>
          <w:tcPr>
            <w:tcW w:w="176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7,766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5,660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7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GAAP operating expenses</w:t>
            </w:r>
          </w:p>
        </w:tc>
        <w:tc>
          <w:tcPr>
            <w:tcW w:w="2920" w:type="dxa"/>
            <w:vAlign w:val="bottom"/>
            <w:gridSpan w:val="2"/>
          </w:tcPr>
          <w:p>
            <w:pPr>
              <w:jc w:val="right"/>
              <w:ind w:right="34"/>
              <w:spacing w:after="0"/>
              <w:rPr>
                <w:sz w:val="20"/>
                <w:szCs w:val="20"/>
                <w:color w:val="auto"/>
              </w:rPr>
            </w:pPr>
            <w:r>
              <w:rPr>
                <w:rFonts w:ascii="Arial" w:cs="Arial" w:eastAsia="Arial" w:hAnsi="Arial"/>
                <w:sz w:val="18"/>
                <w:szCs w:val="18"/>
                <w:color w:val="auto"/>
              </w:rPr>
              <w:t>89,943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70,885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2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Patent settlement income</w:t>
            </w:r>
          </w:p>
        </w:tc>
        <w:tc>
          <w:tcPr>
            <w:tcW w:w="2920" w:type="dxa"/>
            <w:vAlign w:val="bottom"/>
            <w:gridSpan w:val="2"/>
          </w:tcPr>
          <w:p>
            <w:pPr>
              <w:jc w:val="right"/>
              <w:ind w:right="34"/>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Non-GAAP operating expenses</w:t>
            </w:r>
          </w:p>
        </w:tc>
        <w:tc>
          <w:tcPr>
            <w:tcW w:w="292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81,036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64,540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631"/>
              <w:spacing w:after="0"/>
              <w:rPr>
                <w:sz w:val="20"/>
                <w:szCs w:val="20"/>
                <w:color w:val="auto"/>
              </w:rPr>
            </w:pPr>
            <w:r>
              <w:rPr>
                <w:rFonts w:ascii="Arial" w:cs="Arial" w:eastAsia="Arial" w:hAnsi="Arial"/>
                <w:sz w:val="18"/>
                <w:szCs w:val="18"/>
                <w:color w:val="auto"/>
              </w:rPr>
              <w:t>29</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Non-GAAP net income represents net income, as reported in our condensed consolidated statements of operations, excluding the impact of stock-based compensation expense, amortization expense of certain intangible assets, and income from a patent settlement. The following table reconciles GAAP net income to non-GAAP net income for the three months ended June 30, 2013 and June 30, 2012.</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2220" w:type="dxa"/>
            <w:vAlign w:val="bottom"/>
            <w:gridSpan w:val="3"/>
          </w:tcPr>
          <w:p>
            <w:pPr>
              <w:ind w:left="620"/>
              <w:spacing w:after="0"/>
              <w:rPr>
                <w:sz w:val="20"/>
                <w:szCs w:val="20"/>
                <w:color w:val="auto"/>
              </w:rPr>
            </w:pPr>
            <w:r>
              <w:rPr>
                <w:rFonts w:ascii="Arial" w:cs="Arial" w:eastAsia="Arial" w:hAnsi="Arial"/>
                <w:sz w:val="16"/>
                <w:szCs w:val="16"/>
                <w:b w:val="1"/>
                <w:bCs w:val="1"/>
                <w:color w:val="auto"/>
              </w:rPr>
              <w:t>June 30,</w:t>
            </w: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1720" w:type="dxa"/>
            <w:vAlign w:val="bottom"/>
          </w:tcPr>
          <w:p>
            <w:pPr>
              <w:jc w:val="right"/>
              <w:ind w:right="55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3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 and share amounts in 000’s, except per share</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2220" w:type="dxa"/>
            <w:vAlign w:val="bottom"/>
            <w:gridSpan w:val="3"/>
          </w:tcPr>
          <w:p>
            <w:pPr>
              <w:jc w:val="center"/>
              <w:ind w:left="1233"/>
              <w:spacing w:after="0"/>
              <w:rPr>
                <w:sz w:val="20"/>
                <w:szCs w:val="20"/>
                <w:color w:val="auto"/>
              </w:rPr>
            </w:pPr>
            <w:r>
              <w:rPr>
                <w:rFonts w:ascii="Arial" w:cs="Arial" w:eastAsia="Arial" w:hAnsi="Arial"/>
                <w:sz w:val="16"/>
                <w:szCs w:val="16"/>
                <w:b w:val="1"/>
                <w:bCs w:val="1"/>
                <w:color w:val="auto"/>
                <w:w w:val="91"/>
              </w:rPr>
              <w:t>amounts)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net income</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13,950</w:t>
            </w:r>
          </w:p>
        </w:tc>
        <w:tc>
          <w:tcPr>
            <w:tcW w:w="0" w:type="dxa"/>
            <w:vAlign w:val="bottom"/>
          </w:tcPr>
          <w:p>
            <w:pPr>
              <w:spacing w:after="0"/>
              <w:rPr>
                <w:sz w:val="1"/>
                <w:szCs w:val="1"/>
                <w:color w:val="auto"/>
              </w:rPr>
            </w:pPr>
          </w:p>
        </w:tc>
      </w:tr>
      <w:tr>
        <w:trPr>
          <w:trHeight w:val="262"/>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18"/>
                <w:szCs w:val="18"/>
                <w:color w:val="auto"/>
                <w:vertAlign w:val="superscript"/>
              </w:rPr>
              <w:t>(1)</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Amortization expense of certain intangible assets </w:t>
            </w:r>
            <w:r>
              <w:rPr>
                <w:rFonts w:ascii="Arial" w:cs="Arial" w:eastAsia="Arial" w:hAnsi="Arial"/>
                <w:sz w:val="18"/>
                <w:szCs w:val="18"/>
                <w:color w:val="auto"/>
                <w:vertAlign w:val="superscript"/>
              </w:rPr>
              <w:t>(2)</w:t>
            </w:r>
          </w:p>
        </w:tc>
        <w:tc>
          <w:tcPr>
            <w:tcW w:w="1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62"/>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Patent settlement income </w:t>
            </w:r>
            <w:r>
              <w:rPr>
                <w:rFonts w:ascii="Arial" w:cs="Arial" w:eastAsia="Arial" w:hAnsi="Arial"/>
                <w:sz w:val="18"/>
                <w:szCs w:val="18"/>
                <w:color w:val="auto"/>
                <w:vertAlign w:val="superscript"/>
              </w:rPr>
              <w:t>(3)</w:t>
            </w:r>
          </w:p>
        </w:tc>
        <w:tc>
          <w:tcPr>
            <w:tcW w:w="17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2"/>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18"/>
                <w:szCs w:val="18"/>
                <w:color w:val="auto"/>
                <w:vertAlign w:val="superscript"/>
              </w:rPr>
              <w:t>(4)</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6,035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Non-GAAP income before provision for income taxes</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25,597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29,826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Non-GAAP provision for income taxes </w:t>
            </w:r>
            <w:r>
              <w:rPr>
                <w:rFonts w:ascii="Arial" w:cs="Arial" w:eastAsia="Arial" w:hAnsi="Arial"/>
                <w:sz w:val="18"/>
                <w:szCs w:val="18"/>
                <w:color w:val="auto"/>
                <w:vertAlign w:val="superscript"/>
              </w:rPr>
              <w:t>(5)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30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net income</w:t>
            </w: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17,150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19,685</w:t>
            </w:r>
          </w:p>
        </w:tc>
        <w:tc>
          <w:tcPr>
            <w:tcW w:w="0" w:type="dxa"/>
            <w:vAlign w:val="bottom"/>
          </w:tcPr>
          <w:p>
            <w:pPr>
              <w:spacing w:after="0"/>
              <w:rPr>
                <w:sz w:val="1"/>
                <w:szCs w:val="1"/>
                <w:color w:val="auto"/>
              </w:rPr>
            </w:pPr>
          </w:p>
        </w:tc>
      </w:tr>
      <w:tr>
        <w:trPr>
          <w:trHeight w:val="251"/>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net income per share—diluted</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900" w:type="dxa"/>
            <w:vAlign w:val="bottom"/>
          </w:tcPr>
          <w:p>
            <w:pPr>
              <w:ind w:left="180"/>
              <w:spacing w:after="0"/>
              <w:rPr>
                <w:sz w:val="20"/>
                <w:szCs w:val="20"/>
                <w:color w:val="auto"/>
              </w:rPr>
            </w:pPr>
            <w:r>
              <w:rPr>
                <w:rFonts w:ascii="Arial" w:cs="Arial" w:eastAsia="Arial" w:hAnsi="Arial"/>
                <w:sz w:val="18"/>
                <w:szCs w:val="18"/>
                <w:color w:val="auto"/>
              </w:rPr>
              <w:t>Shares used in per share calculation—diluted</w:t>
            </w: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168,042</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166,061</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80" w:hanging="572"/>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Stock-based compensation expense is excluded from GAAP net income to reconcile to non-GAAP income before provision for income taxes.</w:t>
      </w:r>
    </w:p>
    <w:p>
      <w:pPr>
        <w:spacing w:after="0" w:line="1" w:lineRule="exact"/>
        <w:rPr>
          <w:rFonts w:ascii="Arial" w:cs="Arial" w:eastAsia="Arial" w:hAnsi="Arial"/>
          <w:sz w:val="14"/>
          <w:szCs w:val="14"/>
          <w:color w:val="auto"/>
        </w:rPr>
      </w:pPr>
    </w:p>
    <w:p>
      <w:pPr>
        <w:ind w:left="580" w:right="440" w:hanging="572"/>
        <w:spacing w:after="0" w:line="241"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Effective second quarter of fiscal 2013, amortization expense of certain intangible assets is excluded from GAAP net income to reconcile to non-GAAP income before provision for income taxes. Prior period amounts have been adjusted to conform to current period presentation.</w:t>
      </w:r>
    </w:p>
    <w:p>
      <w:pPr>
        <w:ind w:left="580" w:hanging="572"/>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patent settlement income is excluded from GAAP net income to reconcile to non-GAAP income before provision for income taxes.</w:t>
      </w:r>
    </w:p>
    <w:p>
      <w:pPr>
        <w:spacing w:after="0" w:line="1" w:lineRule="exact"/>
        <w:rPr>
          <w:rFonts w:ascii="Arial" w:cs="Arial" w:eastAsia="Arial" w:hAnsi="Arial"/>
          <w:sz w:val="14"/>
          <w:szCs w:val="14"/>
          <w:color w:val="auto"/>
        </w:rPr>
      </w:pPr>
    </w:p>
    <w:p>
      <w:pPr>
        <w:ind w:left="580" w:hanging="572"/>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Provision for income taxes is our GAAP tax provision that must included in GAAP net income to reconcile to non-GAAP income before provision for income taxes.</w:t>
      </w:r>
    </w:p>
    <w:p>
      <w:pPr>
        <w:spacing w:after="0" w:line="1" w:lineRule="exact"/>
        <w:rPr>
          <w:rFonts w:ascii="Arial" w:cs="Arial" w:eastAsia="Arial" w:hAnsi="Arial"/>
          <w:sz w:val="14"/>
          <w:szCs w:val="14"/>
          <w:color w:val="auto"/>
        </w:rPr>
      </w:pPr>
    </w:p>
    <w:p>
      <w:pPr>
        <w:ind w:left="580" w:right="240" w:hanging="572"/>
        <w:spacing w:after="0" w:line="255"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used non-GAAP effective tax rates of 33% and 34%, which could differ from the GAAP tax rates, to calculate non-GAAP net income for the three months ended June 30, 2013 and June 30, 2012,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expense,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since the fiscal year ended December 31, 2012, except for the inclusion of policies related to goodwill and other indefinite-lived intangible assets.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 and other indefinite-lived intangible assets</w:t>
      </w:r>
    </w:p>
    <w:p>
      <w:pPr>
        <w:spacing w:after="0" w:line="9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Goodwill represents the excess of purchase consideration over the estimated fair value of net assets of businesses acquired in a business combination. Goodwill and other indefinite-lived intangible assets such as in-process research and development acquired in a business combination are not amortized, but instead tested for impairment at least annually during the fourth quarter. We perform our annual goodwill impairment analysis at the reporting unit level. As of June 30, 2013, we had one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reviewing goodwill for impairment we have the option to (i) assess qualitative factors to determine whether it is more-likely-than-not that the fair value of the reporting unit is less than its carrying amount or (ii) bypass the qualitative assessment and proceed directly to a quantitative assessment. If we opt to perform a qualitative assessment, the factors we may review include, but are not limited to (a) macroeconomic conditions; (b) industry and market considerations; (c) cost factors; (d) overall financial performance; (e) other relevant entity-specific events such as changes in management, strategy, customers, or litigation; (f) events affecting the reporting unit; or (g) or sustained decrease in share price. If we believe, as a result of the qualitative assessment, that it is more-likely-than-not that the fair value of the reporting unit is less than its carrying amount, the quantitative impairment test will be required. Otherwise, no further testing will be required. A quantitative assessment utilizes a two-step process. In the first step, the fair value of the reporting unit is determined, and is compared against its carrying amount, including goodwill. We consider a combination of an income-based approach using projected discounted cash flows and a market-based approach using multiples of comparable companies to determine the fair value. The fair value of the reporting unit is estimated using significant judgment based on a combination of the income and the market approaches. Under the income approach, we estimate fair value of the reporting unit based on the present value of forecasted future cash flows that the reporting unit is expected to generate over its remaining life. Under the market approach, we estimate fair value of our reporting unit based on an analysis that compares the value of the reporting unit to values of other companies in similar lines of business. If the fair value of the reporting unit does not exceed its carrying value, then we perform the second step to measure the amount of impairment loss. The amount of impairment is determined by comparing the implied fair value of reporting unit goodwill to the carrying value of the goodwill. When the carrying value of the reporting unit's goodwill exceeds its implied fair value, we record an impairment loss equal to the difference.</w:t>
      </w:r>
    </w:p>
    <w:p>
      <w:pPr>
        <w:spacing w:after="0" w:line="12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Determining the fair value of the reporting unit is highly judgmental in nature and involves the use of significant estimates and assumptions. These estimates and assumptions include revenue growth rates and operating margins used to calculate projected future cash flows, operating trends, risk-adjusted discount rates, future economic and market conditions and determination of appropriate market comparables. We base our fair value estimates on assumptions we believe to be reasonable but that are unpredictable and inherently uncertain. Actual future results may differ from those estimates. We may also test goodwill and other intangible assets for impairment between annual tests in the presence of impairment indicators. Acquired in-process research and development assets are classified as indefinite-lived intangible assets until the successful completion or abandonment of the associated research and development efforts. Upon successful completion of the associated research and development efforts, the useful life of the asset is determined and the asset is amortized over its useful life. If the associated research and development efforts are abandoned, an impairment loss is recognized for the carrying value of the related asset.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(“ASU”) No. 2013-02, </w:t>
      </w:r>
      <w:r>
        <w:rPr>
          <w:rFonts w:ascii="Arial" w:cs="Arial" w:eastAsia="Arial" w:hAnsi="Arial"/>
          <w:sz w:val="17"/>
          <w:szCs w:val="17"/>
          <w:i w:val="1"/>
          <w:iCs w:val="1"/>
          <w:color w:val="auto"/>
        </w:rPr>
        <w:t>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(Topic 220)-Reporting of Amounts Reclassified Out of Accumulated Other Comprehensive Income </w:t>
      </w:r>
      <w:r>
        <w:rPr>
          <w:rFonts w:ascii="Arial" w:cs="Arial" w:eastAsia="Arial" w:hAnsi="Arial"/>
          <w:sz w:val="17"/>
          <w:szCs w:val="17"/>
          <w:color w:val="auto"/>
        </w:rPr>
        <w:t>(“ASU 2013-02”). ASU 2013-02 requires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report the effect of significant reclassifications out of accumulated 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We adopted ASU 2013-02 on January 1, 2013, and presented the effects within Note 15, </w:t>
      </w:r>
      <w:r>
        <w:rPr>
          <w:rFonts w:ascii="Arial" w:cs="Arial" w:eastAsia="Arial" w:hAnsi="Arial"/>
          <w:sz w:val="17"/>
          <w:szCs w:val="17"/>
          <w:i w:val="1"/>
          <w:iCs w:val="1"/>
          <w:color w:val="auto"/>
        </w:rPr>
        <w:t>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w:t>
      </w:r>
      <w:r>
        <w:rPr>
          <w:rFonts w:ascii="Arial" w:cs="Arial" w:eastAsia="Arial" w:hAnsi="Arial"/>
          <w:sz w:val="17"/>
          <w:szCs w:val="17"/>
          <w:color w:val="auto"/>
        </w:rPr>
        <w:t>, of the notes to our condensed consolidated financial statements.</w:t>
      </w:r>
    </w:p>
    <w:p>
      <w:pPr>
        <w:spacing w:after="0" w:line="200" w:lineRule="exact"/>
        <w:rPr>
          <w:sz w:val="20"/>
          <w:szCs w:val="20"/>
          <w:color w:val="auto"/>
        </w:rPr>
      </w:pPr>
    </w:p>
    <w:p>
      <w:pPr>
        <w:spacing w:after="0" w:line="300" w:lineRule="exact"/>
        <w:rPr>
          <w:sz w:val="20"/>
          <w:szCs w:val="20"/>
          <w:color w:val="auto"/>
        </w:rPr>
      </w:pPr>
    </w:p>
    <w:p>
      <w:pPr>
        <w:ind w:right="100" w:firstLine="648"/>
        <w:spacing w:after="0" w:line="281" w:lineRule="auto"/>
        <w:rPr>
          <w:sz w:val="20"/>
          <w:szCs w:val="20"/>
          <w:color w:val="auto"/>
        </w:rPr>
      </w:pPr>
      <w:r>
        <w:rPr>
          <w:rFonts w:ascii="Arial" w:cs="Arial" w:eastAsia="Arial" w:hAnsi="Arial"/>
          <w:sz w:val="19"/>
          <w:szCs w:val="19"/>
          <w:color w:val="auto"/>
        </w:rPr>
        <w:t>I</w:t>
      </w:r>
      <w:r>
        <w:rPr>
          <w:rFonts w:ascii="Arial" w:cs="Arial" w:eastAsia="Arial" w:hAnsi="Arial"/>
          <w:sz w:val="17"/>
          <w:szCs w:val="17"/>
          <w:color w:val="auto"/>
        </w:rPr>
        <w:t>n July 2013, the FASB issued ASU No. 2013-11,</w:t>
      </w:r>
      <w:r>
        <w:rPr>
          <w:rFonts w:ascii="Arial" w:cs="Arial" w:eastAsia="Arial" w:hAnsi="Arial"/>
          <w:sz w:val="19"/>
          <w:szCs w:val="19"/>
          <w:color w:val="auto"/>
        </w:rPr>
        <w:t xml:space="preserve"> </w:t>
      </w:r>
      <w:r>
        <w:rPr>
          <w:rFonts w:ascii="Arial" w:cs="Arial" w:eastAsia="Arial" w:hAnsi="Arial"/>
          <w:sz w:val="17"/>
          <w:szCs w:val="17"/>
          <w:i w:val="1"/>
          <w:iCs w:val="1"/>
          <w:color w:val="auto"/>
        </w:rPr>
        <w:t>Income Taxes (Topic 740)-Presentation of an Unrecognized Tax Benefit When a Net Operating</w:t>
      </w:r>
      <w:r>
        <w:rPr>
          <w:rFonts w:ascii="Arial" w:cs="Arial" w:eastAsia="Arial" w:hAnsi="Arial"/>
          <w:sz w:val="19"/>
          <w:szCs w:val="19"/>
          <w:color w:val="auto"/>
        </w:rPr>
        <w:t xml:space="preserve"> </w:t>
      </w:r>
      <w:r>
        <w:rPr>
          <w:rFonts w:ascii="Arial" w:cs="Arial" w:eastAsia="Arial" w:hAnsi="Arial"/>
          <w:sz w:val="17"/>
          <w:szCs w:val="17"/>
          <w:i w:val="1"/>
          <w:iCs w:val="1"/>
          <w:color w:val="auto"/>
        </w:rPr>
        <w:t xml:space="preserve">Loss Carryforward, a Similar Tax Loss, or a Tax Credit Carryforward Exists </w:t>
      </w:r>
      <w:r>
        <w:rPr>
          <w:rFonts w:ascii="Arial" w:cs="Arial" w:eastAsia="Arial" w:hAnsi="Arial"/>
          <w:sz w:val="17"/>
          <w:szCs w:val="17"/>
          <w:color w:val="auto"/>
        </w:rPr>
        <w:t>(“ASU 2013-11”). ASU 2013-11 provides guidance on the financial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of an unrecognized tax benefit when a net operating loss carryforward, similar tax loss, or tax credit carryforward exists. This new standard requires the netting of unrecognized tax benefits (“UTBs”) against a deferred tax asset for a loss or other carryforward that would apply in settlement of the uncertain tax positions. UTBs will be netted against all available same-jurisdiction loss or other tax carryforwards that would be utilized, rather than only against carryforwards that are created by the UTBs. ASU 2013-11 will be effective for us beginning in the first quarter of fiscal 2014. Early adoption is permitted. Since ASU 2013-11 only impacts financial statement disclosure requirements for unrecognized tax benefits, we do not expect its adoption to have an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w:t>
      </w:r>
      <w:r>
        <w:rPr>
          <w:rFonts w:ascii="Arial" w:cs="Arial" w:eastAsia="Arial" w:hAnsi="Arial"/>
          <w:sz w:val="18"/>
          <w:szCs w:val="18"/>
          <w:b w:val="1"/>
          <w:bCs w:val="1"/>
          <w:i w:val="1"/>
          <w:iCs w:val="1"/>
          <w:color w:val="auto"/>
        </w:rPr>
        <w:t>hree months ended June 30, 2013 and June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39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760" w:type="dxa"/>
            <w:vAlign w:val="bottom"/>
            <w:gridSpan w:val="5"/>
          </w:tcPr>
          <w:p>
            <w:pPr>
              <w:ind w:left="1020"/>
              <w:spacing w:after="0"/>
              <w:rPr>
                <w:sz w:val="20"/>
                <w:szCs w:val="20"/>
                <w:color w:val="auto"/>
              </w:rPr>
            </w:pPr>
            <w:r>
              <w:rPr>
                <w:rFonts w:ascii="Arial" w:cs="Arial" w:eastAsia="Arial" w:hAnsi="Arial"/>
                <w:sz w:val="16"/>
                <w:szCs w:val="16"/>
                <w:b w:val="1"/>
                <w:bCs w:val="1"/>
                <w:color w:val="auto"/>
              </w:rPr>
              <w:t>June 30,</w:t>
            </w:r>
          </w:p>
        </w:tc>
        <w:tc>
          <w:tcPr>
            <w:tcW w:w="27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1072"/>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center"/>
              <w:ind w:right="1050"/>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Total Revenue</w:t>
            </w:r>
          </w:p>
        </w:tc>
        <w:tc>
          <w:tcPr>
            <w:tcW w:w="1160" w:type="dxa"/>
            <w:vAlign w:val="bottom"/>
          </w:tcPr>
          <w:p>
            <w:pPr>
              <w:jc w:val="right"/>
              <w:ind w:right="3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Total Revenue</w:t>
            </w:r>
          </w:p>
        </w:tc>
        <w:tc>
          <w:tcPr>
            <w:tcW w:w="124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spacing w:after="0"/>
              <w:rPr>
                <w:sz w:val="20"/>
                <w:szCs w:val="20"/>
                <w:color w:val="auto"/>
              </w:rPr>
            </w:pPr>
            <w:r>
              <w:rPr>
                <w:rFonts w:ascii="Arial" w:cs="Arial" w:eastAsia="Arial" w:hAnsi="Arial"/>
                <w:sz w:val="18"/>
                <w:szCs w:val="18"/>
                <w:color w:val="auto"/>
              </w:rPr>
              <w:t>66,525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61,692</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4,833</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79,668</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65,412</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14,256</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1,235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(623)</w:t>
            </w: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147,428</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128,962</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18,466</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60,026</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51,922</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8,104</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340" w:type="dxa"/>
            <w:vAlign w:val="bottom"/>
          </w:tcPr>
          <w:p>
            <w:pPr>
              <w:ind w:left="500"/>
              <w:spacing w:after="0"/>
              <w:rPr>
                <w:sz w:val="20"/>
                <w:szCs w:val="20"/>
                <w:color w:val="auto"/>
              </w:rPr>
            </w:pPr>
            <w:r>
              <w:rPr>
                <w:rFonts w:ascii="Arial" w:cs="Arial" w:eastAsia="Arial" w:hAnsi="Arial"/>
                <w:sz w:val="18"/>
                <w:szCs w:val="18"/>
                <w:color w:val="auto"/>
              </w:rPr>
              <w:t>Europe, Middle East and Africa</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(“EMEA”)</w:t>
            </w:r>
          </w:p>
        </w:tc>
        <w:tc>
          <w:tcPr>
            <w:tcW w:w="1160" w:type="dxa"/>
            <w:vAlign w:val="bottom"/>
          </w:tcPr>
          <w:p>
            <w:pPr>
              <w:jc w:val="right"/>
              <w:spacing w:after="0"/>
              <w:rPr>
                <w:sz w:val="20"/>
                <w:szCs w:val="20"/>
                <w:color w:val="auto"/>
              </w:rPr>
            </w:pPr>
            <w:r>
              <w:rPr>
                <w:rFonts w:ascii="Arial" w:cs="Arial" w:eastAsia="Arial" w:hAnsi="Arial"/>
                <w:sz w:val="18"/>
                <w:szCs w:val="18"/>
                <w:color w:val="auto"/>
              </w:rPr>
              <w:t>50,801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43,664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7,137</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Asia Pacific and Japan (“APAC”)</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36,601</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33,376</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3,225</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147,428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128,962</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18,466</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Total revenue increased by $18.5 million, or 14%, during the three months ended June 30, 2013 compared to the same period last year. All three regions experienced growth in revenue by 10% or more compared to the same period last year, with the Americas and EMEA regions each growing 16%. Product revenue increased by $4.8 million, or 8%, compared to the same period last year. The increase in product revenue was primarily driven by greater sales volume in our FortiGate product family, particularly with our entry-level products, wireless security and access point products, which contributed the largest portion of the growth. Services revenue increased by $14.3 million, or 22%, in the three months ended June 30, 2013 compared to the same period last year due to the recognition of revenue from our growing deferred revenue balance consisting of subscription and support contracts sold to a larger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080" w:type="dxa"/>
            <w:vAlign w:val="bottom"/>
            <w:gridSpan w:val="4"/>
          </w:tcPr>
          <w:p>
            <w:pPr>
              <w:ind w:left="1180"/>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200" w:type="dxa"/>
            <w:vAlign w:val="bottom"/>
          </w:tcPr>
          <w:p>
            <w:pPr>
              <w:ind w:left="600"/>
              <w:spacing w:after="0"/>
              <w:rPr>
                <w:sz w:val="20"/>
                <w:szCs w:val="20"/>
                <w:color w:val="auto"/>
              </w:rPr>
            </w:pPr>
            <w:r>
              <w:rPr>
                <w:rFonts w:ascii="Arial" w:cs="Arial" w:eastAsia="Arial" w:hAnsi="Arial"/>
                <w:sz w:val="16"/>
                <w:szCs w:val="16"/>
                <w:b w:val="1"/>
                <w:bCs w:val="1"/>
                <w:color w:val="auto"/>
                <w:w w:val="90"/>
              </w:rPr>
              <w:t>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4"/>
          </w:tcPr>
          <w:p>
            <w:pPr>
              <w:jc w:val="center"/>
              <w:ind w:right="1319"/>
              <w:spacing w:after="0"/>
              <w:rPr>
                <w:sz w:val="20"/>
                <w:szCs w:val="20"/>
                <w:color w:val="auto"/>
              </w:rPr>
            </w:pPr>
            <w:r>
              <w:rPr>
                <w:rFonts w:ascii="Arial" w:cs="Arial" w:eastAsia="Arial" w:hAnsi="Arial"/>
                <w:sz w:val="16"/>
                <w:szCs w:val="16"/>
                <w:b w:val="1"/>
                <w:bCs w:val="1"/>
                <w:color w:val="auto"/>
                <w:w w:val="90"/>
              </w:rPr>
              <w:t>June 30,</w:t>
            </w:r>
          </w:p>
        </w:tc>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0"/>
        </w:trPr>
        <w:tc>
          <w:tcPr>
            <w:tcW w:w="4980" w:type="dxa"/>
            <w:vAlign w:val="bottom"/>
            <w:gridSpan w:val="2"/>
          </w:tcPr>
          <w:p>
            <w:pPr>
              <w:ind w:left="4540"/>
              <w:spacing w:after="0"/>
              <w:rPr>
                <w:sz w:val="20"/>
                <w:szCs w:val="20"/>
                <w:color w:val="auto"/>
              </w:rPr>
            </w:pPr>
            <w:r>
              <w:rPr>
                <w:rFonts w:ascii="Arial" w:cs="Arial" w:eastAsia="Arial" w:hAnsi="Arial"/>
                <w:sz w:val="16"/>
                <w:szCs w:val="16"/>
                <w:b w:val="1"/>
                <w:bCs w:val="1"/>
                <w:color w:val="auto"/>
              </w:rPr>
              <w:t>2013</w:t>
            </w: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6"/>
                <w:szCs w:val="16"/>
                <w:b w:val="1"/>
                <w:bCs w:val="1"/>
                <w:color w:val="auto"/>
                <w:w w:val="95"/>
              </w:rPr>
              <w:t>Change</w:t>
            </w:r>
          </w:p>
        </w:tc>
        <w:tc>
          <w:tcPr>
            <w:tcW w:w="580" w:type="dxa"/>
            <w:vAlign w:val="bottom"/>
          </w:tcPr>
          <w:p>
            <w:pPr>
              <w:spacing w:after="0"/>
              <w:rPr>
                <w:sz w:val="18"/>
                <w:szCs w:val="18"/>
                <w:color w:val="auto"/>
              </w:rPr>
            </w:pPr>
          </w:p>
        </w:tc>
        <w:tc>
          <w:tcPr>
            <w:tcW w:w="1920" w:type="dxa"/>
            <w:vAlign w:val="bottom"/>
          </w:tcPr>
          <w:p>
            <w:pPr>
              <w:jc w:val="right"/>
              <w:ind w:right="45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b w:val="1"/>
                <w:bCs w:val="1"/>
                <w:color w:val="auto"/>
              </w:rPr>
              <w:t>($ amounts in 000’s)</w:t>
            </w:r>
          </w:p>
        </w:tc>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500"/>
              <w:spacing w:after="0"/>
              <w:rPr>
                <w:sz w:val="20"/>
                <w:szCs w:val="20"/>
                <w:color w:val="auto"/>
              </w:rPr>
            </w:pPr>
            <w:r>
              <w:rPr>
                <w:rFonts w:ascii="Arial" w:cs="Arial" w:eastAsia="Arial" w:hAnsi="Arial"/>
                <w:sz w:val="18"/>
                <w:szCs w:val="18"/>
                <w:color w:val="auto"/>
              </w:rPr>
              <w:t>Product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w w:val="90"/>
              </w:rPr>
              <w:t>26,948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23,935</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3,013</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16,259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12,467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3,792</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4980" w:type="dxa"/>
            <w:vAlign w:val="bottom"/>
            <w:gridSpan w:val="2"/>
          </w:tcPr>
          <w:p>
            <w:pPr>
              <w:ind w:left="500"/>
              <w:spacing w:after="0"/>
              <w:rPr>
                <w:sz w:val="20"/>
                <w:szCs w:val="20"/>
                <w:color w:val="auto"/>
              </w:rPr>
            </w:pPr>
            <w:r>
              <w:rPr>
                <w:rFonts w:ascii="Arial" w:cs="Arial" w:eastAsia="Arial" w:hAnsi="Arial"/>
                <w:sz w:val="18"/>
                <w:szCs w:val="18"/>
                <w:color w:val="auto"/>
              </w:rPr>
              <w:t>Ratable and other revenue</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37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57"/>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0"/>
              </w:rPr>
              <w:t>43,708</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37,127</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6,581</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r>
        <w:trPr>
          <w:trHeight w:val="230"/>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Gross margin (%):</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500"/>
              <w:spacing w:after="0"/>
              <w:rPr>
                <w:sz w:val="20"/>
                <w:szCs w:val="20"/>
                <w:color w:val="auto"/>
              </w:rPr>
            </w:pPr>
            <w:r>
              <w:rPr>
                <w:rFonts w:ascii="Arial" w:cs="Arial" w:eastAsia="Arial" w:hAnsi="Arial"/>
                <w:sz w:val="18"/>
                <w:szCs w:val="18"/>
                <w:color w:val="auto"/>
              </w:rPr>
              <w:t>Services</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9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Total gross margin</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192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Total gross margin decreased by 0.8 percentage points in the three months ended June 30, 2013 compared to the same period last year, as both product and services gross margins declined. Product gross margin decreased by 1.7 percentage points in the three months ended June 30, 2013 compared to the same period last year primarily as a result of the higher mix of entry-level products and higher overhead costs. Services gross margin decreased by 1.3 percentage points during the three months ended June 30, 2013 primarily due to our continued investments in our technical support organization to accommodate our expanding customer base and higher service level expectations from our enterprise customers. In addition, we experienced growth in our professional consulting services which have lower gross margins than our support and subscription businesses. Cost of services revenue increased by $3.8 million primarily due to a $2.8 million increase in cash-based personnel costs related to an increase in headcount, a $0.3 million increase in stock-based compensation expense, a $0.4 million increase in warranty-related costs and a $0.3 million increase in travel and depreciation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394"/>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760" w:type="dxa"/>
            <w:vAlign w:val="bottom"/>
            <w:gridSpan w:val="5"/>
          </w:tcPr>
          <w:p>
            <w:pPr>
              <w:ind w:left="1020"/>
              <w:spacing w:after="0"/>
              <w:rPr>
                <w:sz w:val="20"/>
                <w:szCs w:val="20"/>
                <w:color w:val="auto"/>
              </w:rPr>
            </w:pPr>
            <w:r>
              <w:rPr>
                <w:rFonts w:ascii="Arial" w:cs="Arial" w:eastAsia="Arial" w:hAnsi="Arial"/>
                <w:sz w:val="16"/>
                <w:szCs w:val="16"/>
                <w:b w:val="1"/>
                <w:bCs w:val="1"/>
                <w:color w:val="auto"/>
              </w:rPr>
              <w:t>June 30,</w:t>
            </w:r>
          </w:p>
        </w:tc>
        <w:tc>
          <w:tcPr>
            <w:tcW w:w="27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center"/>
              <w:ind w:right="1059"/>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Total Revenue</w:t>
            </w:r>
          </w:p>
        </w:tc>
        <w:tc>
          <w:tcPr>
            <w:tcW w:w="1160" w:type="dxa"/>
            <w:vAlign w:val="bottom"/>
          </w:tcPr>
          <w:p>
            <w:pPr>
              <w:jc w:val="right"/>
              <w:ind w:right="34"/>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Revenue</w:t>
            </w:r>
          </w:p>
        </w:tc>
        <w:tc>
          <w:tcPr>
            <w:tcW w:w="124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25,158</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20,388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4,770</w:t>
            </w: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55,997</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44,259</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11,738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8,788</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2,550</w:t>
            </w: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89,943</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19,058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Research and development expense increased by $4.8 million, or 23%, in the three months ended June 30, 2013 compared to the same period last year, primarily due to an increase of $3.1 million in cash-based personnel costs and $1.0 million in stock-based compensation expense as a result of increased headcount to support the development of new products and continued enhancements of our existing products. Other costs, including earn-out payments to former stockholders of Coyote, also increased by $0.7 million. We intend to continue to invest in our research and development organization, but we currently expect research and development expense as a percentage of total revenue to remain at approximately comparable levels during the remainder of fiscal 2013.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Sales and marketing expense increased by $11.7 million, or 27%, in the three months ended June 30, 2013 compared to the same period last year, primarily due to an increase of $6.1 million in cash-based personnel costs as we continued to increase our sales headcount in order to expand our global footprint. In addition, we incurred increases in marketing-related expenses of $1.6 million, travel expenses of $1.4 million, stock-based compensation expense of $1.1 million and, depreciation expenses of $0.6 million. As a percentage of total revenue, sales and marketing expenses increased as we continued to invest in our sales force to support future growth. We intend to continue to make investments in our sales resources and infrastructure which are critical to support sustainable growth, but we currently expect sales and marketing expense as a percentage of total revenue to remain at approximately comparable levels during the remainder of fiscal 2013.</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General and administrative expense increased by $2.6 million, or 41%, in the three months ended June 30, 2013 compared to the same period last year. Cash-based personnel costs increased by $1.0 million and stock-based compensation expense increased by $0.4 million. In addition, we incurred $0.9 million of higher legal and accounting fees. We currently expect general and administrative expense as a percentage of total revenue to remain at approximately comparable levels during the remainder of fiscal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income, 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540" w:type="dxa"/>
            <w:vAlign w:val="bottom"/>
            <w:gridSpan w:val="4"/>
          </w:tcPr>
          <w:p>
            <w:pPr>
              <w:ind w:left="1180"/>
              <w:spacing w:after="0"/>
              <w:rPr>
                <w:sz w:val="20"/>
                <w:szCs w:val="20"/>
                <w:color w:val="auto"/>
              </w:rPr>
            </w:pPr>
            <w:r>
              <w:rPr>
                <w:rFonts w:ascii="Arial" w:cs="Arial" w:eastAsia="Arial" w:hAnsi="Arial"/>
                <w:sz w:val="16"/>
                <w:szCs w:val="16"/>
                <w:b w:val="1"/>
                <w:bCs w:val="1"/>
                <w:color w:val="auto"/>
              </w:rPr>
              <w:t>Three Months Ended</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240" w:type="dxa"/>
            <w:vAlign w:val="bottom"/>
          </w:tcPr>
          <w:p>
            <w:pPr>
              <w:jc w:val="center"/>
              <w:ind w:left="459"/>
              <w:spacing w:after="0"/>
              <w:rPr>
                <w:sz w:val="20"/>
                <w:szCs w:val="20"/>
                <w:color w:val="auto"/>
              </w:rPr>
            </w:pPr>
            <w:r>
              <w:rPr>
                <w:rFonts w:ascii="Arial" w:cs="Arial" w:eastAsia="Arial" w:hAnsi="Arial"/>
                <w:sz w:val="16"/>
                <w:szCs w:val="16"/>
                <w:b w:val="1"/>
                <w:bCs w:val="1"/>
                <w:color w:val="auto"/>
                <w:w w:val="90"/>
              </w:rPr>
              <w:t>June 30,</w:t>
            </w:r>
          </w:p>
        </w:tc>
        <w:tc>
          <w:tcPr>
            <w:tcW w:w="920" w:type="dxa"/>
            <w:vAlign w:val="bottom"/>
          </w:tcPr>
          <w:p>
            <w:pPr>
              <w:spacing w:after="0"/>
              <w:rPr>
                <w:sz w:val="18"/>
                <w:szCs w:val="18"/>
                <w:color w:val="auto"/>
              </w:rPr>
            </w:pPr>
          </w:p>
        </w:tc>
        <w:tc>
          <w:tcPr>
            <w:tcW w:w="2380" w:type="dxa"/>
            <w:vAlign w:val="bottom"/>
            <w:gridSpan w:val="2"/>
          </w:tcPr>
          <w:p>
            <w:pPr>
              <w:ind w:left="40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50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2013</w:t>
            </w:r>
          </w:p>
        </w:tc>
        <w:tc>
          <w:tcPr>
            <w:tcW w:w="920" w:type="dxa"/>
            <w:vAlign w:val="bottom"/>
          </w:tcPr>
          <w:p>
            <w:pPr>
              <w:spacing w:after="0"/>
              <w:rPr>
                <w:sz w:val="18"/>
                <w:szCs w:val="18"/>
                <w:color w:val="auto"/>
              </w:rPr>
            </w:pPr>
          </w:p>
        </w:tc>
        <w:tc>
          <w:tcPr>
            <w:tcW w:w="164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18"/>
                <w:szCs w:val="18"/>
                <w:color w:val="auto"/>
              </w:rPr>
            </w:pPr>
          </w:p>
        </w:tc>
        <w:tc>
          <w:tcPr>
            <w:tcW w:w="1480" w:type="dxa"/>
            <w:vAlign w:val="bottom"/>
          </w:tcPr>
          <w:p>
            <w:pPr>
              <w:jc w:val="right"/>
              <w:ind w:right="853"/>
              <w:spacing w:after="0"/>
              <w:rPr>
                <w:sz w:val="20"/>
                <w:szCs w:val="20"/>
                <w:color w:val="auto"/>
              </w:rPr>
            </w:pPr>
            <w:r>
              <w:rPr>
                <w:rFonts w:ascii="Arial" w:cs="Arial" w:eastAsia="Arial" w:hAnsi="Arial"/>
                <w:sz w:val="16"/>
                <w:szCs w:val="16"/>
                <w:b w:val="1"/>
                <w:bCs w:val="1"/>
                <w:color w:val="auto"/>
                <w:w w:val="88"/>
              </w:rPr>
              <w:t>Change</w:t>
            </w:r>
          </w:p>
        </w:tc>
        <w:tc>
          <w:tcPr>
            <w:tcW w:w="162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80" w:type="dxa"/>
            <w:vAlign w:val="bottom"/>
            <w:gridSpan w:val="2"/>
          </w:tcPr>
          <w:p>
            <w:pPr>
              <w:ind w:left="980"/>
              <w:spacing w:after="0"/>
              <w:rPr>
                <w:sz w:val="20"/>
                <w:szCs w:val="20"/>
                <w:color w:val="auto"/>
              </w:rPr>
            </w:pPr>
            <w:r>
              <w:rPr>
                <w:rFonts w:ascii="Arial" w:cs="Arial" w:eastAsia="Arial" w:hAnsi="Arial"/>
                <w:sz w:val="16"/>
                <w:szCs w:val="16"/>
                <w:b w:val="1"/>
                <w:bCs w:val="1"/>
                <w:color w:val="auto"/>
                <w:w w:val="8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1,337</w:t>
            </w:r>
          </w:p>
        </w:tc>
        <w:tc>
          <w:tcPr>
            <w:tcW w:w="16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1,203</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134</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Other (expense) income, net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(100)</w:t>
            </w: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73</w:t>
            </w:r>
          </w:p>
        </w:tc>
        <w:tc>
          <w:tcPr>
            <w:tcW w:w="740" w:type="dxa"/>
            <w:vAlign w:val="bottom"/>
          </w:tcPr>
          <w:p>
            <w:pPr>
              <w:spacing w:after="0"/>
              <w:rPr>
                <w:sz w:val="21"/>
                <w:szCs w:val="21"/>
                <w:color w:val="auto"/>
              </w:rPr>
            </w:pPr>
          </w:p>
        </w:tc>
        <w:tc>
          <w:tcPr>
            <w:tcW w:w="1480" w:type="dxa"/>
            <w:vAlign w:val="bottom"/>
          </w:tcPr>
          <w:p>
            <w:pPr>
              <w:jc w:val="right"/>
              <w:ind w:right="253"/>
              <w:spacing w:after="0"/>
              <w:rPr>
                <w:sz w:val="20"/>
                <w:szCs w:val="20"/>
                <w:color w:val="auto"/>
              </w:rPr>
            </w:pPr>
            <w:r>
              <w:rPr>
                <w:rFonts w:ascii="Arial" w:cs="Arial" w:eastAsia="Arial" w:hAnsi="Arial"/>
                <w:sz w:val="18"/>
                <w:szCs w:val="18"/>
                <w:color w:val="auto"/>
              </w:rPr>
              <w:t>(173)</w:t>
            </w:r>
          </w:p>
        </w:tc>
        <w:tc>
          <w:tcPr>
            <w:tcW w:w="1620" w:type="dxa"/>
            <w:vAlign w:val="bottom"/>
          </w:tcPr>
          <w:p>
            <w:pPr>
              <w:jc w:val="right"/>
              <w:spacing w:after="0"/>
              <w:rPr>
                <w:sz w:val="20"/>
                <w:szCs w:val="20"/>
                <w:color w:val="auto"/>
              </w:rPr>
            </w:pPr>
            <w:r>
              <w:rPr>
                <w:rFonts w:ascii="Arial" w:cs="Arial" w:eastAsia="Arial" w:hAnsi="Arial"/>
                <w:sz w:val="18"/>
                <w:szCs w:val="18"/>
                <w:color w:val="auto"/>
              </w:rPr>
              <w:t>(237)</w:t>
            </w:r>
          </w:p>
        </w:tc>
      </w:tr>
    </w:tbl>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$0.1 million increase in interest income in the three months ended June 30, 2013 compared to the same period last year was primarily due to interest earned on higher invested balances of cash, cash equivalents and investments. The change in other (expense) income, net, for the three months ended June 30, 2013 was the result of foreign exchange losses compared to foreign exchange gains in the same period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540" w:type="dxa"/>
            <w:vAlign w:val="bottom"/>
            <w:gridSpan w:val="4"/>
          </w:tcPr>
          <w:p>
            <w:pPr>
              <w:ind w:left="1180"/>
              <w:spacing w:after="0"/>
              <w:rPr>
                <w:sz w:val="20"/>
                <w:szCs w:val="20"/>
                <w:color w:val="auto"/>
              </w:rPr>
            </w:pPr>
            <w:r>
              <w:rPr>
                <w:rFonts w:ascii="Arial" w:cs="Arial" w:eastAsia="Arial" w:hAnsi="Arial"/>
                <w:sz w:val="16"/>
                <w:szCs w:val="16"/>
                <w:b w:val="1"/>
                <w:bCs w:val="1"/>
                <w:color w:val="auto"/>
              </w:rPr>
              <w:t>Three Months Ended</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240" w:type="dxa"/>
            <w:vAlign w:val="bottom"/>
          </w:tcPr>
          <w:p>
            <w:pPr>
              <w:jc w:val="center"/>
              <w:ind w:left="459"/>
              <w:spacing w:after="0"/>
              <w:rPr>
                <w:sz w:val="20"/>
                <w:szCs w:val="20"/>
                <w:color w:val="auto"/>
              </w:rPr>
            </w:pPr>
            <w:r>
              <w:rPr>
                <w:rFonts w:ascii="Arial" w:cs="Arial" w:eastAsia="Arial" w:hAnsi="Arial"/>
                <w:sz w:val="16"/>
                <w:szCs w:val="16"/>
                <w:b w:val="1"/>
                <w:bCs w:val="1"/>
                <w:color w:val="auto"/>
                <w:w w:val="90"/>
              </w:rPr>
              <w:t>June 30,</w:t>
            </w:r>
          </w:p>
        </w:tc>
        <w:tc>
          <w:tcPr>
            <w:tcW w:w="900" w:type="dxa"/>
            <w:vAlign w:val="bottom"/>
          </w:tcPr>
          <w:p>
            <w:pPr>
              <w:spacing w:after="0"/>
              <w:rPr>
                <w:sz w:val="18"/>
                <w:szCs w:val="18"/>
                <w:color w:val="auto"/>
              </w:rPr>
            </w:pPr>
          </w:p>
        </w:tc>
        <w:tc>
          <w:tcPr>
            <w:tcW w:w="2400" w:type="dxa"/>
            <w:vAlign w:val="bottom"/>
            <w:gridSpan w:val="2"/>
          </w:tcPr>
          <w:p>
            <w:pPr>
              <w:ind w:left="42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50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2013</w:t>
            </w:r>
          </w:p>
        </w:tc>
        <w:tc>
          <w:tcPr>
            <w:tcW w:w="900" w:type="dxa"/>
            <w:vAlign w:val="bottom"/>
          </w:tcPr>
          <w:p>
            <w:pPr>
              <w:spacing w:after="0"/>
              <w:rPr>
                <w:sz w:val="18"/>
                <w:szCs w:val="18"/>
                <w:color w:val="auto"/>
              </w:rPr>
            </w:pPr>
          </w:p>
        </w:tc>
        <w:tc>
          <w:tcPr>
            <w:tcW w:w="166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18"/>
                <w:szCs w:val="18"/>
                <w:color w:val="auto"/>
              </w:rPr>
            </w:pPr>
          </w:p>
        </w:tc>
        <w:tc>
          <w:tcPr>
            <w:tcW w:w="1480" w:type="dxa"/>
            <w:vAlign w:val="bottom"/>
          </w:tcPr>
          <w:p>
            <w:pPr>
              <w:jc w:val="right"/>
              <w:ind w:right="853"/>
              <w:spacing w:after="0"/>
              <w:rPr>
                <w:sz w:val="20"/>
                <w:szCs w:val="20"/>
                <w:color w:val="auto"/>
              </w:rPr>
            </w:pPr>
            <w:r>
              <w:rPr>
                <w:rFonts w:ascii="Arial" w:cs="Arial" w:eastAsia="Arial" w:hAnsi="Arial"/>
                <w:sz w:val="16"/>
                <w:szCs w:val="16"/>
                <w:b w:val="1"/>
                <w:bCs w:val="1"/>
                <w:color w:val="auto"/>
                <w:w w:val="88"/>
              </w:rPr>
              <w:t>Change</w:t>
            </w:r>
          </w:p>
        </w:tc>
        <w:tc>
          <w:tcPr>
            <w:tcW w:w="1620" w:type="dxa"/>
            <w:vAlign w:val="bottom"/>
          </w:tcPr>
          <w:p>
            <w:pPr>
              <w:jc w:val="right"/>
              <w:ind w:right="45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gridSpan w:val="2"/>
          </w:tcPr>
          <w:p>
            <w:pPr>
              <w:ind w:left="1000"/>
              <w:spacing w:after="0"/>
              <w:rPr>
                <w:sz w:val="20"/>
                <w:szCs w:val="20"/>
                <w:color w:val="auto"/>
              </w:rPr>
            </w:pPr>
            <w:r>
              <w:rPr>
                <w:rFonts w:ascii="Arial" w:cs="Arial" w:eastAsia="Arial" w:hAnsi="Arial"/>
                <w:sz w:val="16"/>
                <w:szCs w:val="16"/>
                <w:b w:val="1"/>
                <w:bCs w:val="1"/>
                <w:color w:val="auto"/>
                <w:w w:val="8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6,035</w:t>
            </w:r>
          </w:p>
        </w:tc>
        <w:tc>
          <w:tcPr>
            <w:tcW w:w="16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8,276</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(2,241)</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Effective tax rate (%)</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40</w:t>
            </w: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37</w:t>
            </w:r>
          </w:p>
        </w:tc>
        <w:tc>
          <w:tcPr>
            <w:tcW w:w="740" w:type="dxa"/>
            <w:vAlign w:val="bottom"/>
          </w:tcPr>
          <w:p>
            <w:pPr>
              <w:spacing w:after="0"/>
              <w:rPr>
                <w:sz w:val="21"/>
                <w:szCs w:val="21"/>
                <w:color w:val="auto"/>
              </w:rPr>
            </w:pPr>
          </w:p>
        </w:tc>
        <w:tc>
          <w:tcPr>
            <w:tcW w:w="1480" w:type="dxa"/>
            <w:vAlign w:val="bottom"/>
          </w:tcPr>
          <w:p>
            <w:pPr>
              <w:jc w:val="right"/>
              <w:ind w:right="313"/>
              <w:spacing w:after="0"/>
              <w:rPr>
                <w:sz w:val="20"/>
                <w:szCs w:val="20"/>
                <w:color w:val="auto"/>
              </w:rPr>
            </w:pPr>
            <w:r>
              <w:rPr>
                <w:rFonts w:ascii="Arial" w:cs="Arial" w:eastAsia="Arial" w:hAnsi="Arial"/>
                <w:sz w:val="18"/>
                <w:szCs w:val="18"/>
                <w:color w:val="auto"/>
              </w:rPr>
              <w:t>3</w:t>
            </w:r>
          </w:p>
        </w:tc>
        <w:tc>
          <w:tcPr>
            <w:tcW w:w="1620" w:type="dxa"/>
            <w:vAlign w:val="bottom"/>
          </w:tcPr>
          <w:p>
            <w:pPr>
              <w:spacing w:after="0"/>
              <w:rPr>
                <w:sz w:val="21"/>
                <w:szCs w:val="21"/>
                <w:color w:val="auto"/>
              </w:rPr>
            </w:pPr>
          </w:p>
        </w:tc>
      </w:tr>
    </w:tbl>
    <w:p>
      <w:pPr>
        <w:spacing w:after="0" w:line="229"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Our effective tax rate was 40% in the three months ended June 30, 2013, compared to an effective tax rate of 37% in the same period last year. The provision for income taxes for the periods presented is comprised of foreign income taxes, U.S. federal and state taxes, and withholding tax. The increase in the effective tax rate was primarily due to a reduction in tax benefits from stock options related to our foreign subsidiaries and an increase in non-deductible stock-based compensation expense.</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June 30, 2013 and December 31, 2012, unrecognized tax benefits were $31.2 million and $27.8 million, respectively. The total amount of $30.8 million in unrecognized tax benefits, if recognized, would favorably impact the effective tax rate.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June 30, 2013, we had accrued approximately $2.2 million for estimated interest related to uncertain tax provisions.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State of California has been conducting an audit of our state income tax returns for fiscal 2010 and fiscal 2011. We do not expect this audit to have a significant detrimental effect on our income tax liability nor have a material impact on our results of operations.</w:t>
      </w:r>
    </w:p>
    <w:p>
      <w:pPr>
        <w:spacing w:after="0" w:line="3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Within the next twelve months, it is possible our uncertain tax benefit will decrease up to $1.1 million. This possible decrease in our uncertain tax benefit may be a result of several factors, including a lapse of statute of limitations, provided no tax authority conducts a new examination. This may impact our future effective tax rate.</w:t>
      </w: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122" w:right="37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and June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492"/>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760" w:type="dxa"/>
            <w:vAlign w:val="bottom"/>
            <w:gridSpan w:val="5"/>
          </w:tcPr>
          <w:p>
            <w:pPr>
              <w:ind w:left="1020"/>
              <w:spacing w:after="0"/>
              <w:rPr>
                <w:sz w:val="20"/>
                <w:szCs w:val="20"/>
                <w:color w:val="auto"/>
              </w:rPr>
            </w:pPr>
            <w:r>
              <w:rPr>
                <w:rFonts w:ascii="Arial" w:cs="Arial" w:eastAsia="Arial" w:hAnsi="Arial"/>
                <w:sz w:val="16"/>
                <w:szCs w:val="16"/>
                <w:b w:val="1"/>
                <w:bCs w:val="1"/>
                <w:color w:val="auto"/>
              </w:rPr>
              <w:t>June 30,</w:t>
            </w:r>
          </w:p>
        </w:tc>
        <w:tc>
          <w:tcPr>
            <w:tcW w:w="27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center"/>
              <w:ind w:right="1056"/>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Total Revenue</w:t>
            </w:r>
          </w:p>
        </w:tc>
        <w:tc>
          <w:tcPr>
            <w:tcW w:w="1160" w:type="dxa"/>
            <w:vAlign w:val="bottom"/>
          </w:tcPr>
          <w:p>
            <w:pPr>
              <w:jc w:val="right"/>
              <w:ind w:right="3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Revenue</w:t>
            </w:r>
          </w:p>
        </w:tc>
        <w:tc>
          <w:tcPr>
            <w:tcW w:w="124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spacing w:after="0"/>
              <w:rPr>
                <w:sz w:val="20"/>
                <w:szCs w:val="20"/>
                <w:color w:val="auto"/>
              </w:rPr>
            </w:pPr>
            <w:r>
              <w:rPr>
                <w:rFonts w:ascii="Arial" w:cs="Arial" w:eastAsia="Arial" w:hAnsi="Arial"/>
                <w:sz w:val="18"/>
                <w:szCs w:val="18"/>
                <w:color w:val="auto"/>
              </w:rPr>
              <w:t>124,475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114,896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9,579</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155,564</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127,550</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28,014</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3,209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283,248</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246,209</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37,039</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112,653</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98,353</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14,300</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EMEA</w:t>
            </w:r>
          </w:p>
        </w:tc>
        <w:tc>
          <w:tcPr>
            <w:tcW w:w="1160" w:type="dxa"/>
            <w:vAlign w:val="bottom"/>
          </w:tcPr>
          <w:p>
            <w:pPr>
              <w:jc w:val="right"/>
              <w:spacing w:after="0"/>
              <w:rPr>
                <w:sz w:val="20"/>
                <w:szCs w:val="20"/>
                <w:color w:val="auto"/>
              </w:rPr>
            </w:pPr>
            <w:r>
              <w:rPr>
                <w:rFonts w:ascii="Arial" w:cs="Arial" w:eastAsia="Arial" w:hAnsi="Arial"/>
                <w:sz w:val="18"/>
                <w:szCs w:val="18"/>
                <w:color w:val="auto"/>
              </w:rPr>
              <w:t>98,127</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84,550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13,577</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APAC</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72,468</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63,306</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9,162</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283,248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246,209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37,039</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Total revenue increased by $37.0 million, or 15%, during the six months ended June 30, 2013 compared to the same period last year. All three regions contributed comparable growth on a percentage basis. Product revenue increased by $9.6 million, or 8%, compared to the same period last year. The increase in product revenue was primarily driven by greater sales volume in our FortiGate product family, particularly entry-level products, wireless security and access point products, which contributed the largest portion of the growth. Services revenue increased by $28.0 million, or 22%, in the six months ended June 30, 2013 compared to the same period last year due to the recognition of revenue from our growing deferred revenue balance consisting of subscription and support contracts sold to a larger customer base.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w w:val="92"/>
              </w:rPr>
              <w:t>Six Months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200" w:type="dxa"/>
            <w:vAlign w:val="bottom"/>
          </w:tcPr>
          <w:p>
            <w:pPr>
              <w:ind w:left="600"/>
              <w:spacing w:after="0"/>
              <w:rPr>
                <w:sz w:val="20"/>
                <w:szCs w:val="20"/>
                <w:color w:val="auto"/>
              </w:rPr>
            </w:pPr>
            <w:r>
              <w:rPr>
                <w:rFonts w:ascii="Arial" w:cs="Arial" w:eastAsia="Arial" w:hAnsi="Arial"/>
                <w:sz w:val="16"/>
                <w:szCs w:val="16"/>
                <w:b w:val="1"/>
                <w:bCs w:val="1"/>
                <w:color w:val="auto"/>
                <w:w w:val="90"/>
              </w:rPr>
              <w:t>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b w:val="1"/>
                <w:bCs w:val="1"/>
                <w:color w:val="auto"/>
              </w:rPr>
              <w:t>June 30,</w:t>
            </w: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0"/>
        </w:trPr>
        <w:tc>
          <w:tcPr>
            <w:tcW w:w="4980" w:type="dxa"/>
            <w:vAlign w:val="bottom"/>
            <w:gridSpan w:val="2"/>
          </w:tcPr>
          <w:p>
            <w:pPr>
              <w:ind w:left="4540"/>
              <w:spacing w:after="0"/>
              <w:rPr>
                <w:sz w:val="20"/>
                <w:szCs w:val="20"/>
                <w:color w:val="auto"/>
              </w:rPr>
            </w:pPr>
            <w:r>
              <w:rPr>
                <w:rFonts w:ascii="Arial" w:cs="Arial" w:eastAsia="Arial" w:hAnsi="Arial"/>
                <w:sz w:val="16"/>
                <w:szCs w:val="16"/>
                <w:b w:val="1"/>
                <w:bCs w:val="1"/>
                <w:color w:val="auto"/>
              </w:rPr>
              <w:t>2013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right"/>
              <w:ind w:right="551"/>
              <w:spacing w:after="0"/>
              <w:rPr>
                <w:sz w:val="20"/>
                <w:szCs w:val="20"/>
                <w:color w:val="auto"/>
              </w:rPr>
            </w:pPr>
            <w:r>
              <w:rPr>
                <w:rFonts w:ascii="Arial" w:cs="Arial" w:eastAsia="Arial" w:hAnsi="Arial"/>
                <w:sz w:val="16"/>
                <w:szCs w:val="16"/>
                <w:b w:val="1"/>
                <w:bCs w:val="1"/>
                <w:color w:val="auto"/>
                <w:w w:val="88"/>
              </w:rPr>
              <w:t>Change</w:t>
            </w:r>
          </w:p>
        </w:tc>
        <w:tc>
          <w:tcPr>
            <w:tcW w:w="1920" w:type="dxa"/>
            <w:vAlign w:val="bottom"/>
          </w:tcPr>
          <w:p>
            <w:pPr>
              <w:jc w:val="right"/>
              <w:ind w:right="45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gridSpan w:val="3"/>
          </w:tcPr>
          <w:p>
            <w:pPr>
              <w:ind w:left="580"/>
              <w:spacing w:after="0"/>
              <w:rPr>
                <w:sz w:val="20"/>
                <w:szCs w:val="20"/>
                <w:color w:val="auto"/>
              </w:rPr>
            </w:pPr>
            <w:r>
              <w:rPr>
                <w:rFonts w:ascii="Arial" w:cs="Arial" w:eastAsia="Arial" w:hAnsi="Arial"/>
                <w:sz w:val="16"/>
                <w:szCs w:val="16"/>
                <w:b w:val="1"/>
                <w:bCs w:val="1"/>
                <w:color w:val="auto"/>
                <w:w w:val="89"/>
              </w:rPr>
              <w:t>($ amounts in 000’s)</w:t>
            </w: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500"/>
              <w:spacing w:after="0"/>
              <w:rPr>
                <w:sz w:val="20"/>
                <w:szCs w:val="20"/>
                <w:color w:val="auto"/>
              </w:rPr>
            </w:pPr>
            <w:r>
              <w:rPr>
                <w:rFonts w:ascii="Arial" w:cs="Arial" w:eastAsia="Arial" w:hAnsi="Arial"/>
                <w:sz w:val="18"/>
                <w:szCs w:val="18"/>
                <w:color w:val="auto"/>
              </w:rPr>
              <w:t>Product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w w:val="90"/>
              </w:rPr>
              <w:t>49,906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43,003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6,903</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31,833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23,680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8,153</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43"/>
        </w:trPr>
        <w:tc>
          <w:tcPr>
            <w:tcW w:w="4980" w:type="dxa"/>
            <w:vAlign w:val="bottom"/>
            <w:gridSpan w:val="2"/>
          </w:tcPr>
          <w:p>
            <w:pPr>
              <w:ind w:left="500"/>
              <w:spacing w:after="0"/>
              <w:rPr>
                <w:sz w:val="20"/>
                <w:szCs w:val="20"/>
                <w:color w:val="auto"/>
              </w:rPr>
            </w:pPr>
            <w:r>
              <w:rPr>
                <w:rFonts w:ascii="Arial" w:cs="Arial" w:eastAsia="Arial" w:hAnsi="Arial"/>
                <w:sz w:val="18"/>
                <w:szCs w:val="18"/>
                <w:color w:val="auto"/>
              </w:rPr>
              <w:t>Ratable and other revenue</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37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57"/>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0"/>
              </w:rPr>
              <w:t>82,836</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68,170</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14,666</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r>
        <w:trPr>
          <w:trHeight w:val="230"/>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Gross margin (%):</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500"/>
              <w:spacing w:after="0"/>
              <w:rPr>
                <w:sz w:val="20"/>
                <w:szCs w:val="20"/>
                <w:color w:val="auto"/>
              </w:rPr>
            </w:pPr>
            <w:r>
              <w:rPr>
                <w:rFonts w:ascii="Arial" w:cs="Arial" w:eastAsia="Arial" w:hAnsi="Arial"/>
                <w:sz w:val="18"/>
                <w:szCs w:val="18"/>
                <w:color w:val="auto"/>
              </w:rPr>
              <w:t>Services</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9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Total gross margin</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9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Total gross margin decreased by 1.5 percentage points in the six months ended June 30, 2013 compared to the same period last year, as both product and services gross margins declined. Product gross margin decreased by 2.7 percentage points in the six months ended June 30, 2013 compared to the same period last year primarily as a result of the higher mix of entry-level products and higher overhead costs. Services gross margin decreased by 1.9 percentage points during the six months ended June 30, 2013 primarily due to our continued investments in our technical support organization to accommodate our expanding customer base and higher service level expectations from our enterprise customers. In addition, we experienced growth in our professional consulting services which have lower gross margins than our support and subscription businesses. Cost of services revenue increased by $8.2 million primarily due to a $5.9 million increase in cash-based personnel costs related to an increase in headcount, a $0.6 million increase in stock-based compensation expense, a $0.7 million increase in warranty-related costs and freight, and a $0.5 million increase in each of the professional services and depreciation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494"/>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760" w:type="dxa"/>
            <w:vAlign w:val="bottom"/>
            <w:gridSpan w:val="5"/>
          </w:tcPr>
          <w:p>
            <w:pPr>
              <w:ind w:left="1020"/>
              <w:spacing w:after="0"/>
              <w:rPr>
                <w:sz w:val="20"/>
                <w:szCs w:val="20"/>
                <w:color w:val="auto"/>
              </w:rPr>
            </w:pPr>
            <w:r>
              <w:rPr>
                <w:rFonts w:ascii="Arial" w:cs="Arial" w:eastAsia="Arial" w:hAnsi="Arial"/>
                <w:sz w:val="16"/>
                <w:szCs w:val="16"/>
                <w:b w:val="1"/>
                <w:bCs w:val="1"/>
                <w:color w:val="auto"/>
              </w:rPr>
              <w:t>June 30,</w:t>
            </w:r>
          </w:p>
        </w:tc>
        <w:tc>
          <w:tcPr>
            <w:tcW w:w="27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center"/>
              <w:ind w:right="1059"/>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Total Revenue</w:t>
            </w:r>
          </w:p>
        </w:tc>
        <w:tc>
          <w:tcPr>
            <w:tcW w:w="1160" w:type="dxa"/>
            <w:vAlign w:val="bottom"/>
          </w:tcPr>
          <w:p>
            <w:pPr>
              <w:jc w:val="right"/>
              <w:ind w:right="34"/>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Revenue</w:t>
            </w:r>
          </w:p>
        </w:tc>
        <w:tc>
          <w:tcPr>
            <w:tcW w:w="124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48,492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40,055</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8,437</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105,973</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86,295</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19,678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16,779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12,023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4,756</w:t>
            </w: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171,244</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138,373</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32,871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3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Research and development expense increased by $8.4 million, or 21%, in the six months ended June 30, 2013 compared to the same period last year, primarily due to an increase of $6.0 million in cash-based personnel costs and $1.8 million in stock-based compensation expense as a result of increased headcount to support the development of new products and continued enhancements of our existing products.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Sales and marketing expense increased by $19.7 million, or 23%, in the six months ended June 30, 2013 compared to the same period last year, primarily due to an increase of $11.0 million in cash-based personnel costs as we continued to increase our sales headcount in order to expand our global footprint. In addition, we incurred increases in travel expenses of $2.3 million, stock-based compensation expense of $1.8 million, trade shows and promotional expenses of $1.6 million and depreciation expenses of $1.3 million. As a percentage of total revenue, sales and marketing expenses increased as we accelerated the investment in our sales force to support future growth.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General and administrative expense increased by $4.8 million, or 40%, in the six months ended June 30, 2013 compared to the same period last year. Cash-based personnel costs increased by $1.7 million and stock-based compensation expense increased by $0.7 million. In addition, we incurred $1.9 million of higher legal and accounting fees.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income, net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w w:val="93"/>
              </w:rPr>
              <w:t>Six Months Ended</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220" w:type="dxa"/>
            <w:vAlign w:val="bottom"/>
          </w:tcPr>
          <w:p>
            <w:pPr>
              <w:jc w:val="center"/>
              <w:ind w:left="479"/>
              <w:spacing w:after="0"/>
              <w:rPr>
                <w:sz w:val="20"/>
                <w:szCs w:val="20"/>
                <w:color w:val="auto"/>
              </w:rPr>
            </w:pPr>
            <w:r>
              <w:rPr>
                <w:rFonts w:ascii="Arial" w:cs="Arial" w:eastAsia="Arial" w:hAnsi="Arial"/>
                <w:sz w:val="16"/>
                <w:szCs w:val="16"/>
                <w:b w:val="1"/>
                <w:bCs w:val="1"/>
                <w:color w:val="auto"/>
                <w:w w:val="90"/>
              </w:rPr>
              <w:t>June 30,</w:t>
            </w:r>
          </w:p>
        </w:tc>
        <w:tc>
          <w:tcPr>
            <w:tcW w:w="134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June 30,</w:t>
            </w: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0"/>
        </w:trPr>
        <w:tc>
          <w:tcPr>
            <w:tcW w:w="50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1340" w:type="dxa"/>
            <w:vAlign w:val="bottom"/>
          </w:tcPr>
          <w:p>
            <w:pPr>
              <w:spacing w:after="0"/>
              <w:rPr>
                <w:sz w:val="18"/>
                <w:szCs w:val="18"/>
                <w:color w:val="auto"/>
              </w:rPr>
            </w:pPr>
          </w:p>
        </w:tc>
        <w:tc>
          <w:tcPr>
            <w:tcW w:w="124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18"/>
                <w:szCs w:val="18"/>
                <w:color w:val="auto"/>
              </w:rPr>
            </w:pPr>
          </w:p>
        </w:tc>
        <w:tc>
          <w:tcPr>
            <w:tcW w:w="1440" w:type="dxa"/>
            <w:vAlign w:val="bottom"/>
          </w:tcPr>
          <w:p>
            <w:pPr>
              <w:jc w:val="right"/>
              <w:ind w:right="833"/>
              <w:spacing w:after="0"/>
              <w:rPr>
                <w:sz w:val="20"/>
                <w:szCs w:val="20"/>
                <w:color w:val="auto"/>
              </w:rPr>
            </w:pPr>
            <w:r>
              <w:rPr>
                <w:rFonts w:ascii="Arial" w:cs="Arial" w:eastAsia="Arial" w:hAnsi="Arial"/>
                <w:sz w:val="16"/>
                <w:szCs w:val="16"/>
                <w:b w:val="1"/>
                <w:bCs w:val="1"/>
                <w:color w:val="auto"/>
                <w:w w:val="85"/>
              </w:rPr>
              <w:t>Change</w:t>
            </w:r>
          </w:p>
        </w:tc>
        <w:tc>
          <w:tcPr>
            <w:tcW w:w="166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80" w:type="dxa"/>
            <w:vAlign w:val="bottom"/>
            <w:gridSpan w:val="2"/>
          </w:tcPr>
          <w:p>
            <w:pPr>
              <w:ind w:left="580"/>
              <w:spacing w:after="0"/>
              <w:rPr>
                <w:sz w:val="20"/>
                <w:szCs w:val="20"/>
                <w:color w:val="auto"/>
              </w:rPr>
            </w:pPr>
            <w:r>
              <w:rPr>
                <w:rFonts w:ascii="Arial" w:cs="Arial" w:eastAsia="Arial" w:hAnsi="Arial"/>
                <w:sz w:val="16"/>
                <w:szCs w:val="16"/>
                <w:b w:val="1"/>
                <w:bCs w:val="1"/>
                <w:color w:val="auto"/>
                <w:w w:val="89"/>
              </w:rPr>
              <w:t>($ amounts in 000’s)</w:t>
            </w: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34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rPr>
              <w:t>2,706</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2,287</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419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Other (expense) income, net</w:t>
            </w:r>
          </w:p>
        </w:tc>
        <w:tc>
          <w:tcPr>
            <w:tcW w:w="1340" w:type="dxa"/>
            <w:vAlign w:val="bottom"/>
          </w:tcPr>
          <w:p>
            <w:pPr>
              <w:jc w:val="right"/>
              <w:ind w:right="753"/>
              <w:spacing w:after="0"/>
              <w:rPr>
                <w:sz w:val="20"/>
                <w:szCs w:val="20"/>
                <w:color w:val="auto"/>
              </w:rPr>
            </w:pPr>
            <w:r>
              <w:rPr>
                <w:rFonts w:ascii="Arial" w:cs="Arial" w:eastAsia="Arial" w:hAnsi="Arial"/>
                <w:sz w:val="18"/>
                <w:szCs w:val="18"/>
                <w:color w:val="auto"/>
              </w:rPr>
              <w:t>115</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1"/>
                <w:szCs w:val="21"/>
                <w:color w:val="auto"/>
              </w:rPr>
            </w:pPr>
          </w:p>
        </w:tc>
        <w:tc>
          <w:tcPr>
            <w:tcW w:w="1440" w:type="dxa"/>
            <w:vAlign w:val="bottom"/>
          </w:tcPr>
          <w:p>
            <w:pPr>
              <w:jc w:val="right"/>
              <w:ind w:right="293"/>
              <w:spacing w:after="0"/>
              <w:rPr>
                <w:sz w:val="20"/>
                <w:szCs w:val="20"/>
                <w:color w:val="auto"/>
              </w:rPr>
            </w:pPr>
            <w:r>
              <w:rPr>
                <w:rFonts w:ascii="Arial" w:cs="Arial" w:eastAsia="Arial" w:hAnsi="Arial"/>
                <w:sz w:val="18"/>
                <w:szCs w:val="18"/>
                <w:color w:val="auto"/>
              </w:rPr>
              <w:t>112</w:t>
            </w:r>
          </w:p>
        </w:tc>
        <w:tc>
          <w:tcPr>
            <w:tcW w:w="1660" w:type="dxa"/>
            <w:vAlign w:val="bottom"/>
          </w:tcPr>
          <w:p>
            <w:pPr>
              <w:jc w:val="right"/>
              <w:spacing w:after="0"/>
              <w:rPr>
                <w:sz w:val="20"/>
                <w:szCs w:val="20"/>
                <w:color w:val="auto"/>
              </w:rPr>
            </w:pPr>
            <w:r>
              <w:rPr>
                <w:rFonts w:ascii="Arial" w:cs="Arial" w:eastAsia="Arial" w:hAnsi="Arial"/>
                <w:sz w:val="18"/>
                <w:szCs w:val="18"/>
                <w:color w:val="auto"/>
              </w:rPr>
              <w:t>3,733</w:t>
            </w:r>
          </w:p>
        </w:tc>
      </w:tr>
    </w:tbl>
    <w:p>
      <w:pPr>
        <w:spacing w:after="0" w:line="22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$0.4 million increase in interest income in the six months ended June 30, 2013 compared to the same period last year, was primarily due to interest earned on higher invested balances of cash, cash equivalents and investments. The change in other (expense) income, net, for the six months ended June 30, 2013 was the result of higher foreign exchange gains compared to the same period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w w:val="95"/>
              </w:rPr>
              <w:t>Six Months Ended</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200" w:type="dxa"/>
            <w:vAlign w:val="bottom"/>
          </w:tcPr>
          <w:p>
            <w:pPr>
              <w:jc w:val="center"/>
              <w:ind w:left="499"/>
              <w:spacing w:after="0"/>
              <w:rPr>
                <w:sz w:val="20"/>
                <w:szCs w:val="20"/>
                <w:color w:val="auto"/>
              </w:rPr>
            </w:pPr>
            <w:r>
              <w:rPr>
                <w:rFonts w:ascii="Arial" w:cs="Arial" w:eastAsia="Arial" w:hAnsi="Arial"/>
                <w:sz w:val="16"/>
                <w:szCs w:val="16"/>
                <w:b w:val="1"/>
                <w:bCs w:val="1"/>
                <w:color w:val="auto"/>
                <w:w w:val="90"/>
              </w:rPr>
              <w:t>June 30,</w:t>
            </w:r>
          </w:p>
        </w:tc>
        <w:tc>
          <w:tcPr>
            <w:tcW w:w="13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49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1360" w:type="dxa"/>
            <w:vAlign w:val="bottom"/>
          </w:tcPr>
          <w:p>
            <w:pPr>
              <w:spacing w:after="0"/>
              <w:rPr>
                <w:sz w:val="18"/>
                <w:szCs w:val="18"/>
                <w:color w:val="auto"/>
              </w:rPr>
            </w:pPr>
          </w:p>
        </w:tc>
        <w:tc>
          <w:tcPr>
            <w:tcW w:w="124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18"/>
                <w:szCs w:val="18"/>
                <w:color w:val="auto"/>
              </w:rPr>
            </w:pPr>
          </w:p>
        </w:tc>
        <w:tc>
          <w:tcPr>
            <w:tcW w:w="1480" w:type="dxa"/>
            <w:vAlign w:val="bottom"/>
          </w:tcPr>
          <w:p>
            <w:pPr>
              <w:jc w:val="right"/>
              <w:ind w:right="853"/>
              <w:spacing w:after="0"/>
              <w:rPr>
                <w:sz w:val="20"/>
                <w:szCs w:val="20"/>
                <w:color w:val="auto"/>
              </w:rPr>
            </w:pPr>
            <w:r>
              <w:rPr>
                <w:rFonts w:ascii="Arial" w:cs="Arial" w:eastAsia="Arial" w:hAnsi="Arial"/>
                <w:sz w:val="16"/>
                <w:szCs w:val="16"/>
                <w:b w:val="1"/>
                <w:bCs w:val="1"/>
                <w:color w:val="auto"/>
                <w:w w:val="88"/>
              </w:rPr>
              <w:t>Change</w:t>
            </w:r>
          </w:p>
        </w:tc>
        <w:tc>
          <w:tcPr>
            <w:tcW w:w="1620" w:type="dxa"/>
            <w:vAlign w:val="bottom"/>
          </w:tcPr>
          <w:p>
            <w:pPr>
              <w:jc w:val="right"/>
              <w:ind w:right="45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580"/>
              <w:spacing w:after="0"/>
              <w:rPr>
                <w:sz w:val="20"/>
                <w:szCs w:val="20"/>
                <w:color w:val="auto"/>
              </w:rPr>
            </w:pPr>
            <w:r>
              <w:rPr>
                <w:rFonts w:ascii="Arial" w:cs="Arial" w:eastAsia="Arial" w:hAnsi="Arial"/>
                <w:sz w:val="16"/>
                <w:szCs w:val="16"/>
                <w:b w:val="1"/>
                <w:bCs w:val="1"/>
                <w:color w:val="auto"/>
                <w:w w:val="8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0"/>
              </w:rPr>
              <w:t>10,761</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13,833</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(3,072)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Effective tax rate (%)</w:t>
            </w:r>
          </w:p>
        </w:tc>
        <w:tc>
          <w:tcPr>
            <w:tcW w:w="1360" w:type="dxa"/>
            <w:vAlign w:val="bottom"/>
          </w:tcPr>
          <w:p>
            <w:pPr>
              <w:jc w:val="right"/>
              <w:ind w:right="753"/>
              <w:spacing w:after="0"/>
              <w:rPr>
                <w:sz w:val="20"/>
                <w:szCs w:val="20"/>
                <w:color w:val="auto"/>
              </w:rPr>
            </w:pPr>
            <w:r>
              <w:rPr>
                <w:rFonts w:ascii="Arial" w:cs="Arial" w:eastAsia="Arial" w:hAnsi="Arial"/>
                <w:sz w:val="18"/>
                <w:szCs w:val="18"/>
                <w:color w:val="auto"/>
              </w:rPr>
              <w:t>34</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33</w:t>
            </w:r>
          </w:p>
        </w:tc>
        <w:tc>
          <w:tcPr>
            <w:tcW w:w="740" w:type="dxa"/>
            <w:vAlign w:val="bottom"/>
          </w:tcPr>
          <w:p>
            <w:pPr>
              <w:spacing w:after="0"/>
              <w:rPr>
                <w:sz w:val="21"/>
                <w:szCs w:val="21"/>
                <w:color w:val="auto"/>
              </w:rPr>
            </w:pPr>
          </w:p>
        </w:tc>
        <w:tc>
          <w:tcPr>
            <w:tcW w:w="1480" w:type="dxa"/>
            <w:vAlign w:val="bottom"/>
          </w:tcPr>
          <w:p>
            <w:pPr>
              <w:jc w:val="right"/>
              <w:ind w:right="313"/>
              <w:spacing w:after="0"/>
              <w:rPr>
                <w:sz w:val="20"/>
                <w:szCs w:val="20"/>
                <w:color w:val="auto"/>
              </w:rPr>
            </w:pPr>
            <w:r>
              <w:rPr>
                <w:rFonts w:ascii="Arial" w:cs="Arial" w:eastAsia="Arial" w:hAnsi="Arial"/>
                <w:sz w:val="18"/>
                <w:szCs w:val="18"/>
                <w:color w:val="auto"/>
              </w:rPr>
              <w:t>1</w:t>
            </w:r>
          </w:p>
        </w:tc>
        <w:tc>
          <w:tcPr>
            <w:tcW w:w="1620" w:type="dxa"/>
            <w:vAlign w:val="bottom"/>
          </w:tcPr>
          <w:p>
            <w:pPr>
              <w:spacing w:after="0"/>
              <w:rPr>
                <w:sz w:val="21"/>
                <w:szCs w:val="21"/>
                <w:color w:val="auto"/>
              </w:rPr>
            </w:pPr>
          </w:p>
        </w:tc>
      </w:tr>
    </w:tbl>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effective tax rate was 34% in the six months ended June 30, 2013, compared to an effective tax rate of 33% in the same period last year. The provision for income taxes for the periods presented is comprised of foreign income taxes, U.S. federal and state taxes, and withholding tax. The increase in the effective tax rate was primarily due to a reduction in tax benefits from the stock options related to our foreign subsidiaries and an increase in non-deductible stock based compensation expense. Further, in January 2013, the American Taxpayer Relief Act of 2012 reinstated the U.S. Federal Research and Development Tax Credit retroactive to January 1, 2012. As a result, the U.S. Federal Research and Development Tax Credit benefit was recorded in the six months ended June 30,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jc w:val="right"/>
              <w:ind w:right="19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5400" w:type="dxa"/>
            <w:vAlign w:val="bottom"/>
            <w:gridSpan w:val="2"/>
          </w:tcPr>
          <w:p>
            <w:pPr>
              <w:jc w:val="right"/>
              <w:ind w:right="496"/>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080" w:type="dxa"/>
            <w:vAlign w:val="bottom"/>
            <w:gridSpan w:val="3"/>
          </w:tcPr>
          <w:p>
            <w:pPr>
              <w:jc w:val="right"/>
              <w:ind w:right="733"/>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40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123,468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122,975</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5400" w:type="dxa"/>
            <w:vAlign w:val="bottom"/>
            <w:gridSpan w:val="2"/>
          </w:tcPr>
          <w:p>
            <w:pPr>
              <w:jc w:val="right"/>
              <w:ind w:right="36"/>
              <w:spacing w:after="0"/>
              <w:rPr>
                <w:sz w:val="20"/>
                <w:szCs w:val="20"/>
                <w:color w:val="auto"/>
              </w:rPr>
            </w:pPr>
            <w:r>
              <w:rPr>
                <w:rFonts w:ascii="Arial" w:cs="Arial" w:eastAsia="Arial" w:hAnsi="Arial"/>
                <w:sz w:val="18"/>
                <w:szCs w:val="18"/>
                <w:color w:val="auto"/>
              </w:rPr>
              <w:t>690,942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616,611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39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814,410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739,586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4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5400" w:type="dxa"/>
            <w:vAlign w:val="bottom"/>
            <w:gridSpan w:val="2"/>
          </w:tcPr>
          <w:p>
            <w:pPr>
              <w:jc w:val="right"/>
              <w:ind w:right="36"/>
              <w:spacing w:after="0"/>
              <w:rPr>
                <w:sz w:val="20"/>
                <w:szCs w:val="20"/>
                <w:color w:val="auto"/>
              </w:rPr>
            </w:pPr>
            <w:r>
              <w:rPr>
                <w:rFonts w:ascii="Arial" w:cs="Arial" w:eastAsia="Arial" w:hAnsi="Arial"/>
                <w:sz w:val="18"/>
                <w:szCs w:val="18"/>
                <w:color w:val="auto"/>
              </w:rPr>
              <w:t>311,919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249,970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900" w:type="dxa"/>
            <w:vAlign w:val="bottom"/>
            <w:vMerge w:val="restart"/>
          </w:tcPr>
          <w:p>
            <w:pPr>
              <w:jc w:val="right"/>
              <w:ind w:right="2452"/>
              <w:spacing w:after="0"/>
              <w:rPr>
                <w:sz w:val="20"/>
                <w:szCs w:val="20"/>
                <w:color w:val="auto"/>
              </w:rPr>
            </w:pPr>
            <w:r>
              <w:rPr>
                <w:rFonts w:ascii="Arial" w:cs="Arial" w:eastAsia="Arial" w:hAnsi="Arial"/>
                <w:sz w:val="18"/>
                <w:szCs w:val="18"/>
                <w:color w:val="auto"/>
              </w:rPr>
              <w:t>38</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summary of our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3"/>
          </w:tcPr>
          <w:p>
            <w:pPr>
              <w:jc w:val="right"/>
              <w:ind w:right="83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60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340" w:type="dxa"/>
            <w:vAlign w:val="bottom"/>
          </w:tcPr>
          <w:p>
            <w:pPr>
              <w:spacing w:after="0"/>
              <w:rPr>
                <w:sz w:val="18"/>
                <w:szCs w:val="18"/>
                <w:color w:val="auto"/>
              </w:rPr>
            </w:pPr>
          </w:p>
        </w:tc>
        <w:tc>
          <w:tcPr>
            <w:tcW w:w="15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2012</w:t>
            </w:r>
          </w:p>
        </w:tc>
      </w:tr>
      <w:tr>
        <w:trPr>
          <w:trHeight w:val="33"/>
        </w:trPr>
        <w:tc>
          <w:tcPr>
            <w:tcW w:w="8340" w:type="dxa"/>
            <w:vAlign w:val="bottom"/>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080" w:type="dxa"/>
            <w:vAlign w:val="bottom"/>
            <w:gridSpan w:val="3"/>
          </w:tcPr>
          <w:p>
            <w:pPr>
              <w:jc w:val="right"/>
              <w:ind w:right="733"/>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75,332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92,803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1500" w:type="dxa"/>
            <w:vAlign w:val="bottom"/>
          </w:tcPr>
          <w:p>
            <w:pPr>
              <w:jc w:val="right"/>
              <w:spacing w:after="0"/>
              <w:rPr>
                <w:sz w:val="20"/>
                <w:szCs w:val="20"/>
                <w:color w:val="auto"/>
              </w:rPr>
            </w:pPr>
            <w:r>
              <w:rPr>
                <w:rFonts w:ascii="Arial" w:cs="Arial" w:eastAsia="Arial" w:hAnsi="Arial"/>
                <w:sz w:val="18"/>
                <w:szCs w:val="18"/>
                <w:color w:val="auto"/>
              </w:rPr>
              <w:t>(91,514)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(105,933)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50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9,236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of June 30, 2013, our cash, cash equivalents, and investments of $814.4 million were held for working-capital purposes and were invested primarily in money market funds, commercial paper, corporate debt securities, municipal bonds and certificates of deposit and term deposits. As of June 30, 2013, $63.6 million of our cash was held by certain international subsidiaries and is not immediately available to fund domestic operations unless the cash is repatriated. While we do not intend to do so, should this amount be repatriated, it would be subject to U.S. federal income tax which would be partially offset by foreign tax credits. We do not enter into investments for trading or speculative purposes. We believe that our existing cash, cash equivalents and investments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Historically, we have required capital principally to fund our working capital needs, capital expenditures,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from operating activities: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3"/>
          </w:tcPr>
          <w:p>
            <w:pPr>
              <w:jc w:val="right"/>
              <w:ind w:right="7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tcPr>
          <w:p>
            <w:pPr>
              <w:spacing w:after="0"/>
              <w:rPr>
                <w:sz w:val="18"/>
                <w:szCs w:val="18"/>
                <w:color w:val="auto"/>
              </w:rPr>
            </w:pPr>
          </w:p>
        </w:tc>
        <w:tc>
          <w:tcPr>
            <w:tcW w:w="160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jc w:val="right"/>
              <w:ind w:right="37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3080" w:type="dxa"/>
            <w:vAlign w:val="bottom"/>
            <w:gridSpan w:val="3"/>
          </w:tcPr>
          <w:p>
            <w:pPr>
              <w:jc w:val="right"/>
              <w:ind w:right="731"/>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28,123</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Adjustments for non-cash charges </w:t>
            </w:r>
            <w:r>
              <w:rPr>
                <w:rFonts w:ascii="Arial" w:cs="Arial" w:eastAsia="Arial" w:hAnsi="Arial"/>
                <w:sz w:val="18"/>
                <w:szCs w:val="18"/>
                <w:color w:val="auto"/>
                <w:vertAlign w:val="superscript"/>
              </w:rPr>
              <w:t>(1)</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30,398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21,576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non-cash charges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 in deferred revenue</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25,943</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36,492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accounts receivable—net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Increase in accounts payable and accrued liabilities, net </w:t>
            </w:r>
            <w:r>
              <w:rPr>
                <w:rFonts w:ascii="Arial" w:cs="Arial" w:eastAsia="Arial" w:hAnsi="Arial"/>
                <w:sz w:val="18"/>
                <w:szCs w:val="18"/>
                <w:color w:val="auto"/>
                <w:vertAlign w:val="superscript"/>
              </w:rPr>
              <w:t>(2)</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13,998</w:t>
            </w:r>
          </w:p>
        </w:tc>
        <w:tc>
          <w:tcPr>
            <w:tcW w:w="10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Increase in income taxes payable </w:t>
            </w:r>
            <w:r>
              <w:rPr>
                <w:rFonts w:ascii="Arial" w:cs="Arial" w:eastAsia="Arial" w:hAnsi="Arial"/>
                <w:sz w:val="18"/>
                <w:szCs w:val="18"/>
                <w:color w:val="auto"/>
                <w:vertAlign w:val="superscript"/>
              </w:rPr>
              <w:t>(2)</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11,339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(Increase) decrease in other assets </w:t>
            </w:r>
            <w:r>
              <w:rPr>
                <w:rFonts w:ascii="Arial" w:cs="Arial" w:eastAsia="Arial" w:hAnsi="Arial"/>
                <w:sz w:val="18"/>
                <w:szCs w:val="18"/>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8"/>
                <w:szCs w:val="18"/>
                <w:color w:val="auto"/>
              </w:rPr>
              <w:t>(12,442)</w:t>
            </w:r>
          </w:p>
        </w:tc>
        <w:tc>
          <w:tcPr>
            <w:tcW w:w="10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inventory</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 in accrued payroll and compensation</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Increase in prepaid expenses and other current assets </w:t>
            </w:r>
            <w:r>
              <w:rPr>
                <w:rFonts w:ascii="Arial" w:cs="Arial" w:eastAsia="Arial" w:hAnsi="Arial"/>
                <w:sz w:val="18"/>
                <w:szCs w:val="18"/>
                <w:color w:val="auto"/>
                <w:vertAlign w:val="superscript"/>
              </w:rPr>
              <w:t>(2)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75,332</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92,803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320" w:hanging="652"/>
        <w:spacing w:after="0" w:line="241"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Non-cash charges consist of stock-based compensation expense, depreciation and amortization, amortization of investment premiums, an excess tax benefit from our employee stock option plans, and other non-cash items, net.</w:t>
      </w: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Certain prior period amounts have been combined to conform to current period presentation.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Cash generated by operating activities is our primary source of liquidity. Our operating activities during the six months ended June 30, 2013, provided $75.3 million in cash as a result of our billings growth, profitability, and our ability to successfully manage our working capital. Net income was $21.2 million, increased by adjustments for non-cash charges of $30.4 million and sources of cash of $53.6 million, partially offset by uses of cash of $29.9 million from changes in operating assets and liabilities. Adjustments for non-cash charges consisted of stock-based compensation expense of $20.0 million, amortization of investment premiums of $5.9 million, depreciation and amortization of $7.3 million, partially offset by an excess tax benefit from stock option exercises of $1.9 million and other non-cash items, net, of $0.9 million. Sources of cash were related to a $25.9 million increase in deferred revenue which was attributable primarily to increased sales of our subscription and support services, which have yet to be recognized in income, a $14.0 million increase in accounts payable and accrued liabilities related to timing of payments, a $11.3 million increase in income taxes payable due to our continued profitability and timing of tax payments, and a $2.3 million increase in accrued payroll and compensation primarily related to increased headcount and employer taxes related to the exercise of stock options. Uses of cash were related to a $16.4 million increase in inventory to ensure an adequate level of inventory to support high-turnover channel driven products to reduce the risk of product stockouts, a $12.4 million increase in other assets, a $0.8 million increase in accounts receivable due to timing of collections, and a $0.2 million increase in prepaid expenses and other current assets.</w:t>
      </w:r>
    </w:p>
    <w:p>
      <w:pPr>
        <w:spacing w:after="0" w:line="16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operating activities during the six months ended June 30, 2012 provided $92.8 million in cash as a result of net income of $28.1 million, increased by adjustments for non-cash charges of $21.6 million and sources of cash of $51.2 million partially offset by uses of cash of $8.1 million. Adjustments for non-cash charges consisted of stock-based compensation of $15.1 million, amortization of investment premiums of $6.5 million, and depreciation and amortization of $5.1 million, offset partially by an excess tax benefit from stock option exercises of $5.2 million. Sources of cash were related to a $36.5 million increase in deferred revenue which was attributable primarily to increased sales of our subscription and support services, which have yet to be recognized as income, a $4.2 million increase in accounts payable and accrued liabilities, a $3.1 million increase in accrued payroll and compensation, a $5.7 million increase in income taxes payable, a $1.5 million decrease in other assets, and a $0.2 million decrease in accounts receivable, net. Uses of cash were primarily related to an $8.0 million increase in inventory to ensure an adequate level of inventory to support high-turnover channel driven products to reduce the risk of product stockouts and a $0.2 million decrease in prepaid expenses and other current assets.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investing activities during the six months ended June 30, 2013 consisted primarily of purchases and sales of investments, and to a much lesser extent, acquisitions and capital expenditures. The $91.5 million of cash used by investing activities was due to net purchases of investments of $82.0 million, acquisition of Coyote for $6.0 million and purchases of property and equipment of $3.6 million.</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investing activities during the six months ended June 30, 2012 consisted primarily of purchases, sales and maturities of investments, and to a lesser extent capital expenditures and acquisitions. The $105.9 million of cash used in investing activities during the six months ended June 30, 2012 was primarily due to net purchases of investments of $101.5 million, purchases of property and equipment of $3.9 million, and our acquisition of IntruGuard for $0.6 million.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financing activities during the six months ended June 30, 2013 resulted in net cash provided of $17.5 million as a result of receiving proceeds of $9.1 million and $6.5 million from the issuance of common stock under our stock option plans and ESPP, respectively, and an excess tax benefit from employee stock option exercises of $1.9 million.</w:t>
      </w:r>
    </w:p>
    <w:p>
      <w:pPr>
        <w:spacing w:after="0" w:line="181"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Our financing activities during the six months ended June 30, 2012 resulted in net cash provided of $22.8 million as a result of proceeds of $12.7 million and $5.0 million, from the issuance of common stock under our stock option plans and ESPP, respectively, and an excess tax benefit from employee stock option exercises of $5.2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There have been no significant changes during the six months ended June 30, 2013, to the contractual obligations and commitments disclosed in Management’s Discussion and Analysis of Financial Condition and Results of Operations, set forth in Part II, Item 7, of the Form 10-K, other than the following which summarizes the specified contractual obligations as of June 30, 2013:</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jc w:val="center"/>
              <w:ind w:left="974"/>
              <w:spacing w:after="0"/>
              <w:rPr>
                <w:sz w:val="20"/>
                <w:szCs w:val="20"/>
                <w:color w:val="auto"/>
              </w:rPr>
            </w:pPr>
            <w:r>
              <w:rPr>
                <w:rFonts w:ascii="Arial" w:cs="Arial" w:eastAsia="Arial" w:hAnsi="Arial"/>
                <w:sz w:val="16"/>
                <w:szCs w:val="16"/>
                <w:b w:val="1"/>
                <w:bCs w:val="1"/>
                <w:color w:val="auto"/>
                <w:w w:val="90"/>
              </w:rPr>
              <w:t>Payments Due by Period</w:t>
            </w: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jc w:val="right"/>
              <w:ind w:right="114"/>
              <w:spacing w:after="0"/>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380" w:type="dxa"/>
            <w:vAlign w:val="bottom"/>
            <w:gridSpan w:val="2"/>
          </w:tcPr>
          <w:p>
            <w:pPr>
              <w:ind w:left="460"/>
              <w:spacing w:after="0"/>
              <w:rPr>
                <w:sz w:val="20"/>
                <w:szCs w:val="20"/>
                <w:color w:val="auto"/>
              </w:rPr>
            </w:pPr>
            <w:r>
              <w:rPr>
                <w:rFonts w:ascii="Arial" w:cs="Arial" w:eastAsia="Arial" w:hAnsi="Arial"/>
                <w:sz w:val="16"/>
                <w:szCs w:val="16"/>
                <w:b w:val="1"/>
                <w:bCs w:val="1"/>
                <w:color w:val="auto"/>
              </w:rPr>
              <w:t>Total</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w w:val="94"/>
              </w:rPr>
              <w:t>Less than 1 year</w:t>
            </w:r>
          </w:p>
        </w:tc>
        <w:tc>
          <w:tcPr>
            <w:tcW w:w="120" w:type="dxa"/>
            <w:vAlign w:val="bottom"/>
          </w:tcPr>
          <w:p>
            <w:pPr>
              <w:spacing w:after="0"/>
              <w:rPr>
                <w:sz w:val="18"/>
                <w:szCs w:val="18"/>
                <w:color w:val="auto"/>
              </w:rPr>
            </w:pPr>
          </w:p>
        </w:tc>
        <w:tc>
          <w:tcPr>
            <w:tcW w:w="1520" w:type="dxa"/>
            <w:vAlign w:val="bottom"/>
            <w:gridSpan w:val="3"/>
          </w:tcPr>
          <w:p>
            <w:pPr>
              <w:ind w:left="260"/>
              <w:spacing w:after="0"/>
              <w:rPr>
                <w:sz w:val="20"/>
                <w:szCs w:val="20"/>
                <w:color w:val="auto"/>
              </w:rPr>
            </w:pPr>
            <w:r>
              <w:rPr>
                <w:rFonts w:ascii="Arial" w:cs="Arial" w:eastAsia="Arial" w:hAnsi="Arial"/>
                <w:sz w:val="16"/>
                <w:szCs w:val="16"/>
                <w:b w:val="1"/>
                <w:bCs w:val="1"/>
                <w:color w:val="auto"/>
              </w:rPr>
              <w:t>1 - 3 years</w:t>
            </w:r>
          </w:p>
        </w:tc>
        <w:tc>
          <w:tcPr>
            <w:tcW w:w="1180" w:type="dxa"/>
            <w:vAlign w:val="bottom"/>
          </w:tcPr>
          <w:p>
            <w:pPr>
              <w:jc w:val="right"/>
              <w:ind w:right="292"/>
              <w:spacing w:after="0"/>
              <w:rPr>
                <w:sz w:val="20"/>
                <w:szCs w:val="20"/>
                <w:color w:val="auto"/>
              </w:rPr>
            </w:pPr>
            <w:r>
              <w:rPr>
                <w:rFonts w:ascii="Arial" w:cs="Arial" w:eastAsia="Arial" w:hAnsi="Arial"/>
                <w:sz w:val="16"/>
                <w:szCs w:val="16"/>
                <w:b w:val="1"/>
                <w:bCs w:val="1"/>
                <w:color w:val="auto"/>
                <w:w w:val="99"/>
              </w:rPr>
              <w:t>3 - 5 years</w:t>
            </w:r>
          </w:p>
        </w:tc>
        <w:tc>
          <w:tcPr>
            <w:tcW w:w="1240" w:type="dxa"/>
            <w:vAlign w:val="bottom"/>
          </w:tcPr>
          <w:p>
            <w:pPr>
              <w:jc w:val="right"/>
              <w:ind w:right="354"/>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 amounts in 000’s)</w:t>
            </w: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8"/>
                <w:szCs w:val="18"/>
                <w:color w:val="auto"/>
                <w:vertAlign w:val="superscript"/>
              </w:rPr>
              <w:t>(1)</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29,827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4,325</w:t>
            </w:r>
          </w:p>
        </w:tc>
        <w:tc>
          <w:tcPr>
            <w:tcW w:w="13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14,326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6,869</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18"/>
                <w:szCs w:val="18"/>
                <w:color w:val="auto"/>
                <w:vertAlign w:val="superscript"/>
              </w:rPr>
              <w:t>(2)</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39,803</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39,803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spacing w:after="0"/>
              <w:rPr>
                <w:sz w:val="22"/>
                <w:szCs w:val="22"/>
                <w:color w:val="auto"/>
              </w:rPr>
            </w:pPr>
          </w:p>
        </w:tc>
        <w:tc>
          <w:tcPr>
            <w:tcW w:w="118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color w:val="auto"/>
                <w:vertAlign w:val="superscript"/>
              </w:rPr>
              <w:t>(3)</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69,630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44,128</w:t>
            </w:r>
          </w:p>
        </w:tc>
        <w:tc>
          <w:tcPr>
            <w:tcW w:w="13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14,326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6,869</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w w:val="89"/>
              </w:rPr>
              <w:t>________________________</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200" w:hanging="652"/>
        <w:spacing w:after="0" w:line="241"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contractual obligations from non-cancelable office space under operating leases. In March 2013, we extended the operating lease for one of our existing facilities in Canada through 2020. The total incremental lease payments are $14.3 million.</w:t>
      </w:r>
    </w:p>
    <w:p>
      <w:pPr>
        <w:ind w:left="660" w:right="80" w:hanging="652"/>
        <w:spacing w:after="0" w:line="241"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minimum purchase commitments with independent contract manufacturers. As of June 30, 2013, we had $39.8 million of open purchase orders with our independent contract manufacturers that may not be cancelable compared to $30.0 million as of December 31, 2012. The increase is required to replenish current inventory and to ensure adequate future inventory related to new product releases and product lead-times for certain products.</w:t>
      </w:r>
    </w:p>
    <w:p>
      <w:pPr>
        <w:spacing w:after="0" w:line="1" w:lineRule="exact"/>
        <w:rPr>
          <w:rFonts w:ascii="Arial" w:cs="Arial" w:eastAsia="Arial" w:hAnsi="Arial"/>
          <w:sz w:val="14"/>
          <w:szCs w:val="14"/>
          <w:color w:val="auto"/>
        </w:rPr>
      </w:pPr>
    </w:p>
    <w:p>
      <w:pPr>
        <w:ind w:left="660" w:hanging="652"/>
        <w:spacing w:after="0" w:line="293"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 tax liabilities related to uncertain tax positions have been included in the table. As of June 30, 2013, we had $33.4 million of long-term tax liabilities, including interest, related to uncertain tax positions. Because of the high degree of uncertainty regarding the settlement of these liabilities, we are unable to estimate the years in which future cash outflows may occur.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As of June 30, 2013,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have been no material changes in our market risk during the six months ended June 30, 2013, compared to the disclosures in Part II, Item 7A of the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or 15d-15(e) under the Exchange Act) as of June 30, 2013.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June 30, 2013,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or 15d-15(f) under the Exchange Act) during the three months ended June 30, 2013 that have materially affected, or are reasonably likely to materially affect, our internal control over financial reporting.</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122" w:right="35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August 2009, ESR, a non-practicing entity, 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in the U.S. Patent and Trademark Office ("PTO") on both asserted patents. The PTO rejected all of the claims of the patents in the suit and ESR appealed this result to the BPAI. In August 2012, the BPAI completed its review of both reexamination proceedings, and, after the BPAI’s review, all claims of the asserted ESR patents remain rejected. In October 2012, ESR filed an additional appeal of the BPAI decision with the United States Court of Appeal for the Federal Circuit. That appeal is still pending. The litigation related to ESR is no longer material to us, and we will no longer report on this case.</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July 2010,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is proceeding with Fortinet as the sole defendant. We have filed a motion to dismiss the case and a separate motion for summary judgment, both of which are pending. This case is currently scheduled for a jury trial starting in September 2013.</w:t>
      </w:r>
    </w:p>
    <w:p>
      <w:pPr>
        <w:spacing w:after="0" w:line="39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In June 2012, we received a letter from SRI claiming that we infringed certain SRI patents. Subsequently, we filed a complaint in the United States District Court for the Northern District of California seeking declaratory relief and a judgment that the SRI patents were invalid, unenforceable and not infringed by any of our products or services. The case is proceeding in the United States District Court for the Northern District of California.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currently believe that any of the foregoing litigation matters will have a material adverse effect on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the quarter;</w:t>
      </w:r>
    </w:p>
    <w:p>
      <w:pPr>
        <w:spacing w:after="0" w:line="236" w:lineRule="exact"/>
        <w:rPr>
          <w:rFonts w:ascii="Arial" w:cs="Arial" w:eastAsia="Arial" w:hAnsi="Arial"/>
          <w:sz w:val="17"/>
          <w:szCs w:val="17"/>
          <w:color w:val="auto"/>
        </w:rPr>
      </w:pPr>
    </w:p>
    <w:p>
      <w:pPr>
        <w:ind w:left="1300" w:right="440" w:hanging="644"/>
        <w:spacing w:after="0" w:line="308"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and logistics,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inventory imbalances, such as those related to new products and the end of life of existing products;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accuracy and timing of point of sale reporting by our sell-through distributors, which impacts our ability to recognize revenue;</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 and buying practices and patterns;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236" w:lineRule="exact"/>
        <w:rPr>
          <w:rFonts w:ascii="Arial" w:cs="Arial" w:eastAsia="Arial" w:hAnsi="Arial"/>
          <w:sz w:val="17"/>
          <w:szCs w:val="17"/>
          <w:color w:val="auto"/>
        </w:rPr>
      </w:pPr>
    </w:p>
    <w:p>
      <w:pPr>
        <w:ind w:left="1300" w:right="1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general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expenses, unforeseen liabilities or write-downs and any impact on results of operations from any acquisition consummated;</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insolvency or credit difficulties confronting our customers, affecting their ability to purchase or pay for our products and services;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key suppliers, which could disrupt our supply chain;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including fluctuations in our key metrics.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w:t>
      </w: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122" w:right="3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percentage of our operating expenses are fixed in nature and based on forecasted revenue trends. Accordingly, in the event of revenue shortfalls, we are generally unable to mitigate the negative impact on margins in the short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Billings and revenue growth may slow, or we may experience a decrease in billings and revenue, for a number of reasons, including a slowdown in demand for our products or services, an increase in competition, a decrease in the growth of our overall market, softness in demand in certain geographies, or if we fail for any reason to continue to capitalize on growth opportunities. For example, we experienced lower than expected billings during the first quarter of 2013 due to a number of factors, including decreased sales in the service provider market and slower sales in Latin America and EMEA. Our expenses as a percentage of total revenue may be higher than expected if our revenue is lower than expectations, and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shipments during the last two weeks of each quarter accounted for approximately 37%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billings and revenue for that quarter could fall below our expectations or those of securities analysts and investors, resulting in a decline in our stock price.</w:t>
      </w:r>
    </w:p>
    <w:p>
      <w:pPr>
        <w:spacing w:after="0" w:line="16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We rely significantly on revenue from subscription and support services which may decline, and because we recognize revenue from subscription and support services over the term of the relevant service period, downturns or upturns in sales of subscription and support services are not immediately reflected in full in our operating results.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subscription and support services revenue has historically accounted for a significant percentage of our total revenue. Sales of new or renewal subscription and support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support services contracts decline, our revenue and revenue growth may decline and our business will suffer. In addition, in the event significant customers require payment terms for subscription or support services in arrears or for shorter periods of time than annually, such as monthly or quarterly, this may negatively impact subscription and support billing. Furthermore, we recognize subscription and support services revenue monthly over the term of the relevant service period, which is typically one year but has been as long as five years. As a result, much of the subscription and support services revenue we report each quarter is the recognition of deferred revenue from subscription and support services contracts entered into during previous quarters. Consequently, a decline in new or renewed subscription or support services contracts in any one quarter will not be fully reflected in revenue in that quarter but will negatively affect our revenue in future quarters. Accordingly, the effect of significant downturns in new or renewed sales of our subscriptions or support services is not reflected in full in our statements of operations until future periods. Our subscription and support services revenue also makes it difficult for us to rapidly increase our revenue through additional service sales in any period, as revenue from new and renewal services contracts must be recognized over the applicable service period.</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Managing our inventory is complex. Our channel partners may increase orders during periods of product shortages, cancel orders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could result in inventory shortfalls. Management of our inventory is further complicated by the significant number of different products and models that we sell.</w:t>
      </w:r>
    </w:p>
    <w:p>
      <w:pPr>
        <w:spacing w:after="0" w:line="170"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experienced inventory shortages in the first quarter of 2013 due to more demand for certain products than we had forecasted. If we are unable to effectively manage our inventory and that of our channel partners, our results of operations could be adversely affected.</w:t>
      </w:r>
    </w:p>
    <w:p>
      <w:pPr>
        <w:spacing w:after="0" w:line="16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optimize our channel partner model or fail to manage existing sales channels, our business will be seriously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service providers and governmental entities. Sales to enterprises, service providers and governmental entities involve risks that may not be present (or that are present to a lesser extent) with sales to small-to-mid-sized entities. These risks include:</w:t>
      </w:r>
    </w:p>
    <w:p>
      <w:pPr>
        <w:spacing w:after="0" w:line="181" w:lineRule="exact"/>
        <w:rPr>
          <w:sz w:val="20"/>
          <w:szCs w:val="20"/>
          <w:color w:val="auto"/>
        </w:rPr>
      </w:pPr>
    </w:p>
    <w:p>
      <w:pPr>
        <w:ind w:left="1300" w:right="80" w:hanging="644"/>
        <w:spacing w:after="0" w:line="297"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increased competition from competitors, such as Cisco Systems, Inc. (“Cisco”), Sourcefire, Inc. ("Sourcefire") (acquired by Cisco) Check Point Software Technologies Ltd. (“Check Point”), McAfee, Inc. (“McAfee”) (acquired by Intel Corporation (“Intel”)), Blue Coat Systems, Inc. ("Blue Coat"), Palo Alto Networks, Inc. (“Palo Alto Networks”), SonicWALL, Inc. (“SonicWALL”) (acquired by Dell Inc. (“Dell”)), Juniper Networks, Inc. (“Juniper”), and Stonesoft Corporation ("Stonesoft") (acquired by McAfee) that traditionally target enterprises, service providers and governmental entities and that may already have purchase commitments from those end-customers;</w:t>
      </w:r>
    </w:p>
    <w:p>
      <w:pPr>
        <w:spacing w:after="0" w:line="158"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changes in the capital resources of or purchasing behavior of large end-customers, including changes in the volume and frequency of their purchases;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36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customer requirements, and increased penalties for any failure to meet support requirements;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enterprises, service providers and governmental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governmental entities are frequently subject to budget constraints, multiple approvals, and unplanned administrative, processing and other delays. Finally, enterprises, service providers and governmental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8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We may not be able to correct any security flaws or vulnerabilities promptly, or at all. Our products may also be misused by end-customers or third parties who obtain access to our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87" w:lineRule="exact"/>
        <w:rPr>
          <w:sz w:val="20"/>
          <w:szCs w:val="20"/>
          <w:color w:val="auto"/>
        </w:rPr>
      </w:pPr>
    </w:p>
    <w:p>
      <w:pPr>
        <w:ind w:left="1300" w:right="3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Our business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improvements to these systems and processes in a timely or efficient manner. For example, we are in the planning stages for an upgrade to our enterprise resource planning system and such change may cause disruption and additional cost.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7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stock-based compensation expense, valuation of inventory, warranty liabilities, and accounting for income taxes.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have experienced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in the locations where we have a substantial presence and need for highly-skilled personnel: the San Francisco Bay Area, Vancouver, Canada and Beijing, China.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President and Chief Executive Officer and Michael Xie, our Co-founder, Vice President of Engineering and Chief Technology Officer, and any of our senior sales leaders or functional area leaders, could significantly delay or prevent the achievement of our development and strategic objectives. We recently hired a new Chief Financial Officer and Chief Operating Officer, and it will take time for this executive officer to become fully integrated in his new role.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lower or no growth.</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outsource the manufacturing of our security appliance products to a variety of contract manufacturing partners and original design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2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 Furthermore manufacturing cost increases for any reason could result in lower gross margins.</w:t>
      </w:r>
    </w:p>
    <w:p>
      <w:pPr>
        <w:spacing w:after="0" w:line="166"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United Microelectronics Corporation (“UMC”) and Taiwan Semiconductor Manufacturing Company Limited (“TSMC”). Faraday Technology Corporation (“Faraday”) (using UMC’s foundry), Kawasaki Microelectronics America, Inc. (“K-Micro”) (using TSMC’s foundry) and Renesas Electronics Corporation (“Renesas”) (using UMC’s foundry) manufacture our Application-Specific Integrated Circuits (“ASICs”) on a purchase order basis, and these foundries do not guarantee any capacity and could reject orders from Faraday, K-Micro or Renesas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that originated in the Democratic Republic of Congo or an adjoining country, known as “conflict minerals,” are contained within our products. Under the Dodd-Frank Wall Street Reform and Consumer Protection Act of 2010, the SEC adopted new disclosure requirements for public companies using conflict minerals in their products. Under these rules, we are required to perform due diligence, disclose and report our efforts to prevent the sourcing of such conflict minerals. As a result of these new rules, we expect to incur additional costs to comply with the disclosure requirements, including costs related to determining the source of any of the conflict minerals that may be used in our products. Moreover, the implementation of these new requirements could adversely affect the sourcing, availability, and pricing of materials used in the manufacture of our products to the extent that there may be only a limited number of suppliers offering “conflict free” minerals that can be used in our products. There can be no assurance that we will be able to obtain such minerals in sufficient quantities or at competitive prices. We may also encounter customers who require that all of the components of our products be certified as conflict free. If we are not able to meet customer requirements, such customers may choose to not purchase our products, which could impact our sales and the value of portions of our inventory.</w:t>
      </w:r>
    </w:p>
    <w:p>
      <w:pPr>
        <w:spacing w:after="0" w:line="38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4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Advanced Micro Devices, Inc., RMI/Netlogic Corporation,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occurrence of any of these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majority of our operating expenses is incurred outside the United States. These expenses are denominated in foreign currencies and are subject to fluctuations due to changes in foreign currency exchange rates, particularly changes in the Euro and Canadian dollar. Although we have been hedging currency exposures relating to certain balance sheet accounts and have periodically entered into cash 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also adversely affect our financial condition and results of operations.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right="4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260" w:hanging="644"/>
        <w:spacing w:after="0" w:line="28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heightened risks of unfair or corrupt business practices in certain geographies and of improper or fraudulent sales arrangements that may result in disruption in the sales team and may adversely impact financial results as compared to those already reported or the forecasted results and result in restatements of financial statements and irregularities in financial statements;</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or war;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Because we incorporate encryption technology into our products, certain of our products are subject to U.S. export controls and may be exported outside the U.S.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opportunities.</w:t>
      </w:r>
    </w:p>
    <w:p>
      <w:pPr>
        <w:spacing w:after="0" w:line="18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governmental entities,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governmental entities. Sales to governmental entities are subject to a number of risks. Selling to governmental entities can be highly competitive, expensive and time consuming, often requiring significant upfront time and expense without any assurance that we will win a sale.</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rules and regulations applicable to government sales may also negatively impact sales to non-governmental entities. To date we have had limited traction in sales to U.S. federal government agencies, and any future sales to governmental entities is uncertain. All of our sales to governmental entities have been made indirectly through our distribution channel. Governmental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 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governmental entity end-customers require higher levels of support than smaller end-customers because of their more complex deployments. If we fail to meet the requirements of our larger end-customers, it may be more difficult to execute on our strategy to increase our penetration with enterprises, service providers and governmental entities.</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26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provision for income taxes is subject to volatility and could be adversely affected by several factors, many of which are outside of our control, including:</w:t>
      </w:r>
    </w:p>
    <w:p>
      <w:pPr>
        <w:spacing w:after="0" w:line="170" w:lineRule="exact"/>
        <w:rPr>
          <w:sz w:val="20"/>
          <w:szCs w:val="20"/>
          <w:color w:val="auto"/>
        </w:rPr>
      </w:pPr>
    </w:p>
    <w:p>
      <w:pPr>
        <w:ind w:left="1300" w:right="3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2" w:right="2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transfer pricing adjustments including the effect of acquisitions on our intercompany research and development and legal structure;</w:t>
      </w:r>
    </w:p>
    <w:p>
      <w:pPr>
        <w:spacing w:after="0" w:line="236" w:lineRule="exact"/>
        <w:rPr>
          <w:rFonts w:ascii="Arial" w:cs="Arial" w:eastAsia="Arial" w:hAnsi="Arial"/>
          <w:sz w:val="17"/>
          <w:szCs w:val="17"/>
          <w:color w:val="auto"/>
        </w:rPr>
      </w:pPr>
    </w:p>
    <w:p>
      <w:pPr>
        <w:ind w:left="1300" w:right="3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the stock option exercises by our employees in some of our foreign subsidiaries that can cause an adverse transfer pricing adjustment;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income tax provision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Significant judgment is required to determine the recognition and measurement attribute prescribed in the FASB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IRS and other tax authorities. For example, the California Franchise Tax Board is examining our tax returns for 2010 and 2011.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8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write-offs that could be substantial.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7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us missing financial targets, such as revenue and shipment targets, for a particular quarter. In addition, regional instability,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4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our revenue may not continue to grow.</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Increased market awareness of our capabilities and products is essential to our continued growth and our success in all of our markets, particularly for the large enterprise, service provider and governmental entities markets. We have historically had relatively low spending on certain marketing activities, and, if our marketing programs are not successful in creating market awareness of our company and products, our business, financial condition and results of operations will be adversely affected, and we will not be able to achieve sustained growth.</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for UTM products may be limited by market perception that UTM products are inferior to network security solutions from multiple vendors.</w:t>
      </w:r>
    </w:p>
    <w:p>
      <w:pPr>
        <w:spacing w:after="0" w:line="24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governmental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market for network security products is intensely competitive, and we expect competition to intensify in the future. Our competitors include networking companies such as Cisco and Juniper, security vendors such as Check Point, McAfee (acquired by Intel), Sourcefire (acquired by Cisco), Stonesoft (acquired by McAfee), SonicWALL (acquired by Dell), Blue Coat, and Palo Alto Networks, and other point solution security vendors.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 of McAfee, McAfee's acquisition of Stonesoft, Check Point’s acquisition of Nokia Corporations’ security appliance business and Dell’s acquisition of SonicWALL.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(LGPL), the BSD License, the Apache License and others.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From time to time we are subject to lawsuits claiming patent infringement, and there are lawsuits claiming patent infringement currently pending, as discussed in the section entitled “Legal Proceedings” in Part II, Item 1 of this Quarterly Report on Form 10-Q. We are also subject to other litigation in addition to patent infringement claims, such as employment-related litigation and disputes, general commercial litigation, and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In addition to the lawsuits described in “Legal Proceedings,”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Although our most recent assessment, testing and evaluation resulted in our conclusion that as of December 31, 2012, our internal controls over financial reporting were effective, we cannot predict the outcome of our testing in 2013 or future periods.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340" w:firstLine="648"/>
        <w:spacing w:after="0" w:line="297" w:lineRule="auto"/>
        <w:rPr>
          <w:sz w:val="20"/>
          <w:szCs w:val="20"/>
          <w:color w:val="auto"/>
        </w:rPr>
      </w:pPr>
      <w:r>
        <w:rPr>
          <w:rFonts w:ascii="Arial" w:cs="Arial" w:eastAsia="Arial" w:hAnsi="Arial"/>
          <w:sz w:val="16"/>
          <w:szCs w:val="16"/>
          <w:color w:val="auto"/>
        </w:rPr>
        <w:t>A change in accounting standards or practices and varying interpretations of existing accounting pronouncements, such as changes to standards related to the increased use of fair value measure, financial instruments, and the potential requirement that U.S. registrants prepare financial statements in accordance with International Financial Reporting Standards,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 For example, in the six months ended June 30, 2013, the closing price of our common stock ranged from $16.53 to $25.00.</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2" w:right="25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22" w:right="29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700"/>
          </w:cols>
          <w:pgMar w:left="240" w:top="122" w:right="9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FORTINET, INC.</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AHMED RUBAIE</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FFFFFF"/>
              </w:rPr>
              <w:t>Ken Goldman</w:t>
            </w:r>
          </w:p>
        </w:tc>
        <w:tc>
          <w:tcPr>
            <w:tcW w:w="51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Ahmed Rubaie</w:t>
            </w:r>
          </w:p>
        </w:tc>
        <w:tc>
          <w:tcPr>
            <w:tcW w:w="0" w:type="dxa"/>
            <w:vAlign w:val="bottom"/>
          </w:tcPr>
          <w:p>
            <w:pPr>
              <w:spacing w:after="0"/>
              <w:rPr>
                <w:sz w:val="1"/>
                <w:szCs w:val="1"/>
                <w:color w:val="auto"/>
              </w:rPr>
            </w:pPr>
          </w:p>
        </w:tc>
      </w:tr>
      <w:tr>
        <w:trPr>
          <w:trHeight w:val="149"/>
        </w:trPr>
        <w:tc>
          <w:tcPr>
            <w:tcW w:w="6240" w:type="dxa"/>
            <w:vAlign w:val="bottom"/>
            <w:vMerge w:val="continue"/>
          </w:tcPr>
          <w:p>
            <w:pPr>
              <w:spacing w:after="0"/>
              <w:rPr>
                <w:sz w:val="12"/>
                <w:szCs w:val="12"/>
                <w:color w:val="auto"/>
              </w:rPr>
            </w:pPr>
          </w:p>
        </w:tc>
        <w:tc>
          <w:tcPr>
            <w:tcW w:w="51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Chief Financial Officer and Chief Operating Officer (Principal Financial and</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20"/>
                <w:szCs w:val="20"/>
                <w:color w:val="auto"/>
              </w:rPr>
            </w:pPr>
            <w:r>
              <w:rPr>
                <w:rFonts w:ascii="Arial" w:cs="Arial" w:eastAsia="Arial" w:hAnsi="Arial"/>
                <w:sz w:val="14"/>
                <w:szCs w:val="14"/>
                <w:b w:val="1"/>
                <w:bCs w:val="1"/>
                <w:color w:val="FFFFFF"/>
              </w:rPr>
              <w:t>Vice President and Chief Financial Officer</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Accounting Officer) (Duly Authorized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Number</w:t>
            </w:r>
          </w:p>
        </w:tc>
        <w:tc>
          <w:tcPr>
            <w:tcW w:w="3900" w:type="dxa"/>
            <w:vAlign w:val="bottom"/>
            <w:gridSpan w:val="2"/>
          </w:tcPr>
          <w:p>
            <w:pPr>
              <w:ind w:left="1540"/>
              <w:spacing w:after="0"/>
              <w:rPr>
                <w:sz w:val="20"/>
                <w:szCs w:val="20"/>
                <w:color w:val="auto"/>
              </w:rPr>
            </w:pPr>
            <w:r>
              <w:rPr>
                <w:rFonts w:ascii="Arial" w:cs="Arial" w:eastAsia="Arial" w:hAnsi="Arial"/>
                <w:sz w:val="14"/>
                <w:szCs w:val="14"/>
                <w:b w:val="1"/>
                <w:bCs w:val="1"/>
                <w:color w:val="auto"/>
              </w:rPr>
              <w:t>Description</w:t>
            </w:r>
          </w:p>
        </w:tc>
        <w:tc>
          <w:tcPr>
            <w:tcW w:w="3380" w:type="dxa"/>
            <w:vAlign w:val="bottom"/>
          </w:tcPr>
          <w:p>
            <w:pPr>
              <w:ind w:left="1200"/>
              <w:spacing w:after="0"/>
              <w:rPr>
                <w:sz w:val="20"/>
                <w:szCs w:val="20"/>
                <w:color w:val="auto"/>
              </w:rPr>
            </w:pPr>
            <w:r>
              <w:rPr>
                <w:rFonts w:ascii="Arial" w:cs="Arial" w:eastAsia="Arial" w:hAnsi="Arial"/>
                <w:sz w:val="14"/>
                <w:szCs w:val="14"/>
                <w:b w:val="1"/>
                <w:bCs w:val="1"/>
                <w:color w:val="auto"/>
                <w:w w:val="98"/>
              </w:rPr>
              <w:t>Incorporated by reference herein</w:t>
            </w: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58"/>
        </w:trPr>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380" w:type="dxa"/>
            <w:vAlign w:val="bottom"/>
            <w:tcBorders>
              <w:top w:val="single" w:sz="8" w:color="auto"/>
            </w:tcBorders>
          </w:tcPr>
          <w:p>
            <w:pPr>
              <w:ind w:left="1260"/>
              <w:spacing w:after="0"/>
              <w:rPr>
                <w:sz w:val="20"/>
                <w:szCs w:val="20"/>
                <w:color w:val="auto"/>
              </w:rPr>
            </w:pPr>
            <w:r>
              <w:rPr>
                <w:rFonts w:ascii="Arial" w:cs="Arial" w:eastAsia="Arial" w:hAnsi="Arial"/>
                <w:sz w:val="14"/>
                <w:szCs w:val="14"/>
                <w:b w:val="1"/>
                <w:bCs w:val="1"/>
                <w:color w:val="auto"/>
              </w:rPr>
              <w:t>Form</w:t>
            </w:r>
          </w:p>
        </w:tc>
        <w:tc>
          <w:tcPr>
            <w:tcW w:w="122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Date</w:t>
            </w: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Exhibit Number</w:t>
            </w:r>
          </w:p>
        </w:tc>
      </w:tr>
      <w:tr>
        <w:trPr>
          <w:trHeight w:val="290"/>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w:t>
            </w:r>
          </w:p>
        </w:tc>
        <w:tc>
          <w:tcPr>
            <w:tcW w:w="3900" w:type="dxa"/>
            <w:vAlign w:val="bottom"/>
            <w:gridSpan w:val="2"/>
          </w:tcPr>
          <w:p>
            <w:pPr>
              <w:ind w:left="40"/>
              <w:spacing w:after="0"/>
              <w:rPr>
                <w:sz w:val="20"/>
                <w:szCs w:val="20"/>
                <w:color w:val="auto"/>
              </w:rPr>
            </w:pPr>
            <w:r>
              <w:rPr>
                <w:rFonts w:ascii="Arial" w:cs="Arial" w:eastAsia="Arial" w:hAnsi="Arial"/>
                <w:sz w:val="14"/>
                <w:szCs w:val="14"/>
                <w:color w:val="auto"/>
                <w:w w:val="97"/>
              </w:rPr>
              <w:t>Offer Letter, dated as of April 16, 2013, between Registrant and</w:t>
            </w:r>
          </w:p>
        </w:tc>
        <w:tc>
          <w:tcPr>
            <w:tcW w:w="3380" w:type="dxa"/>
            <w:vAlign w:val="bottom"/>
          </w:tcPr>
          <w:p>
            <w:pPr>
              <w:ind w:left="20"/>
              <w:spacing w:after="0"/>
              <w:rPr>
                <w:sz w:val="20"/>
                <w:szCs w:val="20"/>
                <w:color w:val="auto"/>
              </w:rPr>
            </w:pPr>
            <w:r>
              <w:rPr>
                <w:rFonts w:ascii="Arial" w:cs="Arial" w:eastAsia="Arial" w:hAnsi="Arial"/>
                <w:sz w:val="14"/>
                <w:szCs w:val="14"/>
                <w:color w:val="auto"/>
              </w:rPr>
              <w:t>Current report on Form 8-K (File No. 001-</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April 19, 2013</w:t>
            </w:r>
          </w:p>
        </w:tc>
        <w:tc>
          <w:tcPr>
            <w:tcW w:w="1420" w:type="dxa"/>
            <w:vAlign w:val="bottom"/>
          </w:tcPr>
          <w:p>
            <w:pPr>
              <w:jc w:val="center"/>
              <w:spacing w:after="0"/>
              <w:rPr>
                <w:sz w:val="20"/>
                <w:szCs w:val="20"/>
                <w:color w:val="auto"/>
              </w:rPr>
            </w:pPr>
            <w:r>
              <w:rPr>
                <w:rFonts w:ascii="Arial" w:cs="Arial" w:eastAsia="Arial" w:hAnsi="Arial"/>
                <w:sz w:val="14"/>
                <w:szCs w:val="14"/>
                <w:color w:val="auto"/>
                <w:w w:val="87"/>
              </w:rPr>
              <w:t>99.1</w:t>
            </w:r>
          </w:p>
        </w:tc>
      </w:tr>
      <w:tr>
        <w:trPr>
          <w:trHeight w:val="182"/>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Ahmed Rubaie</w:t>
            </w:r>
          </w:p>
        </w:tc>
        <w:tc>
          <w:tcPr>
            <w:tcW w:w="3380" w:type="dxa"/>
            <w:vAlign w:val="bottom"/>
          </w:tcPr>
          <w:p>
            <w:pPr>
              <w:ind w:left="20"/>
              <w:spacing w:after="0"/>
              <w:rPr>
                <w:sz w:val="20"/>
                <w:szCs w:val="20"/>
                <w:color w:val="auto"/>
              </w:rPr>
            </w:pPr>
            <w:r>
              <w:rPr>
                <w:rFonts w:ascii="Arial" w:cs="Arial" w:eastAsia="Arial" w:hAnsi="Arial"/>
                <w:sz w:val="14"/>
                <w:szCs w:val="14"/>
                <w:color w:val="auto"/>
              </w:rPr>
              <w:t>34511)</w:t>
            </w: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90"/>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10.2 †</w:t>
            </w:r>
          </w:p>
        </w:tc>
        <w:tc>
          <w:tcPr>
            <w:tcW w:w="3900" w:type="dxa"/>
            <w:vAlign w:val="bottom"/>
            <w:gridSpan w:val="2"/>
          </w:tcPr>
          <w:p>
            <w:pPr>
              <w:ind w:left="40"/>
              <w:spacing w:after="0"/>
              <w:rPr>
                <w:sz w:val="20"/>
                <w:szCs w:val="20"/>
                <w:color w:val="auto"/>
              </w:rPr>
            </w:pPr>
            <w:r>
              <w:rPr>
                <w:rFonts w:ascii="Arial" w:cs="Arial" w:eastAsia="Arial" w:hAnsi="Arial"/>
                <w:sz w:val="14"/>
                <w:szCs w:val="14"/>
                <w:color w:val="auto"/>
                <w:w w:val="98"/>
              </w:rPr>
              <w:t>Change of Control Severance Agreement, dated as of April 16,</w:t>
            </w:r>
          </w:p>
        </w:tc>
        <w:tc>
          <w:tcPr>
            <w:tcW w:w="3380" w:type="dxa"/>
            <w:vAlign w:val="bottom"/>
          </w:tcPr>
          <w:p>
            <w:pPr>
              <w:ind w:left="20"/>
              <w:spacing w:after="0"/>
              <w:rPr>
                <w:sz w:val="20"/>
                <w:szCs w:val="20"/>
                <w:color w:val="auto"/>
              </w:rPr>
            </w:pPr>
            <w:r>
              <w:rPr>
                <w:rFonts w:ascii="Arial" w:cs="Arial" w:eastAsia="Arial" w:hAnsi="Arial"/>
                <w:sz w:val="14"/>
                <w:szCs w:val="14"/>
                <w:color w:val="auto"/>
              </w:rPr>
              <w:t>Current Report on Form 8-K (File No. 001-</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April 19, 2013</w:t>
            </w:r>
          </w:p>
        </w:tc>
        <w:tc>
          <w:tcPr>
            <w:tcW w:w="1420" w:type="dxa"/>
            <w:vAlign w:val="bottom"/>
          </w:tcPr>
          <w:p>
            <w:pPr>
              <w:jc w:val="center"/>
              <w:spacing w:after="0"/>
              <w:rPr>
                <w:sz w:val="20"/>
                <w:szCs w:val="20"/>
                <w:color w:val="auto"/>
              </w:rPr>
            </w:pPr>
            <w:r>
              <w:rPr>
                <w:rFonts w:ascii="Arial" w:cs="Arial" w:eastAsia="Arial" w:hAnsi="Arial"/>
                <w:sz w:val="14"/>
                <w:szCs w:val="14"/>
                <w:color w:val="auto"/>
                <w:w w:val="87"/>
              </w:rPr>
              <w:t>99.2</w:t>
            </w:r>
          </w:p>
        </w:tc>
      </w:tr>
      <w:tr>
        <w:trPr>
          <w:trHeight w:val="182"/>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2013, between Registrant and Ahmed Rubaie</w:t>
            </w:r>
          </w:p>
        </w:tc>
        <w:tc>
          <w:tcPr>
            <w:tcW w:w="3380" w:type="dxa"/>
            <w:vAlign w:val="bottom"/>
          </w:tcPr>
          <w:p>
            <w:pPr>
              <w:ind w:left="20"/>
              <w:spacing w:after="0"/>
              <w:rPr>
                <w:sz w:val="20"/>
                <w:szCs w:val="20"/>
                <w:color w:val="auto"/>
              </w:rPr>
            </w:pPr>
            <w:r>
              <w:rPr>
                <w:rFonts w:ascii="Arial" w:cs="Arial" w:eastAsia="Arial" w:hAnsi="Arial"/>
                <w:sz w:val="14"/>
                <w:szCs w:val="14"/>
                <w:color w:val="auto"/>
              </w:rPr>
              <w:t>34511)</w:t>
            </w: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90"/>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10.3 †</w:t>
            </w: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2009 Equity Incentive Plan Performance Stock Unit Award</w:t>
            </w:r>
          </w:p>
        </w:tc>
        <w:tc>
          <w:tcPr>
            <w:tcW w:w="3380" w:type="dxa"/>
            <w:vAlign w:val="bottom"/>
          </w:tcPr>
          <w:p>
            <w:pPr>
              <w:ind w:left="20"/>
              <w:spacing w:after="0"/>
              <w:rPr>
                <w:sz w:val="20"/>
                <w:szCs w:val="20"/>
                <w:color w:val="auto"/>
              </w:rPr>
            </w:pPr>
            <w:r>
              <w:rPr>
                <w:rFonts w:ascii="Arial" w:cs="Arial" w:eastAsia="Arial" w:hAnsi="Arial"/>
                <w:sz w:val="14"/>
                <w:szCs w:val="14"/>
                <w:color w:val="auto"/>
              </w:rPr>
              <w:t>Quarterly Report on Form 10-Q (File No. 001-</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August 6, 2013</w:t>
            </w:r>
          </w:p>
        </w:tc>
        <w:tc>
          <w:tcPr>
            <w:tcW w:w="1420" w:type="dxa"/>
            <w:vAlign w:val="bottom"/>
          </w:tcPr>
          <w:p>
            <w:pPr>
              <w:jc w:val="center"/>
              <w:spacing w:after="0"/>
              <w:rPr>
                <w:sz w:val="20"/>
                <w:szCs w:val="20"/>
                <w:color w:val="auto"/>
              </w:rPr>
            </w:pPr>
            <w:r>
              <w:rPr>
                <w:rFonts w:ascii="Arial" w:cs="Arial" w:eastAsia="Arial" w:hAnsi="Arial"/>
                <w:sz w:val="14"/>
                <w:szCs w:val="14"/>
                <w:color w:val="auto"/>
                <w:w w:val="87"/>
              </w:rPr>
              <w:t>99.1</w:t>
            </w:r>
          </w:p>
        </w:tc>
      </w:tr>
      <w:tr>
        <w:trPr>
          <w:trHeight w:val="182"/>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Agreement</w:t>
            </w:r>
          </w:p>
        </w:tc>
        <w:tc>
          <w:tcPr>
            <w:tcW w:w="3380" w:type="dxa"/>
            <w:vAlign w:val="bottom"/>
          </w:tcPr>
          <w:p>
            <w:pPr>
              <w:ind w:left="20"/>
              <w:spacing w:after="0"/>
              <w:rPr>
                <w:sz w:val="20"/>
                <w:szCs w:val="20"/>
                <w:color w:val="auto"/>
              </w:rPr>
            </w:pPr>
            <w:r>
              <w:rPr>
                <w:rFonts w:ascii="Arial" w:cs="Arial" w:eastAsia="Arial" w:hAnsi="Arial"/>
                <w:sz w:val="14"/>
                <w:szCs w:val="14"/>
                <w:color w:val="auto"/>
              </w:rPr>
              <w:t>34511)</w:t>
            </w: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439"/>
        </w:trPr>
        <w:tc>
          <w:tcPr>
            <w:tcW w:w="138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Certification of Chief Executive Officer pursuant to Exchange</w:t>
            </w: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Act Rules 13a-14(a) and 15d-14(a), as adopted pursuant to</w:t>
            </w:r>
          </w:p>
        </w:tc>
        <w:tc>
          <w:tcPr>
            <w:tcW w:w="3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82"/>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Section 302 of the Sarbanes-Oxley Act of 2002</w:t>
            </w:r>
          </w:p>
        </w:tc>
        <w:tc>
          <w:tcPr>
            <w:tcW w:w="3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90"/>
        </w:trPr>
        <w:tc>
          <w:tcPr>
            <w:tcW w:w="138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Certification of Chief Financial Officer pursuant to Exchange</w:t>
            </w: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Act Rules 13a-14(a) and 15d-14(a), as adopted pursuant to</w:t>
            </w:r>
          </w:p>
        </w:tc>
        <w:tc>
          <w:tcPr>
            <w:tcW w:w="3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82"/>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Section 302 of the Sarbanes-Oxley Act of 2002</w:t>
            </w:r>
          </w:p>
        </w:tc>
        <w:tc>
          <w:tcPr>
            <w:tcW w:w="3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90"/>
        </w:trPr>
        <w:tc>
          <w:tcPr>
            <w:tcW w:w="138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Certifications of Chief Executive Officer and Chief Financial</w:t>
            </w: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5"/>
              </w:rPr>
              <w:t>Officer pursuant to 18 U.S.C. Section 1350, as adopted pursuant</w:t>
            </w:r>
          </w:p>
        </w:tc>
        <w:tc>
          <w:tcPr>
            <w:tcW w:w="3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82"/>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to Section 906 of the Sarbanes-Oxley Act of 2002</w:t>
            </w:r>
          </w:p>
        </w:tc>
        <w:tc>
          <w:tcPr>
            <w:tcW w:w="3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2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Calculation Linkbase Document</w:t>
            </w: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Definition Linkbase Document</w:t>
            </w: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Label Linkbase Document</w:t>
            </w: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3900" w:type="dxa"/>
            <w:vAlign w:val="bottom"/>
            <w:gridSpan w:val="2"/>
          </w:tcPr>
          <w:p>
            <w:pPr>
              <w:ind w:left="40"/>
              <w:spacing w:after="0"/>
              <w:rPr>
                <w:sz w:val="20"/>
                <w:szCs w:val="20"/>
                <w:color w:val="auto"/>
              </w:rPr>
            </w:pPr>
            <w:r>
              <w:rPr>
                <w:rFonts w:ascii="Arial" w:cs="Arial" w:eastAsia="Arial" w:hAnsi="Arial"/>
                <w:sz w:val="14"/>
                <w:szCs w:val="14"/>
                <w:color w:val="auto"/>
              </w:rPr>
              <w:t>XBRL Instance Document</w:t>
            </w: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8" w:lineRule="exact"/>
        <w:rPr>
          <w:sz w:val="20"/>
          <w:szCs w:val="20"/>
          <w:color w:val="auto"/>
        </w:rPr>
      </w:pPr>
    </w:p>
    <w:p>
      <w:pPr>
        <w:ind w:right="7420" w:firstLine="8"/>
        <w:spacing w:after="0" w:line="221" w:lineRule="auto"/>
        <w:tabs>
          <w:tab w:leader="none" w:pos="94" w:val="left"/>
        </w:tabs>
        <w:numPr>
          <w:ilvl w:val="0"/>
          <w:numId w:val="25"/>
        </w:numPr>
        <w:rPr>
          <w:rFonts w:ascii="Arial" w:cs="Arial" w:eastAsia="Arial" w:hAnsi="Arial"/>
          <w:sz w:val="23"/>
          <w:szCs w:val="23"/>
          <w:color w:val="auto"/>
          <w:vertAlign w:val="superscript"/>
        </w:rPr>
      </w:pPr>
      <w:r>
        <w:rPr>
          <w:rFonts w:ascii="Arial" w:cs="Arial" w:eastAsia="Arial" w:hAnsi="Arial"/>
          <w:sz w:val="13"/>
          <w:szCs w:val="13"/>
          <w:color w:val="auto"/>
        </w:rPr>
        <w:t xml:space="preserve">Indicates management compensatory plan, contract or arrangement. </w:t>
      </w:r>
      <w:r>
        <w:rPr>
          <w:rFonts w:ascii="Arial" w:cs="Arial" w:eastAsia="Arial" w:hAnsi="Arial"/>
          <w:sz w:val="17"/>
          <w:szCs w:val="17"/>
          <w:color w:val="auto"/>
        </w:rPr>
        <w:t xml:space="preserve">* </w:t>
      </w:r>
      <w:r>
        <w:rPr>
          <w:rFonts w:ascii="Arial" w:cs="Arial" w:eastAsia="Arial" w:hAnsi="Arial"/>
          <w:sz w:val="13"/>
          <w:szCs w:val="13"/>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77"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40" w:hanging="467"/>
        <w:spacing w:after="0" w:line="306"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00" w:right="80" w:hanging="455"/>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300" w:right="380" w:hanging="455"/>
        <w:spacing w:after="0" w:line="325"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55"/>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220" w:hanging="467"/>
        <w:spacing w:after="0" w:line="325"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55"/>
        <w:spacing w:after="0" w:line="325"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55"/>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President, Chief Executive Officer and Chairman of the Board</w:t>
      </w:r>
    </w:p>
    <w:p>
      <w:pPr>
        <w:spacing w:after="0" w:line="3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of Directors</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Ahmed Rubaie, certify that:</w:t>
      </w:r>
    </w:p>
    <w:p>
      <w:pPr>
        <w:spacing w:after="0" w:line="77"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40" w:hanging="467"/>
        <w:spacing w:after="0" w:line="306"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20" w:right="80" w:hanging="448"/>
        <w:spacing w:after="0" w:line="264" w:lineRule="auto"/>
        <w:tabs>
          <w:tab w:leader="none" w:pos="13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320" w:right="380" w:hanging="448"/>
        <w:spacing w:after="0" w:line="325" w:lineRule="auto"/>
        <w:tabs>
          <w:tab w:leader="none" w:pos="1320" w:val="left"/>
        </w:tabs>
        <w:numPr>
          <w:ilvl w:val="2"/>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20" w:right="80" w:hanging="448"/>
        <w:spacing w:after="0" w:line="264" w:lineRule="auto"/>
        <w:tabs>
          <w:tab w:leader="none" w:pos="13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220" w:hanging="467"/>
        <w:spacing w:after="0" w:line="325"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20" w:right="620" w:hanging="448"/>
        <w:spacing w:after="0" w:line="325" w:lineRule="auto"/>
        <w:tabs>
          <w:tab w:leader="none" w:pos="1320" w:val="left"/>
        </w:tabs>
        <w:numPr>
          <w:ilvl w:val="2"/>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20" w:right="300" w:hanging="448"/>
        <w:spacing w:after="0" w:line="277" w:lineRule="auto"/>
        <w:tabs>
          <w:tab w:leader="none" w:pos="13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Ahmed Rubaie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31750</wp:posOffset>
            </wp:positionV>
            <wp:extent cx="305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Ahmed Rubaie</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 and Chief Operating Officer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73" w:lineRule="exact"/>
        <w:rPr>
          <w:sz w:val="20"/>
          <w:szCs w:val="20"/>
          <w:color w:val="auto"/>
        </w:rPr>
      </w:pPr>
    </w:p>
    <w:p>
      <w:pPr>
        <w:jc w:val="both"/>
        <w:ind w:left="40" w:right="420" w:firstLine="495"/>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quarterly period ended June 30, 2013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40"/>
              <w:spacing w:after="0"/>
              <w:rPr>
                <w:sz w:val="20"/>
                <w:szCs w:val="20"/>
                <w:color w:val="auto"/>
              </w:rPr>
            </w:pPr>
            <w:r>
              <w:rPr>
                <w:rFonts w:ascii="Arial" w:cs="Arial" w:eastAsia="Arial" w:hAnsi="Arial"/>
                <w:sz w:val="18"/>
                <w:szCs w:val="18"/>
                <w:color w:val="auto"/>
              </w:rPr>
              <w:t>August 6, 2013</w:t>
            </w:r>
          </w:p>
        </w:tc>
        <w:tc>
          <w:tcPr>
            <w:tcW w:w="2400" w:type="dxa"/>
            <w:vAlign w:val="bottom"/>
          </w:tcPr>
          <w:p>
            <w:pPr>
              <w:ind w:left="166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Ken Xie</w:t>
            </w:r>
          </w:p>
        </w:tc>
      </w:tr>
      <w:tr>
        <w:trPr>
          <w:trHeight w:val="27"/>
        </w:trPr>
        <w:tc>
          <w:tcPr>
            <w:tcW w:w="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0" w:type="dxa"/>
            <w:vAlign w:val="bottom"/>
          </w:tcPr>
          <w:p>
            <w:pPr>
              <w:ind w:left="1660"/>
              <w:spacing w:after="0"/>
              <w:rPr>
                <w:sz w:val="20"/>
                <w:szCs w:val="20"/>
                <w:color w:val="auto"/>
              </w:rPr>
            </w:pPr>
            <w:r>
              <w:rPr>
                <w:rFonts w:ascii="Arial" w:cs="Arial" w:eastAsia="Arial" w:hAnsi="Arial"/>
                <w:sz w:val="18"/>
                <w:szCs w:val="18"/>
                <w:color w:val="auto"/>
              </w:rPr>
              <w:t>Name:</w:t>
            </w:r>
          </w:p>
        </w:tc>
        <w:tc>
          <w:tcPr>
            <w:tcW w:w="516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256"/>
        </w:trPr>
        <w:tc>
          <w:tcPr>
            <w:tcW w:w="5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President, Chief Executive Officer and Chairman of the Board of</w:t>
            </w:r>
          </w:p>
        </w:tc>
      </w:tr>
      <w:tr>
        <w:trPr>
          <w:trHeight w:val="216"/>
        </w:trPr>
        <w:tc>
          <w:tcPr>
            <w:tcW w:w="5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Directors</w:t>
            </w:r>
          </w:p>
        </w:tc>
      </w:tr>
      <w:tr>
        <w:trPr>
          <w:trHeight w:val="230"/>
        </w:trPr>
        <w:tc>
          <w:tcPr>
            <w:tcW w:w="5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0" w:type="dxa"/>
            <w:vAlign w:val="bottom"/>
          </w:tcPr>
          <w:p>
            <w:pPr>
              <w:ind w:left="1660"/>
              <w:spacing w:after="0"/>
              <w:rPr>
                <w:sz w:val="20"/>
                <w:szCs w:val="20"/>
                <w:color w:val="auto"/>
              </w:rPr>
            </w:pPr>
            <w:r>
              <w:rPr>
                <w:rFonts w:ascii="Arial" w:cs="Arial" w:eastAsia="Arial" w:hAnsi="Arial"/>
                <w:sz w:val="18"/>
                <w:szCs w:val="18"/>
                <w:color w:val="auto"/>
              </w:rPr>
              <w:t>Title:</w:t>
            </w:r>
          </w:p>
        </w:tc>
        <w:tc>
          <w:tcPr>
            <w:tcW w:w="51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37" w:lineRule="exact"/>
        <w:rPr>
          <w:sz w:val="20"/>
          <w:szCs w:val="20"/>
          <w:color w:val="auto"/>
        </w:rPr>
      </w:pPr>
    </w:p>
    <w:p>
      <w:pPr>
        <w:jc w:val="both"/>
        <w:ind w:left="40" w:right="420" w:firstLine="531"/>
        <w:spacing w:after="0" w:line="259" w:lineRule="auto"/>
        <w:rPr>
          <w:sz w:val="20"/>
          <w:szCs w:val="20"/>
          <w:color w:val="auto"/>
        </w:rPr>
      </w:pPr>
      <w:r>
        <w:rPr>
          <w:rFonts w:ascii="Arial" w:cs="Arial" w:eastAsia="Arial" w:hAnsi="Arial"/>
          <w:sz w:val="18"/>
          <w:szCs w:val="18"/>
          <w:color w:val="auto"/>
        </w:rPr>
        <w:t>I, Ahmed Rubaie, certify, pursuant to 18 U.S.C. Section 1350, as adopted pursuant to Section 906 of the Sarbanes-Oxley Act of 2002, that the Quarterly Report on Form 10-Q of Fortinet, Inc. for the quarterly period ended June 30, 2013 fully complies with the requirements of Section 13(a) or 15(d) of the Exchange Act and the information contained in this Quarterly Report on Form 10-Q fairly presents, in all material respects, the financial condition and results of operations of Fortinet, Inc.</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August 6, 2013</w:t>
            </w:r>
          </w:p>
        </w:tc>
        <w:tc>
          <w:tcPr>
            <w:tcW w:w="2400" w:type="dxa"/>
            <w:vAlign w:val="bottom"/>
          </w:tcPr>
          <w:p>
            <w:pPr>
              <w:ind w:left="166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Ahmed Rubaie</w:t>
            </w:r>
          </w:p>
        </w:tc>
      </w:tr>
      <w:tr>
        <w:trPr>
          <w:trHeight w:val="27"/>
        </w:trPr>
        <w:tc>
          <w:tcPr>
            <w:tcW w:w="3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2400" w:type="dxa"/>
            <w:vAlign w:val="bottom"/>
          </w:tcPr>
          <w:p>
            <w:pPr>
              <w:ind w:left="1660"/>
              <w:spacing w:after="0"/>
              <w:rPr>
                <w:sz w:val="20"/>
                <w:szCs w:val="20"/>
                <w:color w:val="auto"/>
              </w:rPr>
            </w:pPr>
            <w:r>
              <w:rPr>
                <w:rFonts w:ascii="Arial" w:cs="Arial" w:eastAsia="Arial" w:hAnsi="Arial"/>
                <w:sz w:val="18"/>
                <w:szCs w:val="18"/>
                <w:color w:val="auto"/>
              </w:rPr>
              <w:t>Name:</w:t>
            </w:r>
          </w:p>
        </w:tc>
        <w:tc>
          <w:tcPr>
            <w:tcW w:w="5160" w:type="dxa"/>
            <w:vAlign w:val="bottom"/>
          </w:tcPr>
          <w:p>
            <w:pPr>
              <w:ind w:left="20"/>
              <w:spacing w:after="0"/>
              <w:rPr>
                <w:sz w:val="20"/>
                <w:szCs w:val="20"/>
                <w:color w:val="auto"/>
              </w:rPr>
            </w:pPr>
            <w:r>
              <w:rPr>
                <w:rFonts w:ascii="Arial" w:cs="Arial" w:eastAsia="Arial" w:hAnsi="Arial"/>
                <w:sz w:val="18"/>
                <w:szCs w:val="18"/>
                <w:color w:val="auto"/>
              </w:rPr>
              <w:t>Ahmed Rubaie</w:t>
            </w:r>
          </w:p>
        </w:tc>
      </w:tr>
      <w:tr>
        <w:trPr>
          <w:trHeight w:val="256"/>
        </w:trPr>
        <w:tc>
          <w:tcPr>
            <w:tcW w:w="34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 and Chief Operating Officer</w:t>
            </w:r>
          </w:p>
        </w:tc>
      </w:tr>
      <w:tr>
        <w:trPr>
          <w:trHeight w:val="230"/>
        </w:trPr>
        <w:tc>
          <w:tcPr>
            <w:tcW w:w="3420" w:type="dxa"/>
            <w:vAlign w:val="bottom"/>
          </w:tcPr>
          <w:p>
            <w:pPr>
              <w:spacing w:after="0"/>
              <w:rPr>
                <w:sz w:val="20"/>
                <w:szCs w:val="20"/>
                <w:color w:val="auto"/>
              </w:rPr>
            </w:pPr>
          </w:p>
        </w:tc>
        <w:tc>
          <w:tcPr>
            <w:tcW w:w="2400" w:type="dxa"/>
            <w:vAlign w:val="bottom"/>
          </w:tcPr>
          <w:p>
            <w:pPr>
              <w:ind w:left="1660"/>
              <w:spacing w:after="0"/>
              <w:rPr>
                <w:sz w:val="20"/>
                <w:szCs w:val="20"/>
                <w:color w:val="auto"/>
              </w:rPr>
            </w:pPr>
            <w:r>
              <w:rPr>
                <w:rFonts w:ascii="Arial" w:cs="Arial" w:eastAsia="Arial" w:hAnsi="Arial"/>
                <w:sz w:val="18"/>
                <w:szCs w:val="18"/>
                <w:color w:val="auto"/>
              </w:rPr>
              <w:t>Title:</w:t>
            </w:r>
          </w:p>
        </w:tc>
        <w:tc>
          <w:tcPr>
            <w:tcW w:w="51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5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T"/>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8"/>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8">
    <w:nsid w:val="2901D8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2019-12-07T05:42:44Z</dcterms:created>
  <dcterms:modified xsi:type="dcterms:W3CDTF">2019-12-07T05:42:44Z</dcterms:modified>
</cp:coreProperties>
</file>