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758825</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673100</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11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Washington, D.C. 20549</w:t>
      </w:r>
    </w:p>
    <w:p>
      <w:pPr>
        <w:spacing w:after="0" w:line="158" w:lineRule="exact"/>
        <w:rPr>
          <w:sz w:val="24"/>
          <w:szCs w:val="24"/>
          <w:color w:val="auto"/>
        </w:rPr>
      </w:pPr>
    </w:p>
    <w:p>
      <w:pPr>
        <w:jc w:val="center"/>
        <w:ind w:right="-159"/>
        <w:spacing w:after="0"/>
        <w:rPr>
          <w:sz w:val="20"/>
          <w:szCs w:val="20"/>
          <w:color w:val="auto"/>
        </w:rPr>
      </w:pPr>
      <w:r>
        <w:rPr>
          <w:rFonts w:ascii="Arial" w:cs="Arial" w:eastAsia="Arial" w:hAnsi="Arial"/>
          <w:sz w:val="23"/>
          <w:szCs w:val="23"/>
          <w:b w:val="1"/>
          <w:bCs w:val="1"/>
          <w:color w:val="auto"/>
        </w:rPr>
        <w:t>FORM 10-Q</w:t>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72" w:lineRule="exact"/>
        <w:rPr>
          <w:sz w:val="24"/>
          <w:szCs w:val="24"/>
          <w:color w:val="auto"/>
        </w:rPr>
      </w:pPr>
    </w:p>
    <w:p>
      <w:pPr>
        <w:ind w:left="3980" w:right="1760" w:hanging="3945"/>
        <w:spacing w:after="0" w:line="461" w:lineRule="auto"/>
        <w:tabs>
          <w:tab w:leader="none" w:pos="392"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2014</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380" w:hanging="345"/>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6" w:lineRule="exact"/>
        <w:rPr>
          <w:sz w:val="24"/>
          <w:szCs w:val="24"/>
          <w:color w:val="auto"/>
        </w:rPr>
      </w:pPr>
    </w:p>
    <w:p>
      <w:pPr>
        <w:ind w:left="388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3975100</wp:posOffset>
            </wp:positionH>
            <wp:positionV relativeFrom="paragraph">
              <wp:posOffset>-7620</wp:posOffset>
            </wp:positionV>
            <wp:extent cx="838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151" w:lineRule="exact"/>
        <w:rPr>
          <w:sz w:val="24"/>
          <w:szCs w:val="24"/>
          <w:color w:val="auto"/>
        </w:rPr>
      </w:pPr>
    </w:p>
    <w:tbl>
      <w:tblPr>
        <w:tblLayout w:type="fixed"/>
        <w:tblInd w:w="1520" w:type="dxa"/>
        <w:tblCellMar>
          <w:top w:w="0" w:type="dxa"/>
          <w:left w:w="0" w:type="dxa"/>
          <w:bottom w:w="0" w:type="dxa"/>
          <w:right w:w="0" w:type="dxa"/>
        </w:tblCellMar>
      </w:tblPr>
      <w:tr>
        <w:trPr>
          <w:trHeight w:val="220"/>
        </w:trPr>
        <w:tc>
          <w:tcPr>
            <w:tcW w:w="6220" w:type="dxa"/>
            <w:vAlign w:val="bottom"/>
          </w:tcPr>
          <w:p>
            <w:pPr>
              <w:jc w:val="center"/>
              <w:ind w:left="2091"/>
              <w:spacing w:after="0"/>
              <w:rPr>
                <w:sz w:val="20"/>
                <w:szCs w:val="20"/>
                <w:color w:val="auto"/>
              </w:rPr>
            </w:pPr>
            <w:r>
              <w:rPr>
                <w:rFonts w:ascii="Arial" w:cs="Arial" w:eastAsia="Arial" w:hAnsi="Arial"/>
                <w:sz w:val="18"/>
                <w:szCs w:val="18"/>
                <w:b w:val="1"/>
                <w:bCs w:val="1"/>
                <w:color w:val="auto"/>
                <w:w w:val="89"/>
              </w:rPr>
              <w:t>Commission file number: 001-34511</w:t>
            </w:r>
          </w:p>
        </w:tc>
        <w:tc>
          <w:tcPr>
            <w:tcW w:w="1460" w:type="dxa"/>
            <w:vAlign w:val="bottom"/>
          </w:tcPr>
          <w:p>
            <w:pPr>
              <w:spacing w:after="0"/>
              <w:rPr>
                <w:sz w:val="19"/>
                <w:szCs w:val="19"/>
                <w:color w:val="auto"/>
              </w:rPr>
            </w:pPr>
          </w:p>
        </w:tc>
      </w:tr>
      <w:tr>
        <w:trPr>
          <w:trHeight w:val="207"/>
        </w:trPr>
        <w:tc>
          <w:tcPr>
            <w:tcW w:w="6220" w:type="dxa"/>
            <w:vAlign w:val="bottom"/>
          </w:tcPr>
          <w:p>
            <w:pPr>
              <w:jc w:val="center"/>
              <w:ind w:left="2071"/>
              <w:spacing w:after="0"/>
              <w:rPr>
                <w:sz w:val="20"/>
                <w:szCs w:val="20"/>
                <w:color w:val="auto"/>
              </w:rPr>
            </w:pPr>
            <w:r>
              <w:rPr>
                <w:rFonts w:ascii="Arial" w:cs="Arial" w:eastAsia="Arial" w:hAnsi="Arial"/>
                <w:sz w:val="18"/>
                <w:szCs w:val="18"/>
                <w:color w:val="auto"/>
                <w:w w:val="89"/>
              </w:rPr>
              <w:t>______________________________________</w:t>
            </w:r>
          </w:p>
        </w:tc>
        <w:tc>
          <w:tcPr>
            <w:tcW w:w="1460" w:type="dxa"/>
            <w:vAlign w:val="bottom"/>
          </w:tcPr>
          <w:p>
            <w:pPr>
              <w:spacing w:after="0"/>
              <w:rPr>
                <w:sz w:val="18"/>
                <w:szCs w:val="18"/>
                <w:color w:val="auto"/>
              </w:rPr>
            </w:pPr>
          </w:p>
        </w:tc>
      </w:tr>
      <w:tr>
        <w:trPr>
          <w:trHeight w:val="329"/>
        </w:trPr>
        <w:tc>
          <w:tcPr>
            <w:tcW w:w="6220" w:type="dxa"/>
            <w:vAlign w:val="bottom"/>
          </w:tcPr>
          <w:p>
            <w:pPr>
              <w:jc w:val="center"/>
              <w:ind w:left="2111"/>
              <w:spacing w:after="0"/>
              <w:rPr>
                <w:sz w:val="20"/>
                <w:szCs w:val="20"/>
                <w:color w:val="auto"/>
              </w:rPr>
            </w:pPr>
            <w:r>
              <w:rPr>
                <w:rFonts w:ascii="Arial" w:cs="Arial" w:eastAsia="Arial" w:hAnsi="Arial"/>
                <w:sz w:val="25"/>
                <w:szCs w:val="25"/>
                <w:b w:val="1"/>
                <w:bCs w:val="1"/>
                <w:color w:val="auto"/>
              </w:rPr>
              <w:t>FORTINET, INC.</w:t>
            </w:r>
          </w:p>
        </w:tc>
        <w:tc>
          <w:tcPr>
            <w:tcW w:w="1460" w:type="dxa"/>
            <w:vAlign w:val="bottom"/>
          </w:tcPr>
          <w:p>
            <w:pPr>
              <w:spacing w:after="0"/>
              <w:rPr>
                <w:sz w:val="24"/>
                <w:szCs w:val="24"/>
                <w:color w:val="auto"/>
              </w:rPr>
            </w:pPr>
          </w:p>
        </w:tc>
      </w:tr>
      <w:tr>
        <w:trPr>
          <w:trHeight w:val="198"/>
        </w:trPr>
        <w:tc>
          <w:tcPr>
            <w:tcW w:w="6220" w:type="dxa"/>
            <w:vAlign w:val="bottom"/>
          </w:tcPr>
          <w:p>
            <w:pPr>
              <w:jc w:val="center"/>
              <w:ind w:left="2071"/>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1460" w:type="dxa"/>
            <w:vAlign w:val="bottom"/>
          </w:tcPr>
          <w:p>
            <w:pPr>
              <w:spacing w:after="0"/>
              <w:rPr>
                <w:sz w:val="17"/>
                <w:szCs w:val="17"/>
                <w:color w:val="auto"/>
              </w:rPr>
            </w:pPr>
          </w:p>
        </w:tc>
      </w:tr>
      <w:tr>
        <w:trPr>
          <w:trHeight w:val="206"/>
        </w:trPr>
        <w:tc>
          <w:tcPr>
            <w:tcW w:w="6220" w:type="dxa"/>
            <w:vAlign w:val="bottom"/>
          </w:tcPr>
          <w:p>
            <w:pPr>
              <w:jc w:val="center"/>
              <w:ind w:left="2091"/>
              <w:spacing w:after="0"/>
              <w:rPr>
                <w:sz w:val="20"/>
                <w:szCs w:val="20"/>
                <w:color w:val="auto"/>
              </w:rPr>
            </w:pPr>
            <w:r>
              <w:rPr>
                <w:rFonts w:ascii="Arial" w:cs="Arial" w:eastAsia="Arial" w:hAnsi="Arial"/>
                <w:sz w:val="16"/>
                <w:szCs w:val="16"/>
                <w:color w:val="auto"/>
                <w:w w:val="91"/>
              </w:rPr>
              <w:t>______________________________________</w:t>
            </w:r>
          </w:p>
        </w:tc>
        <w:tc>
          <w:tcPr>
            <w:tcW w:w="1460" w:type="dxa"/>
            <w:vAlign w:val="bottom"/>
          </w:tcPr>
          <w:p>
            <w:pPr>
              <w:spacing w:after="0"/>
              <w:rPr>
                <w:sz w:val="17"/>
                <w:szCs w:val="17"/>
                <w:color w:val="auto"/>
              </w:rPr>
            </w:pPr>
          </w:p>
        </w:tc>
      </w:tr>
      <w:tr>
        <w:trPr>
          <w:trHeight w:val="587"/>
        </w:trPr>
        <w:tc>
          <w:tcPr>
            <w:tcW w:w="6220" w:type="dxa"/>
            <w:vAlign w:val="bottom"/>
          </w:tcPr>
          <w:p>
            <w:pPr>
              <w:jc w:val="center"/>
              <w:ind w:right="3451"/>
              <w:spacing w:after="0"/>
              <w:rPr>
                <w:sz w:val="20"/>
                <w:szCs w:val="20"/>
                <w:color w:val="auto"/>
              </w:rPr>
            </w:pPr>
            <w:r>
              <w:rPr>
                <w:rFonts w:ascii="Arial" w:cs="Arial" w:eastAsia="Arial" w:hAnsi="Arial"/>
                <w:sz w:val="18"/>
                <w:szCs w:val="18"/>
                <w:b w:val="1"/>
                <w:bCs w:val="1"/>
                <w:color w:val="auto"/>
                <w:w w:val="91"/>
              </w:rPr>
              <w:t>Delaware</w:t>
            </w:r>
          </w:p>
        </w:tc>
        <w:tc>
          <w:tcPr>
            <w:tcW w:w="1460" w:type="dxa"/>
            <w:vAlign w:val="bottom"/>
          </w:tcPr>
          <w:p>
            <w:pPr>
              <w:jc w:val="right"/>
              <w:ind w:right="115"/>
              <w:spacing w:after="0"/>
              <w:rPr>
                <w:sz w:val="20"/>
                <w:szCs w:val="20"/>
                <w:color w:val="auto"/>
              </w:rPr>
            </w:pPr>
            <w:r>
              <w:rPr>
                <w:rFonts w:ascii="Arial" w:cs="Arial" w:eastAsia="Arial" w:hAnsi="Arial"/>
                <w:sz w:val="18"/>
                <w:szCs w:val="18"/>
                <w:b w:val="1"/>
                <w:bCs w:val="1"/>
                <w:color w:val="auto"/>
              </w:rPr>
              <w:t>77-0560389</w:t>
            </w:r>
          </w:p>
        </w:tc>
      </w:tr>
      <w:tr>
        <w:trPr>
          <w:trHeight w:val="243"/>
        </w:trPr>
        <w:tc>
          <w:tcPr>
            <w:tcW w:w="6220" w:type="dxa"/>
            <w:vAlign w:val="bottom"/>
          </w:tcPr>
          <w:p>
            <w:pPr>
              <w:jc w:val="center"/>
              <w:ind w:right="3431"/>
              <w:spacing w:after="0"/>
              <w:rPr>
                <w:sz w:val="20"/>
                <w:szCs w:val="20"/>
                <w:color w:val="auto"/>
              </w:rPr>
            </w:pPr>
            <w:r>
              <w:rPr>
                <w:rFonts w:ascii="Arial" w:cs="Arial" w:eastAsia="Arial" w:hAnsi="Arial"/>
                <w:sz w:val="16"/>
                <w:szCs w:val="16"/>
                <w:b w:val="1"/>
                <w:bCs w:val="1"/>
                <w:color w:val="auto"/>
                <w:w w:val="91"/>
              </w:rPr>
              <w:t>(State or other jurisdiction of</w:t>
            </w:r>
          </w:p>
        </w:tc>
        <w:tc>
          <w:tcPr>
            <w:tcW w:w="1460" w:type="dxa"/>
            <w:vAlign w:val="bottom"/>
          </w:tcPr>
          <w:p>
            <w:pPr>
              <w:jc w:val="center"/>
              <w:ind w:left="115"/>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6220" w:type="dxa"/>
            <w:vAlign w:val="bottom"/>
          </w:tcPr>
          <w:p>
            <w:pPr>
              <w:jc w:val="center"/>
              <w:ind w:right="3451"/>
              <w:spacing w:after="0"/>
              <w:rPr>
                <w:sz w:val="20"/>
                <w:szCs w:val="20"/>
                <w:color w:val="auto"/>
              </w:rPr>
            </w:pPr>
            <w:r>
              <w:rPr>
                <w:rFonts w:ascii="Arial" w:cs="Arial" w:eastAsia="Arial" w:hAnsi="Arial"/>
                <w:sz w:val="16"/>
                <w:szCs w:val="16"/>
                <w:b w:val="1"/>
                <w:bCs w:val="1"/>
                <w:color w:val="auto"/>
                <w:w w:val="92"/>
              </w:rPr>
              <w:t>incorporation or organization)</w:t>
            </w:r>
          </w:p>
        </w:tc>
        <w:tc>
          <w:tcPr>
            <w:tcW w:w="1460" w:type="dxa"/>
            <w:vAlign w:val="bottom"/>
          </w:tcPr>
          <w:p>
            <w:pPr>
              <w:jc w:val="center"/>
              <w:ind w:left="115"/>
              <w:spacing w:after="0"/>
              <w:rPr>
                <w:sz w:val="20"/>
                <w:szCs w:val="20"/>
                <w:color w:val="auto"/>
              </w:rPr>
            </w:pPr>
            <w:r>
              <w:rPr>
                <w:rFonts w:ascii="Arial" w:cs="Arial" w:eastAsia="Arial" w:hAnsi="Arial"/>
                <w:sz w:val="16"/>
                <w:szCs w:val="16"/>
                <w:b w:val="1"/>
                <w:bCs w:val="1"/>
                <w:color w:val="auto"/>
                <w:w w:val="93"/>
              </w:rPr>
              <w:t>Identification No.)</w:t>
            </w:r>
          </w:p>
        </w:tc>
      </w:tr>
      <w:tr>
        <w:trPr>
          <w:trHeight w:val="393"/>
        </w:trPr>
        <w:tc>
          <w:tcPr>
            <w:tcW w:w="6220" w:type="dxa"/>
            <w:vAlign w:val="bottom"/>
          </w:tcPr>
          <w:p>
            <w:pPr>
              <w:jc w:val="center"/>
              <w:ind w:right="3431"/>
              <w:spacing w:after="0"/>
              <w:rPr>
                <w:sz w:val="20"/>
                <w:szCs w:val="20"/>
                <w:color w:val="auto"/>
              </w:rPr>
            </w:pPr>
            <w:r>
              <w:rPr>
                <w:rFonts w:ascii="Arial" w:cs="Arial" w:eastAsia="Arial" w:hAnsi="Arial"/>
                <w:sz w:val="18"/>
                <w:szCs w:val="18"/>
                <w:b w:val="1"/>
                <w:bCs w:val="1"/>
                <w:color w:val="auto"/>
                <w:w w:val="93"/>
              </w:rPr>
              <w:t>899 Kifer Road</w:t>
            </w:r>
          </w:p>
        </w:tc>
        <w:tc>
          <w:tcPr>
            <w:tcW w:w="1460" w:type="dxa"/>
            <w:vAlign w:val="bottom"/>
          </w:tcPr>
          <w:p>
            <w:pPr>
              <w:spacing w:after="0"/>
              <w:rPr>
                <w:sz w:val="24"/>
                <w:szCs w:val="24"/>
                <w:color w:val="auto"/>
              </w:rPr>
            </w:pPr>
          </w:p>
        </w:tc>
      </w:tr>
      <w:tr>
        <w:trPr>
          <w:trHeight w:val="234"/>
        </w:trPr>
        <w:tc>
          <w:tcPr>
            <w:tcW w:w="6220" w:type="dxa"/>
            <w:vAlign w:val="bottom"/>
          </w:tcPr>
          <w:p>
            <w:pPr>
              <w:jc w:val="center"/>
              <w:ind w:right="3451"/>
              <w:spacing w:after="0"/>
              <w:rPr>
                <w:sz w:val="20"/>
                <w:szCs w:val="20"/>
                <w:color w:val="auto"/>
              </w:rPr>
            </w:pPr>
            <w:r>
              <w:rPr>
                <w:rFonts w:ascii="Arial" w:cs="Arial" w:eastAsia="Arial" w:hAnsi="Arial"/>
                <w:sz w:val="18"/>
                <w:szCs w:val="18"/>
                <w:b w:val="1"/>
                <w:bCs w:val="1"/>
                <w:color w:val="auto"/>
                <w:w w:val="91"/>
              </w:rPr>
              <w:t>Sunnyvale, California</w:t>
            </w:r>
          </w:p>
        </w:tc>
        <w:tc>
          <w:tcPr>
            <w:tcW w:w="1460" w:type="dxa"/>
            <w:vAlign w:val="bottom"/>
          </w:tcPr>
          <w:p>
            <w:pPr>
              <w:jc w:val="right"/>
              <w:ind w:right="315"/>
              <w:spacing w:after="0"/>
              <w:rPr>
                <w:sz w:val="20"/>
                <w:szCs w:val="20"/>
                <w:color w:val="auto"/>
              </w:rPr>
            </w:pPr>
            <w:r>
              <w:rPr>
                <w:rFonts w:ascii="Arial" w:cs="Arial" w:eastAsia="Arial" w:hAnsi="Arial"/>
                <w:sz w:val="18"/>
                <w:szCs w:val="18"/>
                <w:b w:val="1"/>
                <w:bCs w:val="1"/>
                <w:color w:val="auto"/>
              </w:rPr>
              <w:t>94086</w:t>
            </w:r>
          </w:p>
        </w:tc>
      </w:tr>
      <w:tr>
        <w:trPr>
          <w:trHeight w:val="251"/>
        </w:trPr>
        <w:tc>
          <w:tcPr>
            <w:tcW w:w="6220" w:type="dxa"/>
            <w:vAlign w:val="bottom"/>
          </w:tcPr>
          <w:p>
            <w:pPr>
              <w:jc w:val="center"/>
              <w:ind w:right="3451"/>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1460" w:type="dxa"/>
            <w:vAlign w:val="bottom"/>
          </w:tcPr>
          <w:p>
            <w:pPr>
              <w:jc w:val="center"/>
              <w:ind w:left="115"/>
              <w:spacing w:after="0"/>
              <w:rPr>
                <w:sz w:val="20"/>
                <w:szCs w:val="20"/>
                <w:color w:val="auto"/>
              </w:rPr>
            </w:pPr>
            <w:r>
              <w:rPr>
                <w:rFonts w:ascii="Arial" w:cs="Arial" w:eastAsia="Arial" w:hAnsi="Arial"/>
                <w:sz w:val="16"/>
                <w:szCs w:val="16"/>
                <w:b w:val="1"/>
                <w:bCs w:val="1"/>
                <w:color w:val="auto"/>
                <w:w w:val="93"/>
              </w:rPr>
              <w:t>(Zip Code)</w:t>
            </w:r>
          </w:p>
        </w:tc>
      </w:tr>
      <w:tr>
        <w:trPr>
          <w:trHeight w:val="235"/>
        </w:trPr>
        <w:tc>
          <w:tcPr>
            <w:tcW w:w="6220" w:type="dxa"/>
            <w:vAlign w:val="bottom"/>
          </w:tcPr>
          <w:p>
            <w:pPr>
              <w:jc w:val="center"/>
              <w:ind w:left="2091"/>
              <w:spacing w:after="0"/>
              <w:rPr>
                <w:sz w:val="20"/>
                <w:szCs w:val="20"/>
                <w:color w:val="auto"/>
              </w:rPr>
            </w:pPr>
            <w:r>
              <w:rPr>
                <w:rFonts w:ascii="Arial" w:cs="Arial" w:eastAsia="Arial" w:hAnsi="Arial"/>
                <w:sz w:val="18"/>
                <w:szCs w:val="18"/>
                <w:b w:val="1"/>
                <w:bCs w:val="1"/>
                <w:color w:val="auto"/>
                <w:w w:val="90"/>
              </w:rPr>
              <w:t>(408) 235-7700</w:t>
            </w:r>
          </w:p>
        </w:tc>
        <w:tc>
          <w:tcPr>
            <w:tcW w:w="1460" w:type="dxa"/>
            <w:vAlign w:val="bottom"/>
          </w:tcPr>
          <w:p>
            <w:pPr>
              <w:spacing w:after="0"/>
              <w:rPr>
                <w:sz w:val="20"/>
                <w:szCs w:val="20"/>
                <w:color w:val="auto"/>
              </w:rPr>
            </w:pPr>
          </w:p>
        </w:tc>
      </w:tr>
      <w:tr>
        <w:trPr>
          <w:trHeight w:val="210"/>
        </w:trPr>
        <w:tc>
          <w:tcPr>
            <w:tcW w:w="6220" w:type="dxa"/>
            <w:vAlign w:val="bottom"/>
          </w:tcPr>
          <w:p>
            <w:pPr>
              <w:jc w:val="center"/>
              <w:ind w:left="2071"/>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1460" w:type="dxa"/>
            <w:vAlign w:val="bottom"/>
          </w:tcPr>
          <w:p>
            <w:pPr>
              <w:spacing w:after="0"/>
              <w:rPr>
                <w:sz w:val="18"/>
                <w:szCs w:val="18"/>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both"/>
        <w:ind w:firstLine="27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x No o</w:t>
      </w:r>
    </w:p>
    <w:p>
      <w:pPr>
        <w:spacing w:after="0" w:line="127" w:lineRule="exact"/>
        <w:rPr>
          <w:sz w:val="24"/>
          <w:szCs w:val="24"/>
          <w:color w:val="auto"/>
        </w:rPr>
      </w:pPr>
    </w:p>
    <w:p>
      <w:pPr>
        <w:ind w:right="140" w:firstLine="27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7" w:lineRule="exact"/>
        <w:rPr>
          <w:sz w:val="24"/>
          <w:szCs w:val="24"/>
          <w:color w:val="auto"/>
        </w:rPr>
      </w:pPr>
    </w:p>
    <w:p>
      <w:pPr>
        <w:ind w:firstLine="27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00"/>
          </w:cols>
          <w:pgMar w:left="240" w:top="229" w:right="35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08" w:lineRule="exact"/>
        <w:rPr>
          <w:sz w:val="24"/>
          <w:szCs w:val="24"/>
          <w:color w:val="auto"/>
        </w:rPr>
      </w:pPr>
    </w:p>
    <w:p>
      <w:pPr>
        <w:sectPr>
          <w:pgSz w:w="11900" w:h="16838" w:orient="portrait"/>
          <w:cols w:equalWidth="0" w:num="4">
            <w:col w:w="2000" w:space="720"/>
            <w:col w:w="4780" w:space="720"/>
            <w:col w:w="1960" w:space="720"/>
            <w:col w:w="400"/>
          </w:cols>
          <w:pgMar w:left="240" w:top="229" w:right="359" w:bottom="1440" w:gutter="0" w:footer="0" w:header="0"/>
          <w:type w:val="continuous"/>
        </w:sectPr>
      </w:pPr>
    </w:p>
    <w:p>
      <w:pPr>
        <w:spacing w:after="0" w:line="216"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ind w:left="340"/>
        <w:spacing w:after="0"/>
        <w:rPr>
          <w:sz w:val="20"/>
          <w:szCs w:val="20"/>
          <w:color w:val="auto"/>
        </w:rPr>
      </w:pPr>
      <w:r>
        <w:rPr>
          <w:rFonts w:ascii="Arial" w:cs="Arial" w:eastAsia="Arial" w:hAnsi="Arial"/>
          <w:sz w:val="16"/>
          <w:szCs w:val="16"/>
          <w:color w:val="auto"/>
        </w:rPr>
        <w:t>(Do not check if smaller reporting</w:t>
      </w:r>
    </w:p>
    <w:p>
      <w:pPr>
        <w:spacing w:after="0" w:line="46"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o</w:t>
        <w:tab/>
        <w:t>company)</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44" w:lineRule="exact"/>
        <w:rPr>
          <w:sz w:val="24"/>
          <w:szCs w:val="24"/>
          <w:color w:val="auto"/>
        </w:rPr>
      </w:pPr>
    </w:p>
    <w:p>
      <w:pPr>
        <w:sectPr>
          <w:pgSz w:w="11900" w:h="16838" w:orient="portrait"/>
          <w:cols w:equalWidth="0" w:num="4">
            <w:col w:w="2000" w:space="720"/>
            <w:col w:w="4780" w:space="720"/>
            <w:col w:w="1960" w:space="720"/>
            <w:col w:w="400"/>
          </w:cols>
          <w:pgMar w:left="240" w:top="229" w:right="359" w:bottom="1440" w:gutter="0" w:footer="0" w:header="0"/>
          <w:type w:val="continuous"/>
        </w:sectPr>
      </w:pPr>
    </w:p>
    <w:p>
      <w:pPr>
        <w:ind w:left="2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Yes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No x</w:t>
      </w:r>
    </w:p>
    <w:p>
      <w:pPr>
        <w:spacing w:after="0" w:line="171" w:lineRule="exact"/>
        <w:rPr>
          <w:sz w:val="24"/>
          <w:szCs w:val="24"/>
          <w:color w:val="auto"/>
        </w:rPr>
      </w:pPr>
    </w:p>
    <w:p>
      <w:pPr>
        <w:sectPr>
          <w:pgSz w:w="11900" w:h="16838" w:orient="portrait"/>
          <w:cols w:equalWidth="0" w:num="3">
            <w:col w:w="7700" w:space="180"/>
            <w:col w:w="440" w:space="220"/>
            <w:col w:w="2760"/>
          </w:cols>
          <w:pgMar w:left="240" w:top="229" w:right="359" w:bottom="1440" w:gutter="0" w:footer="0" w:header="0"/>
          <w:type w:val="continuous"/>
        </w:sectPr>
      </w:pPr>
    </w:p>
    <w:p>
      <w:pPr>
        <w:ind w:left="280"/>
        <w:spacing w:after="0"/>
        <w:rPr>
          <w:sz w:val="20"/>
          <w:szCs w:val="20"/>
          <w:color w:val="auto"/>
        </w:rPr>
      </w:pPr>
      <w:r>
        <w:rPr>
          <w:rFonts w:ascii="Arial" w:cs="Arial" w:eastAsia="Arial" w:hAnsi="Arial"/>
          <w:sz w:val="16"/>
          <w:szCs w:val="16"/>
          <w:color w:val="auto"/>
        </w:rPr>
        <w:t>As of July 31, 2014, there were 163,772,825 shares of the registrant’s common stock outstanding.</w:t>
      </w:r>
    </w:p>
    <w:p>
      <w:pPr>
        <w:sectPr>
          <w:pgSz w:w="11900" w:h="16838" w:orient="portrait"/>
          <w:cols w:equalWidth="0" w:num="1">
            <w:col w:w="11300"/>
          </w:cols>
          <w:pgMar w:left="240" w:top="229" w:right="35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2014</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gridSpan w:val="4"/>
          </w:tcPr>
          <w:p>
            <w:pPr>
              <w:ind w:left="1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40" w:type="dxa"/>
            <w:vAlign w:val="bottom"/>
            <w:gridSpan w:val="5"/>
            <w:vMerge w:val="restart"/>
          </w:tcPr>
          <w:p>
            <w:pPr>
              <w:jc w:val="center"/>
              <w:ind w:right="4380"/>
              <w:spacing w:after="0"/>
              <w:rPr>
                <w:sz w:val="20"/>
                <w:szCs w:val="20"/>
                <w:color w:val="auto"/>
              </w:rPr>
            </w:pPr>
            <w:r>
              <w:rPr>
                <w:rFonts w:ascii="Arial" w:cs="Arial" w:eastAsia="Arial" w:hAnsi="Arial"/>
                <w:sz w:val="18"/>
                <w:szCs w:val="18"/>
                <w:b w:val="1"/>
                <w:bCs w:val="1"/>
                <w:color w:val="auto"/>
              </w:rPr>
              <w:t>Part I</w:t>
            </w: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40" w:type="dxa"/>
            <w:vAlign w:val="bottom"/>
            <w:gridSpan w:val="5"/>
            <w:vMerge w:val="continue"/>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8280" w:type="dxa"/>
            <w:vAlign w:val="bottom"/>
            <w:gridSpan w:val="8"/>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4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2014 and December 31, 2013</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280" w:type="dxa"/>
            <w:vAlign w:val="bottom"/>
            <w:tcBorders>
              <w:left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1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for the Three and Six Months Ended June 30, 2014 and 2013</w:t>
              </w:r>
            </w:hyperlink>
          </w:p>
        </w:tc>
        <w:tc>
          <w:tcPr>
            <w:tcW w:w="1340" w:type="dxa"/>
            <w:vAlign w:val="bottom"/>
            <w:gridSpan w:val="2"/>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40" w:type="dxa"/>
            <w:vAlign w:val="bottom"/>
            <w:gridSpan w:val="13"/>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Condensed Consolidated Statements of Comprehensive Income for the Three and Six Months Ended June 30, 2014 and 2013</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20" w:type="dxa"/>
            <w:vAlign w:val="bottom"/>
            <w:tcBorders>
              <w:top w:val="single" w:sz="8" w:color="0000EE"/>
            </w:tcBorders>
            <w:gridSpan w:val="1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Six Months Ended June 30, 2014 and 2013</w:t>
              </w:r>
            </w:hyperlink>
          </w:p>
        </w:tc>
        <w:tc>
          <w:tcPr>
            <w:tcW w:w="42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Condensed Consolidated Financial Statements</w:t>
              </w:r>
            </w:hyperlink>
          </w:p>
        </w:tc>
        <w:tc>
          <w:tcPr>
            <w:tcW w:w="3380" w:type="dxa"/>
            <w:vAlign w:val="bottom"/>
            <w:tcBorders>
              <w:top w:val="single" w:sz="8" w:color="0000EE"/>
            </w:tcBorders>
            <w:gridSpan w:val="2"/>
          </w:tcPr>
          <w:p>
            <w:pPr>
              <w:spacing w:after="0"/>
              <w:rPr>
                <w:sz w:val="21"/>
                <w:szCs w:val="21"/>
                <w:color w:val="auto"/>
              </w:rPr>
            </w:pPr>
          </w:p>
        </w:tc>
        <w:tc>
          <w:tcPr>
            <w:tcW w:w="2060" w:type="dxa"/>
            <w:vAlign w:val="bottom"/>
            <w:gridSpan w:val="3"/>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440" w:type="dxa"/>
            <w:vAlign w:val="bottom"/>
            <w:gridSpan w:val="10"/>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Management's Discussion and Analysis of Financial Condition and Results of Operations</w:t>
              </w:r>
            </w:hyperlink>
          </w:p>
        </w:tc>
        <w:tc>
          <w:tcPr>
            <w:tcW w:w="3340" w:type="dxa"/>
            <w:vAlign w:val="bottom"/>
            <w:gridSpan w:val="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2">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6440" w:type="dxa"/>
            <w:vAlign w:val="bottom"/>
            <w:gridSpan w:val="1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Quantitative and Qualitative Disclosures about Market Risk</w:t>
              </w:r>
            </w:hyperlink>
          </w:p>
        </w:tc>
        <w:tc>
          <w:tcPr>
            <w:tcW w:w="3340" w:type="dxa"/>
            <w:vAlign w:val="bottom"/>
            <w:gridSpan w:val="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4300" w:type="dxa"/>
            <w:vAlign w:val="bottom"/>
            <w:gridSpan w:val="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5480" w:type="dxa"/>
            <w:vAlign w:val="bottom"/>
            <w:gridSpan w:val="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588"/>
        </w:trPr>
        <w:tc>
          <w:tcPr>
            <w:tcW w:w="9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40" w:type="dxa"/>
            <w:vAlign w:val="bottom"/>
            <w:gridSpan w:val="5"/>
          </w:tcPr>
          <w:p>
            <w:pPr>
              <w:jc w:val="center"/>
              <w:ind w:right="4360"/>
              <w:spacing w:after="0"/>
              <w:rPr>
                <w:sz w:val="20"/>
                <w:szCs w:val="20"/>
                <w:color w:val="auto"/>
              </w:rPr>
            </w:pPr>
            <w:r>
              <w:rPr>
                <w:rFonts w:ascii="Arial" w:cs="Arial" w:eastAsia="Arial" w:hAnsi="Arial"/>
                <w:sz w:val="18"/>
                <w:szCs w:val="18"/>
                <w:b w:val="1"/>
                <w:bCs w:val="1"/>
                <w:color w:val="auto"/>
              </w:rPr>
              <w:t>Part II</w:t>
            </w: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780" w:type="dxa"/>
            <w:vAlign w:val="bottom"/>
            <w:gridSpan w:val="1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40" w:type="dxa"/>
            <w:vAlign w:val="bottom"/>
            <w:tcBorders>
              <w:left w:val="single" w:sz="8" w:color="0000EE"/>
            </w:tcBorders>
            <w:gridSpan w:val="4"/>
          </w:tcPr>
          <w:p>
            <w:pPr>
              <w:spacing w:after="0" w:line="20" w:lineRule="exact"/>
              <w:rPr>
                <w:sz w:val="1"/>
                <w:szCs w:val="1"/>
                <w:color w:val="auto"/>
              </w:rPr>
            </w:pPr>
          </w:p>
        </w:tc>
        <w:tc>
          <w:tcPr>
            <w:tcW w:w="54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4"/>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Risk Factors</w:t>
              </w:r>
            </w:hyperlink>
          </w:p>
        </w:tc>
        <w:tc>
          <w:tcPr>
            <w:tcW w:w="400" w:type="dxa"/>
            <w:vAlign w:val="bottom"/>
          </w:tcPr>
          <w:p>
            <w:pPr>
              <w:spacing w:after="0"/>
              <w:rPr>
                <w:sz w:val="21"/>
                <w:szCs w:val="21"/>
                <w:color w:val="auto"/>
              </w:rPr>
            </w:pPr>
          </w:p>
        </w:tc>
        <w:tc>
          <w:tcPr>
            <w:tcW w:w="8480" w:type="dxa"/>
            <w:vAlign w:val="bottom"/>
            <w:gridSpan w:val="9"/>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54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780" w:type="dxa"/>
            <w:vAlign w:val="bottom"/>
            <w:gridSpan w:val="14"/>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Unregistered Sales of Equity Securities and Use of Proceeds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55">
              <w:r>
                <w:rPr>
                  <w:rFonts w:ascii="Arial" w:cs="Arial" w:eastAsia="Arial" w:hAnsi="Arial"/>
                  <w:sz w:val="18"/>
                  <w:szCs w:val="18"/>
                  <w:color w:val="0000EE"/>
                </w:rPr>
                <w:t>56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40" w:type="dxa"/>
            <w:vAlign w:val="bottom"/>
            <w:tcBorders>
              <w:left w:val="single" w:sz="8" w:color="0000EE"/>
            </w:tcBorders>
            <w:gridSpan w:val="4"/>
            <w:shd w:val="clear" w:color="auto" w:fill="0000EE"/>
          </w:tcPr>
          <w:p>
            <w:pPr>
              <w:spacing w:after="0" w:line="20" w:lineRule="exact"/>
              <w:rPr>
                <w:sz w:val="1"/>
                <w:szCs w:val="1"/>
                <w:color w:val="auto"/>
              </w:rPr>
            </w:pPr>
          </w:p>
        </w:tc>
        <w:tc>
          <w:tcPr>
            <w:tcW w:w="54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4340" w:type="dxa"/>
            <w:vAlign w:val="bottom"/>
            <w:gridSpan w:val="9"/>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Other Information</w:t>
              </w:r>
            </w:hyperlink>
          </w:p>
        </w:tc>
        <w:tc>
          <w:tcPr>
            <w:tcW w:w="544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48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rPr>
                <w:rFonts w:ascii="Arial" w:cs="Arial" w:eastAsia="Arial" w:hAnsi="Arial"/>
                <w:sz w:val="18"/>
                <w:szCs w:val="18"/>
                <w:color w:val="0000EE"/>
                <w:w w:val="91"/>
              </w:rPr>
            </w:pPr>
            <w:hyperlink w:anchor="page56">
              <w:r>
                <w:rPr>
                  <w:rFonts w:ascii="Arial" w:cs="Arial" w:eastAsia="Arial" w:hAnsi="Arial"/>
                  <w:sz w:val="18"/>
                  <w:szCs w:val="18"/>
                  <w:color w:val="0000EE"/>
                  <w:w w:val="91"/>
                </w:rPr>
                <w:t>Exhibits</w:t>
              </w:r>
            </w:hyperlink>
          </w:p>
        </w:tc>
        <w:tc>
          <w:tcPr>
            <w:tcW w:w="700" w:type="dxa"/>
            <w:vAlign w:val="bottom"/>
            <w:gridSpan w:val="3"/>
          </w:tcPr>
          <w:p>
            <w:pPr>
              <w:spacing w:after="0"/>
              <w:rPr>
                <w:sz w:val="21"/>
                <w:szCs w:val="21"/>
                <w:color w:val="auto"/>
              </w:rPr>
            </w:pPr>
          </w:p>
        </w:tc>
        <w:tc>
          <w:tcPr>
            <w:tcW w:w="8480" w:type="dxa"/>
            <w:vAlign w:val="bottom"/>
            <w:gridSpan w:val="9"/>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2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760" w:type="dxa"/>
            <w:vAlign w:val="bottom"/>
            <w:gridSpan w:val="3"/>
          </w:tcPr>
          <w:p>
            <w:pPr>
              <w:spacing w:after="0"/>
              <w:rPr>
                <w:rFonts w:ascii="Arial" w:cs="Arial" w:eastAsia="Arial" w:hAnsi="Arial"/>
                <w:sz w:val="18"/>
                <w:szCs w:val="18"/>
                <w:color w:val="0000EE"/>
                <w:w w:val="85"/>
              </w:rPr>
            </w:pPr>
            <w:hyperlink w:anchor="page57">
              <w:r>
                <w:rPr>
                  <w:rFonts w:ascii="Arial" w:cs="Arial" w:eastAsia="Arial" w:hAnsi="Arial"/>
                  <w:sz w:val="18"/>
                  <w:szCs w:val="18"/>
                  <w:color w:val="0000EE"/>
                  <w:w w:val="85"/>
                </w:rPr>
                <w:t>Signatures</w:t>
              </w:r>
            </w:hyperlink>
          </w:p>
        </w:tc>
        <w:tc>
          <w:tcPr>
            <w:tcW w:w="902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jc w:val="center"/>
              <w:ind w:left="2990"/>
              <w:spacing w:after="0"/>
              <w:rPr>
                <w:sz w:val="20"/>
                <w:szCs w:val="20"/>
                <w:color w:val="auto"/>
              </w:rPr>
            </w:pPr>
            <w:r>
              <w:rPr>
                <w:rFonts w:ascii="Arial" w:cs="Arial" w:eastAsia="Arial" w:hAnsi="Arial"/>
                <w:sz w:val="18"/>
                <w:szCs w:val="18"/>
                <w:b w:val="1"/>
                <w:bCs w:val="1"/>
                <w:color w:val="auto"/>
              </w:rPr>
              <w:t>Part I</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630"/>
        </w:trPr>
        <w:tc>
          <w:tcPr>
            <w:tcW w:w="834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4"/>
        </w:trPr>
        <w:tc>
          <w:tcPr>
            <w:tcW w:w="8340" w:type="dxa"/>
            <w:vAlign w:val="bottom"/>
          </w:tcPr>
          <w:p>
            <w:pPr>
              <w:jc w:val="center"/>
              <w:ind w:left="2990"/>
              <w:spacing w:after="0"/>
              <w:rPr>
                <w:sz w:val="20"/>
                <w:szCs w:val="20"/>
                <w:color w:val="auto"/>
              </w:rPr>
            </w:pPr>
            <w:r>
              <w:rPr>
                <w:rFonts w:ascii="Arial" w:cs="Arial" w:eastAsia="Arial" w:hAnsi="Arial"/>
                <w:sz w:val="18"/>
                <w:szCs w:val="18"/>
                <w:b w:val="1"/>
                <w:bCs w:val="1"/>
                <w:color w:val="auto"/>
              </w:rPr>
              <w:t>FORTINET, INC.</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9"/>
        </w:trPr>
        <w:tc>
          <w:tcPr>
            <w:tcW w:w="8340" w:type="dxa"/>
            <w:vAlign w:val="bottom"/>
          </w:tcPr>
          <w:p>
            <w:pPr>
              <w:jc w:val="center"/>
              <w:ind w:left="29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4"/>
        </w:trPr>
        <w:tc>
          <w:tcPr>
            <w:tcW w:w="8340" w:type="dxa"/>
            <w:vAlign w:val="bottom"/>
          </w:tcPr>
          <w:p>
            <w:pPr>
              <w:jc w:val="center"/>
              <w:ind w:left="3010"/>
              <w:spacing w:after="0"/>
              <w:rPr>
                <w:sz w:val="20"/>
                <w:szCs w:val="20"/>
                <w:color w:val="auto"/>
              </w:rPr>
            </w:pPr>
            <w:r>
              <w:rPr>
                <w:rFonts w:ascii="Arial" w:cs="Arial" w:eastAsia="Arial" w:hAnsi="Arial"/>
                <w:sz w:val="18"/>
                <w:szCs w:val="18"/>
                <w:b w:val="1"/>
                <w:bCs w:val="1"/>
                <w:color w:val="auto"/>
                <w:w w:val="88"/>
              </w:rPr>
              <w:t>(Unaudited, in thousands, except per share amounts)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549"/>
        </w:trPr>
        <w:tc>
          <w:tcPr>
            <w:tcW w:w="8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203,947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115,873</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354,174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375,497</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2"/>
              </w:rPr>
              <w:t>Accounts receivable—Net of allowance for doubtful accounts and sales returns of $5,005 and $4,605 as of</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June 30, 2014 and December 31, 2013,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127,825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130,471</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46,824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48,672</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50,980</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23,195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14,053</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806,949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735,546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AND EQUIPMENT—Net</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55,300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36,652</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30,058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352,473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351,675</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INTANGIBLE ASSETS—Net</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6,841</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4,820</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1,265,112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1,168,464</w:t>
            </w:r>
          </w:p>
        </w:tc>
      </w:tr>
      <w:tr>
        <w:trPr>
          <w:trHeight w:val="176"/>
        </w:trPr>
        <w:tc>
          <w:tcPr>
            <w:tcW w:w="8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35,848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35,599</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27,380</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Accrued payroll and compensation</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43,705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34,997</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taxes payable</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21,421</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321,359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293,664</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426,088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413,061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158,843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138,964</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30,208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18,411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471</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639,893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582,704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(Note 9)</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9"/>
        </w:trPr>
        <w:tc>
          <w:tcPr>
            <w:tcW w:w="8340" w:type="dxa"/>
            <w:vAlign w:val="bottom"/>
          </w:tcPr>
          <w:p>
            <w:pPr>
              <w:ind w:left="500"/>
              <w:spacing w:after="0"/>
              <w:rPr>
                <w:sz w:val="20"/>
                <w:szCs w:val="20"/>
                <w:color w:val="auto"/>
              </w:rPr>
            </w:pPr>
            <w:r>
              <w:rPr>
                <w:rFonts w:ascii="Arial" w:cs="Arial" w:eastAsia="Arial" w:hAnsi="Arial"/>
                <w:sz w:val="18"/>
                <w:szCs w:val="18"/>
                <w:color w:val="auto"/>
                <w:w w:val="93"/>
              </w:rPr>
              <w:t>Common stock, $0.001 par value — 300,000 shares authorized; 163,568 and 161,535 shares issued and</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340" w:type="dxa"/>
            <w:vAlign w:val="bottom"/>
          </w:tcPr>
          <w:p>
            <w:pPr>
              <w:ind w:left="500"/>
              <w:spacing w:after="0"/>
              <w:rPr>
                <w:sz w:val="20"/>
                <w:szCs w:val="20"/>
                <w:color w:val="auto"/>
              </w:rPr>
            </w:pPr>
            <w:r>
              <w:rPr>
                <w:rFonts w:ascii="Arial" w:cs="Arial" w:eastAsia="Arial" w:hAnsi="Arial"/>
                <w:sz w:val="18"/>
                <w:szCs w:val="18"/>
                <w:color w:val="auto"/>
              </w:rPr>
              <w:t>outstanding as of June 30, 2014 and December 31, 2013, respectively</w:t>
            </w:r>
          </w:p>
        </w:tc>
        <w:tc>
          <w:tcPr>
            <w:tcW w:w="2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161</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507,053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462,644</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1,092</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116,822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121,863</w:t>
            </w:r>
          </w:p>
        </w:tc>
      </w:tr>
      <w:tr>
        <w:trPr>
          <w:trHeight w:val="237"/>
        </w:trPr>
        <w:tc>
          <w:tcPr>
            <w:tcW w:w="8340" w:type="dxa"/>
            <w:vAlign w:val="bottom"/>
          </w:tcPr>
          <w:p>
            <w:pPr>
              <w:ind w:left="9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625,219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585,760</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1,265,112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1,168,464</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5"/>
          </w:tcPr>
          <w:p>
            <w:pPr>
              <w:ind w:left="46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260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1120" w:type="dxa"/>
            <w:vAlign w:val="bottom"/>
          </w:tcPr>
          <w:p>
            <w:pPr>
              <w:jc w:val="right"/>
              <w:ind w:right="331"/>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85,384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66,525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162,149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124,475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98,714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80,903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190,898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158,773</w:t>
            </w:r>
          </w:p>
        </w:tc>
        <w:tc>
          <w:tcPr>
            <w:tcW w:w="0" w:type="dxa"/>
            <w:vAlign w:val="bottom"/>
          </w:tcPr>
          <w:p>
            <w:pPr>
              <w:spacing w:after="0"/>
              <w:rPr>
                <w:sz w:val="1"/>
                <w:szCs w:val="1"/>
                <w:color w:val="auto"/>
              </w:rPr>
            </w:pPr>
          </w:p>
        </w:tc>
      </w:tr>
      <w:tr>
        <w:trPr>
          <w:trHeight w:val="237"/>
        </w:trPr>
        <w:tc>
          <w:tcPr>
            <w:tcW w:w="5620" w:type="dxa"/>
            <w:vAlign w:val="bottom"/>
          </w:tcPr>
          <w:p>
            <w:pPr>
              <w:ind w:left="92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184,098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147,428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353,047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283,248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37,455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26,948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69,594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49,906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20,302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38,906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32,930</w:t>
            </w:r>
          </w:p>
        </w:tc>
        <w:tc>
          <w:tcPr>
            <w:tcW w:w="0" w:type="dxa"/>
            <w:vAlign w:val="bottom"/>
          </w:tcPr>
          <w:p>
            <w:pPr>
              <w:spacing w:after="0"/>
              <w:rPr>
                <w:sz w:val="1"/>
                <w:szCs w:val="1"/>
                <w:color w:val="auto"/>
              </w:rPr>
            </w:pPr>
          </w:p>
        </w:tc>
      </w:tr>
      <w:tr>
        <w:trPr>
          <w:trHeight w:val="237"/>
        </w:trPr>
        <w:tc>
          <w:tcPr>
            <w:tcW w:w="5620" w:type="dxa"/>
            <w:vAlign w:val="bottom"/>
          </w:tcPr>
          <w:p>
            <w:pPr>
              <w:ind w:left="920"/>
              <w:spacing w:after="0"/>
              <w:rPr>
                <w:sz w:val="20"/>
                <w:szCs w:val="20"/>
                <w:color w:val="auto"/>
              </w:rPr>
            </w:pPr>
            <w:r>
              <w:rPr>
                <w:rFonts w:ascii="Arial" w:cs="Arial" w:eastAsia="Arial" w:hAnsi="Arial"/>
                <w:sz w:val="18"/>
                <w:szCs w:val="18"/>
                <w:color w:val="auto"/>
              </w:rPr>
              <w:t>Total cost of revenue</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57,757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43,708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108,500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82,836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47,929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39,577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92,555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74,569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78,412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64,143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151,992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125,843</w:t>
            </w:r>
          </w:p>
        </w:tc>
        <w:tc>
          <w:tcPr>
            <w:tcW w:w="0" w:type="dxa"/>
            <w:vAlign w:val="bottom"/>
          </w:tcPr>
          <w:p>
            <w:pPr>
              <w:spacing w:after="0"/>
              <w:rPr>
                <w:sz w:val="1"/>
                <w:szCs w:val="1"/>
                <w:color w:val="auto"/>
              </w:rPr>
            </w:pPr>
          </w:p>
        </w:tc>
      </w:tr>
      <w:tr>
        <w:trPr>
          <w:trHeight w:val="237"/>
        </w:trPr>
        <w:tc>
          <w:tcPr>
            <w:tcW w:w="5620" w:type="dxa"/>
            <w:vAlign w:val="bottom"/>
          </w:tcPr>
          <w:p>
            <w:pPr>
              <w:ind w:left="920"/>
              <w:spacing w:after="0"/>
              <w:rPr>
                <w:sz w:val="20"/>
                <w:szCs w:val="20"/>
                <w:color w:val="auto"/>
              </w:rPr>
            </w:pPr>
            <w:r>
              <w:rPr>
                <w:rFonts w:ascii="Arial" w:cs="Arial" w:eastAsia="Arial" w:hAnsi="Arial"/>
                <w:sz w:val="18"/>
                <w:szCs w:val="18"/>
                <w:color w:val="auto"/>
              </w:rPr>
              <w:t>Total gross profit</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126,341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103,720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244,547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200,412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29,938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25,158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58,993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48,492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74,817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55,997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142,143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105,973</w:t>
            </w:r>
          </w:p>
        </w:tc>
        <w:tc>
          <w:tcPr>
            <w:tcW w:w="0" w:type="dxa"/>
            <w:vAlign w:val="bottom"/>
          </w:tcPr>
          <w:p>
            <w:pPr>
              <w:spacing w:after="0"/>
              <w:rPr>
                <w:sz w:val="1"/>
                <w:szCs w:val="1"/>
                <w:color w:val="auto"/>
              </w:rPr>
            </w:pP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10,444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8,788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19,454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16,779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115,199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89,943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220,590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171,244</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11,142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13,777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23,957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29,168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(EXPENSE) INCOME—Net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31,989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5,806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6,035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11,172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10,761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6,081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8,979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14,474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21,228</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color w:val="auto"/>
              </w:rPr>
              <w:t>Net income per share attributable to common stockholders (Note 7):</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163,161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162,247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162,778</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161,767</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168,345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168,042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168,015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168,033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63"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5"/>
          </w:tcPr>
          <w:p>
            <w:pPr>
              <w:ind w:left="46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260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1120" w:type="dxa"/>
            <w:vAlign w:val="bottom"/>
          </w:tcPr>
          <w:p>
            <w:pPr>
              <w:jc w:val="right"/>
              <w:ind w:right="332"/>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433"/>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33"/>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2013</w:t>
            </w:r>
          </w:p>
        </w:tc>
      </w:tr>
      <w:tr>
        <w:trPr>
          <w:trHeight w:val="33"/>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21,228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(loss)—net of taxes: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gains (losses)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Unrealized losses on investments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(1,426)</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8"/>
              </w:rPr>
              <w:t>Tax benefit related to items of other comprehensive income or loss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498</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(loss)—net of taxes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1,104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(2,741)</w:t>
            </w: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7,185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7,163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14,563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18,487</w:t>
            </w: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68"/>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8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3"/>
                <w:szCs w:val="13"/>
                <w:color w:val="auto"/>
              </w:rPr>
            </w:pPr>
          </w:p>
        </w:tc>
        <w:tc>
          <w:tcPr>
            <w:tcW w:w="1100" w:type="dxa"/>
            <w:vAlign w:val="bottom"/>
          </w:tcPr>
          <w:p>
            <w:pPr>
              <w:jc w:val="right"/>
              <w:ind w:right="368"/>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85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2013</w:t>
            </w: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4"/>
        </w:trPr>
        <w:tc>
          <w:tcPr>
            <w:tcW w:w="8560" w:type="dxa"/>
            <w:vAlign w:val="bottom"/>
          </w:tcPr>
          <w:p>
            <w:pPr>
              <w:ind w:left="500"/>
              <w:spacing w:after="0"/>
              <w:rPr>
                <w:sz w:val="20"/>
                <w:szCs w:val="20"/>
                <w:color w:val="auto"/>
              </w:rPr>
            </w:pPr>
            <w:r>
              <w:rPr>
                <w:rFonts w:ascii="Arial" w:cs="Arial" w:eastAsia="Arial" w:hAnsi="Arial"/>
                <w:sz w:val="14"/>
                <w:szCs w:val="14"/>
                <w:color w:val="auto"/>
              </w:rPr>
              <w:t>Net income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14,474</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21,228</w:t>
            </w:r>
          </w:p>
        </w:tc>
      </w:tr>
      <w:tr>
        <w:trPr>
          <w:trHeight w:val="276"/>
        </w:trPr>
        <w:tc>
          <w:tcPr>
            <w:tcW w:w="85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4"/>
        </w:trPr>
        <w:tc>
          <w:tcPr>
            <w:tcW w:w="8560" w:type="dxa"/>
            <w:vAlign w:val="bottom"/>
          </w:tcPr>
          <w:p>
            <w:pPr>
              <w:ind w:left="92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10,914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7,322</w:t>
            </w:r>
          </w:p>
        </w:tc>
      </w:tr>
      <w:tr>
        <w:trPr>
          <w:trHeight w:val="276"/>
        </w:trPr>
        <w:tc>
          <w:tcPr>
            <w:tcW w:w="8560" w:type="dxa"/>
            <w:vAlign w:val="bottom"/>
            <w:shd w:val="clear" w:color="auto" w:fill="CCEEFF"/>
          </w:tcPr>
          <w:p>
            <w:pPr>
              <w:ind w:left="920"/>
              <w:spacing w:after="0"/>
              <w:rPr>
                <w:sz w:val="20"/>
                <w:szCs w:val="20"/>
                <w:color w:val="auto"/>
              </w:rPr>
            </w:pPr>
            <w:r>
              <w:rPr>
                <w:rFonts w:ascii="Arial" w:cs="Arial" w:eastAsia="Arial" w:hAnsi="Arial"/>
                <w:sz w:val="14"/>
                <w:szCs w:val="14"/>
                <w:color w:val="auto"/>
              </w:rPr>
              <w:t>Amortization of investment premiums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4,752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5,889</w:t>
            </w:r>
          </w:p>
        </w:tc>
      </w:tr>
      <w:tr>
        <w:trPr>
          <w:trHeight w:val="264"/>
        </w:trPr>
        <w:tc>
          <w:tcPr>
            <w:tcW w:w="8560" w:type="dxa"/>
            <w:vAlign w:val="bottom"/>
          </w:tcPr>
          <w:p>
            <w:pPr>
              <w:ind w:left="920"/>
              <w:spacing w:after="0"/>
              <w:rPr>
                <w:sz w:val="20"/>
                <w:szCs w:val="20"/>
                <w:color w:val="auto"/>
              </w:rPr>
            </w:pPr>
            <w:r>
              <w:rPr>
                <w:rFonts w:ascii="Arial" w:cs="Arial" w:eastAsia="Arial" w:hAnsi="Arial"/>
                <w:sz w:val="14"/>
                <w:szCs w:val="14"/>
                <w:color w:val="auto"/>
              </w:rPr>
              <w:t>Stock-based compensation</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27,646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20,006</w:t>
            </w:r>
          </w:p>
        </w:tc>
      </w:tr>
      <w:tr>
        <w:trPr>
          <w:trHeight w:val="276"/>
        </w:trPr>
        <w:tc>
          <w:tcPr>
            <w:tcW w:w="8560" w:type="dxa"/>
            <w:vAlign w:val="bottom"/>
            <w:shd w:val="clear" w:color="auto" w:fill="CCEEFF"/>
          </w:tcPr>
          <w:p>
            <w:pPr>
              <w:ind w:left="920"/>
              <w:spacing w:after="0"/>
              <w:rPr>
                <w:sz w:val="20"/>
                <w:szCs w:val="20"/>
                <w:color w:val="auto"/>
              </w:rPr>
            </w:pPr>
            <w:r>
              <w:rPr>
                <w:rFonts w:ascii="Arial" w:cs="Arial" w:eastAsia="Arial" w:hAnsi="Arial"/>
                <w:sz w:val="14"/>
                <w:szCs w:val="14"/>
                <w:color w:val="auto"/>
              </w:rPr>
              <w:t>Excess tax benefit from stock-based compensation</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(1,894)</w:t>
            </w:r>
          </w:p>
        </w:tc>
      </w:tr>
      <w:tr>
        <w:trPr>
          <w:trHeight w:val="264"/>
        </w:trPr>
        <w:tc>
          <w:tcPr>
            <w:tcW w:w="8560" w:type="dxa"/>
            <w:vAlign w:val="bottom"/>
          </w:tcPr>
          <w:p>
            <w:pPr>
              <w:ind w:left="920"/>
              <w:spacing w:after="0"/>
              <w:rPr>
                <w:sz w:val="20"/>
                <w:szCs w:val="20"/>
                <w:color w:val="auto"/>
              </w:rPr>
            </w:pPr>
            <w:r>
              <w:rPr>
                <w:rFonts w:ascii="Arial" w:cs="Arial" w:eastAsia="Arial" w:hAnsi="Arial"/>
                <w:sz w:val="14"/>
                <w:szCs w:val="14"/>
                <w:color w:val="auto"/>
              </w:rPr>
              <w:t>Other non-cash items—net</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3,549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(925)</w:t>
            </w:r>
          </w:p>
        </w:tc>
      </w:tr>
      <w:tr>
        <w:trPr>
          <w:trHeight w:val="276"/>
        </w:trPr>
        <w:tc>
          <w:tcPr>
            <w:tcW w:w="8560" w:type="dxa"/>
            <w:vAlign w:val="bottom"/>
            <w:shd w:val="clear" w:color="auto" w:fill="CCEEFF"/>
          </w:tcPr>
          <w:p>
            <w:pPr>
              <w:ind w:left="920"/>
              <w:spacing w:after="0"/>
              <w:rPr>
                <w:sz w:val="20"/>
                <w:szCs w:val="20"/>
                <w:color w:val="auto"/>
              </w:rPr>
            </w:pPr>
            <w:r>
              <w:rPr>
                <w:rFonts w:ascii="Arial" w:cs="Arial" w:eastAsia="Arial" w:hAnsi="Arial"/>
                <w:sz w:val="14"/>
                <w:szCs w:val="14"/>
                <w:color w:val="auto"/>
              </w:rPr>
              <w:t>Changes in operating assets and liabilities: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4"/>
        </w:trPr>
        <w:tc>
          <w:tcPr>
            <w:tcW w:w="8560" w:type="dxa"/>
            <w:vAlign w:val="bottom"/>
          </w:tcPr>
          <w:p>
            <w:pPr>
              <w:ind w:left="1460"/>
              <w:spacing w:after="0"/>
              <w:rPr>
                <w:sz w:val="20"/>
                <w:szCs w:val="20"/>
                <w:color w:val="auto"/>
              </w:rPr>
            </w:pPr>
            <w:r>
              <w:rPr>
                <w:rFonts w:ascii="Arial" w:cs="Arial" w:eastAsia="Arial" w:hAnsi="Arial"/>
                <w:sz w:val="14"/>
                <w:szCs w:val="14"/>
                <w:color w:val="auto"/>
              </w:rPr>
              <w:t>Accounts receivable—Net</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2,228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(801)</w:t>
            </w:r>
          </w:p>
        </w:tc>
      </w:tr>
      <w:tr>
        <w:trPr>
          <w:trHeight w:val="276"/>
        </w:trPr>
        <w:tc>
          <w:tcPr>
            <w:tcW w:w="856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Inventory</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(16,375)</w:t>
            </w:r>
          </w:p>
        </w:tc>
      </w:tr>
      <w:tr>
        <w:trPr>
          <w:trHeight w:val="264"/>
        </w:trPr>
        <w:tc>
          <w:tcPr>
            <w:tcW w:w="8560" w:type="dxa"/>
            <w:vAlign w:val="bottom"/>
          </w:tcPr>
          <w:p>
            <w:pPr>
              <w:ind w:left="1460"/>
              <w:spacing w:after="0"/>
              <w:rPr>
                <w:sz w:val="20"/>
                <w:szCs w:val="20"/>
                <w:color w:val="auto"/>
              </w:rPr>
            </w:pPr>
            <w:r>
              <w:rPr>
                <w:rFonts w:ascii="Arial" w:cs="Arial" w:eastAsia="Arial" w:hAnsi="Arial"/>
                <w:sz w:val="14"/>
                <w:szCs w:val="14"/>
                <w:color w:val="auto"/>
              </w:rPr>
              <w:t>Deferred tax assets</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(6,470)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(13,205)</w:t>
            </w:r>
          </w:p>
        </w:tc>
      </w:tr>
      <w:tr>
        <w:trPr>
          <w:trHeight w:val="276"/>
        </w:trPr>
        <w:tc>
          <w:tcPr>
            <w:tcW w:w="856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r>
      <w:tr>
        <w:trPr>
          <w:trHeight w:val="264"/>
        </w:trPr>
        <w:tc>
          <w:tcPr>
            <w:tcW w:w="8560" w:type="dxa"/>
            <w:vAlign w:val="bottom"/>
          </w:tcPr>
          <w:p>
            <w:pPr>
              <w:ind w:left="1460"/>
              <w:spacing w:after="0"/>
              <w:rPr>
                <w:sz w:val="20"/>
                <w:szCs w:val="20"/>
                <w:color w:val="auto"/>
              </w:rPr>
            </w:pPr>
            <w:r>
              <w:rPr>
                <w:rFonts w:ascii="Arial" w:cs="Arial" w:eastAsia="Arial" w:hAnsi="Arial"/>
                <w:sz w:val="14"/>
                <w:szCs w:val="14"/>
                <w:color w:val="auto"/>
              </w:rPr>
              <w:t>Other assets</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778</w:t>
            </w:r>
          </w:p>
        </w:tc>
      </w:tr>
      <w:tr>
        <w:trPr>
          <w:trHeight w:val="276"/>
        </w:trPr>
        <w:tc>
          <w:tcPr>
            <w:tcW w:w="856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Accounts payable</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14,255</w:t>
            </w:r>
          </w:p>
        </w:tc>
      </w:tr>
      <w:tr>
        <w:trPr>
          <w:trHeight w:val="264"/>
        </w:trPr>
        <w:tc>
          <w:tcPr>
            <w:tcW w:w="8560" w:type="dxa"/>
            <w:vAlign w:val="bottom"/>
          </w:tcPr>
          <w:p>
            <w:pPr>
              <w:ind w:left="1460"/>
              <w:spacing w:after="0"/>
              <w:rPr>
                <w:sz w:val="20"/>
                <w:szCs w:val="20"/>
                <w:color w:val="auto"/>
              </w:rPr>
            </w:pPr>
            <w:r>
              <w:rPr>
                <w:rFonts w:ascii="Arial" w:cs="Arial" w:eastAsia="Arial" w:hAnsi="Arial"/>
                <w:sz w:val="14"/>
                <w:szCs w:val="14"/>
                <w:color w:val="auto"/>
              </w:rPr>
              <w:t>Accrued liabilities</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1,544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732</w:t>
            </w:r>
          </w:p>
        </w:tc>
      </w:tr>
      <w:tr>
        <w:trPr>
          <w:trHeight w:val="276"/>
        </w:trPr>
        <w:tc>
          <w:tcPr>
            <w:tcW w:w="856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Other liabilities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15,375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w:t>
            </w:r>
          </w:p>
        </w:tc>
      </w:tr>
      <w:tr>
        <w:trPr>
          <w:trHeight w:val="264"/>
        </w:trPr>
        <w:tc>
          <w:tcPr>
            <w:tcW w:w="8560" w:type="dxa"/>
            <w:vAlign w:val="bottom"/>
          </w:tcPr>
          <w:p>
            <w:pPr>
              <w:ind w:left="1460"/>
              <w:spacing w:after="0"/>
              <w:rPr>
                <w:sz w:val="20"/>
                <w:szCs w:val="20"/>
                <w:color w:val="auto"/>
              </w:rPr>
            </w:pPr>
            <w:r>
              <w:rPr>
                <w:rFonts w:ascii="Arial" w:cs="Arial" w:eastAsia="Arial" w:hAnsi="Arial"/>
                <w:sz w:val="14"/>
                <w:szCs w:val="14"/>
                <w:color w:val="auto"/>
              </w:rPr>
              <w:t>Accrued payroll and compensation</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8,665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2,287</w:t>
            </w:r>
          </w:p>
        </w:tc>
      </w:tr>
      <w:tr>
        <w:trPr>
          <w:trHeight w:val="276"/>
        </w:trPr>
        <w:tc>
          <w:tcPr>
            <w:tcW w:w="856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Deferred revenue</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47,871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25,943</w:t>
            </w:r>
          </w:p>
        </w:tc>
      </w:tr>
      <w:tr>
        <w:trPr>
          <w:trHeight w:val="264"/>
        </w:trPr>
        <w:tc>
          <w:tcPr>
            <w:tcW w:w="8560" w:type="dxa"/>
            <w:vAlign w:val="bottom"/>
            <w:tcBorders>
              <w:bottom w:val="single" w:sz="8" w:color="CCEEFF"/>
            </w:tcBorders>
          </w:tcPr>
          <w:p>
            <w:pPr>
              <w:ind w:left="1460"/>
              <w:spacing w:after="0"/>
              <w:rPr>
                <w:sz w:val="20"/>
                <w:szCs w:val="20"/>
                <w:color w:val="auto"/>
              </w:rPr>
            </w:pPr>
            <w:r>
              <w:rPr>
                <w:rFonts w:ascii="Arial" w:cs="Arial" w:eastAsia="Arial" w:hAnsi="Arial"/>
                <w:sz w:val="14"/>
                <w:szCs w:val="14"/>
                <w:color w:val="auto"/>
              </w:rPr>
              <w:t>Income taxes payable</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(16,987)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11,339</w:t>
            </w:r>
          </w:p>
        </w:tc>
      </w:tr>
      <w:tr>
        <w:trPr>
          <w:trHeight w:val="256"/>
        </w:trPr>
        <w:tc>
          <w:tcPr>
            <w:tcW w:w="856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104,700</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75,332</w:t>
            </w:r>
          </w:p>
        </w:tc>
      </w:tr>
      <w:tr>
        <w:trPr>
          <w:trHeight w:val="258"/>
        </w:trPr>
        <w:tc>
          <w:tcPr>
            <w:tcW w:w="856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85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Purchase of investments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(283,338)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(275,029)</w:t>
            </w:r>
          </w:p>
        </w:tc>
      </w:tr>
      <w:tr>
        <w:trPr>
          <w:trHeight w:val="264"/>
        </w:trPr>
        <w:tc>
          <w:tcPr>
            <w:tcW w:w="8560" w:type="dxa"/>
            <w:vAlign w:val="bottom"/>
          </w:tcPr>
          <w:p>
            <w:pPr>
              <w:ind w:left="500"/>
              <w:spacing w:after="0"/>
              <w:rPr>
                <w:sz w:val="20"/>
                <w:szCs w:val="20"/>
                <w:color w:val="auto"/>
              </w:rPr>
            </w:pPr>
            <w:r>
              <w:rPr>
                <w:rFonts w:ascii="Arial" w:cs="Arial" w:eastAsia="Arial" w:hAnsi="Arial"/>
                <w:sz w:val="14"/>
                <w:szCs w:val="14"/>
                <w:color w:val="auto"/>
              </w:rPr>
              <w:t>Sales of investments</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22,864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16,691</w:t>
            </w:r>
          </w:p>
        </w:tc>
      </w:tr>
      <w:tr>
        <w:trPr>
          <w:trHeight w:val="276"/>
        </w:trPr>
        <w:tc>
          <w:tcPr>
            <w:tcW w:w="85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Maturities of investments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273,214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176,378</w:t>
            </w:r>
          </w:p>
        </w:tc>
      </w:tr>
      <w:tr>
        <w:trPr>
          <w:trHeight w:val="264"/>
        </w:trPr>
        <w:tc>
          <w:tcPr>
            <w:tcW w:w="8560" w:type="dxa"/>
            <w:vAlign w:val="bottom"/>
          </w:tcPr>
          <w:p>
            <w:pPr>
              <w:ind w:left="500"/>
              <w:spacing w:after="0"/>
              <w:rPr>
                <w:sz w:val="20"/>
                <w:szCs w:val="20"/>
                <w:color w:val="auto"/>
              </w:rPr>
            </w:pPr>
            <w:r>
              <w:rPr>
                <w:rFonts w:ascii="Arial" w:cs="Arial" w:eastAsia="Arial" w:hAnsi="Arial"/>
                <w:sz w:val="14"/>
                <w:szCs w:val="14"/>
                <w:color w:val="auto"/>
              </w:rPr>
              <w:t>Purchase of property and equipment</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(21,022)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(3,569)</w:t>
            </w:r>
          </w:p>
        </w:tc>
      </w:tr>
      <w:tr>
        <w:trPr>
          <w:trHeight w:val="270"/>
        </w:trPr>
        <w:tc>
          <w:tcPr>
            <w:tcW w:w="85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Payments made in connection with acquisitions—net of cash acquired</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(5,985)</w:t>
            </w:r>
          </w:p>
        </w:tc>
      </w:tr>
      <w:tr>
        <w:trPr>
          <w:trHeight w:val="250"/>
        </w:trPr>
        <w:tc>
          <w:tcPr>
            <w:tcW w:w="8560" w:type="dxa"/>
            <w:vAlign w:val="bottom"/>
            <w:tcBorders>
              <w:bottom w:val="single" w:sz="8" w:color="CCEEFF"/>
            </w:tcBorders>
          </w:tcPr>
          <w:p>
            <w:pPr>
              <w:ind w:left="190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(8,299)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(91,514)</w:t>
            </w: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4"/>
        </w:trPr>
        <w:tc>
          <w:tcPr>
            <w:tcW w:w="8560" w:type="dxa"/>
            <w:vAlign w:val="bottom"/>
          </w:tcPr>
          <w:p>
            <w:pPr>
              <w:ind w:left="500"/>
              <w:spacing w:after="0"/>
              <w:rPr>
                <w:sz w:val="20"/>
                <w:szCs w:val="20"/>
                <w:color w:val="auto"/>
              </w:rPr>
            </w:pPr>
            <w:r>
              <w:rPr>
                <w:rFonts w:ascii="Arial" w:cs="Arial" w:eastAsia="Arial" w:hAnsi="Arial"/>
                <w:sz w:val="14"/>
                <w:szCs w:val="14"/>
                <w:color w:val="auto"/>
              </w:rPr>
              <w:t>Proceeds from issuance of common stock</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22,518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15,590</w:t>
            </w:r>
          </w:p>
        </w:tc>
      </w:tr>
      <w:tr>
        <w:trPr>
          <w:trHeight w:val="276"/>
        </w:trPr>
        <w:tc>
          <w:tcPr>
            <w:tcW w:w="85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Taxes paid related to net share settlement of equity awards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8560" w:type="dxa"/>
            <w:vAlign w:val="bottom"/>
          </w:tcPr>
          <w:p>
            <w:pPr>
              <w:ind w:left="500"/>
              <w:spacing w:after="0"/>
              <w:rPr>
                <w:sz w:val="20"/>
                <w:szCs w:val="20"/>
                <w:color w:val="auto"/>
              </w:rPr>
            </w:pPr>
            <w:r>
              <w:rPr>
                <w:rFonts w:ascii="Arial" w:cs="Arial" w:eastAsia="Arial" w:hAnsi="Arial"/>
                <w:sz w:val="14"/>
                <w:szCs w:val="14"/>
                <w:color w:val="auto"/>
              </w:rPr>
              <w:t>Excess tax benefit from stock-based compensation</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2,443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1,894</w:t>
            </w:r>
          </w:p>
        </w:tc>
      </w:tr>
      <w:tr>
        <w:trPr>
          <w:trHeight w:val="270"/>
        </w:trPr>
        <w:tc>
          <w:tcPr>
            <w:tcW w:w="85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Repurchase and retirement of common stock</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(27,167)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50"/>
        </w:trPr>
        <w:tc>
          <w:tcPr>
            <w:tcW w:w="8560" w:type="dxa"/>
            <w:vAlign w:val="bottom"/>
            <w:tcBorders>
              <w:bottom w:val="single" w:sz="8" w:color="CCEEFF"/>
            </w:tcBorders>
          </w:tcPr>
          <w:p>
            <w:pPr>
              <w:ind w:left="1900"/>
              <w:spacing w:after="0"/>
              <w:rPr>
                <w:sz w:val="20"/>
                <w:szCs w:val="20"/>
                <w:color w:val="auto"/>
              </w:rPr>
            </w:pPr>
            <w:r>
              <w:rPr>
                <w:rFonts w:ascii="Arial" w:cs="Arial" w:eastAsia="Arial" w:hAnsi="Arial"/>
                <w:sz w:val="14"/>
                <w:szCs w:val="14"/>
                <w:color w:val="auto"/>
              </w:rPr>
              <w:t>Net cash (used in) provided by financing activities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(7,727)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17,484</w:t>
            </w:r>
          </w:p>
        </w:tc>
      </w:tr>
      <w:tr>
        <w:trPr>
          <w:trHeight w:val="250"/>
        </w:trPr>
        <w:tc>
          <w:tcPr>
            <w:tcW w:w="8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RATES ON CASH AND CASH EQUIVALENTS</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(809)</w:t>
            </w:r>
          </w:p>
        </w:tc>
      </w:tr>
      <w:tr>
        <w:trPr>
          <w:trHeight w:val="250"/>
        </w:trPr>
        <w:tc>
          <w:tcPr>
            <w:tcW w:w="8560" w:type="dxa"/>
            <w:vAlign w:val="bottom"/>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2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88,074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493</w:t>
            </w: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EQUIVALENTS—Beginning of period</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115,873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122,975</w:t>
            </w:r>
          </w:p>
        </w:tc>
      </w:tr>
      <w:tr>
        <w:trPr>
          <w:trHeight w:val="283"/>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EQUIVALENTS—End of period</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203,947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123,468</w:t>
            </w:r>
          </w:p>
        </w:tc>
      </w:tr>
      <w:tr>
        <w:trPr>
          <w:trHeight w:val="251"/>
        </w:trPr>
        <w:tc>
          <w:tcPr>
            <w:tcW w:w="8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SUPPLEMENTAL DISCLOSURES OF CASH FLOW INFORMATION:</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97"/>
        </w:trPr>
        <w:tc>
          <w:tcPr>
            <w:tcW w:w="85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Cash paid for income taxes—net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31,413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11,640</w:t>
            </w:r>
          </w:p>
        </w:tc>
      </w:tr>
      <w:tr>
        <w:trPr>
          <w:trHeight w:val="251"/>
        </w:trPr>
        <w:tc>
          <w:tcPr>
            <w:tcW w:w="8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97"/>
        </w:trPr>
        <w:tc>
          <w:tcPr>
            <w:tcW w:w="85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Liability for purchase of property and equipment and asset retirement obligations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6,946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1,056</w:t>
            </w:r>
          </w:p>
        </w:tc>
      </w:tr>
      <w:tr>
        <w:trPr>
          <w:trHeight w:val="210"/>
        </w:trPr>
        <w:tc>
          <w:tcPr>
            <w:tcW w:w="8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Liability incurred for repurchase of common stock</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733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0"/>
        </w:trPr>
        <w:tc>
          <w:tcPr>
            <w:tcW w:w="8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00"/>
          </w:cols>
          <w:pgMar w:left="240" w:top="121"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121" w:right="25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b w:val="1"/>
          <w:bCs w:val="1"/>
          <w:color w:val="auto"/>
        </w:rPr>
        <w:t>Basis of Presentation and Preparation</w:t>
      </w:r>
      <w:r>
        <w:rPr>
          <w:rFonts w:ascii="Arial" w:cs="Arial" w:eastAsia="Arial" w:hAnsi="Arial"/>
          <w:sz w:val="17"/>
          <w:szCs w:val="17"/>
          <w:color w:val="auto"/>
        </w:rPr>
        <w:t>—The unaudited condensed consolidated financial statements of Fortinet, Inc. and its wholly owned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(collectively, “we,” “us,” or “our”) have been prepared in accordance with generally accepted accounting principles (“GAAP”) in the United States (“U.S.”) for interim financial information as well as the instructions to Form 10-Q pursuant to the rules and regulations of the U.S. Securities and Exchange Commission (“SEC”). Accordingly, they do not include all of the information and footnotes required by GAAP for complete financial statements, and should be read in conjunction with our audited consolidated financial statements as of and for the fiscal year ended December 31, 2013, contained in our Annual Report on Form 10-K (“Form 10-K”) filed with the SEC on March 3, 2014. In the opinion of management, all adjustments, which includes normal recurring adjustments, considered necessary for a fair presentation have been included. All intercompany balances, transactions and cash flows have been eliminated. The results of operations for the three and six months ended June 30, 2014 are not necessarily indicative of the operating results for any subsequent quarter, for the full year or for any future periods. The condensed consolidated balance sheets as of December 31, 2013 are derived from the audited consolidated financial statements for the year ended December 31, 2013.</w:t>
      </w:r>
    </w:p>
    <w:p>
      <w:pPr>
        <w:spacing w:after="0" w:line="182"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assumptions that affect the amounts reported in the condensed consolidated financial statements and accompanying notes. Actual results could differ materially from those estimates.</w:t>
      </w:r>
    </w:p>
    <w:p>
      <w:pPr>
        <w:spacing w:after="0" w:line="124"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There have been no material changes to our significant accounting policies as of and for the three and six months ended June 30, 2014. During the first quarter of fiscal 2014, we prospectively modified the expected term calculation used in accounting for stock-based compensation expense and the estimated useful lives of building improvements, and furniture and fixtures.</w:t>
      </w:r>
    </w:p>
    <w:p>
      <w:pPr>
        <w:spacing w:after="0" w:line="177"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Stock-Based Compensation Expense</w:t>
      </w:r>
      <w:r>
        <w:rPr>
          <w:rFonts w:ascii="Arial" w:cs="Arial" w:eastAsia="Arial" w:hAnsi="Arial"/>
          <w:sz w:val="18"/>
          <w:szCs w:val="18"/>
          <w:color w:val="auto"/>
        </w:rPr>
        <w:t>—Beginning in the first quarter of fiscal 2014, we changed the methodology of calculating the expected term,</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one of the assumptions used in determining the fair value of our employee stock options under the Black Scholes option pricing model. The expected term represents the period that our stock-based awards are estimated to be outstanding. We believe that we have sufficient historical experience for determining the expected term of the stock option award, and therefore, we calculated our expected term based on historical experience instead of using the simplified method.</w:t>
      </w:r>
    </w:p>
    <w:p>
      <w:pPr>
        <w:spacing w:after="0" w:line="184"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b w:val="1"/>
          <w:bCs w:val="1"/>
          <w:color w:val="auto"/>
        </w:rPr>
        <w:t>Property and Equipment</w:t>
      </w:r>
      <w:r>
        <w:rPr>
          <w:rFonts w:ascii="Arial" w:cs="Arial" w:eastAsia="Arial" w:hAnsi="Arial"/>
          <w:sz w:val="18"/>
          <w:szCs w:val="18"/>
          <w:color w:val="auto"/>
        </w:rPr>
        <w:t>—Property and equipment—net is stated at cost less accumulated depreciation. Depreciation is computed using the</w:t>
      </w:r>
      <w:r>
        <w:rPr>
          <w:rFonts w:ascii="Arial" w:cs="Arial" w:eastAsia="Arial" w:hAnsi="Arial"/>
          <w:sz w:val="18"/>
          <w:szCs w:val="18"/>
          <w:b w:val="1"/>
          <w:bCs w:val="1"/>
          <w:color w:val="auto"/>
        </w:rPr>
        <w:t xml:space="preserve"> </w:t>
      </w:r>
      <w:r>
        <w:rPr>
          <w:rFonts w:ascii="Arial" w:cs="Arial" w:eastAsia="Arial" w:hAnsi="Arial"/>
          <w:sz w:val="18"/>
          <w:szCs w:val="18"/>
          <w:color w:val="auto"/>
        </w:rPr>
        <w:t>straight-line method over the estimated useful lives of the assets as follows: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300" w:type="dxa"/>
            <w:vAlign w:val="bottom"/>
          </w:tcPr>
          <w:p>
            <w:pPr>
              <w:jc w:val="right"/>
              <w:ind w:right="771"/>
              <w:spacing w:after="0"/>
              <w:rPr>
                <w:sz w:val="20"/>
                <w:szCs w:val="20"/>
                <w:color w:val="auto"/>
              </w:rPr>
            </w:pPr>
            <w:r>
              <w:rPr>
                <w:rFonts w:ascii="Arial" w:cs="Arial" w:eastAsia="Arial" w:hAnsi="Arial"/>
                <w:sz w:val="16"/>
                <w:szCs w:val="16"/>
                <w:b w:val="1"/>
                <w:bCs w:val="1"/>
                <w:color w:val="auto"/>
              </w:rPr>
              <w:t>Estimated Useful Lives</w:t>
            </w:r>
          </w:p>
        </w:tc>
      </w:tr>
      <w:tr>
        <w:trPr>
          <w:trHeight w:val="33"/>
        </w:trPr>
        <w:tc>
          <w:tcPr>
            <w:tcW w:w="8120" w:type="dxa"/>
            <w:vAlign w:val="bottom"/>
            <w:tcBorders>
              <w:bottom w:val="single" w:sz="8" w:color="CCEEFF"/>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and building improvements</w:t>
            </w:r>
          </w:p>
        </w:tc>
        <w:tc>
          <w:tcPr>
            <w:tcW w:w="3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years</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Evaluation units</w:t>
            </w:r>
          </w:p>
        </w:tc>
        <w:tc>
          <w:tcPr>
            <w:tcW w:w="3300" w:type="dxa"/>
            <w:vAlign w:val="bottom"/>
          </w:tcPr>
          <w:p>
            <w:pPr>
              <w:jc w:val="right"/>
              <w:spacing w:after="0"/>
              <w:rPr>
                <w:sz w:val="20"/>
                <w:szCs w:val="20"/>
                <w:color w:val="auto"/>
              </w:rPr>
            </w:pPr>
            <w:r>
              <w:rPr>
                <w:rFonts w:ascii="Arial" w:cs="Arial" w:eastAsia="Arial" w:hAnsi="Arial"/>
                <w:sz w:val="18"/>
                <w:szCs w:val="18"/>
                <w:color w:val="auto"/>
              </w:rPr>
              <w:t>1 year</w:t>
            </w:r>
          </w:p>
        </w:tc>
      </w:tr>
      <w:tr>
        <w:trPr>
          <w:trHeight w:val="27"/>
        </w:trPr>
        <w:tc>
          <w:tcPr>
            <w:tcW w:w="812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3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years</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330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7"/>
        </w:trPr>
        <w:tc>
          <w:tcPr>
            <w:tcW w:w="812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Shorter of useful life or lease term</w:t>
            </w:r>
          </w:p>
        </w:tc>
      </w:tr>
      <w:tr>
        <w:trPr>
          <w:trHeight w:val="27"/>
        </w:trPr>
        <w:tc>
          <w:tcPr>
            <w:tcW w:w="8120" w:type="dxa"/>
            <w:vAlign w:val="bottom"/>
            <w:shd w:val="clear" w:color="auto" w:fill="CCEEFF"/>
          </w:tcPr>
          <w:p>
            <w:pPr>
              <w:spacing w:after="0"/>
              <w:rPr>
                <w:sz w:val="2"/>
                <w:szCs w:val="2"/>
                <w:color w:val="auto"/>
              </w:rPr>
            </w:pPr>
          </w:p>
        </w:tc>
        <w:tc>
          <w:tcPr>
            <w:tcW w:w="3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Effective March 2014, we moved into our new corporate headquarters. The useful life of building improvements placed into service during the three months ended March 31, 2014, in association with our new corporate headquarters is estimated to be 20 years. The useful life of furniture and fixtures now ranges from 3 to 5 years as we placed new furniture and fixtures into service at the new corporate headquarters.</w:t>
      </w:r>
    </w:p>
    <w:p>
      <w:pPr>
        <w:spacing w:after="0" w:line="162" w:lineRule="exact"/>
        <w:rPr>
          <w:sz w:val="20"/>
          <w:szCs w:val="20"/>
          <w:color w:val="auto"/>
        </w:rPr>
      </w:pPr>
    </w:p>
    <w:p>
      <w:pPr>
        <w:ind w:firstLine="648"/>
        <w:spacing w:after="0" w:line="303" w:lineRule="auto"/>
        <w:rPr>
          <w:sz w:val="20"/>
          <w:szCs w:val="20"/>
          <w:color w:val="auto"/>
        </w:rPr>
      </w:pPr>
      <w:r>
        <w:rPr>
          <w:rFonts w:ascii="Arial" w:cs="Arial" w:eastAsia="Arial" w:hAnsi="Arial"/>
          <w:sz w:val="16"/>
          <w:szCs w:val="16"/>
          <w:b w:val="1"/>
          <w:bCs w:val="1"/>
          <w:color w:val="auto"/>
        </w:rPr>
        <w:t>Reclassification</w:t>
      </w:r>
      <w:r>
        <w:rPr>
          <w:rFonts w:ascii="Arial" w:cs="Arial" w:eastAsia="Arial" w:hAnsi="Arial"/>
          <w:sz w:val="16"/>
          <w:szCs w:val="16"/>
          <w:color w:val="auto"/>
        </w:rPr>
        <w:t>—Beginning in the first quarter of 2014, the amounts previously reported as Ratable and other revenue have been combined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amounts previously reported as Services revenue in the condensed consolidated statements of operations. The combined amounts are now being presented as Services and other revenue in the condensed consolidated statements of operations. The related Cost of revenue and Gross profit, including prior period amounts, have also been combined to conform to the current period presentation. The Ratable and other revenue amounts, including the related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and Gross profit amounts, are not material, and the reclassification did not have any impact on our gross margin or net income.</w:t>
      </w:r>
    </w:p>
    <w:p>
      <w:pPr>
        <w:spacing w:after="0" w:line="235"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b w:val="1"/>
          <w:bCs w:val="1"/>
          <w:color w:val="auto"/>
        </w:rPr>
        <w:t>Recent Accounting Pronouncement</w:t>
      </w:r>
      <w:r>
        <w:rPr>
          <w:rFonts w:ascii="Arial" w:cs="Arial" w:eastAsia="Arial" w:hAnsi="Arial"/>
          <w:sz w:val="18"/>
          <w:szCs w:val="18"/>
          <w:color w:val="auto"/>
        </w:rPr>
        <w:t>—In May 2014, the Financial Accounting Standards Board issued Accounting Standards Update No. 2014-09</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(Topic 606) - Revenue from Contracts with Customers </w:t>
      </w:r>
      <w:r>
        <w:rPr>
          <w:rFonts w:ascii="Arial" w:cs="Arial" w:eastAsia="Arial" w:hAnsi="Arial"/>
          <w:sz w:val="18"/>
          <w:szCs w:val="18"/>
          <w:color w:val="auto"/>
        </w:rPr>
        <w:t>(“ASU 2014-09”) to create a single, joint revenue standard that is consistent across all industries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for companies that prepare their financial statements in accordance with U.S. GAAP. Under ASU 2014-09, an entity is required to recognize revenue upon the transfer of promised goods or services to customers in an amount that reflects the consideration the entity expects to be entitled to receive in exchange for those goods or services. ASU 2014-09 is effective for us beginning on January 1, 2017. We are currently evaluating the impact of ASU 2014-09 on our consolidated financial statements.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INSTRUMENTS AND FAIR VALUE MEASUREMENTS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investments as of June 30, 2014 and December 31, 2013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2"/>
              </w:rPr>
              <w:t>June 30, 2014</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34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rPr>
              <w:t>Fair</w:t>
            </w:r>
          </w:p>
        </w:tc>
      </w:t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340" w:type="dxa"/>
            <w:vAlign w:val="bottom"/>
          </w:tcPr>
          <w:p>
            <w:pPr>
              <w:spacing w:after="0"/>
              <w:rPr>
                <w:sz w:val="18"/>
                <w:szCs w:val="18"/>
                <w:color w:val="auto"/>
              </w:rPr>
            </w:pPr>
          </w:p>
        </w:tc>
        <w:tc>
          <w:tcPr>
            <w:tcW w:w="1140" w:type="dxa"/>
            <w:vAlign w:val="bottom"/>
          </w:tcPr>
          <w:p>
            <w:pPr>
              <w:jc w:val="center"/>
              <w:ind w:right="252"/>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567,252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568,360</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75,154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75,153</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37,938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37,976</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Certificates of deposit and term deposits</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17,402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17,404</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7,749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7,754</w:t>
            </w:r>
          </w:p>
        </w:tc>
      </w:tr>
      <w:tr>
        <w:trPr>
          <w:trHeight w:val="257"/>
        </w:trPr>
        <w:tc>
          <w:tcPr>
            <w:tcW w:w="5160" w:type="dxa"/>
            <w:vAlign w:val="bottom"/>
          </w:tcPr>
          <w:p>
            <w:pPr>
              <w:ind w:left="92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705,495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706,647</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62"/>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December 31, 2013</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34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rPr>
              <w:t>Fair</w:t>
            </w:r>
          </w:p>
        </w:tc>
      </w:t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340" w:type="dxa"/>
            <w:vAlign w:val="bottom"/>
          </w:tcPr>
          <w:p>
            <w:pPr>
              <w:spacing w:after="0"/>
              <w:rPr>
                <w:sz w:val="18"/>
                <w:szCs w:val="18"/>
                <w:color w:val="auto"/>
              </w:rPr>
            </w:pPr>
          </w:p>
        </w:tc>
        <w:tc>
          <w:tcPr>
            <w:tcW w:w="1140" w:type="dxa"/>
            <w:vAlign w:val="bottom"/>
          </w:tcPr>
          <w:p>
            <w:pPr>
              <w:jc w:val="center"/>
              <w:ind w:right="252"/>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603,185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604,317</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69,356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69,363</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38,815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38,843</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Certificates of deposit and term deposits</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12,645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12,648</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2,001</w:t>
            </w:r>
          </w:p>
        </w:tc>
      </w:tr>
      <w:tr>
        <w:trPr>
          <w:trHeight w:val="257"/>
        </w:trPr>
        <w:tc>
          <w:tcPr>
            <w:tcW w:w="5160" w:type="dxa"/>
            <w:vAlign w:val="bottom"/>
          </w:tcPr>
          <w:p>
            <w:pPr>
              <w:ind w:left="92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726,001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1,565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727,172</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shows the gross unrealized losses and the related fair values of our investments that have been in a continuous unrealized loss position as of June 30, 2014 and December 31, 2013 (in thousands):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6"/>
          </w:tcPr>
          <w:p>
            <w:pPr>
              <w:jc w:val="center"/>
              <w:ind w:right="380"/>
              <w:spacing w:after="0"/>
              <w:rPr>
                <w:sz w:val="20"/>
                <w:szCs w:val="20"/>
                <w:color w:val="auto"/>
              </w:rPr>
            </w:pPr>
            <w:r>
              <w:rPr>
                <w:rFonts w:ascii="Arial" w:cs="Arial" w:eastAsia="Arial" w:hAnsi="Arial"/>
                <w:sz w:val="16"/>
                <w:szCs w:val="16"/>
                <w:b w:val="1"/>
                <w:bCs w:val="1"/>
                <w:color w:val="auto"/>
                <w:w w:val="90"/>
              </w:rPr>
              <w:t>June 30, 2014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20"/>
                <w:szCs w:val="20"/>
                <w:color w:val="auto"/>
              </w:rPr>
            </w:pPr>
          </w:p>
        </w:tc>
        <w:tc>
          <w:tcPr>
            <w:tcW w:w="2240" w:type="dxa"/>
            <w:vAlign w:val="bottom"/>
            <w:gridSpan w:val="6"/>
          </w:tcPr>
          <w:p>
            <w:pPr>
              <w:ind w:left="200"/>
              <w:spacing w:after="0"/>
              <w:rPr>
                <w:sz w:val="20"/>
                <w:szCs w:val="20"/>
                <w:color w:val="auto"/>
              </w:rPr>
            </w:pPr>
            <w:r>
              <w:rPr>
                <w:rFonts w:ascii="Arial" w:cs="Arial" w:eastAsia="Arial" w:hAnsi="Arial"/>
                <w:sz w:val="16"/>
                <w:szCs w:val="16"/>
                <w:b w:val="1"/>
                <w:bCs w:val="1"/>
                <w:color w:val="auto"/>
              </w:rPr>
              <w:t>12 Months or Greater</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gridSpan w:val="3"/>
          </w:tcPr>
          <w:p>
            <w:pPr>
              <w:spacing w:after="0"/>
              <w:rPr>
                <w:sz w:val="20"/>
                <w:szCs w:val="20"/>
                <w:color w:val="auto"/>
              </w:rPr>
            </w:pPr>
            <w:r>
              <w:rPr>
                <w:rFonts w:ascii="Arial" w:cs="Arial" w:eastAsia="Arial" w:hAnsi="Arial"/>
                <w:sz w:val="16"/>
                <w:szCs w:val="16"/>
                <w:b w:val="1"/>
                <w:bCs w:val="1"/>
                <w:color w:val="auto"/>
                <w:w w:val="94"/>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340" w:type="dxa"/>
            <w:vAlign w:val="bottom"/>
          </w:tcPr>
          <w:p>
            <w:pPr>
              <w:spacing w:after="0"/>
              <w:rPr>
                <w:sz w:val="18"/>
                <w:szCs w:val="18"/>
                <w:color w:val="auto"/>
              </w:rPr>
            </w:pPr>
          </w:p>
        </w:tc>
        <w:tc>
          <w:tcPr>
            <w:tcW w:w="68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2"/>
              <w:spacing w:after="0"/>
              <w:rPr>
                <w:sz w:val="20"/>
                <w:szCs w:val="20"/>
                <w:color w:val="auto"/>
              </w:rPr>
            </w:pPr>
            <w:r>
              <w:rPr>
                <w:rFonts w:ascii="Arial" w:cs="Arial" w:eastAsia="Arial" w:hAnsi="Arial"/>
                <w:sz w:val="16"/>
                <w:szCs w:val="16"/>
                <w:b w:val="1"/>
                <w:bCs w:val="1"/>
                <w:color w:val="auto"/>
                <w:w w:val="91"/>
              </w:rPr>
              <w:t>Unrealized</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340" w:type="dxa"/>
            <w:vAlign w:val="bottom"/>
          </w:tcPr>
          <w:p>
            <w:pPr>
              <w:spacing w:after="0"/>
              <w:rPr>
                <w:sz w:val="18"/>
                <w:szCs w:val="18"/>
                <w:color w:val="auto"/>
              </w:rPr>
            </w:pPr>
          </w:p>
        </w:tc>
        <w:tc>
          <w:tcPr>
            <w:tcW w:w="68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88"/>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2"/>
              <w:spacing w:after="0"/>
              <w:rPr>
                <w:sz w:val="20"/>
                <w:szCs w:val="20"/>
                <w:color w:val="auto"/>
              </w:rPr>
            </w:pPr>
            <w:r>
              <w:rPr>
                <w:rFonts w:ascii="Arial" w:cs="Arial" w:eastAsia="Arial" w:hAnsi="Arial"/>
                <w:sz w:val="16"/>
                <w:szCs w:val="16"/>
                <w:b w:val="1"/>
                <w:bCs w:val="1"/>
                <w:color w:val="auto"/>
                <w:w w:val="83"/>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149,229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150,248</w:t>
            </w:r>
          </w:p>
        </w:tc>
        <w:tc>
          <w:tcPr>
            <w:tcW w:w="38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10,884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10,884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1,998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1,998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168,326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173,363</w:t>
            </w: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75"/>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6"/>
          </w:tcPr>
          <w:p>
            <w:pPr>
              <w:jc w:val="center"/>
              <w:ind w:right="380"/>
              <w:spacing w:after="0"/>
              <w:rPr>
                <w:sz w:val="20"/>
                <w:szCs w:val="20"/>
                <w:color w:val="auto"/>
              </w:rPr>
            </w:pPr>
            <w:r>
              <w:rPr>
                <w:rFonts w:ascii="Arial" w:cs="Arial" w:eastAsia="Arial" w:hAnsi="Arial"/>
                <w:sz w:val="16"/>
                <w:szCs w:val="16"/>
                <w:b w:val="1"/>
                <w:bCs w:val="1"/>
                <w:color w:val="auto"/>
                <w:w w:val="90"/>
              </w:rPr>
              <w:t>December 31, 2013</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20"/>
                <w:szCs w:val="20"/>
                <w:color w:val="auto"/>
              </w:rPr>
            </w:pPr>
          </w:p>
        </w:tc>
        <w:tc>
          <w:tcPr>
            <w:tcW w:w="2240" w:type="dxa"/>
            <w:vAlign w:val="bottom"/>
            <w:gridSpan w:val="6"/>
          </w:tcPr>
          <w:p>
            <w:pPr>
              <w:ind w:left="200"/>
              <w:spacing w:after="0"/>
              <w:rPr>
                <w:sz w:val="20"/>
                <w:szCs w:val="20"/>
                <w:color w:val="auto"/>
              </w:rPr>
            </w:pPr>
            <w:r>
              <w:rPr>
                <w:rFonts w:ascii="Arial" w:cs="Arial" w:eastAsia="Arial" w:hAnsi="Arial"/>
                <w:sz w:val="16"/>
                <w:szCs w:val="16"/>
                <w:b w:val="1"/>
                <w:bCs w:val="1"/>
                <w:color w:val="auto"/>
              </w:rPr>
              <w:t>12 Months or Greater</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gridSpan w:val="3"/>
          </w:tcPr>
          <w:p>
            <w:pPr>
              <w:spacing w:after="0"/>
              <w:rPr>
                <w:sz w:val="20"/>
                <w:szCs w:val="20"/>
                <w:color w:val="auto"/>
              </w:rPr>
            </w:pPr>
            <w:r>
              <w:rPr>
                <w:rFonts w:ascii="Arial" w:cs="Arial" w:eastAsia="Arial" w:hAnsi="Arial"/>
                <w:sz w:val="16"/>
                <w:szCs w:val="16"/>
                <w:b w:val="1"/>
                <w:bCs w:val="1"/>
                <w:color w:val="auto"/>
                <w:w w:val="94"/>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340" w:type="dxa"/>
            <w:vAlign w:val="bottom"/>
          </w:tcPr>
          <w:p>
            <w:pPr>
              <w:spacing w:after="0"/>
              <w:rPr>
                <w:sz w:val="18"/>
                <w:szCs w:val="18"/>
                <w:color w:val="auto"/>
              </w:rPr>
            </w:pPr>
          </w:p>
        </w:tc>
        <w:tc>
          <w:tcPr>
            <w:tcW w:w="68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2"/>
              <w:spacing w:after="0"/>
              <w:rPr>
                <w:sz w:val="20"/>
                <w:szCs w:val="20"/>
                <w:color w:val="auto"/>
              </w:rPr>
            </w:pPr>
            <w:r>
              <w:rPr>
                <w:rFonts w:ascii="Arial" w:cs="Arial" w:eastAsia="Arial" w:hAnsi="Arial"/>
                <w:sz w:val="16"/>
                <w:szCs w:val="16"/>
                <w:b w:val="1"/>
                <w:bCs w:val="1"/>
                <w:color w:val="auto"/>
                <w:w w:val="91"/>
              </w:rPr>
              <w:t>Unrealized</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340" w:type="dxa"/>
            <w:vAlign w:val="bottom"/>
          </w:tcPr>
          <w:p>
            <w:pPr>
              <w:spacing w:after="0"/>
              <w:rPr>
                <w:sz w:val="18"/>
                <w:szCs w:val="18"/>
                <w:color w:val="auto"/>
              </w:rPr>
            </w:pPr>
          </w:p>
        </w:tc>
        <w:tc>
          <w:tcPr>
            <w:tcW w:w="68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88"/>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2"/>
              <w:spacing w:after="0"/>
              <w:rPr>
                <w:sz w:val="20"/>
                <w:szCs w:val="20"/>
                <w:color w:val="auto"/>
              </w:rPr>
            </w:pPr>
            <w:r>
              <w:rPr>
                <w:rFonts w:ascii="Arial" w:cs="Arial" w:eastAsia="Arial" w:hAnsi="Arial"/>
                <w:sz w:val="16"/>
                <w:szCs w:val="16"/>
                <w:b w:val="1"/>
                <w:bCs w:val="1"/>
                <w:color w:val="auto"/>
                <w:w w:val="83"/>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182,795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183,295</w:t>
            </w:r>
          </w:p>
        </w:tc>
        <w:tc>
          <w:tcPr>
            <w:tcW w:w="38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7,897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7,897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14,736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14,736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57"/>
        </w:trPr>
        <w:tc>
          <w:tcPr>
            <w:tcW w:w="4000" w:type="dxa"/>
            <w:vAlign w:val="bottom"/>
          </w:tcPr>
          <w:p>
            <w:pPr>
              <w:ind w:left="92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205,428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205,928</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w:t>
            </w:r>
          </w:p>
        </w:tc>
      </w:tr>
      <w:tr>
        <w:trPr>
          <w:trHeight w:val="20"/>
        </w:trPr>
        <w:tc>
          <w:tcPr>
            <w:tcW w:w="40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19"/>
        </w:trPr>
        <w:tc>
          <w:tcPr>
            <w:tcW w:w="6560" w:type="dxa"/>
            <w:vAlign w:val="bottom"/>
            <w:gridSpan w:val="7"/>
          </w:tcPr>
          <w:p>
            <w:pPr>
              <w:ind w:left="660"/>
              <w:spacing w:after="0"/>
              <w:rPr>
                <w:sz w:val="20"/>
                <w:szCs w:val="20"/>
                <w:color w:val="auto"/>
              </w:rPr>
            </w:pPr>
            <w:r>
              <w:rPr>
                <w:rFonts w:ascii="Arial" w:cs="Arial" w:eastAsia="Arial" w:hAnsi="Arial"/>
                <w:sz w:val="18"/>
                <w:szCs w:val="18"/>
                <w:color w:val="auto"/>
                <w:w w:val="98"/>
              </w:rPr>
              <w:t>The contractual maturities of our investments are as follows (in thousands):</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40"/>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June 30,</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5"/>
          </w:tcPr>
          <w:p>
            <w:pPr>
              <w:jc w:val="right"/>
              <w:ind w:right="432"/>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73"/>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gridSpan w:val="4"/>
          </w:tcPr>
          <w:p>
            <w:pPr>
              <w:ind w:left="240"/>
              <w:spacing w:after="0"/>
              <w:rPr>
                <w:sz w:val="20"/>
                <w:szCs w:val="20"/>
                <w:color w:val="auto"/>
              </w:rPr>
            </w:pPr>
            <w:r>
              <w:rPr>
                <w:rFonts w:ascii="Arial" w:cs="Arial" w:eastAsia="Arial" w:hAnsi="Arial"/>
                <w:sz w:val="16"/>
                <w:szCs w:val="16"/>
                <w:b w:val="1"/>
                <w:bCs w:val="1"/>
                <w:color w:val="auto"/>
              </w:rPr>
              <w:t>2013</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354,174</w:t>
            </w:r>
          </w:p>
        </w:tc>
        <w:tc>
          <w:tcPr>
            <w:tcW w:w="680" w:type="dxa"/>
            <w:vAlign w:val="bottom"/>
            <w:tcBorders>
              <w:bottom w:val="single" w:sz="8" w:color="CCEEFF"/>
            </w:tcBorders>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375,497</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Due within one to three years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3"/>
          </w:tcPr>
          <w:p>
            <w:pPr>
              <w:jc w:val="right"/>
              <w:ind w:right="10"/>
              <w:spacing w:after="0"/>
              <w:rPr>
                <w:sz w:val="20"/>
                <w:szCs w:val="20"/>
                <w:color w:val="auto"/>
              </w:rPr>
            </w:pPr>
            <w:r>
              <w:rPr>
                <w:rFonts w:ascii="Arial" w:cs="Arial" w:eastAsia="Arial" w:hAnsi="Arial"/>
                <w:sz w:val="18"/>
                <w:szCs w:val="18"/>
                <w:color w:val="auto"/>
              </w:rPr>
              <w:t>352,473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351,675</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706,647</w:t>
            </w:r>
          </w:p>
        </w:tc>
        <w:tc>
          <w:tcPr>
            <w:tcW w:w="680" w:type="dxa"/>
            <w:vAlign w:val="bottom"/>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727,172</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Available-for-sale securities are reported at fair value, with unrealized gains and losses, net of tax, included as a separate component of stockholders’ equity and in total comprehensive income. Realized gains and losses on available-for-sale securities are included in Other (expense) income—net in our condensed consolidated statements of operations.</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unrealized losses on our available-for-sale securities were caused by fluctuations in market value and interest rates as a result of the economic environment. As the declines in market value are attributable to changes in market conditions and not credit quality, and because we have concluded currently that we neither intend to sell nor it is more likely than not that we will be required to sell these investments prior to a recovery of par value, we do not consider these investments to be other-than temporarily impaired as of June 30, 2014.</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Realized gains and losses from the sale of available-for-sale securities were not significant in any of the periods presented.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fair value of our financial assets and liabilities measured at fair value on a recurring basis as of June 30, 2014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(in thousands):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ind w:left="40"/>
              <w:spacing w:after="0"/>
              <w:rPr>
                <w:sz w:val="20"/>
                <w:szCs w:val="20"/>
                <w:color w:val="auto"/>
              </w:rPr>
            </w:pPr>
            <w:r>
              <w:rPr>
                <w:rFonts w:ascii="Arial" w:cs="Arial" w:eastAsia="Arial" w:hAnsi="Arial"/>
                <w:sz w:val="16"/>
                <w:szCs w:val="16"/>
                <w:b w:val="1"/>
                <w:bCs w:val="1"/>
                <w:color w:val="auto"/>
              </w:rPr>
              <w:t>June 30, 2014</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gridSpan w:val="6"/>
          </w:tcPr>
          <w:p>
            <w:pPr>
              <w:jc w:val="center"/>
              <w:spacing w:after="0"/>
              <w:rPr>
                <w:sz w:val="20"/>
                <w:szCs w:val="20"/>
                <w:color w:val="auto"/>
              </w:rPr>
            </w:pPr>
            <w:r>
              <w:rPr>
                <w:rFonts w:ascii="Arial" w:cs="Arial" w:eastAsia="Arial" w:hAnsi="Arial"/>
                <w:sz w:val="16"/>
                <w:szCs w:val="16"/>
                <w:b w:val="1"/>
                <w:bCs w:val="1"/>
                <w:color w:val="auto"/>
                <w:w w:val="90"/>
              </w:rPr>
              <w:t>December 31, 2013</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2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37"/>
        </w:trPr>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87"/>
              </w:rPr>
              <w:t>Quoted</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38" w:lineRule="exact"/>
              <w:rPr>
                <w:sz w:val="20"/>
                <w:szCs w:val="20"/>
                <w:color w:val="auto"/>
              </w:rPr>
            </w:pPr>
            <w:r>
              <w:rPr>
                <w:rFonts w:ascii="Arial" w:cs="Arial" w:eastAsia="Arial" w:hAnsi="Arial"/>
                <w:sz w:val="13"/>
                <w:szCs w:val="13"/>
                <w:b w:val="1"/>
                <w:bCs w:val="1"/>
                <w:color w:val="auto"/>
                <w:w w:val="87"/>
              </w:rPr>
              <w:t>Quoted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Prices in</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Prices in</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20" w:type="dxa"/>
            <w:vAlign w:val="bottom"/>
          </w:tcPr>
          <w:p>
            <w:pPr>
              <w:spacing w:after="0"/>
              <w:rPr>
                <w:sz w:val="11"/>
                <w:szCs w:val="11"/>
                <w:color w:val="auto"/>
              </w:rPr>
            </w:pPr>
          </w:p>
        </w:tc>
        <w:tc>
          <w:tcPr>
            <w:tcW w:w="900" w:type="dxa"/>
            <w:vAlign w:val="bottom"/>
          </w:tcPr>
          <w:p>
            <w:pPr>
              <w:jc w:val="center"/>
              <w:ind w:right="40"/>
              <w:spacing w:after="0" w:line="135" w:lineRule="exact"/>
              <w:rPr>
                <w:sz w:val="20"/>
                <w:szCs w:val="20"/>
                <w:color w:val="auto"/>
              </w:rPr>
            </w:pPr>
            <w:r>
              <w:rPr>
                <w:rFonts w:ascii="Arial" w:cs="Arial" w:eastAsia="Arial" w:hAnsi="Arial"/>
                <w:sz w:val="13"/>
                <w:szCs w:val="13"/>
                <w:b w:val="1"/>
                <w:bCs w:val="1"/>
                <w:color w:val="auto"/>
                <w:w w:val="87"/>
              </w:rPr>
              <w:t>Significant</w:t>
            </w:r>
          </w:p>
        </w:tc>
      </w:tr>
      <w:tr>
        <w:trPr>
          <w:trHeight w:val="135"/>
        </w:trPr>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Active</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Active</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900" w:type="dxa"/>
            <w:vAlign w:val="bottom"/>
          </w:tcPr>
          <w:p>
            <w:pPr>
              <w:jc w:val="center"/>
              <w:ind w:right="60"/>
              <w:spacing w:after="0" w:line="135" w:lineRule="exact"/>
              <w:rPr>
                <w:sz w:val="20"/>
                <w:szCs w:val="20"/>
                <w:color w:val="auto"/>
              </w:rPr>
            </w:pPr>
            <w:r>
              <w:rPr>
                <w:rFonts w:ascii="Arial" w:cs="Arial" w:eastAsia="Arial" w:hAnsi="Arial"/>
                <w:sz w:val="13"/>
                <w:szCs w:val="13"/>
                <w:b w:val="1"/>
                <w:bCs w:val="1"/>
                <w:color w:val="auto"/>
                <w:w w:val="92"/>
              </w:rPr>
              <w:t>Other</w:t>
            </w:r>
          </w:p>
        </w:tc>
      </w:tr>
      <w:tr>
        <w:trPr>
          <w:trHeight w:val="135"/>
        </w:trPr>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75"/>
              <w:spacing w:after="0" w:line="135" w:lineRule="exact"/>
              <w:rPr>
                <w:sz w:val="20"/>
                <w:szCs w:val="20"/>
                <w:color w:val="auto"/>
              </w:rPr>
            </w:pPr>
            <w:r>
              <w:rPr>
                <w:rFonts w:ascii="Arial" w:cs="Arial" w:eastAsia="Arial" w:hAnsi="Arial"/>
                <w:sz w:val="13"/>
                <w:szCs w:val="13"/>
                <w:b w:val="1"/>
                <w:bCs w:val="1"/>
                <w:color w:val="auto"/>
                <w:w w:val="87"/>
              </w:rPr>
              <w:t>Aggregate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Observable</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Unobservable</w:t>
            </w:r>
          </w:p>
        </w:tc>
        <w:tc>
          <w:tcPr>
            <w:tcW w:w="14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Observable</w:t>
            </w:r>
          </w:p>
        </w:tc>
        <w:tc>
          <w:tcPr>
            <w:tcW w:w="120" w:type="dxa"/>
            <w:vAlign w:val="bottom"/>
          </w:tcPr>
          <w:p>
            <w:pPr>
              <w:spacing w:after="0"/>
              <w:rPr>
                <w:sz w:val="11"/>
                <w:szCs w:val="11"/>
                <w:color w:val="auto"/>
              </w:rPr>
            </w:pPr>
          </w:p>
        </w:tc>
        <w:tc>
          <w:tcPr>
            <w:tcW w:w="900" w:type="dxa"/>
            <w:vAlign w:val="bottom"/>
          </w:tcPr>
          <w:p>
            <w:pPr>
              <w:jc w:val="center"/>
              <w:ind w:right="40"/>
              <w:spacing w:after="0" w:line="135" w:lineRule="exact"/>
              <w:rPr>
                <w:sz w:val="20"/>
                <w:szCs w:val="20"/>
                <w:color w:val="auto"/>
              </w:rPr>
            </w:pPr>
            <w:r>
              <w:rPr>
                <w:rFonts w:ascii="Arial" w:cs="Arial" w:eastAsia="Arial" w:hAnsi="Arial"/>
                <w:sz w:val="13"/>
                <w:szCs w:val="13"/>
                <w:b w:val="1"/>
                <w:bCs w:val="1"/>
                <w:color w:val="auto"/>
                <w:w w:val="86"/>
              </w:rPr>
              <w:t>Unobservable</w:t>
            </w:r>
          </w:p>
        </w:tc>
      </w:tr>
      <w:tr>
        <w:trPr>
          <w:trHeight w:val="135"/>
        </w:trPr>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75"/>
              <w:spacing w:after="0" w:line="135"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Identical</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Remaining</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Remaining</w:t>
            </w:r>
          </w:p>
        </w:tc>
        <w:tc>
          <w:tcPr>
            <w:tcW w:w="14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Fair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Identical</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Remaining</w:t>
            </w:r>
          </w:p>
        </w:tc>
        <w:tc>
          <w:tcPr>
            <w:tcW w:w="120" w:type="dxa"/>
            <w:vAlign w:val="bottom"/>
          </w:tcPr>
          <w:p>
            <w:pPr>
              <w:spacing w:after="0"/>
              <w:rPr>
                <w:sz w:val="11"/>
                <w:szCs w:val="11"/>
                <w:color w:val="auto"/>
              </w:rPr>
            </w:pPr>
          </w:p>
        </w:tc>
        <w:tc>
          <w:tcPr>
            <w:tcW w:w="900" w:type="dxa"/>
            <w:vAlign w:val="bottom"/>
          </w:tcPr>
          <w:p>
            <w:pPr>
              <w:jc w:val="center"/>
              <w:ind w:right="40"/>
              <w:spacing w:after="0" w:line="135" w:lineRule="exact"/>
              <w:rPr>
                <w:sz w:val="20"/>
                <w:szCs w:val="20"/>
                <w:color w:val="auto"/>
              </w:rPr>
            </w:pPr>
            <w:r>
              <w:rPr>
                <w:rFonts w:ascii="Arial" w:cs="Arial" w:eastAsia="Arial" w:hAnsi="Arial"/>
                <w:sz w:val="13"/>
                <w:szCs w:val="13"/>
                <w:b w:val="1"/>
                <w:bCs w:val="1"/>
                <w:color w:val="auto"/>
                <w:w w:val="87"/>
              </w:rPr>
              <w:t>Remaining</w:t>
            </w:r>
          </w:p>
        </w:tc>
      </w:tr>
      <w:tr>
        <w:trPr>
          <w:trHeight w:val="174"/>
        </w:trPr>
        <w:tc>
          <w:tcPr>
            <w:tcW w:w="28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5"/>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74"/>
              </w:rPr>
              <w:t>Assets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60"/>
              <w:spacing w:after="0"/>
              <w:rPr>
                <w:sz w:val="20"/>
                <w:szCs w:val="20"/>
                <w:color w:val="auto"/>
              </w:rPr>
            </w:pPr>
            <w:r>
              <w:rPr>
                <w:rFonts w:ascii="Arial" w:cs="Arial" w:eastAsia="Arial" w:hAnsi="Arial"/>
                <w:sz w:val="13"/>
                <w:szCs w:val="13"/>
                <w:b w:val="1"/>
                <w:bCs w:val="1"/>
                <w:color w:val="auto"/>
                <w:w w:val="92"/>
              </w:rPr>
              <w:t>Inputs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0"/>
              <w:spacing w:after="0"/>
              <w:rPr>
                <w:sz w:val="20"/>
                <w:szCs w:val="20"/>
                <w:color w:val="auto"/>
              </w:rPr>
            </w:pPr>
            <w:r>
              <w:rPr>
                <w:rFonts w:ascii="Arial" w:cs="Arial" w:eastAsia="Arial" w:hAnsi="Arial"/>
                <w:sz w:val="13"/>
                <w:szCs w:val="13"/>
                <w:b w:val="1"/>
                <w:bCs w:val="1"/>
                <w:color w:val="auto"/>
                <w:w w:val="87"/>
              </w:rPr>
              <w:t>Inputs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Value</w:t>
            </w: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81"/>
              <w:spacing w:after="0"/>
              <w:rPr>
                <w:sz w:val="20"/>
                <w:szCs w:val="20"/>
                <w:color w:val="auto"/>
              </w:rPr>
            </w:pPr>
            <w:r>
              <w:rPr>
                <w:rFonts w:ascii="Arial" w:cs="Arial" w:eastAsia="Arial" w:hAnsi="Arial"/>
                <w:sz w:val="13"/>
                <w:szCs w:val="13"/>
                <w:b w:val="1"/>
                <w:bCs w:val="1"/>
                <w:color w:val="auto"/>
                <w:w w:val="74"/>
              </w:rPr>
              <w:t>Assets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0"/>
              <w:spacing w:after="0"/>
              <w:rPr>
                <w:sz w:val="20"/>
                <w:szCs w:val="20"/>
                <w:color w:val="auto"/>
              </w:rPr>
            </w:pPr>
            <w:r>
              <w:rPr>
                <w:rFonts w:ascii="Arial" w:cs="Arial" w:eastAsia="Arial" w:hAnsi="Arial"/>
                <w:sz w:val="13"/>
                <w:szCs w:val="13"/>
                <w:b w:val="1"/>
                <w:bCs w:val="1"/>
                <w:color w:val="auto"/>
                <w:w w:val="87"/>
              </w:rPr>
              <w:t>Inputs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0"/>
              <w:spacing w:after="0"/>
              <w:rPr>
                <w:sz w:val="20"/>
                <w:szCs w:val="20"/>
                <w:color w:val="auto"/>
              </w:rPr>
            </w:pPr>
            <w:r>
              <w:rPr>
                <w:rFonts w:ascii="Arial" w:cs="Arial" w:eastAsia="Arial" w:hAnsi="Arial"/>
                <w:sz w:val="13"/>
                <w:szCs w:val="13"/>
                <w:b w:val="1"/>
                <w:bCs w:val="1"/>
                <w:color w:val="auto"/>
                <w:w w:val="87"/>
              </w:rPr>
              <w:t>Inputs</w:t>
            </w:r>
          </w:p>
        </w:tc>
      </w:tr>
      <w:tr>
        <w:trPr>
          <w:trHeight w:val="224"/>
        </w:trPr>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1)</w:t>
            </w:r>
          </w:p>
        </w:tc>
        <w:tc>
          <w:tcPr>
            <w:tcW w:w="140" w:type="dxa"/>
            <w:vAlign w:val="bottom"/>
          </w:tcPr>
          <w:p>
            <w:pPr>
              <w:spacing w:after="0"/>
              <w:rPr>
                <w:sz w:val="19"/>
                <w:szCs w:val="19"/>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2)</w:t>
            </w:r>
          </w:p>
        </w:tc>
        <w:tc>
          <w:tcPr>
            <w:tcW w:w="120" w:type="dxa"/>
            <w:vAlign w:val="bottom"/>
          </w:tcPr>
          <w:p>
            <w:pPr>
              <w:spacing w:after="0"/>
              <w:rPr>
                <w:sz w:val="19"/>
                <w:szCs w:val="19"/>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(Level 3)</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(Level 1)</w:t>
            </w:r>
          </w:p>
        </w:tc>
        <w:tc>
          <w:tcPr>
            <w:tcW w:w="14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(Level 2)</w:t>
            </w:r>
          </w:p>
        </w:tc>
        <w:tc>
          <w:tcPr>
            <w:tcW w:w="120" w:type="dxa"/>
            <w:vAlign w:val="bottom"/>
          </w:tcPr>
          <w:p>
            <w:pPr>
              <w:spacing w:after="0"/>
              <w:rPr>
                <w:sz w:val="19"/>
                <w:szCs w:val="19"/>
                <w:color w:val="auto"/>
              </w:rPr>
            </w:pPr>
          </w:p>
        </w:tc>
        <w:tc>
          <w:tcPr>
            <w:tcW w:w="900" w:type="dxa"/>
            <w:vAlign w:val="bottom"/>
          </w:tcPr>
          <w:p>
            <w:pPr>
              <w:jc w:val="center"/>
              <w:ind w:right="40"/>
              <w:spacing w:after="0"/>
              <w:rPr>
                <w:sz w:val="20"/>
                <w:szCs w:val="20"/>
                <w:color w:val="auto"/>
              </w:rPr>
            </w:pPr>
            <w:r>
              <w:rPr>
                <w:rFonts w:ascii="Arial" w:cs="Arial" w:eastAsia="Arial" w:hAnsi="Arial"/>
                <w:sz w:val="16"/>
                <w:szCs w:val="16"/>
                <w:b w:val="1"/>
                <w:bCs w:val="1"/>
                <w:color w:val="auto"/>
                <w:w w:val="95"/>
              </w:rPr>
              <w:t>(Level 3)</w:t>
            </w:r>
          </w:p>
        </w:tc>
      </w:tr>
      <w:tr>
        <w:trPr>
          <w:trHeight w:val="33"/>
        </w:trPr>
        <w:tc>
          <w:tcPr>
            <w:tcW w:w="28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2880" w:type="dxa"/>
            <w:vAlign w:val="bottom"/>
          </w:tcPr>
          <w:p>
            <w:pPr>
              <w:ind w:left="500"/>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568,360</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40"/>
              <w:spacing w:after="0"/>
              <w:rPr>
                <w:sz w:val="20"/>
                <w:szCs w:val="20"/>
                <w:color w:val="auto"/>
              </w:rPr>
            </w:pPr>
            <w:r>
              <w:rPr>
                <w:rFonts w:ascii="Arial" w:cs="Arial" w:eastAsia="Arial" w:hAnsi="Arial"/>
                <w:sz w:val="18"/>
                <w:szCs w:val="18"/>
                <w:color w:val="auto"/>
                <w:w w:val="98"/>
              </w:rPr>
              <w:t>568,360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604,317</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0"/>
              <w:spacing w:after="0"/>
              <w:rPr>
                <w:sz w:val="20"/>
                <w:szCs w:val="20"/>
                <w:color w:val="auto"/>
              </w:rPr>
            </w:pPr>
            <w:r>
              <w:rPr>
                <w:rFonts w:ascii="Arial" w:cs="Arial" w:eastAsia="Arial" w:hAnsi="Arial"/>
                <w:sz w:val="18"/>
                <w:szCs w:val="18"/>
                <w:color w:val="auto"/>
                <w:w w:val="98"/>
              </w:rPr>
              <w:t>604,317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20"/>
              <w:spacing w:after="0"/>
              <w:rPr>
                <w:sz w:val="20"/>
                <w:szCs w:val="20"/>
                <w:color w:val="auto"/>
              </w:rPr>
            </w:pPr>
            <w:r>
              <w:rPr>
                <w:rFonts w:ascii="Arial" w:cs="Arial" w:eastAsia="Arial" w:hAnsi="Arial"/>
                <w:sz w:val="18"/>
                <w:szCs w:val="18"/>
                <w:color w:val="auto"/>
              </w:rPr>
              <w:t>—</w:t>
            </w:r>
          </w:p>
        </w:tc>
      </w:tr>
      <w:tr>
        <w:trPr>
          <w:trHeight w:val="27"/>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75,153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75,153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71,363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71,363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43"/>
        </w:trPr>
        <w:tc>
          <w:tcPr>
            <w:tcW w:w="2880" w:type="dxa"/>
            <w:vAlign w:val="bottom"/>
          </w:tcPr>
          <w:p>
            <w:pPr>
              <w:ind w:left="50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37,976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40"/>
              <w:spacing w:after="0"/>
              <w:rPr>
                <w:sz w:val="20"/>
                <w:szCs w:val="20"/>
                <w:color w:val="auto"/>
              </w:rPr>
            </w:pPr>
            <w:r>
              <w:rPr>
                <w:rFonts w:ascii="Arial" w:cs="Arial" w:eastAsia="Arial" w:hAnsi="Arial"/>
                <w:sz w:val="18"/>
                <w:szCs w:val="18"/>
                <w:color w:val="auto"/>
              </w:rPr>
              <w:t>37,976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38,843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Arial" w:cs="Arial" w:eastAsia="Arial" w:hAnsi="Arial"/>
                <w:sz w:val="18"/>
                <w:szCs w:val="18"/>
                <w:color w:val="auto"/>
              </w:rPr>
              <w:t>38,843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8"/>
                <w:szCs w:val="18"/>
                <w:color w:val="auto"/>
              </w:rPr>
              <w:t>—</w:t>
            </w:r>
          </w:p>
        </w:tc>
      </w:tr>
      <w:tr>
        <w:trPr>
          <w:trHeight w:val="27"/>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28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4"/>
              </w:rPr>
              <w:t>Certificates of deposit and term</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2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deposits</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17,404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17,404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12,648</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12,648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43"/>
        </w:trPr>
        <w:tc>
          <w:tcPr>
            <w:tcW w:w="2880" w:type="dxa"/>
            <w:vAlign w:val="bottom"/>
          </w:tcPr>
          <w:p>
            <w:pPr>
              <w:ind w:left="50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21,139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21"/>
              <w:spacing w:after="0"/>
              <w:rPr>
                <w:sz w:val="20"/>
                <w:szCs w:val="20"/>
                <w:color w:val="auto"/>
              </w:rPr>
            </w:pPr>
            <w:r>
              <w:rPr>
                <w:rFonts w:ascii="Arial" w:cs="Arial" w:eastAsia="Arial" w:hAnsi="Arial"/>
                <w:sz w:val="18"/>
                <w:szCs w:val="18"/>
                <w:color w:val="auto"/>
              </w:rPr>
              <w:t>21,139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5,724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41"/>
              <w:spacing w:after="0"/>
              <w:rPr>
                <w:sz w:val="20"/>
                <w:szCs w:val="20"/>
                <w:color w:val="auto"/>
              </w:rPr>
            </w:pPr>
            <w:r>
              <w:rPr>
                <w:rFonts w:ascii="Arial" w:cs="Arial" w:eastAsia="Arial" w:hAnsi="Arial"/>
                <w:sz w:val="18"/>
                <w:szCs w:val="18"/>
                <w:color w:val="auto"/>
              </w:rPr>
              <w:t>5,724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8"/>
                <w:szCs w:val="18"/>
                <w:color w:val="auto"/>
              </w:rPr>
              <w:t>—</w:t>
            </w:r>
          </w:p>
        </w:tc>
      </w:tr>
      <w:tr>
        <w:trPr>
          <w:trHeight w:val="27"/>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2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U.S. government and agency</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57"/>
        </w:trPr>
        <w:tc>
          <w:tcPr>
            <w:tcW w:w="2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securities</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7,754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5,756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2,001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57"/>
        </w:trPr>
        <w:tc>
          <w:tcPr>
            <w:tcW w:w="288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727,786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rPr>
              <w:t>23,137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w w:val="98"/>
              </w:rPr>
              <w:t>704,649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734,896</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8"/>
                <w:szCs w:val="18"/>
                <w:color w:val="auto"/>
              </w:rPr>
              <w:t>5,724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w w:val="98"/>
              </w:rPr>
              <w:t>729,172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r>
      <w:tr>
        <w:trPr>
          <w:trHeight w:val="20"/>
        </w:trPr>
        <w:tc>
          <w:tcPr>
            <w:tcW w:w="2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84"/>
        </w:trPr>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2880" w:type="dxa"/>
            <w:vAlign w:val="bottom"/>
          </w:tcPr>
          <w:p>
            <w:pPr>
              <w:ind w:left="500"/>
              <w:spacing w:after="0"/>
              <w:rPr>
                <w:sz w:val="20"/>
                <w:szCs w:val="20"/>
                <w:color w:val="auto"/>
              </w:rPr>
            </w:pPr>
            <w:r>
              <w:rPr>
                <w:rFonts w:ascii="Arial" w:cs="Arial" w:eastAsia="Arial" w:hAnsi="Arial"/>
                <w:sz w:val="18"/>
                <w:szCs w:val="18"/>
                <w:color w:val="auto"/>
              </w:rPr>
              <w:t>Contingent consideration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1,850</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20"/>
              <w:spacing w:after="0"/>
              <w:rPr>
                <w:sz w:val="20"/>
                <w:szCs w:val="20"/>
                <w:color w:val="auto"/>
              </w:rPr>
            </w:pPr>
            <w:r>
              <w:rPr>
                <w:rFonts w:ascii="Arial" w:cs="Arial" w:eastAsia="Arial" w:hAnsi="Arial"/>
                <w:sz w:val="18"/>
                <w:szCs w:val="18"/>
                <w:color w:val="auto"/>
              </w:rPr>
              <w:t>1,850</w:t>
            </w:r>
          </w:p>
        </w:tc>
      </w:tr>
      <w:tr>
        <w:trPr>
          <w:trHeight w:val="27"/>
        </w:trPr>
        <w:tc>
          <w:tcPr>
            <w:tcW w:w="2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1,850</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as: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2880" w:type="dxa"/>
            <w:vAlign w:val="bottom"/>
          </w:tcPr>
          <w:p>
            <w:pPr>
              <w:ind w:left="500"/>
              <w:spacing w:after="0"/>
              <w:rPr>
                <w:sz w:val="20"/>
                <w:szCs w:val="20"/>
                <w:color w:val="auto"/>
              </w:rPr>
            </w:pPr>
            <w:r>
              <w:rPr>
                <w:rFonts w:ascii="Arial" w:cs="Arial" w:eastAsia="Arial" w:hAnsi="Arial"/>
                <w:sz w:val="18"/>
                <w:szCs w:val="18"/>
                <w:color w:val="auto"/>
              </w:rPr>
              <w:t>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21,139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7,724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Short-term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354,174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375,497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2880" w:type="dxa"/>
            <w:vAlign w:val="bottom"/>
          </w:tcPr>
          <w:p>
            <w:pPr>
              <w:ind w:left="500"/>
              <w:spacing w:after="0"/>
              <w:rPr>
                <w:sz w:val="20"/>
                <w:szCs w:val="20"/>
                <w:color w:val="auto"/>
              </w:rPr>
            </w:pPr>
            <w:r>
              <w:rPr>
                <w:rFonts w:ascii="Arial" w:cs="Arial" w:eastAsia="Arial" w:hAnsi="Arial"/>
                <w:sz w:val="18"/>
                <w:szCs w:val="18"/>
                <w:color w:val="auto"/>
              </w:rPr>
              <w:t>Long-term investments</w:t>
            </w:r>
          </w:p>
        </w:tc>
        <w:tc>
          <w:tcPr>
            <w:tcW w:w="14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352,473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351,675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2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727,786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734,896</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0"/>
        </w:trPr>
        <w:tc>
          <w:tcPr>
            <w:tcW w:w="2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investments within Level 1 if quoted prices are available in active markets for identical securities.</w:t>
      </w:r>
    </w:p>
    <w:p>
      <w:pPr>
        <w:spacing w:after="0" w:line="225"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We classify items within Level 2 if the investments are valued using model driven valuations using observable inputs such as quoted market prices, benchmark yields, reported trades, broker/dealer quotes or alternative pricing sources with reasonable levels of price transparency. Investments are held by custodians who obtain investment prices from a third-party pricing provider that incorporates standard inputs in various asset price models.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between Level 1 and Level 2 of the fair value hierarchy during the three and six months ended June 30, 2014.</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We have classified the fair value of contingent consideration arising from the acquisition of Coyote Point Systems, Inc. (“Coyote”) (see Note 5), as a Level 3 liability since it is based on a probability-based income approach that includes significant unobservable inputs. The significant unobservable inputs include projected revenues and the percentage probability of occurrence to determine the fair value of the payment. A decrease in the projected revenue during the six months ended June 30, 2014 resulted in no fair value being attributable to the contingent consideration as of June 30, 2014.</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 in the fair value of our contingent consideration liability was as follows (in thousands):</w:t>
      </w: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December 31, 2013</w:t>
            </w: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$1,850</w:t>
            </w:r>
          </w:p>
        </w:tc>
      </w:tr>
      <w:tr>
        <w:trPr>
          <w:trHeight w:val="243"/>
        </w:trPr>
        <w:tc>
          <w:tcPr>
            <w:tcW w:w="9460" w:type="dxa"/>
            <w:vAlign w:val="bottom"/>
          </w:tcPr>
          <w:p>
            <w:pPr>
              <w:ind w:left="20"/>
              <w:spacing w:after="0"/>
              <w:rPr>
                <w:sz w:val="20"/>
                <w:szCs w:val="20"/>
                <w:color w:val="auto"/>
              </w:rPr>
            </w:pPr>
            <w:r>
              <w:rPr>
                <w:rFonts w:ascii="Arial" w:cs="Arial" w:eastAsia="Arial" w:hAnsi="Arial"/>
                <w:sz w:val="18"/>
                <w:szCs w:val="18"/>
                <w:color w:val="auto"/>
              </w:rPr>
              <w:t>Less change in fair value of contingent consideration</w:t>
            </w: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(1,143)</w:t>
            </w:r>
          </w:p>
        </w:tc>
      </w:tr>
      <w:tr>
        <w:trPr>
          <w:trHeight w:val="27"/>
        </w:trPr>
        <w:tc>
          <w:tcPr>
            <w:tcW w:w="946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March 31, 2014</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707</w:t>
            </w:r>
          </w:p>
        </w:tc>
      </w:tr>
      <w:tr>
        <w:trPr>
          <w:trHeight w:val="243"/>
        </w:trPr>
        <w:tc>
          <w:tcPr>
            <w:tcW w:w="9460" w:type="dxa"/>
            <w:vAlign w:val="bottom"/>
          </w:tcPr>
          <w:p>
            <w:pPr>
              <w:ind w:left="20"/>
              <w:spacing w:after="0"/>
              <w:rPr>
                <w:sz w:val="20"/>
                <w:szCs w:val="20"/>
                <w:color w:val="auto"/>
              </w:rPr>
            </w:pPr>
            <w:r>
              <w:rPr>
                <w:rFonts w:ascii="Arial" w:cs="Arial" w:eastAsia="Arial" w:hAnsi="Arial"/>
                <w:sz w:val="18"/>
                <w:szCs w:val="18"/>
                <w:color w:val="auto"/>
              </w:rPr>
              <w:t>Less change in fair value of contingent consideration</w:t>
            </w:r>
          </w:p>
        </w:tc>
        <w:tc>
          <w:tcPr>
            <w:tcW w:w="1920" w:type="dxa"/>
            <w:vAlign w:val="bottom"/>
          </w:tcPr>
          <w:p>
            <w:pPr>
              <w:jc w:val="center"/>
              <w:spacing w:after="0"/>
              <w:rPr>
                <w:sz w:val="20"/>
                <w:szCs w:val="20"/>
                <w:color w:val="auto"/>
              </w:rPr>
            </w:pPr>
            <w:r>
              <w:rPr>
                <w:rFonts w:ascii="Arial" w:cs="Arial" w:eastAsia="Arial" w:hAnsi="Arial"/>
                <w:sz w:val="18"/>
                <w:szCs w:val="18"/>
                <w:color w:val="auto"/>
                <w:w w:val="95"/>
              </w:rPr>
              <w:t>(707)</w:t>
            </w:r>
          </w:p>
        </w:tc>
      </w:tr>
      <w:tr>
        <w:trPr>
          <w:trHeight w:val="27"/>
        </w:trPr>
        <w:tc>
          <w:tcPr>
            <w:tcW w:w="946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7"/>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June 30, 2014</w:t>
            </w:r>
          </w:p>
        </w:tc>
        <w:tc>
          <w:tcPr>
            <w:tcW w:w="1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0"/>
        </w:trPr>
        <w:tc>
          <w:tcPr>
            <w:tcW w:w="946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 in fair value is included in research and development expense in the condensed consolidated statements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We measure certain assets, including Goodwill, Other intangible assets—net, and investments in privately-held companies at fair value on a</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nonrecurring basis when there are identifiable events or changes in circumstances that may have a significant adverse impact on the fair value of these assets.</w:t>
      </w:r>
    </w:p>
    <w:p>
      <w:pPr>
        <w:spacing w:after="0" w:line="23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During the three and six months ended June 30, 2014, a decrease in the projected cash flow from Coyote resulted in an impairment charge of $2.4 million to adjust the intangible assets acquired from Coyote to a fair value of $2.0 million as of June 30, 2014. The impairment charge is included within Cost of product revenue in the condensed consolidated statements of operations.</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have classified these intangible assets acquired from Coyote as Level 3 assets due to the lack of observable inputs to determine fair value. Significant inputs used in the determination of fair value based on the probability-weighted income approach primarily include internal cash flow projections and discount rates.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2013, we did not have any assets or liabilities measured at fair value on a nonrecurring basis.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consisted of the following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1240" w:type="dxa"/>
            <w:vAlign w:val="bottom"/>
          </w:tcPr>
          <w:p>
            <w:pPr>
              <w:jc w:val="center"/>
              <w:ind w:left="574"/>
              <w:spacing w:after="0"/>
              <w:rPr>
                <w:sz w:val="20"/>
                <w:szCs w:val="20"/>
                <w:color w:val="auto"/>
              </w:rPr>
            </w:pPr>
            <w:r>
              <w:rPr>
                <w:rFonts w:ascii="Arial" w:cs="Arial" w:eastAsia="Arial" w:hAnsi="Arial"/>
                <w:sz w:val="16"/>
                <w:szCs w:val="16"/>
                <w:b w:val="1"/>
                <w:bCs w:val="1"/>
                <w:color w:val="auto"/>
                <w:w w:val="90"/>
              </w:rPr>
              <w:t>June 30,</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center"/>
              <w:ind w:right="252"/>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1240" w:type="dxa"/>
            <w:vAlign w:val="bottom"/>
          </w:tcPr>
          <w:p>
            <w:pPr>
              <w:jc w:val="center"/>
              <w:ind w:left="614"/>
              <w:spacing w:after="0"/>
              <w:rPr>
                <w:sz w:val="20"/>
                <w:szCs w:val="20"/>
                <w:color w:val="auto"/>
              </w:rPr>
            </w:pPr>
            <w:r>
              <w:rPr>
                <w:rFonts w:ascii="Arial" w:cs="Arial" w:eastAsia="Arial" w:hAnsi="Arial"/>
                <w:sz w:val="16"/>
                <w:szCs w:val="16"/>
                <w:b w:val="1"/>
                <w:bCs w:val="1"/>
                <w:color w:val="auto"/>
                <w:w w:val="95"/>
              </w:rPr>
              <w:t>2014</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192"/>
              <w:spacing w:after="0"/>
              <w:rPr>
                <w:sz w:val="20"/>
                <w:szCs w:val="20"/>
                <w:color w:val="auto"/>
              </w:rPr>
            </w:pPr>
            <w:r>
              <w:rPr>
                <w:rFonts w:ascii="Arial" w:cs="Arial" w:eastAsia="Arial" w:hAnsi="Arial"/>
                <w:sz w:val="16"/>
                <w:szCs w:val="16"/>
                <w:b w:val="1"/>
                <w:bCs w:val="1"/>
                <w:color w:val="auto"/>
                <w:w w:val="89"/>
              </w:rPr>
              <w:t>2013</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240" w:type="dxa"/>
            <w:vAlign w:val="bottom"/>
            <w:tcBorders>
              <w:bottom w:val="single" w:sz="8" w:color="CCEEFF"/>
            </w:tcBorders>
            <w:shd w:val="clear" w:color="auto" w:fill="CCEEFF"/>
          </w:tcPr>
          <w:p>
            <w:pPr>
              <w:jc w:val="right"/>
              <w:ind w:right="103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12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37,424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40,093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Consigned inventory</w:t>
            </w:r>
          </w:p>
        </w:tc>
        <w:tc>
          <w:tcPr>
            <w:tcW w:w="1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4,260</w:t>
            </w:r>
          </w:p>
        </w:tc>
        <w:tc>
          <w:tcPr>
            <w:tcW w:w="0" w:type="dxa"/>
            <w:vAlign w:val="bottom"/>
          </w:tcPr>
          <w:p>
            <w:pPr>
              <w:spacing w:after="0"/>
              <w:rPr>
                <w:sz w:val="1"/>
                <w:szCs w:val="1"/>
                <w:color w:val="auto"/>
              </w:rPr>
            </w:pP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Inventory</w:t>
            </w:r>
          </w:p>
        </w:tc>
        <w:tc>
          <w:tcPr>
            <w:tcW w:w="1240" w:type="dxa"/>
            <w:vAlign w:val="bottom"/>
            <w:tcBorders>
              <w:top w:val="single" w:sz="8" w:color="auto"/>
              <w:bottom w:val="single" w:sz="8" w:color="auto"/>
            </w:tcBorders>
          </w:tcPr>
          <w:p>
            <w:pPr>
              <w:jc w:val="right"/>
              <w:ind w:right="1034"/>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46,824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48,672</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4. PROPERTY AND EQUIPMENT—Net</w:t>
            </w: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74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440" w:type="dxa"/>
            <w:vAlign w:val="bottom"/>
          </w:tcPr>
          <w:p>
            <w:pPr>
              <w:ind w:left="660"/>
              <w:spacing w:after="0"/>
              <w:rPr>
                <w:sz w:val="20"/>
                <w:szCs w:val="20"/>
                <w:color w:val="auto"/>
              </w:rPr>
            </w:pPr>
            <w:r>
              <w:rPr>
                <w:rFonts w:ascii="Arial" w:cs="Arial" w:eastAsia="Arial" w:hAnsi="Arial"/>
                <w:sz w:val="18"/>
                <w:szCs w:val="18"/>
                <w:color w:val="auto"/>
              </w:rPr>
              <w:t>Property and equipment—net consisted of the following (in thousands):</w:t>
            </w: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440" w:type="dxa"/>
            <w:vAlign w:val="bottom"/>
          </w:tcPr>
          <w:p>
            <w:pPr>
              <w:spacing w:after="0"/>
              <w:rPr>
                <w:sz w:val="24"/>
                <w:szCs w:val="24"/>
                <w:color w:val="auto"/>
              </w:rPr>
            </w:pPr>
          </w:p>
        </w:tc>
        <w:tc>
          <w:tcPr>
            <w:tcW w:w="1240" w:type="dxa"/>
            <w:vAlign w:val="bottom"/>
          </w:tcPr>
          <w:p>
            <w:pPr>
              <w:jc w:val="center"/>
              <w:ind w:left="574"/>
              <w:spacing w:after="0"/>
              <w:rPr>
                <w:sz w:val="20"/>
                <w:szCs w:val="20"/>
                <w:color w:val="auto"/>
              </w:rPr>
            </w:pPr>
            <w:r>
              <w:rPr>
                <w:rFonts w:ascii="Arial" w:cs="Arial" w:eastAsia="Arial" w:hAnsi="Arial"/>
                <w:sz w:val="16"/>
                <w:szCs w:val="16"/>
                <w:b w:val="1"/>
                <w:bCs w:val="1"/>
                <w:color w:val="auto"/>
                <w:w w:val="90"/>
              </w:rPr>
              <w:t>June 30,</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jc w:val="center"/>
              <w:ind w:right="252"/>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1240" w:type="dxa"/>
            <w:vAlign w:val="bottom"/>
          </w:tcPr>
          <w:p>
            <w:pPr>
              <w:jc w:val="center"/>
              <w:ind w:left="614"/>
              <w:spacing w:after="0"/>
              <w:rPr>
                <w:sz w:val="20"/>
                <w:szCs w:val="20"/>
                <w:color w:val="auto"/>
              </w:rPr>
            </w:pPr>
            <w:r>
              <w:rPr>
                <w:rFonts w:ascii="Arial" w:cs="Arial" w:eastAsia="Arial" w:hAnsi="Arial"/>
                <w:sz w:val="16"/>
                <w:szCs w:val="16"/>
                <w:b w:val="1"/>
                <w:bCs w:val="1"/>
                <w:color w:val="auto"/>
                <w:w w:val="95"/>
              </w:rPr>
              <w:t>2014</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192"/>
              <w:spacing w:after="0"/>
              <w:rPr>
                <w:sz w:val="20"/>
                <w:szCs w:val="20"/>
                <w:color w:val="auto"/>
              </w:rPr>
            </w:pPr>
            <w:r>
              <w:rPr>
                <w:rFonts w:ascii="Arial" w:cs="Arial" w:eastAsia="Arial" w:hAnsi="Arial"/>
                <w:sz w:val="16"/>
                <w:szCs w:val="16"/>
                <w:b w:val="1"/>
                <w:bCs w:val="1"/>
                <w:color w:val="auto"/>
                <w:w w:val="89"/>
              </w:rPr>
              <w:t>2013</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240" w:type="dxa"/>
            <w:vAlign w:val="bottom"/>
            <w:tcBorders>
              <w:bottom w:val="single" w:sz="8" w:color="CCEEFF"/>
            </w:tcBorders>
            <w:shd w:val="clear" w:color="auto" w:fill="CCEEFF"/>
          </w:tcPr>
          <w:p>
            <w:pPr>
              <w:jc w:val="right"/>
              <w:ind w:right="103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13,895</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Building and building improvements</w:t>
            </w:r>
          </w:p>
        </w:tc>
        <w:tc>
          <w:tcPr>
            <w:tcW w:w="12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17,779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Evaluation units</w:t>
            </w:r>
          </w:p>
        </w:tc>
        <w:tc>
          <w:tcPr>
            <w:tcW w:w="1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23,442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12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29,948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23,556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1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Construction-in-progress</w:t>
            </w:r>
          </w:p>
        </w:tc>
        <w:tc>
          <w:tcPr>
            <w:tcW w:w="12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4,332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10,947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1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4,303</w:t>
            </w:r>
          </w:p>
        </w:tc>
        <w:tc>
          <w:tcPr>
            <w:tcW w:w="0" w:type="dxa"/>
            <w:vAlign w:val="bottom"/>
          </w:tcPr>
          <w:p>
            <w:pPr>
              <w:spacing w:after="0"/>
              <w:rPr>
                <w:sz w:val="1"/>
                <w:szCs w:val="1"/>
                <w:color w:val="auto"/>
              </w:rPr>
            </w:pP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color w:val="auto"/>
              </w:rPr>
              <w:t>Total property and equipment</w:t>
            </w:r>
          </w:p>
        </w:tc>
        <w:tc>
          <w:tcPr>
            <w:tcW w:w="1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104,724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78,450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1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(49,424)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(41,798)</w:t>
            </w:r>
          </w:p>
        </w:tc>
        <w:tc>
          <w:tcPr>
            <w:tcW w:w="0" w:type="dxa"/>
            <w:vAlign w:val="bottom"/>
          </w:tcPr>
          <w:p>
            <w:pPr>
              <w:spacing w:after="0"/>
              <w:rPr>
                <w:sz w:val="1"/>
                <w:szCs w:val="1"/>
                <w:color w:val="auto"/>
              </w:rPr>
            </w:pP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Property and equipment—net</w:t>
            </w:r>
          </w:p>
        </w:tc>
        <w:tc>
          <w:tcPr>
            <w:tcW w:w="1240" w:type="dxa"/>
            <w:vAlign w:val="bottom"/>
            <w:tcBorders>
              <w:top w:val="single" w:sz="8" w:color="auto"/>
              <w:bottom w:val="single" w:sz="8" w:color="auto"/>
            </w:tcBorders>
          </w:tcPr>
          <w:p>
            <w:pPr>
              <w:jc w:val="right"/>
              <w:ind w:right="1034"/>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55,300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36,652</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Beginning in the first quarter of 2014, we reclassified certain fixed assets between categories in the table above to better reflect the nature of these fixed assets. Prior period amounts have also been reclassified to conform to the current period presentation. We believe the impact of the reclassification is not material.</w:t>
      </w:r>
    </w:p>
    <w:p>
      <w:pPr>
        <w:spacing w:after="0" w:line="262" w:lineRule="exact"/>
        <w:rPr>
          <w:sz w:val="20"/>
          <w:szCs w:val="20"/>
          <w:color w:val="auto"/>
        </w:rPr>
      </w:pPr>
    </w:p>
    <w:p>
      <w:pPr>
        <w:ind w:right="280" w:firstLine="486"/>
        <w:spacing w:after="0" w:line="308" w:lineRule="auto"/>
        <w:rPr>
          <w:sz w:val="20"/>
          <w:szCs w:val="20"/>
          <w:color w:val="auto"/>
        </w:rPr>
      </w:pPr>
      <w:r>
        <w:rPr>
          <w:rFonts w:ascii="Arial" w:cs="Arial" w:eastAsia="Arial" w:hAnsi="Arial"/>
          <w:sz w:val="17"/>
          <w:szCs w:val="17"/>
          <w:color w:val="auto"/>
        </w:rPr>
        <w:t>Depreciation expense was $6.0 million and $3.4 million during the three months ended June 30, 2014 and June 30, 2013, respectively. Depreciation expense was $9.9 million and $6.6 million during the six months ended June 30, 2014 and June 30, 2013, respectively.</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Coyote Point Systems</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On March 21, 2013, we acquired all of the outstanding equity securities of Coyote, a provider of application delivery, load balancing and acceleration solutions, for $6.0 million in cash. The acquisition also included a contingent obligation for up to $5.5 million in future earn-out payments to former stockholders of Coyote, if specified future operational objectives, service conditions and financial results are met within two years of the acquisition date. As of June 30, 2014, we have estimated there are no contingent earn-out payments.</w:t>
      </w:r>
    </w:p>
    <w:p>
      <w:pPr>
        <w:spacing w:after="0" w:line="187"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We accounted for this acquisition as a purchase of a business and, accordingly, the total purchase price was allocated to Coyote’s identifiable tangible and intangible assets acquired and liabilities assumed based on their estimated fair values as of the acquisition date. The fair value assigned to the intangible assets acquired was determined using the income approach which discounts expected cash flows to present value using our estimates and assumptions.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fair value of assets acquired and liabilities assumed (in thousands):</w:t>
      </w: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r>
      <w:tr>
        <w:trPr>
          <w:trHeight w:val="243"/>
        </w:trPr>
        <w:tc>
          <w:tcPr>
            <w:tcW w:w="94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7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501</w:t>
            </w:r>
          </w:p>
        </w:tc>
      </w:tr>
      <w:tr>
        <w:trPr>
          <w:trHeight w:val="27"/>
        </w:trPr>
        <w:tc>
          <w:tcPr>
            <w:tcW w:w="9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Finite-lived intangible assets</w:t>
            </w:r>
          </w:p>
        </w:tc>
        <w:tc>
          <w:tcPr>
            <w:tcW w:w="7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2,800</w:t>
            </w:r>
          </w:p>
        </w:tc>
      </w:tr>
      <w:tr>
        <w:trPr>
          <w:trHeight w:val="243"/>
        </w:trPr>
        <w:tc>
          <w:tcPr>
            <w:tcW w:w="9460" w:type="dxa"/>
            <w:vAlign w:val="bottom"/>
          </w:tcPr>
          <w:p>
            <w:pPr>
              <w:ind w:left="20"/>
              <w:spacing w:after="0"/>
              <w:rPr>
                <w:sz w:val="20"/>
                <w:szCs w:val="20"/>
                <w:color w:val="auto"/>
              </w:rPr>
            </w:pPr>
            <w:r>
              <w:rPr>
                <w:rFonts w:ascii="Arial" w:cs="Arial" w:eastAsia="Arial" w:hAnsi="Arial"/>
                <w:sz w:val="18"/>
                <w:szCs w:val="18"/>
                <w:color w:val="auto"/>
              </w:rPr>
              <w:t>Indefinite-lived intangible assets</w:t>
            </w:r>
          </w:p>
        </w:tc>
        <w:tc>
          <w:tcPr>
            <w:tcW w:w="7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2,600</w:t>
            </w:r>
          </w:p>
        </w:tc>
      </w:tr>
      <w:tr>
        <w:trPr>
          <w:trHeight w:val="27"/>
        </w:trPr>
        <w:tc>
          <w:tcPr>
            <w:tcW w:w="9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7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2,824</w:t>
            </w:r>
          </w:p>
        </w:tc>
      </w:tr>
      <w:tr>
        <w:trPr>
          <w:trHeight w:val="243"/>
        </w:trPr>
        <w:tc>
          <w:tcPr>
            <w:tcW w:w="94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7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94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9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 acquired</w:t>
            </w:r>
          </w:p>
        </w:tc>
        <w:tc>
          <w:tcPr>
            <w:tcW w:w="7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9,019</w:t>
            </w:r>
          </w:p>
        </w:tc>
      </w:tr>
      <w:tr>
        <w:trPr>
          <w:trHeight w:val="243"/>
        </w:trPr>
        <w:tc>
          <w:tcPr>
            <w:tcW w:w="94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7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1,030</w:t>
            </w:r>
          </w:p>
        </w:tc>
      </w:tr>
      <w:tr>
        <w:trPr>
          <w:trHeight w:val="27"/>
        </w:trPr>
        <w:tc>
          <w:tcPr>
            <w:tcW w:w="9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liabilities</w:t>
            </w:r>
          </w:p>
        </w:tc>
        <w:tc>
          <w:tcPr>
            <w:tcW w:w="7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2,004</w:t>
            </w:r>
          </w:p>
        </w:tc>
      </w:tr>
      <w:tr>
        <w:trPr>
          <w:trHeight w:val="237"/>
        </w:trPr>
        <w:tc>
          <w:tcPr>
            <w:tcW w:w="9460" w:type="dxa"/>
            <w:vAlign w:val="bottom"/>
          </w:tcPr>
          <w:p>
            <w:pPr>
              <w:ind w:left="280"/>
              <w:spacing w:after="0"/>
              <w:rPr>
                <w:sz w:val="20"/>
                <w:szCs w:val="20"/>
                <w:color w:val="auto"/>
              </w:rPr>
            </w:pPr>
            <w:r>
              <w:rPr>
                <w:rFonts w:ascii="Arial" w:cs="Arial" w:eastAsia="Arial" w:hAnsi="Arial"/>
                <w:sz w:val="18"/>
                <w:szCs w:val="18"/>
                <w:color w:val="auto"/>
              </w:rPr>
              <w:t>Total liabilities assumed</w:t>
            </w:r>
          </w:p>
        </w:tc>
        <w:tc>
          <w:tcPr>
            <w:tcW w:w="7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3,034</w:t>
            </w:r>
          </w:p>
        </w:tc>
      </w:tr>
      <w:tr>
        <w:trPr>
          <w:trHeight w:val="27"/>
        </w:trPr>
        <w:tc>
          <w:tcPr>
            <w:tcW w:w="94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9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purchase price</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5,985</w:t>
            </w:r>
          </w:p>
        </w:tc>
      </w:tr>
      <w:tr>
        <w:trPr>
          <w:trHeight w:val="20"/>
        </w:trPr>
        <w:tc>
          <w:tcPr>
            <w:tcW w:w="9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Of the total acquired identified intangible assets, we allocated $2.3 million to developed technology, $0.5 million to customer relationships, and $2.6 million to in-process research and development (“IPR&amp;D”) as of the acquisition date. Identified finite-lived intangible assets consist of developed technology and customer relationships that are being amortized as cost of revenue and sales and marketing expense, respectively, ratably on a straight-line basis, each over an estimated useful life of six years. The goodwill of $2.8 million represents the premium we paid over the fair value of the net tangible liabilities assumed and identified intangible assets acquired, due primarily to acquire developed and in-process technology. None of the goodwill recognized as a result of the acquisition is deductible for income tax purposes. The financial results of this acquisition were considered immaterial for purposes of pro-forma financial disclosures. During the three months ended September 30, 2013, we completed the development of technology associated with the IPR&amp;D projects, and started amortizing this developed technology as cost of revenue ratably on a straight-line basis over an estimated remaining useful life of approximately five years.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 ASSETS—Net</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recorded $2.8 million of goodwill from the acquisition of Coyote. There were no impairments to goodwill during the three and six months ended June 30, 2014.</w:t>
      </w:r>
    </w:p>
    <w:p>
      <w:pPr>
        <w:spacing w:after="0" w:line="25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During the three months ended June 30, 2014, we reassessed the fair value and the remaining useful life of the developed technologies acquired from Coyote. Based on this reassessment, we recorded an impairment charge of $2.4 million, which reduced the carrying value of the Coyote developed technologies to $2.0 million. The impairment charge is included within Cost of product revenue in the condensed consolidated statements of operations. Subsequent to the impairment, the remaining carrying value of the Coyote developed technologies will be amortized on a straight-line basis over an estimated remaining useful life of approximately five years.</w:t>
      </w:r>
    </w:p>
    <w:p>
      <w:pPr>
        <w:spacing w:after="0" w:line="2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other intangible assets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2014</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Gross</w:t>
            </w:r>
          </w:p>
        </w:tc>
        <w:tc>
          <w:tcPr>
            <w:tcW w:w="16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2"/>
              <w:spacing w:after="0"/>
              <w:rPr>
                <w:sz w:val="20"/>
                <w:szCs w:val="20"/>
                <w:color w:val="auto"/>
              </w:rPr>
            </w:pPr>
            <w:r>
              <w:rPr>
                <w:rFonts w:ascii="Arial" w:cs="Arial" w:eastAsia="Arial" w:hAnsi="Arial"/>
                <w:sz w:val="16"/>
                <w:szCs w:val="16"/>
                <w:b w:val="1"/>
                <w:bCs w:val="1"/>
                <w:color w:val="auto"/>
              </w:rPr>
              <w:t>Net</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assets—net: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jc w:val="center"/>
              <w:ind w:right="4810"/>
              <w:spacing w:after="0"/>
              <w:rPr>
                <w:sz w:val="20"/>
                <w:szCs w:val="20"/>
                <w:color w:val="auto"/>
              </w:rPr>
            </w:pPr>
            <w:r>
              <w:rPr>
                <w:rFonts w:ascii="Arial" w:cs="Arial" w:eastAsia="Arial" w:hAnsi="Arial"/>
                <w:sz w:val="18"/>
                <w:szCs w:val="18"/>
                <w:color w:val="auto"/>
                <w:w w:val="90"/>
              </w:rPr>
              <w:t>Developed technology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5,606</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2,625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2,981</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jc w:val="center"/>
              <w:ind w:right="4770"/>
              <w:spacing w:after="0"/>
              <w:rPr>
                <w:sz w:val="20"/>
                <w:szCs w:val="20"/>
                <w:color w:val="auto"/>
              </w:rPr>
            </w:pPr>
            <w:r>
              <w:rPr>
                <w:rFonts w:ascii="Arial" w:cs="Arial" w:eastAsia="Arial" w:hAnsi="Arial"/>
                <w:sz w:val="18"/>
                <w:szCs w:val="18"/>
                <w:color w:val="auto"/>
                <w:w w:val="90"/>
              </w:rPr>
              <w:t>Customer relationships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w:t>
            </w:r>
          </w:p>
        </w:tc>
      </w:tr>
      <w:tr>
        <w:trPr>
          <w:trHeight w:val="257"/>
        </w:trPr>
        <w:tc>
          <w:tcPr>
            <w:tcW w:w="7080" w:type="dxa"/>
            <w:vAlign w:val="bottom"/>
          </w:tcPr>
          <w:p>
            <w:pPr>
              <w:ind w:left="500"/>
              <w:spacing w:after="0"/>
              <w:rPr>
                <w:sz w:val="20"/>
                <w:szCs w:val="20"/>
                <w:color w:val="auto"/>
              </w:rPr>
            </w:pPr>
            <w:r>
              <w:rPr>
                <w:rFonts w:ascii="Arial" w:cs="Arial" w:eastAsia="Arial" w:hAnsi="Arial"/>
                <w:sz w:val="18"/>
                <w:szCs w:val="18"/>
                <w:color w:val="auto"/>
              </w:rPr>
              <w:t>Total other intangible assets—net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6,106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2,729</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3,377</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737"/>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December 31, 2013</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Gross</w:t>
            </w:r>
          </w:p>
        </w:tc>
        <w:tc>
          <w:tcPr>
            <w:tcW w:w="16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2"/>
              <w:spacing w:after="0"/>
              <w:rPr>
                <w:sz w:val="20"/>
                <w:szCs w:val="20"/>
                <w:color w:val="auto"/>
              </w:rPr>
            </w:pPr>
            <w:r>
              <w:rPr>
                <w:rFonts w:ascii="Arial" w:cs="Arial" w:eastAsia="Arial" w:hAnsi="Arial"/>
                <w:sz w:val="16"/>
                <w:szCs w:val="16"/>
                <w:b w:val="1"/>
                <w:bCs w:val="1"/>
                <w:color w:val="auto"/>
              </w:rPr>
              <w:t>Net</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jc w:val="center"/>
              <w:ind w:right="4830"/>
              <w:spacing w:after="0"/>
              <w:rPr>
                <w:sz w:val="20"/>
                <w:szCs w:val="20"/>
                <w:color w:val="auto"/>
              </w:rPr>
            </w:pPr>
            <w:r>
              <w:rPr>
                <w:rFonts w:ascii="Arial" w:cs="Arial" w:eastAsia="Arial" w:hAnsi="Arial"/>
                <w:sz w:val="18"/>
                <w:szCs w:val="18"/>
                <w:color w:val="auto"/>
                <w:w w:val="89"/>
              </w:rPr>
              <w:t>Other intangible assets—net: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jc w:val="center"/>
              <w:ind w:right="4810"/>
              <w:spacing w:after="0"/>
              <w:rPr>
                <w:sz w:val="20"/>
                <w:szCs w:val="20"/>
                <w:color w:val="auto"/>
              </w:rPr>
            </w:pPr>
            <w:r>
              <w:rPr>
                <w:rFonts w:ascii="Arial" w:cs="Arial" w:eastAsia="Arial" w:hAnsi="Arial"/>
                <w:sz w:val="18"/>
                <w:szCs w:val="18"/>
                <w:color w:val="auto"/>
                <w:w w:val="90"/>
              </w:rPr>
              <w:t>Developed technology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8,971</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2,568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6,403</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jc w:val="center"/>
              <w:ind w:right="4770"/>
              <w:spacing w:after="0"/>
              <w:rPr>
                <w:sz w:val="20"/>
                <w:szCs w:val="20"/>
                <w:color w:val="auto"/>
              </w:rPr>
            </w:pPr>
            <w:r>
              <w:rPr>
                <w:rFonts w:ascii="Arial" w:cs="Arial" w:eastAsia="Arial" w:hAnsi="Arial"/>
                <w:sz w:val="18"/>
                <w:szCs w:val="18"/>
                <w:color w:val="auto"/>
                <w:w w:val="90"/>
              </w:rPr>
              <w:t>Customer relationships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w:t>
            </w:r>
          </w:p>
        </w:tc>
      </w:tr>
      <w:tr>
        <w:trPr>
          <w:trHeight w:val="257"/>
        </w:trPr>
        <w:tc>
          <w:tcPr>
            <w:tcW w:w="7080" w:type="dxa"/>
            <w:vAlign w:val="bottom"/>
          </w:tcPr>
          <w:p>
            <w:pPr>
              <w:ind w:left="500"/>
              <w:spacing w:after="0"/>
              <w:rPr>
                <w:sz w:val="20"/>
                <w:szCs w:val="20"/>
                <w:color w:val="auto"/>
              </w:rPr>
            </w:pPr>
            <w:r>
              <w:rPr>
                <w:rFonts w:ascii="Arial" w:cs="Arial" w:eastAsia="Arial" w:hAnsi="Arial"/>
                <w:sz w:val="18"/>
                <w:szCs w:val="18"/>
                <w:color w:val="auto"/>
              </w:rPr>
              <w:t>Total other intangible assets—net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9,471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2,630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6,841</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Amortization expense was $0.5 million and $0.4 million during the three months ended June 30, 2014 and June 30, 2013, respectively. Amortization expense was $1.0 million and $0.7 million for the six months ended June 30, 2014 and June 30, 2013, respectively. The following table summarizes estimated future amortization expense of Other intangible assets—net (in thousands):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tcPr>
          <w:p>
            <w:pPr>
              <w:jc w:val="right"/>
              <w:ind w:right="771"/>
              <w:spacing w:after="0"/>
              <w:rPr>
                <w:sz w:val="20"/>
                <w:szCs w:val="20"/>
                <w:color w:val="auto"/>
              </w:rPr>
            </w:pPr>
            <w:r>
              <w:rPr>
                <w:rFonts w:ascii="Arial" w:cs="Arial" w:eastAsia="Arial" w:hAnsi="Arial"/>
                <w:sz w:val="16"/>
                <w:szCs w:val="16"/>
                <w:b w:val="1"/>
                <w:bCs w:val="1"/>
                <w:color w:val="auto"/>
              </w:rPr>
              <w:t>Amount</w:t>
            </w:r>
          </w:p>
        </w:tc>
      </w:tr>
      <w:tr>
        <w:trPr>
          <w:trHeight w:val="33"/>
        </w:trPr>
        <w:tc>
          <w:tcPr>
            <w:tcW w:w="9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Years Ending December 31:</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tcPr>
          <w:p>
            <w:pPr>
              <w:ind w:left="380"/>
              <w:spacing w:after="0"/>
              <w:rPr>
                <w:sz w:val="20"/>
                <w:szCs w:val="20"/>
                <w:color w:val="auto"/>
              </w:rPr>
            </w:pPr>
            <w:r>
              <w:rPr>
                <w:rFonts w:ascii="Arial" w:cs="Arial" w:eastAsia="Arial" w:hAnsi="Arial"/>
                <w:sz w:val="18"/>
                <w:szCs w:val="18"/>
                <w:color w:val="auto"/>
              </w:rPr>
              <w:t>2014 (remainder)</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545</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2015</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1,091</w:t>
            </w:r>
          </w:p>
        </w:tc>
      </w:tr>
      <w:tr>
        <w:trPr>
          <w:trHeight w:val="243"/>
        </w:trPr>
        <w:tc>
          <w:tcPr>
            <w:tcW w:w="9140" w:type="dxa"/>
            <w:vAlign w:val="bottom"/>
          </w:tcPr>
          <w:p>
            <w:pPr>
              <w:ind w:left="380"/>
              <w:spacing w:after="0"/>
              <w:rPr>
                <w:sz w:val="20"/>
                <w:szCs w:val="20"/>
                <w:color w:val="auto"/>
              </w:rPr>
            </w:pPr>
            <w:r>
              <w:rPr>
                <w:rFonts w:ascii="Arial" w:cs="Arial" w:eastAsia="Arial" w:hAnsi="Arial"/>
                <w:sz w:val="18"/>
                <w:szCs w:val="18"/>
                <w:color w:val="auto"/>
              </w:rPr>
              <w:t>2016</w:t>
            </w:r>
          </w:p>
        </w:tc>
        <w:tc>
          <w:tcPr>
            <w:tcW w:w="48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785</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2017</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w:t>
            </w:r>
          </w:p>
        </w:tc>
      </w:tr>
      <w:tr>
        <w:trPr>
          <w:trHeight w:val="243"/>
        </w:trPr>
        <w:tc>
          <w:tcPr>
            <w:tcW w:w="9140" w:type="dxa"/>
            <w:vAlign w:val="bottom"/>
          </w:tcPr>
          <w:p>
            <w:pPr>
              <w:ind w:left="380"/>
              <w:spacing w:after="0"/>
              <w:rPr>
                <w:sz w:val="20"/>
                <w:szCs w:val="20"/>
                <w:color w:val="auto"/>
              </w:rPr>
            </w:pPr>
            <w:r>
              <w:rPr>
                <w:rFonts w:ascii="Arial" w:cs="Arial" w:eastAsia="Arial" w:hAnsi="Arial"/>
                <w:sz w:val="18"/>
                <w:szCs w:val="18"/>
                <w:color w:val="auto"/>
              </w:rPr>
              <w:t>2018</w:t>
            </w:r>
          </w:p>
        </w:tc>
        <w:tc>
          <w:tcPr>
            <w:tcW w:w="48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425</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3,377</w:t>
            </w:r>
          </w:p>
        </w:tc>
      </w:tr>
      <w:tr>
        <w:trPr>
          <w:trHeight w:val="20"/>
        </w:trPr>
        <w:tc>
          <w:tcPr>
            <w:tcW w:w="9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NET INCOME PER SHARE</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Basic net income per share is computed by dividing net income by the weighted-average number of shares of common stock outstanding during the period. Diluted net income per share is computed by dividing net income by the weighted-average number of shares of common stock outstanding, plus the dilutive effects of stock options, restricted stock units (“RSUs”), and the employee stock purchase plan (“ESPP”). Potentially dilutive shares of common stock are determined by applying the treasury stock method.</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per share is as follows (in thousands, except per share amounts):</w:t>
      </w:r>
    </w:p>
    <w:p>
      <w:pPr>
        <w:spacing w:after="0" w:line="320" w:lineRule="exact"/>
        <w:rPr>
          <w:sz w:val="20"/>
          <w:szCs w:val="20"/>
          <w:color w:val="auto"/>
        </w:rPr>
      </w:pPr>
    </w:p>
    <w:tbl>
      <w:tblPr>
        <w:tblLayout w:type="fixed"/>
        <w:tblInd w:w="140" w:type="dxa"/>
        <w:tblCellMar>
          <w:top w:w="0" w:type="dxa"/>
          <w:left w:w="0" w:type="dxa"/>
          <w:bottom w:w="0" w:type="dxa"/>
          <w:right w:w="0" w:type="dxa"/>
        </w:tblCellMar>
      </w:tblPr>
      <w:tr>
        <w:trPr>
          <w:trHeight w:val="210"/>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2540" w:type="dxa"/>
            <w:vAlign w:val="bottom"/>
            <w:gridSpan w:val="4"/>
          </w:tcPr>
          <w:p>
            <w:pPr>
              <w:jc w:val="right"/>
              <w:ind w:right="652"/>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1100" w:type="dxa"/>
            <w:vAlign w:val="bottom"/>
          </w:tcPr>
          <w:p>
            <w:pPr>
              <w:jc w:val="right"/>
              <w:ind w:right="312"/>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412"/>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412"/>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412"/>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5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4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6,081</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8,979</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14,474</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21,228</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Basic shares:</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Weighted-average common stock outstanding-basic</w:t>
            </w:r>
          </w:p>
        </w:tc>
        <w:tc>
          <w:tcPr>
            <w:tcW w:w="2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163,161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162,247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162,778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161,767</w:t>
            </w:r>
          </w:p>
        </w:tc>
        <w:tc>
          <w:tcPr>
            <w:tcW w:w="0" w:type="dxa"/>
            <w:vAlign w:val="bottom"/>
          </w:tcPr>
          <w:p>
            <w:pPr>
              <w:spacing w:after="0"/>
              <w:rPr>
                <w:sz w:val="1"/>
                <w:szCs w:val="1"/>
                <w:color w:val="auto"/>
              </w:rPr>
            </w:pPr>
          </w:p>
        </w:tc>
      </w:tr>
      <w:tr>
        <w:trPr>
          <w:trHeight w:val="20"/>
        </w:trPr>
        <w:tc>
          <w:tcPr>
            <w:tcW w:w="5480" w:type="dxa"/>
            <w:vAlign w:val="bottom"/>
            <w:vMerge w:val="restart"/>
          </w:tcPr>
          <w:p>
            <w:pPr>
              <w:ind w:left="40"/>
              <w:spacing w:after="0"/>
              <w:rPr>
                <w:sz w:val="20"/>
                <w:szCs w:val="20"/>
                <w:color w:val="auto"/>
              </w:rPr>
            </w:pPr>
            <w:r>
              <w:rPr>
                <w:rFonts w:ascii="Arial" w:cs="Arial" w:eastAsia="Arial" w:hAnsi="Arial"/>
                <w:sz w:val="18"/>
                <w:szCs w:val="18"/>
                <w:color w:val="auto"/>
              </w:rPr>
              <w:t>Diluted shares:</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Weighted-average common stock outstanding-basic</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163,161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162,247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162,778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161,767</w:t>
            </w:r>
          </w:p>
        </w:tc>
        <w:tc>
          <w:tcPr>
            <w:tcW w:w="0" w:type="dxa"/>
            <w:vAlign w:val="bottom"/>
          </w:tcPr>
          <w:p>
            <w:pPr>
              <w:spacing w:after="0"/>
              <w:rPr>
                <w:sz w:val="1"/>
                <w:szCs w:val="1"/>
                <w:color w:val="auto"/>
              </w:rPr>
            </w:pPr>
          </w:p>
        </w:tc>
      </w:tr>
      <w:tr>
        <w:trPr>
          <w:trHeight w:val="243"/>
        </w:trPr>
        <w:tc>
          <w:tcPr>
            <w:tcW w:w="5480" w:type="dxa"/>
            <w:vAlign w:val="bottom"/>
          </w:tcPr>
          <w:p>
            <w:pPr>
              <w:ind w:left="480"/>
              <w:spacing w:after="0"/>
              <w:rPr>
                <w:sz w:val="20"/>
                <w:szCs w:val="20"/>
                <w:color w:val="auto"/>
              </w:rPr>
            </w:pPr>
            <w:r>
              <w:rPr>
                <w:rFonts w:ascii="Arial" w:cs="Arial" w:eastAsia="Arial" w:hAnsi="Arial"/>
                <w:sz w:val="18"/>
                <w:szCs w:val="18"/>
                <w:color w:val="auto"/>
              </w:rPr>
              <w:t>Effect of potentially dilutive securities:</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Stock options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6,152</w:t>
            </w:r>
          </w:p>
        </w:tc>
        <w:tc>
          <w:tcPr>
            <w:tcW w:w="0" w:type="dxa"/>
            <w:vAlign w:val="bottom"/>
          </w:tcPr>
          <w:p>
            <w:pPr>
              <w:spacing w:after="0"/>
              <w:rPr>
                <w:sz w:val="1"/>
                <w:szCs w:val="1"/>
                <w:color w:val="auto"/>
              </w:rPr>
            </w:pPr>
          </w:p>
        </w:tc>
      </w:tr>
      <w:tr>
        <w:trPr>
          <w:trHeight w:val="243"/>
        </w:trPr>
        <w:tc>
          <w:tcPr>
            <w:tcW w:w="5480" w:type="dxa"/>
            <w:vAlign w:val="bottom"/>
          </w:tcPr>
          <w:p>
            <w:pPr>
              <w:ind w:left="920"/>
              <w:spacing w:after="0"/>
              <w:rPr>
                <w:sz w:val="20"/>
                <w:szCs w:val="20"/>
                <w:color w:val="auto"/>
              </w:rPr>
            </w:pPr>
            <w:r>
              <w:rPr>
                <w:rFonts w:ascii="Arial" w:cs="Arial" w:eastAsia="Arial" w:hAnsi="Arial"/>
                <w:sz w:val="18"/>
                <w:szCs w:val="18"/>
                <w:color w:val="auto"/>
              </w:rPr>
              <w:t>RSUs</w:t>
            </w:r>
          </w:p>
        </w:tc>
        <w:tc>
          <w:tcPr>
            <w:tcW w:w="2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ESPP</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97"/>
        </w:trPr>
        <w:tc>
          <w:tcPr>
            <w:tcW w:w="5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4"/>
              </w:rPr>
              <w:t>Weighted-average shares used to compute diluted net income per share</w:t>
            </w:r>
          </w:p>
        </w:tc>
        <w:tc>
          <w:tcPr>
            <w:tcW w:w="24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168,345</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168,042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168,015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168,033</w:t>
            </w:r>
          </w:p>
        </w:tc>
        <w:tc>
          <w:tcPr>
            <w:tcW w:w="0" w:type="dxa"/>
            <w:vAlign w:val="bottom"/>
          </w:tcPr>
          <w:p>
            <w:pPr>
              <w:spacing w:after="0"/>
              <w:rPr>
                <w:sz w:val="1"/>
                <w:szCs w:val="1"/>
                <w:color w:val="auto"/>
              </w:rPr>
            </w:pPr>
          </w:p>
        </w:tc>
      </w:tr>
      <w:tr>
        <w:trPr>
          <w:trHeight w:val="237"/>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4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51"/>
        </w:trPr>
        <w:tc>
          <w:tcPr>
            <w:tcW w:w="5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weighted-average shares of common stock were excluded from the computation of diluted net income per share for the periods presented, as their effect would have been antidilutive (in thousands):</w:t>
      </w:r>
    </w:p>
    <w:p>
      <w:pPr>
        <w:spacing w:after="0" w:line="320" w:lineRule="exact"/>
        <w:rPr>
          <w:sz w:val="20"/>
          <w:szCs w:val="20"/>
          <w:color w:val="auto"/>
        </w:rPr>
      </w:pPr>
    </w:p>
    <w:tbl>
      <w:tblPr>
        <w:tblLayout w:type="fixed"/>
        <w:tblInd w:w="140" w:type="dxa"/>
        <w:tblCellMar>
          <w:top w:w="0" w:type="dxa"/>
          <w:left w:w="0" w:type="dxa"/>
          <w:bottom w:w="0" w:type="dxa"/>
          <w:right w:w="0" w:type="dxa"/>
        </w:tblCellMar>
      </w:tblPr>
      <w:tr>
        <w:trPr>
          <w:trHeight w:val="210"/>
        </w:trPr>
        <w:tc>
          <w:tcPr>
            <w:tcW w:w="5480" w:type="dxa"/>
            <w:vAlign w:val="bottom"/>
          </w:tcPr>
          <w:p>
            <w:pPr>
              <w:spacing w:after="0"/>
              <w:rPr>
                <w:sz w:val="18"/>
                <w:szCs w:val="18"/>
                <w:color w:val="auto"/>
              </w:rPr>
            </w:pPr>
          </w:p>
        </w:tc>
        <w:tc>
          <w:tcPr>
            <w:tcW w:w="2900" w:type="dxa"/>
            <w:vAlign w:val="bottom"/>
            <w:gridSpan w:val="4"/>
          </w:tcPr>
          <w:p>
            <w:pPr>
              <w:ind w:left="680"/>
              <w:spacing w:after="0"/>
              <w:rPr>
                <w:sz w:val="20"/>
                <w:szCs w:val="20"/>
                <w:color w:val="auto"/>
              </w:rPr>
            </w:pPr>
            <w:r>
              <w:rPr>
                <w:rFonts w:ascii="Arial" w:cs="Arial" w:eastAsia="Arial" w:hAnsi="Arial"/>
                <w:sz w:val="16"/>
                <w:szCs w:val="16"/>
                <w:b w:val="1"/>
                <w:bCs w:val="1"/>
                <w:color w:val="auto"/>
              </w:rPr>
              <w:t>Three Months Ended</w:t>
            </w:r>
          </w:p>
        </w:tc>
        <w:tc>
          <w:tcPr>
            <w:tcW w:w="2760" w:type="dxa"/>
            <w:vAlign w:val="bottom"/>
            <w:gridSpan w:val="3"/>
          </w:tcPr>
          <w:p>
            <w:pPr>
              <w:jc w:val="right"/>
              <w:ind w:right="633"/>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48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5480" w:type="dxa"/>
            <w:vAlign w:val="bottom"/>
          </w:tcPr>
          <w:p>
            <w:pPr>
              <w:spacing w:after="0"/>
              <w:rPr>
                <w:sz w:val="18"/>
                <w:szCs w:val="18"/>
                <w:color w:val="auto"/>
              </w:rPr>
            </w:pPr>
          </w:p>
        </w:tc>
        <w:tc>
          <w:tcPr>
            <w:tcW w:w="1460" w:type="dxa"/>
            <w:vAlign w:val="bottom"/>
            <w:gridSpan w:val="2"/>
          </w:tcPr>
          <w:p>
            <w:pPr>
              <w:ind w:left="360"/>
              <w:spacing w:after="0"/>
              <w:rPr>
                <w:sz w:val="20"/>
                <w:szCs w:val="20"/>
                <w:color w:val="auto"/>
              </w:rPr>
            </w:pPr>
            <w:r>
              <w:rPr>
                <w:rFonts w:ascii="Arial" w:cs="Arial" w:eastAsia="Arial" w:hAnsi="Arial"/>
                <w:sz w:val="16"/>
                <w:szCs w:val="16"/>
                <w:b w:val="1"/>
                <w:bCs w:val="1"/>
                <w:color w:val="auto"/>
              </w:rPr>
              <w:t>June 30,</w:t>
            </w:r>
          </w:p>
        </w:tc>
        <w:tc>
          <w:tcPr>
            <w:tcW w:w="1440" w:type="dxa"/>
            <w:vAlign w:val="bottom"/>
            <w:gridSpan w:val="2"/>
          </w:tcPr>
          <w:p>
            <w:pPr>
              <w:ind w:left="360"/>
              <w:spacing w:after="0"/>
              <w:rPr>
                <w:sz w:val="20"/>
                <w:szCs w:val="20"/>
                <w:color w:val="auto"/>
              </w:rPr>
            </w:pPr>
            <w:r>
              <w:rPr>
                <w:rFonts w:ascii="Arial" w:cs="Arial" w:eastAsia="Arial" w:hAnsi="Arial"/>
                <w:sz w:val="16"/>
                <w:szCs w:val="16"/>
                <w:b w:val="1"/>
                <w:bCs w:val="1"/>
                <w:color w:val="auto"/>
              </w:rPr>
              <w:t>June 30,</w:t>
            </w:r>
          </w:p>
        </w:tc>
        <w:tc>
          <w:tcPr>
            <w:tcW w:w="1440" w:type="dxa"/>
            <w:vAlign w:val="bottom"/>
            <w:gridSpan w:val="2"/>
          </w:tcPr>
          <w:p>
            <w:pPr>
              <w:ind w:left="360"/>
              <w:spacing w:after="0"/>
              <w:rPr>
                <w:sz w:val="20"/>
                <w:szCs w:val="20"/>
                <w:color w:val="auto"/>
              </w:rPr>
            </w:pPr>
            <w:r>
              <w:rPr>
                <w:rFonts w:ascii="Arial" w:cs="Arial" w:eastAsia="Arial" w:hAnsi="Arial"/>
                <w:sz w:val="16"/>
                <w:szCs w:val="16"/>
                <w:b w:val="1"/>
                <w:bCs w:val="1"/>
                <w:color w:val="auto"/>
              </w:rPr>
              <w:t>June 30,</w:t>
            </w:r>
          </w:p>
        </w:tc>
        <w:tc>
          <w:tcPr>
            <w:tcW w:w="1320" w:type="dxa"/>
            <w:vAlign w:val="bottom"/>
          </w:tcPr>
          <w:p>
            <w:pPr>
              <w:jc w:val="right"/>
              <w:ind w:right="293"/>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480" w:type="dxa"/>
            <w:vAlign w:val="bottom"/>
          </w:tcPr>
          <w:p>
            <w:pPr>
              <w:spacing w:after="0"/>
              <w:rPr>
                <w:sz w:val="18"/>
                <w:szCs w:val="18"/>
                <w:color w:val="auto"/>
              </w:rPr>
            </w:pPr>
          </w:p>
        </w:tc>
        <w:tc>
          <w:tcPr>
            <w:tcW w:w="1340" w:type="dxa"/>
            <w:vAlign w:val="bottom"/>
          </w:tcPr>
          <w:p>
            <w:pPr>
              <w:jc w:val="right"/>
              <w:ind w:right="413"/>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1340" w:type="dxa"/>
            <w:vAlign w:val="bottom"/>
          </w:tcPr>
          <w:p>
            <w:pPr>
              <w:jc w:val="right"/>
              <w:ind w:right="413"/>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340" w:type="dxa"/>
            <w:vAlign w:val="bottom"/>
          </w:tcPr>
          <w:p>
            <w:pPr>
              <w:jc w:val="right"/>
              <w:ind w:right="414"/>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1320" w:type="dxa"/>
            <w:vAlign w:val="bottom"/>
          </w:tcPr>
          <w:p>
            <w:pPr>
              <w:jc w:val="right"/>
              <w:ind w:right="413"/>
              <w:spacing w:after="0"/>
              <w:rPr>
                <w:sz w:val="20"/>
                <w:szCs w:val="20"/>
                <w:color w:val="auto"/>
              </w:rPr>
            </w:pPr>
            <w:r>
              <w:rPr>
                <w:rFonts w:ascii="Arial" w:cs="Arial" w:eastAsia="Arial" w:hAnsi="Arial"/>
                <w:sz w:val="16"/>
                <w:szCs w:val="16"/>
                <w:b w:val="1"/>
                <w:bCs w:val="1"/>
                <w:color w:val="auto"/>
              </w:rPr>
              <w:t>2013</w:t>
            </w:r>
          </w:p>
        </w:tc>
      </w:tr>
      <w:tr>
        <w:trPr>
          <w:trHeight w:val="33"/>
        </w:trPr>
        <w:tc>
          <w:tcPr>
            <w:tcW w:w="54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4,201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7,472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4,323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7,483</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RSUs</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2,554</w:t>
            </w:r>
          </w:p>
        </w:tc>
        <w:tc>
          <w:tcPr>
            <w:tcW w:w="10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1,804</w:t>
            </w:r>
          </w:p>
        </w:tc>
      </w:tr>
      <w:tr>
        <w:trPr>
          <w:trHeight w:val="27"/>
        </w:trPr>
        <w:tc>
          <w:tcPr>
            <w:tcW w:w="5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ESPP</w:t>
            </w: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5480" w:type="dxa"/>
            <w:vAlign w:val="bottom"/>
          </w:tcPr>
          <w:p>
            <w:pPr>
              <w:spacing w:after="0"/>
              <w:rPr>
                <w:sz w:val="20"/>
                <w:szCs w:val="20"/>
                <w:color w:val="auto"/>
              </w:rPr>
            </w:pP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4,794</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10,026</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6,455</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9,287</w:t>
            </w:r>
          </w:p>
        </w:tc>
      </w:tr>
      <w:tr>
        <w:trPr>
          <w:trHeight w:val="27"/>
        </w:trPr>
        <w:tc>
          <w:tcPr>
            <w:tcW w:w="54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54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656"/>
        </w:trPr>
        <w:tc>
          <w:tcPr>
            <w:tcW w:w="5480" w:type="dxa"/>
            <w:vAlign w:val="bottom"/>
          </w:tcPr>
          <w:p>
            <w:pPr>
              <w:spacing w:after="0"/>
              <w:rPr>
                <w:sz w:val="24"/>
                <w:szCs w:val="24"/>
                <w:color w:val="auto"/>
              </w:rPr>
            </w:pPr>
          </w:p>
        </w:tc>
        <w:tc>
          <w:tcPr>
            <w:tcW w:w="1340" w:type="dxa"/>
            <w:vAlign w:val="bottom"/>
          </w:tcPr>
          <w:p>
            <w:pPr>
              <w:jc w:val="right"/>
              <w:ind w:right="1073"/>
              <w:spacing w:after="0"/>
              <w:rPr>
                <w:sz w:val="20"/>
                <w:szCs w:val="20"/>
                <w:color w:val="auto"/>
              </w:rPr>
            </w:pPr>
            <w:r>
              <w:rPr>
                <w:rFonts w:ascii="Arial" w:cs="Arial" w:eastAsia="Arial" w:hAnsi="Arial"/>
                <w:sz w:val="18"/>
                <w:szCs w:val="18"/>
                <w:color w:val="auto"/>
                <w:w w:val="79"/>
              </w:rPr>
              <w:t>14</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DEFERRED REVENUE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Deferred revenue consisted of the following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ind w:right="432"/>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1240" w:type="dxa"/>
            <w:vAlign w:val="bottom"/>
          </w:tcPr>
          <w:p>
            <w:pPr>
              <w:jc w:val="right"/>
              <w:ind w:right="13"/>
              <w:spacing w:after="0"/>
              <w:rPr>
                <w:sz w:val="20"/>
                <w:szCs w:val="20"/>
                <w:color w:val="auto"/>
              </w:rPr>
            </w:pPr>
            <w:r>
              <w:rPr>
                <w:rFonts w:ascii="Arial" w:cs="Arial" w:eastAsia="Arial" w:hAnsi="Arial"/>
                <w:sz w:val="16"/>
                <w:szCs w:val="16"/>
                <w:b w:val="1"/>
                <w:bCs w:val="1"/>
                <w:color w:val="auto"/>
              </w:rPr>
              <w:t>2014</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2"/>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w:t>
            </w:r>
          </w:p>
        </w:tc>
        <w:tc>
          <w:tcPr>
            <w:tcW w:w="1240" w:type="dxa"/>
            <w:vAlign w:val="bottom"/>
            <w:tcBorders>
              <w:bottom w:val="single" w:sz="8" w:color="CCEEFF"/>
            </w:tcBorders>
            <w:shd w:val="clear" w:color="auto" w:fill="CCEEFF"/>
          </w:tcPr>
          <w:p>
            <w:pPr>
              <w:jc w:val="right"/>
              <w:ind w:right="103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2,915</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Services and other</w:t>
            </w:r>
          </w:p>
        </w:tc>
        <w:tc>
          <w:tcPr>
            <w:tcW w:w="12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476,139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429,713</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revenue</w:t>
            </w:r>
          </w:p>
        </w:tc>
        <w:tc>
          <w:tcPr>
            <w:tcW w:w="1240" w:type="dxa"/>
            <w:vAlign w:val="bottom"/>
            <w:tcBorders>
              <w:bottom w:val="single" w:sz="8" w:color="auto"/>
            </w:tcBorders>
            <w:shd w:val="clear" w:color="auto" w:fill="CCEEFF"/>
          </w:tcPr>
          <w:p>
            <w:pPr>
              <w:jc w:val="right"/>
              <w:ind w:right="103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480,202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432,628</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8"/>
                <w:szCs w:val="18"/>
                <w:color w:val="auto"/>
              </w:rPr>
              <w:t>Reported As:</w:t>
            </w: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vMerge w:val="continue"/>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Current</w:t>
            </w:r>
          </w:p>
        </w:tc>
        <w:tc>
          <w:tcPr>
            <w:tcW w:w="1240" w:type="dxa"/>
            <w:vAlign w:val="bottom"/>
            <w:tcBorders>
              <w:bottom w:val="single" w:sz="8" w:color="CCEEFF"/>
            </w:tcBorders>
            <w:shd w:val="clear" w:color="auto" w:fill="CCEEFF"/>
          </w:tcPr>
          <w:p>
            <w:pPr>
              <w:jc w:val="right"/>
              <w:ind w:right="103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321,359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293,664</w:t>
            </w:r>
          </w:p>
        </w:tc>
        <w:tc>
          <w:tcPr>
            <w:tcW w:w="0" w:type="dxa"/>
            <w:vAlign w:val="bottom"/>
          </w:tcPr>
          <w:p>
            <w:pPr>
              <w:spacing w:after="0"/>
              <w:rPr>
                <w:sz w:val="1"/>
                <w:szCs w:val="1"/>
                <w:color w:val="auto"/>
              </w:rPr>
            </w:pP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Non-current</w:t>
            </w:r>
          </w:p>
        </w:tc>
        <w:tc>
          <w:tcPr>
            <w:tcW w:w="12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158,843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138,964</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revenue</w:t>
            </w:r>
          </w:p>
        </w:tc>
        <w:tc>
          <w:tcPr>
            <w:tcW w:w="1240" w:type="dxa"/>
            <w:vAlign w:val="bottom"/>
            <w:tcBorders>
              <w:bottom w:val="single" w:sz="8" w:color="auto"/>
            </w:tcBorders>
            <w:shd w:val="clear" w:color="auto" w:fill="CCEEFF"/>
          </w:tcPr>
          <w:p>
            <w:pPr>
              <w:jc w:val="right"/>
              <w:ind w:right="103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480,202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432,628</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future principal contractual obligations as of June 30, 2014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332"/>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(remainder)</w:t>
            </w:r>
          </w:p>
        </w:tc>
        <w:tc>
          <w:tcPr>
            <w:tcW w:w="26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1"/>
              <w:spacing w:after="0"/>
              <w:rPr>
                <w:sz w:val="20"/>
                <w:szCs w:val="20"/>
                <w:color w:val="auto"/>
              </w:rPr>
            </w:pPr>
            <w:r>
              <w:rPr>
                <w:rFonts w:ascii="Arial" w:cs="Arial" w:eastAsia="Arial" w:hAnsi="Arial"/>
                <w:sz w:val="16"/>
                <w:szCs w:val="16"/>
                <w:b w:val="1"/>
                <w:bCs w:val="1"/>
                <w:color w:val="auto"/>
                <w:w w:val="97"/>
              </w:rPr>
              <w:t>Thereafter</w:t>
            </w:r>
          </w:p>
        </w:tc>
      </w:tr>
      <w:tr>
        <w:trPr>
          <w:trHeight w:val="33"/>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commitments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34,431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6,436</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Less: Sublease rental income</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Operating lease commitments—net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6,436</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Purchase commitments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46,379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46,379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contractual commitments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15,987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12,131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2740" w:type="dxa"/>
            <w:vAlign w:val="bottom"/>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95,921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63,011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10,059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6,863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5,586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3,966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6,436</w:t>
            </w:r>
          </w:p>
        </w:tc>
      </w:tr>
      <w:tr>
        <w:trPr>
          <w:trHeight w:val="20"/>
        </w:trPr>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60" w:firstLine="648"/>
        <w:spacing w:after="0" w:line="261" w:lineRule="auto"/>
        <w:rPr>
          <w:sz w:val="20"/>
          <w:szCs w:val="20"/>
          <w:color w:val="auto"/>
        </w:rPr>
      </w:pPr>
      <w:r>
        <w:rPr>
          <w:rFonts w:ascii="Arial" w:cs="Arial" w:eastAsia="Arial" w:hAnsi="Arial"/>
          <w:sz w:val="18"/>
          <w:szCs w:val="18"/>
          <w:b w:val="1"/>
          <w:bCs w:val="1"/>
          <w:color w:val="auto"/>
        </w:rPr>
        <w:t>Operating Leases</w:t>
      </w:r>
      <w:r>
        <w:rPr>
          <w:rFonts w:ascii="Arial" w:cs="Arial" w:eastAsia="Arial" w:hAnsi="Arial"/>
          <w:sz w:val="18"/>
          <w:szCs w:val="18"/>
          <w:color w:val="auto"/>
        </w:rPr>
        <w:t>—We lease certain facilities under various non-cancelable operating leases, which expire through 2020. The terms of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leases provide for renewal options. Rent expense is recognized using the straight-line method over the term of the lease. Rent expense was $2.4 million during the three months ended June 30, 2014 and June 30, 2013. Rent expense was $5.1 million and $4.7 million during the six months ended June 30, 2014 and June 30, 2013, respectively.</w:t>
      </w:r>
    </w:p>
    <w:p>
      <w:pPr>
        <w:spacing w:after="0" w:line="180" w:lineRule="exact"/>
        <w:rPr>
          <w:sz w:val="20"/>
          <w:szCs w:val="20"/>
          <w:color w:val="auto"/>
        </w:rPr>
      </w:pPr>
    </w:p>
    <w:p>
      <w:pPr>
        <w:ind w:right="80" w:firstLine="648"/>
        <w:spacing w:after="0" w:line="298" w:lineRule="auto"/>
        <w:rPr>
          <w:sz w:val="20"/>
          <w:szCs w:val="20"/>
          <w:color w:val="auto"/>
        </w:rPr>
      </w:pPr>
      <w:r>
        <w:rPr>
          <w:rFonts w:ascii="Arial" w:cs="Arial" w:eastAsia="Arial" w:hAnsi="Arial"/>
          <w:sz w:val="16"/>
          <w:szCs w:val="16"/>
          <w:b w:val="1"/>
          <w:bCs w:val="1"/>
          <w:color w:val="auto"/>
        </w:rPr>
        <w:t>Purchase Commitments and Other Contractual Commitments</w:t>
      </w:r>
      <w:r>
        <w:rPr>
          <w:rFonts w:ascii="Arial" w:cs="Arial" w:eastAsia="Arial" w:hAnsi="Arial"/>
          <w:sz w:val="16"/>
          <w:szCs w:val="16"/>
          <w:color w:val="auto"/>
        </w:rPr>
        <w:t>—Our independent contract manufacturers procure components and build our</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based on our forecasts. These forecasts are based on estimates of future demand for our products, which are in turn based on historical trends and an analysis from our sales and marketing organizations, adjusted for overall market conditions. In order to reduce manufacturing lead times and plan for adequate component supply, we may issue purchase orders to some of our independent contract manufacturers which may not be cancelable. As of June 30, 2014, we had $46.4 million of open purchase orders with our independent contract manufacturers that may not be cancelable.</w:t>
      </w:r>
    </w:p>
    <w:p>
      <w:pPr>
        <w:spacing w:after="0" w:line="131" w:lineRule="exact"/>
        <w:rPr>
          <w:sz w:val="20"/>
          <w:szCs w:val="20"/>
          <w:color w:val="auto"/>
        </w:rPr>
      </w:pPr>
    </w:p>
    <w:p>
      <w:pPr>
        <w:ind w:right="640" w:firstLine="648"/>
        <w:spacing w:after="0" w:line="342" w:lineRule="auto"/>
        <w:rPr>
          <w:sz w:val="20"/>
          <w:szCs w:val="20"/>
          <w:color w:val="auto"/>
        </w:rPr>
      </w:pPr>
      <w:r>
        <w:rPr>
          <w:rFonts w:ascii="Arial" w:cs="Arial" w:eastAsia="Arial" w:hAnsi="Arial"/>
          <w:sz w:val="16"/>
          <w:szCs w:val="16"/>
          <w:color w:val="auto"/>
        </w:rPr>
        <w:t>In addition to commitments with contract manufacturers, we have open purchase orders and contractual obligations in the ordinary course of business for which we have not received goods or services. As of June 30, 2014, we had $16.0 million in other purchase commitments.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Warranties</w:t>
      </w:r>
      <w:r>
        <w:rPr>
          <w:rFonts w:ascii="Arial" w:cs="Arial" w:eastAsia="Arial" w:hAnsi="Arial"/>
          <w:sz w:val="18"/>
          <w:szCs w:val="18"/>
          <w:color w:val="auto"/>
        </w:rPr>
        <w:t>—Accrued warranty activities are summarized as follows (in thousands):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w w:val="95"/>
              </w:rPr>
              <w:t>Six Months Ended</w:t>
            </w:r>
          </w:p>
        </w:tc>
        <w:tc>
          <w:tcPr>
            <w:tcW w:w="130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7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ind w:right="613"/>
              <w:spacing w:after="0"/>
              <w:rPr>
                <w:sz w:val="20"/>
                <w:szCs w:val="20"/>
                <w:color w:val="auto"/>
              </w:rPr>
            </w:pPr>
            <w:r>
              <w:rPr>
                <w:rFonts w:ascii="Arial" w:cs="Arial" w:eastAsia="Arial" w:hAnsi="Arial"/>
                <w:sz w:val="16"/>
                <w:szCs w:val="16"/>
                <w:b w:val="1"/>
                <w:bCs w:val="1"/>
                <w:color w:val="auto"/>
                <w:w w:val="90"/>
              </w:rPr>
              <w:t>June 30,</w:t>
            </w:r>
          </w:p>
        </w:tc>
      </w:tr>
      <w:tr>
        <w:trPr>
          <w:trHeight w:val="210"/>
        </w:trPr>
        <w:tc>
          <w:tcPr>
            <w:tcW w:w="7440" w:type="dxa"/>
            <w:vAlign w:val="bottom"/>
          </w:tcPr>
          <w:p>
            <w:pPr>
              <w:spacing w:after="0"/>
              <w:rPr>
                <w:sz w:val="18"/>
                <w:szCs w:val="18"/>
                <w:color w:val="auto"/>
              </w:rPr>
            </w:pPr>
          </w:p>
        </w:tc>
        <w:tc>
          <w:tcPr>
            <w:tcW w:w="1300" w:type="dxa"/>
            <w:vAlign w:val="bottom"/>
          </w:tcPr>
          <w:p>
            <w:pPr>
              <w:jc w:val="right"/>
              <w:ind w:right="74"/>
              <w:spacing w:after="0"/>
              <w:rPr>
                <w:sz w:val="20"/>
                <w:szCs w:val="20"/>
                <w:color w:val="auto"/>
              </w:rPr>
            </w:pPr>
            <w:r>
              <w:rPr>
                <w:rFonts w:ascii="Arial" w:cs="Arial" w:eastAsia="Arial" w:hAnsi="Arial"/>
                <w:sz w:val="16"/>
                <w:szCs w:val="16"/>
                <w:b w:val="1"/>
                <w:bCs w:val="1"/>
                <w:color w:val="auto"/>
              </w:rPr>
              <w:t>2014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ind w:right="713"/>
              <w:spacing w:after="0"/>
              <w:rPr>
                <w:sz w:val="20"/>
                <w:szCs w:val="20"/>
                <w:color w:val="auto"/>
              </w:rPr>
            </w:pPr>
            <w:r>
              <w:rPr>
                <w:rFonts w:ascii="Arial" w:cs="Arial" w:eastAsia="Arial" w:hAnsi="Arial"/>
                <w:sz w:val="16"/>
                <w:szCs w:val="16"/>
                <w:b w:val="1"/>
                <w:bCs w:val="1"/>
                <w:color w:val="auto"/>
              </w:rPr>
              <w:t>2013</w:t>
            </w:r>
          </w:p>
        </w:tc>
      </w:tr>
      <w:tr>
        <w:trPr>
          <w:trHeight w:val="33"/>
        </w:trPr>
        <w:tc>
          <w:tcPr>
            <w:tcW w:w="74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warranty balance—beginning of the period</w:t>
            </w:r>
          </w:p>
        </w:tc>
        <w:tc>
          <w:tcPr>
            <w:tcW w:w="1300" w:type="dxa"/>
            <w:vAlign w:val="bottom"/>
            <w:tcBorders>
              <w:bottom w:val="single" w:sz="8" w:color="CCEEFF"/>
            </w:tcBorders>
            <w:shd w:val="clear" w:color="auto" w:fill="CCEEFF"/>
          </w:tcPr>
          <w:p>
            <w:pPr>
              <w:jc w:val="right"/>
              <w:ind w:right="109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2,309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Warranty costs incurred</w:t>
            </w:r>
          </w:p>
        </w:tc>
        <w:tc>
          <w:tcPr>
            <w:tcW w:w="13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(1,728)</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(1,744)</w:t>
            </w:r>
          </w:p>
        </w:tc>
      </w:tr>
      <w:tr>
        <w:trPr>
          <w:trHeight w:val="27"/>
        </w:trPr>
        <w:tc>
          <w:tcPr>
            <w:tcW w:w="7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warranty for the period</w:t>
            </w: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Adjustment related to pre-existing warranties</w:t>
            </w:r>
          </w:p>
        </w:tc>
        <w:tc>
          <w:tcPr>
            <w:tcW w:w="13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208</w:t>
            </w:r>
          </w:p>
        </w:tc>
      </w:tr>
      <w:tr>
        <w:trPr>
          <w:trHeight w:val="27"/>
        </w:trPr>
        <w:tc>
          <w:tcPr>
            <w:tcW w:w="74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warranty balance—end of the period</w:t>
            </w:r>
          </w:p>
        </w:tc>
        <w:tc>
          <w:tcPr>
            <w:tcW w:w="1300" w:type="dxa"/>
            <w:vAlign w:val="bottom"/>
            <w:tcBorders>
              <w:bottom w:val="single" w:sz="8" w:color="auto"/>
            </w:tcBorders>
            <w:shd w:val="clear" w:color="auto" w:fill="CCEEFF"/>
          </w:tcPr>
          <w:p>
            <w:pPr>
              <w:jc w:val="right"/>
              <w:ind w:right="109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3,454</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2,977</w:t>
            </w:r>
          </w:p>
        </w:tc>
      </w:tr>
      <w:tr>
        <w:trPr>
          <w:trHeight w:val="20"/>
        </w:trPr>
        <w:tc>
          <w:tcPr>
            <w:tcW w:w="74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b w:val="1"/>
          <w:bCs w:val="1"/>
          <w:color w:val="auto"/>
        </w:rPr>
        <w:t>Litigation</w:t>
      </w:r>
      <w:r>
        <w:rPr>
          <w:rFonts w:ascii="Arial" w:cs="Arial" w:eastAsia="Arial" w:hAnsi="Arial"/>
          <w:sz w:val="16"/>
          <w:szCs w:val="16"/>
          <w:color w:val="auto"/>
        </w:rPr>
        <w:t>—We are involved in disputes, litigation, and other legal actions. For lawsuits where we are the defendant, we are in the process of</w:t>
      </w:r>
      <w:r>
        <w:rPr>
          <w:rFonts w:ascii="Arial" w:cs="Arial" w:eastAsia="Arial" w:hAnsi="Arial"/>
          <w:sz w:val="16"/>
          <w:szCs w:val="16"/>
          <w:b w:val="1"/>
          <w:bCs w:val="1"/>
          <w:color w:val="auto"/>
        </w:rPr>
        <w:t xml:space="preserve"> </w:t>
      </w:r>
      <w:r>
        <w:rPr>
          <w:rFonts w:ascii="Arial" w:cs="Arial" w:eastAsia="Arial" w:hAnsi="Arial"/>
          <w:sz w:val="16"/>
          <w:szCs w:val="16"/>
          <w:color w:val="auto"/>
        </w:rPr>
        <w:t>defending these litigation matters, and while there can be no assurances and the outcome of these matters is currently not determinable, we currently believe that there are no existing claims or proceedings that are likely to have a material adverse effect on our financial position. There are many uncertainties associated with any litigation and these actions or other third-party claims against us may cause us to incur costly litigation or substantial settlement charges. In addition, the resolution of any intellectual property litigation may require us to make royalty payments, which could adversely affect our gross margins in future periods. If any of those events were to occur, our business, financial condition, results of operations, and cash flows could be adversely affected. The actual liability in any such matters may be materially different from our estimates, if any, which could result in the need to adjust the liability and record additional expenses. We have not recorded any material accrual for loss contingencies associated with such legal proceedings; determined that an unfavorable outcome is probable or reasonably possible; or determined that the amount or range of any possible loss is reasonably estimable.</w:t>
      </w:r>
    </w:p>
    <w:p>
      <w:pPr>
        <w:spacing w:after="0" w:line="160"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—Under the indemnification provisions of our standard sales contracts, we agree to defend our customers against third-party claims</w:t>
      </w:r>
      <w:r>
        <w:rPr>
          <w:rFonts w:ascii="Arial" w:cs="Arial" w:eastAsia="Arial" w:hAnsi="Arial"/>
          <w:sz w:val="18"/>
          <w:szCs w:val="18"/>
          <w:b w:val="1"/>
          <w:bCs w:val="1"/>
          <w:color w:val="auto"/>
        </w:rPr>
        <w:t xml:space="preserve"> </w:t>
      </w:r>
      <w:r>
        <w:rPr>
          <w:rFonts w:ascii="Arial" w:cs="Arial" w:eastAsia="Arial" w:hAnsi="Arial"/>
          <w:sz w:val="18"/>
          <w:szCs w:val="18"/>
          <w:color w:val="auto"/>
        </w:rPr>
        <w:t>asserting infringement of certain intellectual property rights, which may include patents, copyrights, trademarks, or trade secrets, and to pay judgments entered on such claims. Our exposure under these indemnification provisions is generally limited by the terms of our contracts to the total amount paid by our customer under the agreement. However, certain agreements include indemnification provisions beyond indemnification for third-party claims of intellectual property infringement and that could potentially expose us to losses in excess of the amount received under the agreement. To date, there have been no awards under such indemnification provisions.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2009 Equity Incentive Plan (“Plan”) permits us to grant awards of stock options, stock appreciation rights, restricted stock, restricted stock units, and performance units or performance shares.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Options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weighted-average assumptions relating to our employee stock options for the periods presented below:</w:t>
      </w:r>
    </w:p>
    <w:p>
      <w:pPr>
        <w:spacing w:after="0" w:line="38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300" w:type="dxa"/>
            <w:vAlign w:val="bottom"/>
          </w:tcPr>
          <w:p>
            <w:pPr>
              <w:spacing w:after="0"/>
              <w:rPr>
                <w:sz w:val="18"/>
                <w:szCs w:val="18"/>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Three Months Ended</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92"/>
              </w:rPr>
              <w:t>Six Months Ended</w:t>
            </w:r>
          </w:p>
        </w:tc>
      </w:tr>
      <w:tr>
        <w:trPr>
          <w:trHeight w:val="33"/>
        </w:trPr>
        <w:tc>
          <w:tcPr>
            <w:tcW w:w="73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09"/>
        </w:trPr>
        <w:tc>
          <w:tcPr>
            <w:tcW w:w="7300" w:type="dxa"/>
            <w:vAlign w:val="bottom"/>
          </w:tcPr>
          <w:p>
            <w:pPr>
              <w:spacing w:after="0"/>
              <w:rPr>
                <w:sz w:val="18"/>
                <w:szCs w:val="18"/>
                <w:color w:val="auto"/>
              </w:rPr>
            </w:pPr>
          </w:p>
        </w:tc>
        <w:tc>
          <w:tcPr>
            <w:tcW w:w="21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June 30,</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90"/>
              </w:rPr>
              <w:t>June 30,</w:t>
            </w:r>
          </w:p>
        </w:tc>
      </w:tr>
      <w:tr>
        <w:trPr>
          <w:trHeight w:val="210"/>
        </w:trPr>
        <w:tc>
          <w:tcPr>
            <w:tcW w:w="730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6"/>
                <w:szCs w:val="16"/>
                <w:b w:val="1"/>
                <w:bCs w:val="1"/>
                <w:color w:val="auto"/>
                <w:w w:val="89"/>
              </w:rPr>
              <w:t>2014</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89"/>
              </w:rPr>
              <w:t>2014</w:t>
            </w:r>
          </w:p>
        </w:tc>
      </w:tr>
      <w:tr>
        <w:trPr>
          <w:trHeight w:val="33"/>
        </w:trPr>
        <w:tc>
          <w:tcPr>
            <w:tcW w:w="73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Expected term in years</w:t>
            </w:r>
          </w:p>
        </w:tc>
        <w:tc>
          <w:tcPr>
            <w:tcW w:w="20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4.9</w:t>
            </w:r>
          </w:p>
        </w:tc>
      </w:tr>
      <w:tr>
        <w:trPr>
          <w:trHeight w:val="243"/>
        </w:trPr>
        <w:tc>
          <w:tcPr>
            <w:tcW w:w="7300" w:type="dxa"/>
            <w:vAlign w:val="bottom"/>
          </w:tcPr>
          <w:p>
            <w:pPr>
              <w:ind w:left="480"/>
              <w:spacing w:after="0"/>
              <w:rPr>
                <w:sz w:val="20"/>
                <w:szCs w:val="20"/>
                <w:color w:val="auto"/>
              </w:rPr>
            </w:pPr>
            <w:r>
              <w:rPr>
                <w:rFonts w:ascii="Arial" w:cs="Arial" w:eastAsia="Arial" w:hAnsi="Arial"/>
                <w:sz w:val="18"/>
                <w:szCs w:val="18"/>
                <w:color w:val="auto"/>
              </w:rPr>
              <w:t>Volatility</w:t>
            </w:r>
          </w:p>
        </w:tc>
        <w:tc>
          <w:tcPr>
            <w:tcW w:w="200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1980" w:type="dxa"/>
            <w:vAlign w:val="bottom"/>
          </w:tcPr>
          <w:p>
            <w:pPr>
              <w:jc w:val="right"/>
              <w:ind w:right="94"/>
              <w:spacing w:after="0"/>
              <w:rPr>
                <w:sz w:val="20"/>
                <w:szCs w:val="20"/>
                <w:color w:val="auto"/>
              </w:rPr>
            </w:pPr>
            <w:r>
              <w:rPr>
                <w:rFonts w:ascii="Arial" w:cs="Arial" w:eastAsia="Arial" w:hAnsi="Arial"/>
                <w:sz w:val="18"/>
                <w:szCs w:val="18"/>
                <w:color w:val="auto"/>
              </w:rPr>
              <w:t>43.3% - 44.5%</w:t>
            </w:r>
          </w:p>
        </w:tc>
      </w:tr>
      <w:tr>
        <w:trPr>
          <w:trHeight w:val="27"/>
        </w:trPr>
        <w:tc>
          <w:tcPr>
            <w:tcW w:w="7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Risk-free interest rate</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7300" w:type="dxa"/>
            <w:vAlign w:val="bottom"/>
          </w:tcPr>
          <w:p>
            <w:pPr>
              <w:ind w:left="480"/>
              <w:spacing w:after="0"/>
              <w:rPr>
                <w:sz w:val="20"/>
                <w:szCs w:val="20"/>
                <w:color w:val="auto"/>
              </w:rPr>
            </w:pPr>
            <w:r>
              <w:rPr>
                <w:rFonts w:ascii="Arial" w:cs="Arial" w:eastAsia="Arial" w:hAnsi="Arial"/>
                <w:sz w:val="18"/>
                <w:szCs w:val="18"/>
                <w:color w:val="auto"/>
              </w:rPr>
              <w:t>Dividend rate</w:t>
            </w:r>
          </w:p>
        </w:tc>
        <w:tc>
          <w:tcPr>
            <w:tcW w:w="2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94"/>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stock options granted during the three and six months ended June 30, 2013.</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 summarizes the stock option activity and related information for the periods presented below (in thousands, except exercise prices and contractual life):</w:t>
      </w:r>
    </w:p>
    <w:p>
      <w:pPr>
        <w:sectPr>
          <w:pgSz w:w="11900" w:h="16838" w:orient="portrait"/>
          <w:cols w:equalWidth="0" w:num="1">
            <w:col w:w="11420"/>
          </w:cols>
          <w:pgMar w:left="240" w:top="125"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4"/>
          </w:tcPr>
          <w:p>
            <w:pPr>
              <w:ind w:left="380"/>
              <w:spacing w:after="0"/>
              <w:rPr>
                <w:sz w:val="20"/>
                <w:szCs w:val="20"/>
                <w:color w:val="auto"/>
              </w:rPr>
            </w:pPr>
            <w:r>
              <w:rPr>
                <w:rFonts w:ascii="Arial" w:cs="Arial" w:eastAsia="Arial" w:hAnsi="Arial"/>
                <w:sz w:val="16"/>
                <w:szCs w:val="16"/>
                <w:b w:val="1"/>
                <w:bCs w:val="1"/>
                <w:color w:val="auto"/>
              </w:rPr>
              <w:t>Options Outstanding</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62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6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3"/>
        </w:trPr>
        <w:tc>
          <w:tcPr>
            <w:tcW w:w="6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Weighted-</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Average</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6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Average</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Remaining</w:t>
            </w:r>
          </w:p>
        </w:tc>
        <w:tc>
          <w:tcPr>
            <w:tcW w:w="160" w:type="dxa"/>
            <w:vAlign w:val="bottom"/>
          </w:tcPr>
          <w:p>
            <w:pPr>
              <w:spacing w:after="0"/>
              <w:rPr>
                <w:sz w:val="17"/>
                <w:szCs w:val="17"/>
                <w:color w:val="auto"/>
              </w:rPr>
            </w:pPr>
          </w:p>
        </w:tc>
        <w:tc>
          <w:tcPr>
            <w:tcW w:w="980" w:type="dxa"/>
            <w:vAlign w:val="bottom"/>
          </w:tcPr>
          <w:p>
            <w:pPr>
              <w:jc w:val="center"/>
              <w:ind w:right="75"/>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628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Exercise</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Contractual</w:t>
            </w:r>
          </w:p>
        </w:tc>
        <w:tc>
          <w:tcPr>
            <w:tcW w:w="160" w:type="dxa"/>
            <w:vAlign w:val="bottom"/>
          </w:tcPr>
          <w:p>
            <w:pPr>
              <w:spacing w:after="0"/>
              <w:rPr>
                <w:sz w:val="17"/>
                <w:szCs w:val="17"/>
                <w:color w:val="auto"/>
              </w:rPr>
            </w:pPr>
          </w:p>
        </w:tc>
        <w:tc>
          <w:tcPr>
            <w:tcW w:w="980" w:type="dxa"/>
            <w:vAlign w:val="bottom"/>
          </w:tcPr>
          <w:p>
            <w:pPr>
              <w:jc w:val="center"/>
              <w:ind w:right="95"/>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628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of Shares</w:t>
            </w:r>
          </w:p>
        </w:tc>
        <w:tc>
          <w:tcPr>
            <w:tcW w:w="2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Price</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Life (Years)</w:t>
            </w:r>
          </w:p>
        </w:tc>
        <w:tc>
          <w:tcPr>
            <w:tcW w:w="160" w:type="dxa"/>
            <w:vAlign w:val="bottom"/>
          </w:tcPr>
          <w:p>
            <w:pPr>
              <w:spacing w:after="0"/>
              <w:rPr>
                <w:sz w:val="18"/>
                <w:szCs w:val="18"/>
                <w:color w:val="auto"/>
              </w:rPr>
            </w:pPr>
          </w:p>
        </w:tc>
        <w:tc>
          <w:tcPr>
            <w:tcW w:w="980" w:type="dxa"/>
            <w:vAlign w:val="bottom"/>
          </w:tcPr>
          <w:p>
            <w:pPr>
              <w:jc w:val="center"/>
              <w:ind w:right="75"/>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62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2013</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21.36</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23.84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Exercised</w:t>
            </w:r>
          </w:p>
        </w:tc>
        <w:tc>
          <w:tcPr>
            <w:tcW w:w="1140" w:type="dxa"/>
            <w:vAlign w:val="bottom"/>
          </w:tcPr>
          <w:p>
            <w:pPr>
              <w:jc w:val="right"/>
              <w:spacing w:after="0"/>
              <w:rPr>
                <w:sz w:val="20"/>
                <w:szCs w:val="20"/>
                <w:color w:val="auto"/>
              </w:rPr>
            </w:pPr>
            <w:r>
              <w:rPr>
                <w:rFonts w:ascii="Arial" w:cs="Arial" w:eastAsia="Arial" w:hAnsi="Arial"/>
                <w:sz w:val="18"/>
                <w:szCs w:val="18"/>
                <w:color w:val="auto"/>
              </w:rPr>
              <w:t>(2,082)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Balance—June 30, 2014</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13,373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0"/>
        </w:trPr>
        <w:tc>
          <w:tcPr>
            <w:tcW w:w="6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91"/>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vested and expected to vest—June 30, 2014</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13,337</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13.98</w:t>
            </w: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152,067</w:t>
            </w:r>
          </w:p>
        </w:tc>
      </w:tr>
      <w:tr>
        <w:trPr>
          <w:trHeight w:val="251"/>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exercisable—June 30, 2014</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10,952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11.97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146,189</w:t>
            </w:r>
          </w:p>
        </w:tc>
      </w:tr>
      <w:tr>
        <w:trPr>
          <w:trHeight w:val="20"/>
        </w:trPr>
        <w:tc>
          <w:tcPr>
            <w:tcW w:w="6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aggregate intrinsic value represents the pre-tax difference between the exercise price of stock options and the quoted market price of our common stock on June 30, 2014, for all in-the-money options. As of June 30, 2014, total compensation expense related to unvested stock options granted to employees but not yet recognized was $28.2 million, net of estimated forfeitures. This expense is expected to be amortized on a straight-line basis over a weighted-average period of 1.5 years.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our stock options is summarized below (in thousands, except per share amounts):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5"/>
          </w:tcPr>
          <w:p>
            <w:pPr>
              <w:ind w:left="46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2580" w:type="dxa"/>
            <w:vAlign w:val="bottom"/>
            <w:gridSpan w:val="4"/>
          </w:tcPr>
          <w:p>
            <w:pPr>
              <w:jc w:val="right"/>
              <w:ind w:right="674"/>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1120" w:type="dxa"/>
            <w:vAlign w:val="bottom"/>
          </w:tcPr>
          <w:p>
            <w:pPr>
              <w:jc w:val="right"/>
              <w:ind w:right="314"/>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454"/>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34"/>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34"/>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34"/>
              <w:spacing w:after="0"/>
              <w:rPr>
                <w:sz w:val="20"/>
                <w:szCs w:val="20"/>
                <w:color w:val="auto"/>
              </w:rPr>
            </w:pPr>
            <w:r>
              <w:rPr>
                <w:rFonts w:ascii="Arial" w:cs="Arial" w:eastAsia="Arial" w:hAnsi="Arial"/>
                <w:sz w:val="16"/>
                <w:szCs w:val="16"/>
                <w:b w:val="1"/>
                <w:bCs w:val="1"/>
                <w:color w:val="auto"/>
              </w:rPr>
              <w:t>2013</w:t>
            </w:r>
          </w:p>
        </w:tc>
      </w:tr>
      <w:tr>
        <w:trPr>
          <w:trHeight w:val="33"/>
        </w:trPr>
        <w:tc>
          <w:tcPr>
            <w:tcW w:w="5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fair value per share granted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Intrinsic value of options exercised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16,441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3,058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31,762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29,117</w:t>
            </w:r>
          </w:p>
        </w:tc>
      </w:tr>
      <w:tr>
        <w:trPr>
          <w:trHeight w:val="27"/>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options vested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4,209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5,486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8,771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16,489</w:t>
            </w:r>
          </w:p>
        </w:tc>
      </w:tr>
      <w:tr>
        <w:trPr>
          <w:trHeight w:val="27"/>
        </w:trPr>
        <w:tc>
          <w:tcPr>
            <w:tcW w:w="56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following table summarizes the activity and related information for RSUs for the periods presented below (in thousands, except per share amounts):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00" w:type="dxa"/>
            <w:vAlign w:val="bottom"/>
          </w:tcPr>
          <w:p>
            <w:pPr>
              <w:spacing w:after="0"/>
              <w:rPr>
                <w:sz w:val="18"/>
                <w:szCs w:val="18"/>
                <w:color w:val="auto"/>
              </w:rPr>
            </w:pPr>
          </w:p>
        </w:tc>
        <w:tc>
          <w:tcPr>
            <w:tcW w:w="3360" w:type="dxa"/>
            <w:vAlign w:val="bottom"/>
            <w:gridSpan w:val="3"/>
          </w:tcPr>
          <w:p>
            <w:pPr>
              <w:jc w:val="right"/>
              <w:ind w:right="34"/>
              <w:spacing w:after="0"/>
              <w:rPr>
                <w:sz w:val="20"/>
                <w:szCs w:val="20"/>
                <w:color w:val="auto"/>
              </w:rPr>
            </w:pPr>
            <w:r>
              <w:rPr>
                <w:rFonts w:ascii="Arial" w:cs="Arial" w:eastAsia="Arial" w:hAnsi="Arial"/>
                <w:sz w:val="16"/>
                <w:szCs w:val="16"/>
                <w:b w:val="1"/>
                <w:bCs w:val="1"/>
                <w:color w:val="auto"/>
              </w:rPr>
              <w:t>Restricted Stock Units Outstanding</w:t>
            </w:r>
          </w:p>
        </w:tc>
        <w:tc>
          <w:tcPr>
            <w:tcW w:w="640" w:type="dxa"/>
            <w:vAlign w:val="bottom"/>
          </w:tcPr>
          <w:p>
            <w:pPr>
              <w:spacing w:after="0"/>
              <w:rPr>
                <w:sz w:val="18"/>
                <w:szCs w:val="18"/>
                <w:color w:val="auto"/>
              </w:rPr>
            </w:pPr>
          </w:p>
        </w:tc>
      </w:tr>
      <w:tr>
        <w:trPr>
          <w:trHeight w:val="33"/>
        </w:trPr>
        <w:tc>
          <w:tcPr>
            <w:tcW w:w="740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r>
      <w:tr>
        <w:trPr>
          <w:trHeight w:val="209"/>
        </w:trPr>
        <w:tc>
          <w:tcPr>
            <w:tcW w:w="74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Weighted-Average Grant-</w:t>
            </w:r>
          </w:p>
        </w:tc>
      </w:tr>
      <w:tr>
        <w:trPr>
          <w:trHeight w:val="210"/>
        </w:trPr>
        <w:tc>
          <w:tcPr>
            <w:tcW w:w="7400" w:type="dxa"/>
            <w:vAlign w:val="bottom"/>
          </w:tcPr>
          <w:p>
            <w:pPr>
              <w:spacing w:after="0"/>
              <w:rPr>
                <w:sz w:val="18"/>
                <w:szCs w:val="18"/>
                <w:color w:val="auto"/>
              </w:rPr>
            </w:pPr>
          </w:p>
        </w:tc>
        <w:tc>
          <w:tcPr>
            <w:tcW w:w="2060" w:type="dxa"/>
            <w:vAlign w:val="bottom"/>
            <w:gridSpan w:val="2"/>
          </w:tcPr>
          <w:p>
            <w:pPr>
              <w:ind w:left="360"/>
              <w:spacing w:after="0"/>
              <w:rPr>
                <w:sz w:val="20"/>
                <w:szCs w:val="20"/>
                <w:color w:val="auto"/>
              </w:rPr>
            </w:pPr>
            <w:r>
              <w:rPr>
                <w:rFonts w:ascii="Arial" w:cs="Arial" w:eastAsia="Arial" w:hAnsi="Arial"/>
                <w:sz w:val="16"/>
                <w:szCs w:val="16"/>
                <w:b w:val="1"/>
                <w:bCs w:val="1"/>
                <w:color w:val="auto"/>
              </w:rPr>
              <w:t>Number of Shares</w:t>
            </w:r>
          </w:p>
        </w:tc>
        <w:tc>
          <w:tcPr>
            <w:tcW w:w="194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Date-Fair Value per Share</w:t>
            </w:r>
          </w:p>
        </w:tc>
      </w:tr>
      <w:tr>
        <w:trPr>
          <w:trHeight w:val="33"/>
        </w:trPr>
        <w:tc>
          <w:tcPr>
            <w:tcW w:w="74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2013</w:t>
            </w:r>
          </w:p>
        </w:tc>
        <w:tc>
          <w:tcPr>
            <w:tcW w:w="1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4,199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9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22.00</w:t>
            </w:r>
          </w:p>
        </w:tc>
      </w:tr>
      <w:tr>
        <w:trPr>
          <w:trHeight w:val="243"/>
        </w:trPr>
        <w:tc>
          <w:tcPr>
            <w:tcW w:w="7400" w:type="dxa"/>
            <w:vAlign w:val="bottom"/>
          </w:tcPr>
          <w:p>
            <w:pPr>
              <w:ind w:left="500"/>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ind w:right="32"/>
              <w:spacing w:after="0"/>
              <w:rPr>
                <w:sz w:val="20"/>
                <w:szCs w:val="20"/>
                <w:color w:val="auto"/>
              </w:rPr>
            </w:pPr>
            <w:r>
              <w:rPr>
                <w:rFonts w:ascii="Arial" w:cs="Arial" w:eastAsia="Arial" w:hAnsi="Arial"/>
                <w:sz w:val="18"/>
                <w:szCs w:val="18"/>
                <w:color w:val="auto"/>
              </w:rPr>
              <w:t>2,222</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21.37</w:t>
            </w:r>
          </w:p>
        </w:tc>
      </w:tr>
      <w:tr>
        <w:trPr>
          <w:trHeight w:val="27"/>
        </w:trPr>
        <w:tc>
          <w:tcPr>
            <w:tcW w:w="74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21.81</w:t>
            </w:r>
          </w:p>
        </w:tc>
      </w:tr>
      <w:tr>
        <w:trPr>
          <w:trHeight w:val="243"/>
        </w:trPr>
        <w:tc>
          <w:tcPr>
            <w:tcW w:w="7400" w:type="dxa"/>
            <w:vAlign w:val="bottom"/>
          </w:tcPr>
          <w:p>
            <w:pPr>
              <w:ind w:left="500"/>
              <w:spacing w:after="0"/>
              <w:rPr>
                <w:sz w:val="20"/>
                <w:szCs w:val="20"/>
                <w:color w:val="auto"/>
              </w:rPr>
            </w:pPr>
            <w:r>
              <w:rPr>
                <w:rFonts w:ascii="Arial" w:cs="Arial" w:eastAsia="Arial" w:hAnsi="Arial"/>
                <w:sz w:val="18"/>
                <w:szCs w:val="18"/>
                <w:color w:val="auto"/>
              </w:rPr>
              <w:t>Vested</w:t>
            </w:r>
          </w:p>
        </w:tc>
        <w:tc>
          <w:tcPr>
            <w:tcW w:w="196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22.55</w:t>
            </w:r>
          </w:p>
        </w:tc>
      </w:tr>
      <w:tr>
        <w:trPr>
          <w:trHeight w:val="27"/>
        </w:trPr>
        <w:tc>
          <w:tcPr>
            <w:tcW w:w="74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7"/>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Balance—June 30, 2014</w:t>
            </w:r>
          </w:p>
        </w:tc>
        <w:tc>
          <w:tcPr>
            <w:tcW w:w="1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5,393</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09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21.75</w:t>
            </w:r>
          </w:p>
        </w:tc>
      </w:tr>
      <w:tr>
        <w:trPr>
          <w:trHeight w:val="20"/>
        </w:trPr>
        <w:tc>
          <w:tcPr>
            <w:tcW w:w="74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51"/>
        </w:trPr>
        <w:tc>
          <w:tcPr>
            <w:tcW w:w="7400" w:type="dxa"/>
            <w:vAlign w:val="bottom"/>
          </w:tcPr>
          <w:p>
            <w:pPr>
              <w:ind w:left="40"/>
              <w:spacing w:after="0"/>
              <w:rPr>
                <w:sz w:val="20"/>
                <w:szCs w:val="20"/>
                <w:color w:val="auto"/>
              </w:rPr>
            </w:pPr>
            <w:r>
              <w:rPr>
                <w:rFonts w:ascii="Arial" w:cs="Arial" w:eastAsia="Arial" w:hAnsi="Arial"/>
                <w:sz w:val="18"/>
                <w:szCs w:val="18"/>
                <w:color w:val="auto"/>
              </w:rPr>
              <w:t>RSUs expected to vest—June 30, 2014</w:t>
            </w:r>
          </w:p>
        </w:tc>
        <w:tc>
          <w:tcPr>
            <w:tcW w:w="1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5,094</w:t>
            </w:r>
          </w:p>
        </w:tc>
        <w:tc>
          <w:tcPr>
            <w:tcW w:w="100" w:type="dxa"/>
            <w:vAlign w:val="bottom"/>
          </w:tcPr>
          <w:p>
            <w:pPr>
              <w:spacing w:after="0"/>
              <w:rPr>
                <w:sz w:val="21"/>
                <w:szCs w:val="21"/>
                <w:color w:val="auto"/>
              </w:rPr>
            </w:pPr>
          </w:p>
        </w:tc>
        <w:tc>
          <w:tcPr>
            <w:tcW w:w="1300" w:type="dxa"/>
            <w:vAlign w:val="bottom"/>
            <w:tcBorders>
              <w:bottom w:val="single" w:sz="8" w:color="auto"/>
            </w:tcBorders>
          </w:tcPr>
          <w:p>
            <w:pPr>
              <w:jc w:val="right"/>
              <w:ind w:right="109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21.78</w:t>
            </w:r>
          </w:p>
        </w:tc>
      </w:tr>
      <w:tr>
        <w:trPr>
          <w:trHeight w:val="20"/>
        </w:trPr>
        <w:tc>
          <w:tcPr>
            <w:tcW w:w="74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As of June 30, 2014, total compensation expense related to unvested RSUs that were granted to employees and non-employees under the Plan, but not yet recognized, was $112.5 million, net of estimated forfeitures. This expense is expected to be amortized on a straight-line basis over a weighted-average vesting period of 3.0 years.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summarizes the number and value of the shares withheld for employee taxes (in thousands):</w:t>
      </w:r>
    </w:p>
    <w:p>
      <w:pPr>
        <w:sectPr>
          <w:pgSz w:w="11900" w:h="16838" w:orient="portrait"/>
          <w:cols w:equalWidth="0" w:num="1">
            <w:col w:w="11400"/>
          </w:cols>
          <w:pgMar w:left="240" w:top="12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00"/>
          </w:cols>
          <w:pgMar w:left="240" w:top="125" w:right="25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Three Months Ended</w:t>
            </w:r>
          </w:p>
        </w:tc>
        <w:tc>
          <w:tcPr>
            <w:tcW w:w="260" w:type="dxa"/>
            <w:vAlign w:val="bottom"/>
          </w:tcPr>
          <w:p>
            <w:pPr>
              <w:spacing w:after="0"/>
              <w:rPr>
                <w:sz w:val="18"/>
                <w:szCs w:val="18"/>
                <w:color w:val="auto"/>
              </w:rPr>
            </w:pPr>
          </w:p>
        </w:tc>
        <w:tc>
          <w:tcPr>
            <w:tcW w:w="1780" w:type="dxa"/>
            <w:vAlign w:val="bottom"/>
          </w:tcPr>
          <w:p>
            <w:pPr>
              <w:jc w:val="center"/>
              <w:ind w:right="175"/>
              <w:spacing w:after="0"/>
              <w:rPr>
                <w:sz w:val="20"/>
                <w:szCs w:val="20"/>
                <w:color w:val="auto"/>
              </w:rPr>
            </w:pPr>
            <w:r>
              <w:rPr>
                <w:rFonts w:ascii="Arial" w:cs="Arial" w:eastAsia="Arial" w:hAnsi="Arial"/>
                <w:sz w:val="16"/>
                <w:szCs w:val="16"/>
                <w:b w:val="1"/>
                <w:bCs w:val="1"/>
                <w:color w:val="auto"/>
                <w:w w:val="92"/>
              </w:rPr>
              <w:t>Six Months Ended</w:t>
            </w:r>
          </w:p>
        </w:tc>
      </w:tr>
      <w:tr>
        <w:trPr>
          <w:trHeight w:val="33"/>
        </w:trPr>
        <w:tc>
          <w:tcPr>
            <w:tcW w:w="7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9"/>
        </w:trPr>
        <w:tc>
          <w:tcPr>
            <w:tcW w:w="7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June 30,</w:t>
            </w:r>
          </w:p>
        </w:tc>
        <w:tc>
          <w:tcPr>
            <w:tcW w:w="260" w:type="dxa"/>
            <w:vAlign w:val="bottom"/>
          </w:tcPr>
          <w:p>
            <w:pPr>
              <w:spacing w:after="0"/>
              <w:rPr>
                <w:sz w:val="18"/>
                <w:szCs w:val="18"/>
                <w:color w:val="auto"/>
              </w:rPr>
            </w:pPr>
          </w:p>
        </w:tc>
        <w:tc>
          <w:tcPr>
            <w:tcW w:w="1780" w:type="dxa"/>
            <w:vAlign w:val="bottom"/>
          </w:tcPr>
          <w:p>
            <w:pPr>
              <w:jc w:val="center"/>
              <w:ind w:right="195"/>
              <w:spacing w:after="0"/>
              <w:rPr>
                <w:sz w:val="20"/>
                <w:szCs w:val="20"/>
                <w:color w:val="auto"/>
              </w:rPr>
            </w:pPr>
            <w:r>
              <w:rPr>
                <w:rFonts w:ascii="Arial" w:cs="Arial" w:eastAsia="Arial" w:hAnsi="Arial"/>
                <w:sz w:val="16"/>
                <w:szCs w:val="16"/>
                <w:b w:val="1"/>
                <w:bCs w:val="1"/>
                <w:color w:val="auto"/>
                <w:w w:val="90"/>
              </w:rPr>
              <w:t>June 30,</w:t>
            </w:r>
          </w:p>
        </w:tc>
      </w:tr>
      <w:tr>
        <w:trPr>
          <w:trHeight w:val="210"/>
        </w:trPr>
        <w:tc>
          <w:tcPr>
            <w:tcW w:w="7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center"/>
              <w:ind w:right="95"/>
              <w:spacing w:after="0"/>
              <w:rPr>
                <w:sz w:val="20"/>
                <w:szCs w:val="20"/>
                <w:color w:val="auto"/>
              </w:rPr>
            </w:pPr>
            <w:r>
              <w:rPr>
                <w:rFonts w:ascii="Arial" w:cs="Arial" w:eastAsia="Arial" w:hAnsi="Arial"/>
                <w:sz w:val="16"/>
                <w:szCs w:val="16"/>
                <w:b w:val="1"/>
                <w:bCs w:val="1"/>
                <w:color w:val="auto"/>
                <w:w w:val="89"/>
              </w:rPr>
              <w:t>2014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jc w:val="center"/>
              <w:ind w:right="175"/>
              <w:spacing w:after="0"/>
              <w:rPr>
                <w:sz w:val="20"/>
                <w:szCs w:val="20"/>
                <w:color w:val="auto"/>
              </w:rPr>
            </w:pPr>
            <w:r>
              <w:rPr>
                <w:rFonts w:ascii="Arial" w:cs="Arial" w:eastAsia="Arial" w:hAnsi="Arial"/>
                <w:sz w:val="16"/>
                <w:szCs w:val="16"/>
                <w:b w:val="1"/>
                <w:bCs w:val="1"/>
                <w:color w:val="auto"/>
                <w:w w:val="89"/>
              </w:rPr>
              <w:t>2014</w:t>
            </w:r>
          </w:p>
        </w:tc>
      </w:tr>
      <w:tr>
        <w:trPr>
          <w:trHeight w:val="33"/>
        </w:trPr>
        <w:tc>
          <w:tcPr>
            <w:tcW w:w="7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withheld for taxes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257</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Amount withheld for taxes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5"/>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5"/>
              <w:spacing w:after="0"/>
              <w:rPr>
                <w:sz w:val="20"/>
                <w:szCs w:val="20"/>
                <w:color w:val="auto"/>
              </w:rPr>
            </w:pPr>
            <w:r>
              <w:rPr>
                <w:rFonts w:ascii="Arial" w:cs="Arial" w:eastAsia="Arial" w:hAnsi="Arial"/>
                <w:sz w:val="18"/>
                <w:szCs w:val="18"/>
                <w:color w:val="auto"/>
              </w:rPr>
              <w:t>5,521</w:t>
            </w: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RSUs vested in the three and six months ended June 30, 2013.</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determining the fair value of our ESPP, we use the Black-Scholes option pricing model that employs the following weighted-average assumptions:</w:t>
      </w:r>
    </w:p>
    <w:p>
      <w:pPr>
        <w:spacing w:after="0" w:line="200" w:lineRule="exact"/>
        <w:rPr>
          <w:sz w:val="20"/>
          <w:szCs w:val="20"/>
          <w:color w:val="auto"/>
        </w:rPr>
      </w:pP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gridSpan w:val="6"/>
          </w:tcPr>
          <w:p>
            <w:pPr>
              <w:jc w:val="right"/>
              <w:ind w:right="733"/>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8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8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right"/>
              <w:ind w:right="560"/>
              <w:spacing w:after="0"/>
              <w:rPr>
                <w:sz w:val="20"/>
                <w:szCs w:val="20"/>
                <w:color w:val="auto"/>
              </w:rPr>
            </w:pPr>
            <w:r>
              <w:rPr>
                <w:rFonts w:ascii="Arial" w:cs="Arial" w:eastAsia="Arial" w:hAnsi="Arial"/>
                <w:sz w:val="16"/>
                <w:szCs w:val="16"/>
                <w:b w:val="1"/>
                <w:bCs w:val="1"/>
                <w:color w:val="auto"/>
                <w:w w:val="99"/>
              </w:rPr>
              <w:t>June 30,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53"/>
              <w:spacing w:after="0"/>
              <w:rPr>
                <w:sz w:val="20"/>
                <w:szCs w:val="20"/>
                <w:color w:val="auto"/>
              </w:rPr>
            </w:pPr>
            <w:r>
              <w:rPr>
                <w:rFonts w:ascii="Arial" w:cs="Arial" w:eastAsia="Arial" w:hAnsi="Arial"/>
                <w:sz w:val="16"/>
                <w:szCs w:val="16"/>
                <w:b w:val="1"/>
                <w:bCs w:val="1"/>
                <w:color w:val="auto"/>
              </w:rPr>
              <w:t>June 30,</w:t>
            </w:r>
          </w:p>
        </w:tc>
      </w:tr>
      <w:tr>
        <w:trPr>
          <w:trHeight w:val="210"/>
        </w:trPr>
        <w:tc>
          <w:tcPr>
            <w:tcW w:w="8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454"/>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213"/>
              <w:spacing w:after="0"/>
              <w:rPr>
                <w:sz w:val="20"/>
                <w:szCs w:val="20"/>
                <w:color w:val="auto"/>
              </w:rPr>
            </w:pPr>
            <w:r>
              <w:rPr>
                <w:rFonts w:ascii="Arial" w:cs="Arial" w:eastAsia="Arial" w:hAnsi="Arial"/>
                <w:sz w:val="16"/>
                <w:szCs w:val="16"/>
                <w:b w:val="1"/>
                <w:bCs w:val="1"/>
                <w:color w:val="auto"/>
                <w:w w:val="95"/>
              </w:rPr>
              <w:t>2013</w:t>
            </w:r>
          </w:p>
        </w:tc>
      </w:tr>
      <w:tr>
        <w:trPr>
          <w:trHeight w:val="33"/>
        </w:trPr>
        <w:tc>
          <w:tcPr>
            <w:tcW w:w="8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0.5</w:t>
            </w: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7"/>
        </w:trPr>
        <w:tc>
          <w:tcPr>
            <w:tcW w:w="8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Dividend rate</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459"/>
        </w:trPr>
        <w:tc>
          <w:tcPr>
            <w:tcW w:w="8420" w:type="dxa"/>
            <w:vAlign w:val="bottom"/>
          </w:tcPr>
          <w:p>
            <w:pPr>
              <w:ind w:left="640"/>
              <w:spacing w:after="0"/>
              <w:rPr>
                <w:sz w:val="20"/>
                <w:szCs w:val="20"/>
                <w:color w:val="auto"/>
              </w:rPr>
            </w:pPr>
            <w:r>
              <w:rPr>
                <w:rFonts w:ascii="Arial" w:cs="Arial" w:eastAsia="Arial" w:hAnsi="Arial"/>
                <w:sz w:val="18"/>
                <w:szCs w:val="18"/>
                <w:color w:val="auto"/>
                <w:w w:val="94"/>
              </w:rPr>
              <w:t>Additional information related to the ESPP is provided below (in thousands, except per share amounts):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88"/>
        </w:trPr>
        <w:tc>
          <w:tcPr>
            <w:tcW w:w="8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gridSpan w:val="6"/>
          </w:tcPr>
          <w:p>
            <w:pPr>
              <w:jc w:val="right"/>
              <w:ind w:right="673"/>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8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8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ind w:left="180"/>
              <w:spacing w:after="0"/>
              <w:rPr>
                <w:sz w:val="20"/>
                <w:szCs w:val="20"/>
                <w:color w:val="auto"/>
              </w:rPr>
            </w:pPr>
            <w:r>
              <w:rPr>
                <w:rFonts w:ascii="Arial" w:cs="Arial" w:eastAsia="Arial" w:hAnsi="Arial"/>
                <w:sz w:val="16"/>
                <w:szCs w:val="16"/>
                <w:b w:val="1"/>
                <w:bCs w:val="1"/>
                <w:color w:val="auto"/>
              </w:rPr>
              <w:t>June 30,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173"/>
              <w:spacing w:after="0"/>
              <w:rPr>
                <w:sz w:val="20"/>
                <w:szCs w:val="20"/>
                <w:color w:val="auto"/>
              </w:rPr>
            </w:pPr>
            <w:r>
              <w:rPr>
                <w:rFonts w:ascii="Arial" w:cs="Arial" w:eastAsia="Arial" w:hAnsi="Arial"/>
                <w:sz w:val="16"/>
                <w:szCs w:val="16"/>
                <w:b w:val="1"/>
                <w:bCs w:val="1"/>
                <w:color w:val="auto"/>
                <w:w w:val="90"/>
              </w:rPr>
              <w:t>June 30,</w:t>
            </w:r>
          </w:p>
        </w:tc>
      </w:tr>
      <w:tr>
        <w:trPr>
          <w:trHeight w:val="210"/>
        </w:trPr>
        <w:tc>
          <w:tcPr>
            <w:tcW w:w="8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54"/>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153"/>
              <w:spacing w:after="0"/>
              <w:rPr>
                <w:sz w:val="20"/>
                <w:szCs w:val="20"/>
                <w:color w:val="auto"/>
              </w:rPr>
            </w:pPr>
            <w:r>
              <w:rPr>
                <w:rFonts w:ascii="Arial" w:cs="Arial" w:eastAsia="Arial" w:hAnsi="Arial"/>
                <w:sz w:val="16"/>
                <w:szCs w:val="16"/>
                <w:b w:val="1"/>
                <w:bCs w:val="1"/>
                <w:color w:val="auto"/>
                <w:w w:val="89"/>
              </w:rPr>
              <w:t>2013</w:t>
            </w:r>
          </w:p>
        </w:tc>
      </w:tr>
      <w:tr>
        <w:trPr>
          <w:trHeight w:val="33"/>
        </w:trPr>
        <w:tc>
          <w:tcPr>
            <w:tcW w:w="84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fair value per share granted</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7.02</w:t>
            </w: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Shares issued under the ESPP</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329</w:t>
            </w:r>
          </w:p>
        </w:tc>
      </w:tr>
      <w:tr>
        <w:trPr>
          <w:trHeight w:val="27"/>
        </w:trPr>
        <w:tc>
          <w:tcPr>
            <w:tcW w:w="8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price per share issued</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19.91</w:t>
            </w:r>
          </w:p>
        </w:tc>
      </w:tr>
      <w:tr>
        <w:trPr>
          <w:trHeight w:val="27"/>
        </w:trPr>
        <w:tc>
          <w:tcPr>
            <w:tcW w:w="8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shares granted or issued under the ESPP during the three months ended June 30, 2014 and June 30, 2013.</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Stock-based compensation expense is included in costs and expenses as follows (in thousands):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5"/>
          </w:tcPr>
          <w:p>
            <w:pPr>
              <w:ind w:left="46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258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1120" w:type="dxa"/>
            <w:vAlign w:val="bottom"/>
          </w:tcPr>
          <w:p>
            <w:pPr>
              <w:jc w:val="right"/>
              <w:ind w:right="312"/>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453"/>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33"/>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2013</w:t>
            </w:r>
          </w:p>
        </w:tc>
      </w:tr>
      <w:tr>
        <w:trPr>
          <w:trHeight w:val="33"/>
        </w:trPr>
        <w:tc>
          <w:tcPr>
            <w:tcW w:w="5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Cost of product revenue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w:t>
            </w:r>
          </w:p>
        </w:tc>
      </w:tr>
      <w:tr>
        <w:trPr>
          <w:trHeight w:val="243"/>
        </w:trPr>
        <w:tc>
          <w:tcPr>
            <w:tcW w:w="5600" w:type="dxa"/>
            <w:vAlign w:val="bottom"/>
          </w:tcPr>
          <w:p>
            <w:pPr>
              <w:ind w:left="480"/>
              <w:spacing w:after="0"/>
              <w:rPr>
                <w:sz w:val="20"/>
                <w:szCs w:val="20"/>
                <w:color w:val="auto"/>
              </w:rPr>
            </w:pPr>
            <w:r>
              <w:rPr>
                <w:rFonts w:ascii="Arial" w:cs="Arial" w:eastAsia="Arial" w:hAnsi="Arial"/>
                <w:sz w:val="18"/>
                <w:szCs w:val="18"/>
                <w:color w:val="auto"/>
              </w:rPr>
              <w:t>Cost of services and other revenue</w:t>
            </w: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2,692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2,246</w:t>
            </w:r>
          </w:p>
        </w:tc>
      </w:tr>
      <w:tr>
        <w:trPr>
          <w:trHeight w:val="27"/>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6,057</w:t>
            </w:r>
          </w:p>
        </w:tc>
      </w:tr>
      <w:tr>
        <w:trPr>
          <w:trHeight w:val="243"/>
        </w:trPr>
        <w:tc>
          <w:tcPr>
            <w:tcW w:w="5600" w:type="dxa"/>
            <w:vAlign w:val="bottom"/>
          </w:tcPr>
          <w:p>
            <w:pPr>
              <w:ind w:left="48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5,747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4,594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11,493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8,712</w:t>
            </w:r>
          </w:p>
        </w:tc>
      </w:tr>
      <w:tr>
        <w:trPr>
          <w:trHeight w:val="27"/>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3,257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2,805</w:t>
            </w:r>
          </w:p>
        </w:tc>
      </w:tr>
      <w:tr>
        <w:trPr>
          <w:trHeight w:val="257"/>
        </w:trPr>
        <w:tc>
          <w:tcPr>
            <w:tcW w:w="5600" w:type="dxa"/>
            <w:vAlign w:val="bottom"/>
          </w:tcPr>
          <w:p>
            <w:pPr>
              <w:ind w:left="48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14,716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10,707</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27,646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20,006</w:t>
            </w:r>
          </w:p>
        </w:tc>
      </w:tr>
      <w:tr>
        <w:trPr>
          <w:trHeight w:val="20"/>
        </w:trPr>
        <w:tc>
          <w:tcPr>
            <w:tcW w:w="5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stock-based compensation expense by award type (in thousands):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5"/>
          </w:tcPr>
          <w:p>
            <w:pPr>
              <w:ind w:left="46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2580" w:type="dxa"/>
            <w:vAlign w:val="bottom"/>
            <w:gridSpan w:val="4"/>
          </w:tcPr>
          <w:p>
            <w:pPr>
              <w:jc w:val="right"/>
              <w:ind w:right="673"/>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1120" w:type="dxa"/>
            <w:vAlign w:val="bottom"/>
          </w:tcPr>
          <w:p>
            <w:pPr>
              <w:jc w:val="right"/>
              <w:ind w:right="313"/>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454"/>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33"/>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34"/>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33"/>
              <w:spacing w:after="0"/>
              <w:rPr>
                <w:sz w:val="20"/>
                <w:szCs w:val="20"/>
                <w:color w:val="auto"/>
              </w:rPr>
            </w:pPr>
            <w:r>
              <w:rPr>
                <w:rFonts w:ascii="Arial" w:cs="Arial" w:eastAsia="Arial" w:hAnsi="Arial"/>
                <w:sz w:val="16"/>
                <w:szCs w:val="16"/>
                <w:b w:val="1"/>
                <w:bCs w:val="1"/>
                <w:color w:val="auto"/>
              </w:rPr>
              <w:t>2013</w:t>
            </w:r>
          </w:p>
        </w:tc>
      </w:tr>
      <w:tr>
        <w:trPr>
          <w:trHeight w:val="33"/>
        </w:trPr>
        <w:tc>
          <w:tcPr>
            <w:tcW w:w="5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Stock options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10,622</w:t>
            </w:r>
          </w:p>
        </w:tc>
      </w:tr>
      <w:tr>
        <w:trPr>
          <w:trHeight w:val="243"/>
        </w:trPr>
        <w:tc>
          <w:tcPr>
            <w:tcW w:w="5600" w:type="dxa"/>
            <w:vAlign w:val="bottom"/>
          </w:tcPr>
          <w:p>
            <w:pPr>
              <w:ind w:left="480"/>
              <w:spacing w:after="0"/>
              <w:rPr>
                <w:sz w:val="20"/>
                <w:szCs w:val="20"/>
                <w:color w:val="auto"/>
              </w:rPr>
            </w:pPr>
            <w:r>
              <w:rPr>
                <w:rFonts w:ascii="Arial" w:cs="Arial" w:eastAsia="Arial" w:hAnsi="Arial"/>
                <w:sz w:val="18"/>
                <w:szCs w:val="18"/>
                <w:color w:val="auto"/>
              </w:rPr>
              <w:t>RSUs</w:t>
            </w:r>
          </w:p>
        </w:tc>
        <w:tc>
          <w:tcPr>
            <w:tcW w:w="2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9,248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4,357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16,611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7,030</w:t>
            </w:r>
          </w:p>
        </w:tc>
      </w:tr>
      <w:tr>
        <w:trPr>
          <w:trHeight w:val="27"/>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ESPP</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2,354</w:t>
            </w:r>
          </w:p>
        </w:tc>
      </w:tr>
      <w:tr>
        <w:trPr>
          <w:trHeight w:val="257"/>
        </w:trPr>
        <w:tc>
          <w:tcPr>
            <w:tcW w:w="5600" w:type="dxa"/>
            <w:vAlign w:val="bottom"/>
          </w:tcPr>
          <w:p>
            <w:pPr>
              <w:ind w:left="48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14,716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10,707</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27,646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20,006</w:t>
            </w:r>
          </w:p>
        </w:tc>
      </w:tr>
      <w:tr>
        <w:trPr>
          <w:trHeight w:val="20"/>
        </w:trPr>
        <w:tc>
          <w:tcPr>
            <w:tcW w:w="5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Total income tax benefit associated with stock-based compensation that is included as part of the provision for income taxes in the condensed consolidated statements of operations is as follows (in thousands):</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2180" w:type="dxa"/>
            <w:vAlign w:val="bottom"/>
            <w:gridSpan w:val="4"/>
          </w:tcPr>
          <w:p>
            <w:pPr>
              <w:jc w:val="right"/>
              <w:ind w:right="436"/>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6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6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June 30,</w:t>
            </w:r>
          </w:p>
        </w:tc>
        <w:tc>
          <w:tcPr>
            <w:tcW w:w="20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June 30,</w:t>
            </w:r>
          </w:p>
        </w:tc>
        <w:tc>
          <w:tcPr>
            <w:tcW w:w="20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June 30,</w:t>
            </w:r>
          </w:p>
        </w:tc>
        <w:tc>
          <w:tcPr>
            <w:tcW w:w="180" w:type="dxa"/>
            <w:vAlign w:val="bottom"/>
          </w:tcPr>
          <w:p>
            <w:pPr>
              <w:spacing w:after="0"/>
              <w:rPr>
                <w:sz w:val="18"/>
                <w:szCs w:val="18"/>
                <w:color w:val="auto"/>
              </w:rPr>
            </w:pPr>
          </w:p>
        </w:tc>
        <w:tc>
          <w:tcPr>
            <w:tcW w:w="940" w:type="dxa"/>
            <w:vAlign w:val="bottom"/>
          </w:tcPr>
          <w:p>
            <w:pPr>
              <w:jc w:val="center"/>
              <w:ind w:right="136"/>
              <w:spacing w:after="0"/>
              <w:rPr>
                <w:sz w:val="20"/>
                <w:szCs w:val="20"/>
                <w:color w:val="auto"/>
              </w:rPr>
            </w:pPr>
            <w:r>
              <w:rPr>
                <w:rFonts w:ascii="Arial" w:cs="Arial" w:eastAsia="Arial" w:hAnsi="Arial"/>
                <w:sz w:val="16"/>
                <w:szCs w:val="16"/>
                <w:b w:val="1"/>
                <w:bCs w:val="1"/>
                <w:color w:val="auto"/>
                <w:w w:val="87"/>
              </w:rPr>
              <w:t>June 30,</w:t>
            </w:r>
          </w:p>
        </w:tc>
      </w:tr>
      <w:tr>
        <w:trPr>
          <w:trHeight w:val="210"/>
        </w:trPr>
        <w:tc>
          <w:tcPr>
            <w:tcW w:w="6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37"/>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16"/>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17"/>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16"/>
              <w:spacing w:after="0"/>
              <w:rPr>
                <w:sz w:val="20"/>
                <w:szCs w:val="20"/>
                <w:color w:val="auto"/>
              </w:rPr>
            </w:pPr>
            <w:r>
              <w:rPr>
                <w:rFonts w:ascii="Arial" w:cs="Arial" w:eastAsia="Arial" w:hAnsi="Arial"/>
                <w:sz w:val="16"/>
                <w:szCs w:val="16"/>
                <w:b w:val="1"/>
                <w:bCs w:val="1"/>
                <w:color w:val="auto"/>
              </w:rPr>
              <w:t>2013</w:t>
            </w:r>
          </w:p>
        </w:tc>
      </w:tr>
      <w:tr>
        <w:trPr>
          <w:trHeight w:val="33"/>
        </w:trPr>
        <w:tc>
          <w:tcPr>
            <w:tcW w:w="6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associated with stock-based compensation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4,247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2,794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7,813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6,381</w:t>
            </w:r>
          </w:p>
        </w:tc>
      </w:tr>
      <w:tr>
        <w:trPr>
          <w:trHeight w:val="27"/>
        </w:trPr>
        <w:tc>
          <w:tcPr>
            <w:tcW w:w="65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On December 6, 2013, our Board of Directors authorized a Share Repurchase Program (“Program”) to repurchase up to $200.0 million of our outstanding common stock through December 31, 2014. Under the Program, share repurchases may be made by us from time to time in privately negotiated transactions or in open market transactions. The Program may be suspended, modified or discontinued at any time without prior notice. During the three and six months ended June 30, 2014, we repurchased 0.7 million and 1.0 million shares of common stock under the Program in open market transactions for an aggregate purchase price of $14.9 million and $22.5 million, respectively. As of June 30, 2014, $138.6 million remains authorized for future share repurchases under the Program.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effective tax rate was 49% for the three months ended June 30, 2014, compared to an effective tax rate of 40%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June 30, 2013. The effective tax rate was 44% for the six months ended June 30, 2014, compared to an effective tax of 34% for the six months ended June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2013. The provision for income taxes for the periods presented is comprised of U.S. federal and state taxes, Singapore and other foreign income taxes,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withholding tax, as well as the inclusion of stock compensation benefits and transfer pricing allocations which impact jurisdictional income taxed at various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tax rates.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00"/>
          </w:cols>
          <w:pgMar w:left="240" w:top="125" w:right="25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As of June 30, 2014 and December 31, 2013, unrecognized tax benefits were $35.7 million and $30.2 million, respectively. The total amount of $35.7 million in unrecognized tax benefits, if recognized, would favorably impact the effective tax rate.</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It is our policy to classify accrued interest and penalties related to unrecognized tax benefits in the provision for income taxes. As of June 30, 2014, we had accrued approximately $1.4 million for estimated interest related to uncertain tax positions.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PLANS</w:t>
      </w:r>
    </w:p>
    <w:p>
      <w:pPr>
        <w:spacing w:after="0" w:line="229"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Our tax-deferred savings plan, under the 401(k) Plan, allows participating employees to defer a portion of their pre-tax earnings, up to the IRS annual contribution limit. In Canada, we have a Group Registered Retirement Savings Plan program (the “RRSP”) which permits participants to make tax deductible contributions up to the maximum contribution limits under the Income Tax Act. Our board of directors approved 50% matching contributions on employee contributions up to 4% of each employee’s eligible earnings. Our matching contributions to the 401(k) Plans and RRSP for the three months ended June 30, 2014 and June 30, 2013 were $0.6 million and $0.5 million, respectively. Our matching contributions to the 401(k) Plans and RRSP for the six months ended June 30, 2014 and June 30, 2013 were $1.2 million and $1.1 million, respectively.</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revenue by geographic region (in thousands):</w:t>
      </w:r>
    </w:p>
    <w:p>
      <w:pPr>
        <w:spacing w:after="0" w:line="200" w:lineRule="exact"/>
        <w:rPr>
          <w:sz w:val="20"/>
          <w:szCs w:val="20"/>
          <w:color w:val="auto"/>
        </w:rPr>
      </w:pP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2380" w:type="dxa"/>
            <w:vAlign w:val="bottom"/>
            <w:gridSpan w:val="4"/>
          </w:tcPr>
          <w:p>
            <w:pPr>
              <w:jc w:val="right"/>
              <w:ind w:right="55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18"/>
                <w:szCs w:val="18"/>
                <w:color w:val="auto"/>
              </w:rPr>
            </w:pPr>
          </w:p>
        </w:tc>
        <w:tc>
          <w:tcPr>
            <w:tcW w:w="1020" w:type="dxa"/>
            <w:vAlign w:val="bottom"/>
          </w:tcPr>
          <w:p>
            <w:pPr>
              <w:jc w:val="right"/>
              <w:ind w:right="252"/>
              <w:spacing w:after="0"/>
              <w:rPr>
                <w:sz w:val="20"/>
                <w:szCs w:val="20"/>
                <w:color w:val="auto"/>
              </w:rPr>
            </w:pPr>
            <w:r>
              <w:rPr>
                <w:rFonts w:ascii="Arial" w:cs="Arial" w:eastAsia="Arial" w:hAnsi="Arial"/>
                <w:sz w:val="16"/>
                <w:szCs w:val="16"/>
                <w:b w:val="1"/>
                <w:bCs w:val="1"/>
                <w:color w:val="auto"/>
              </w:rPr>
              <w:t>June 30,</w:t>
            </w:r>
          </w:p>
        </w:tc>
      </w:tr>
      <w:tr>
        <w:trPr>
          <w:trHeight w:val="176"/>
        </w:trPr>
        <w:tc>
          <w:tcPr>
            <w:tcW w:w="20" w:type="dxa"/>
            <w:vAlign w:val="bottom"/>
          </w:tcPr>
          <w:p>
            <w:pPr>
              <w:spacing w:after="0"/>
              <w:rPr>
                <w:sz w:val="15"/>
                <w:szCs w:val="15"/>
                <w:color w:val="auto"/>
              </w:rPr>
            </w:pPr>
          </w:p>
        </w:tc>
        <w:tc>
          <w:tcPr>
            <w:tcW w:w="602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15"/>
                <w:szCs w:val="15"/>
                <w:color w:val="auto"/>
              </w:rPr>
            </w:pPr>
          </w:p>
        </w:tc>
        <w:tc>
          <w:tcPr>
            <w:tcW w:w="1060" w:type="dxa"/>
            <w:vAlign w:val="bottom"/>
          </w:tcPr>
          <w:p>
            <w:pPr>
              <w:jc w:val="right"/>
              <w:ind w:right="393"/>
              <w:spacing w:after="0" w:line="176" w:lineRule="exact"/>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372"/>
              <w:spacing w:after="0" w:line="176" w:lineRule="exact"/>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373"/>
              <w:spacing w:after="0" w:line="176" w:lineRule="exact"/>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372"/>
              <w:spacing w:after="0" w:line="176" w:lineRule="exact"/>
              <w:rPr>
                <w:sz w:val="20"/>
                <w:szCs w:val="20"/>
                <w:color w:val="auto"/>
              </w:rPr>
            </w:pPr>
            <w:r>
              <w:rPr>
                <w:rFonts w:ascii="Arial" w:cs="Arial" w:eastAsia="Arial" w:hAnsi="Arial"/>
                <w:sz w:val="16"/>
                <w:szCs w:val="16"/>
                <w:b w:val="1"/>
                <w:bCs w:val="1"/>
                <w:color w:val="auto"/>
              </w:rPr>
              <w:t>2013</w:t>
            </w:r>
          </w:p>
        </w:tc>
      </w:tr>
      <w:tr>
        <w:trPr>
          <w:trHeight w:val="48"/>
        </w:trPr>
        <w:tc>
          <w:tcPr>
            <w:tcW w:w="20" w:type="dxa"/>
            <w:vAlign w:val="bottom"/>
            <w:tcBorders>
              <w:bottom w:val="single" w:sz="8" w:color="CCEEFF"/>
            </w:tcBorders>
          </w:tcPr>
          <w:p>
            <w:pPr>
              <w:spacing w:after="0"/>
              <w:rPr>
                <w:sz w:val="4"/>
                <w:szCs w:val="4"/>
                <w:color w:val="auto"/>
              </w:rPr>
            </w:pPr>
          </w:p>
        </w:tc>
        <w:tc>
          <w:tcPr>
            <w:tcW w:w="600" w:type="dxa"/>
            <w:vAlign w:val="bottom"/>
            <w:tcBorders>
              <w:top w:val="single" w:sz="8" w:color="auto"/>
              <w:bottom w:val="single" w:sz="8" w:color="CCEEFF"/>
            </w:tcBorders>
          </w:tcPr>
          <w:p>
            <w:pPr>
              <w:spacing w:after="0"/>
              <w:rPr>
                <w:sz w:val="4"/>
                <w:szCs w:val="4"/>
                <w:color w:val="auto"/>
              </w:rPr>
            </w:pPr>
          </w:p>
        </w:tc>
        <w:tc>
          <w:tcPr>
            <w:tcW w:w="54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Americas: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020" w:type="dxa"/>
            <w:vAlign w:val="bottom"/>
            <w:gridSpan w:val="2"/>
          </w:tcPr>
          <w:p>
            <w:pPr>
              <w:ind w:left="260"/>
              <w:spacing w:after="0"/>
              <w:rPr>
                <w:sz w:val="20"/>
                <w:szCs w:val="20"/>
                <w:color w:val="auto"/>
              </w:rPr>
            </w:pPr>
            <w:r>
              <w:rPr>
                <w:rFonts w:ascii="Arial" w:cs="Arial" w:eastAsia="Arial" w:hAnsi="Arial"/>
                <w:sz w:val="18"/>
                <w:szCs w:val="18"/>
                <w:color w:val="auto"/>
              </w:rPr>
              <w:t>United States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49,672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38,815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94,465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73,603</w:t>
            </w: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Other Americas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28,713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56,352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39,050</w:t>
            </w:r>
          </w:p>
        </w:tc>
      </w:tr>
      <w:tr>
        <w:trPr>
          <w:trHeight w:val="237"/>
        </w:trPr>
        <w:tc>
          <w:tcPr>
            <w:tcW w:w="20" w:type="dxa"/>
            <w:vAlign w:val="bottom"/>
          </w:tcPr>
          <w:p>
            <w:pPr>
              <w:spacing w:after="0"/>
              <w:rPr>
                <w:sz w:val="20"/>
                <w:szCs w:val="20"/>
                <w:color w:val="auto"/>
              </w:rPr>
            </w:pPr>
          </w:p>
        </w:tc>
        <w:tc>
          <w:tcPr>
            <w:tcW w:w="6020" w:type="dxa"/>
            <w:vAlign w:val="bottom"/>
            <w:gridSpan w:val="2"/>
          </w:tcPr>
          <w:p>
            <w:pPr>
              <w:ind w:left="260"/>
              <w:spacing w:after="0"/>
              <w:rPr>
                <w:sz w:val="20"/>
                <w:szCs w:val="20"/>
                <w:color w:val="auto"/>
              </w:rPr>
            </w:pPr>
            <w:r>
              <w:rPr>
                <w:rFonts w:ascii="Arial" w:cs="Arial" w:eastAsia="Arial" w:hAnsi="Arial"/>
                <w:sz w:val="18"/>
                <w:szCs w:val="18"/>
                <w:color w:val="auto"/>
              </w:rPr>
              <w:t>Total Americas</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78,385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60,026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150,817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112,653</w:t>
            </w: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Europe, Middle East, and Africa (“EMEA”)</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62,554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50,801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119,197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98,127</w:t>
            </w:r>
          </w:p>
        </w:tc>
      </w:tr>
      <w:tr>
        <w:trPr>
          <w:trHeight w:val="243"/>
        </w:trPr>
        <w:tc>
          <w:tcPr>
            <w:tcW w:w="20" w:type="dxa"/>
            <w:vAlign w:val="bottom"/>
          </w:tcPr>
          <w:p>
            <w:pPr>
              <w:spacing w:after="0"/>
              <w:rPr>
                <w:sz w:val="21"/>
                <w:szCs w:val="21"/>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Asia Pacific and Japan (“APAC”)</w:t>
            </w:r>
          </w:p>
        </w:tc>
        <w:tc>
          <w:tcPr>
            <w:tcW w:w="2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43,159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36,601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83,033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72,468</w:t>
            </w:r>
          </w:p>
        </w:tc>
      </w:tr>
      <w:tr>
        <w:trPr>
          <w:trHeight w:val="27"/>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184,098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147,428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353,047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283,248</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During the three months and six months ended June 30, 2014, Exclusive Networks Group accounted for 14% of total revenue. During the three and six months ended June 30, 2013, Exclusive Networks Group accounted for 11% and 12% of total revenue, respectively.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property and equipment by geographic region (in thousands):</w:t>
      </w:r>
    </w:p>
    <w:p>
      <w:pPr>
        <w:spacing w:after="0" w:line="200" w:lineRule="exact"/>
        <w:rPr>
          <w:sz w:val="20"/>
          <w:szCs w:val="20"/>
          <w:color w:val="auto"/>
        </w:rPr>
      </w:pP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jc w:val="right"/>
              <w:ind w:right="412"/>
              <w:spacing w:after="0"/>
              <w:rPr>
                <w:sz w:val="20"/>
                <w:szCs w:val="20"/>
                <w:color w:val="auto"/>
              </w:rPr>
            </w:pPr>
            <w:r>
              <w:rPr>
                <w:rFonts w:ascii="Arial" w:cs="Arial" w:eastAsia="Arial" w:hAnsi="Arial"/>
                <w:sz w:val="16"/>
                <w:szCs w:val="16"/>
                <w:b w:val="1"/>
                <w:bCs w:val="1"/>
                <w:color w:val="auto"/>
              </w:rPr>
              <w:t>December 31,</w:t>
            </w:r>
          </w:p>
        </w:tc>
      </w:tr>
      <w:tr>
        <w:trPr>
          <w:trHeight w:val="176"/>
        </w:trPr>
        <w:tc>
          <w:tcPr>
            <w:tcW w:w="20" w:type="dxa"/>
            <w:vAlign w:val="bottom"/>
          </w:tcPr>
          <w:p>
            <w:pPr>
              <w:spacing w:after="0"/>
              <w:rPr>
                <w:sz w:val="15"/>
                <w:szCs w:val="15"/>
                <w:color w:val="auto"/>
              </w:rPr>
            </w:pPr>
          </w:p>
        </w:tc>
        <w:tc>
          <w:tcPr>
            <w:tcW w:w="738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Property and Equipment—Net</w:t>
            </w:r>
          </w:p>
        </w:tc>
        <w:tc>
          <w:tcPr>
            <w:tcW w:w="1300" w:type="dxa"/>
            <w:vAlign w:val="bottom"/>
          </w:tcPr>
          <w:p>
            <w:pPr>
              <w:jc w:val="right"/>
              <w:ind w:right="74"/>
              <w:spacing w:after="0" w:line="176" w:lineRule="exact"/>
              <w:rPr>
                <w:sz w:val="20"/>
                <w:szCs w:val="20"/>
                <w:color w:val="auto"/>
              </w:rPr>
            </w:pPr>
            <w:r>
              <w:rPr>
                <w:rFonts w:ascii="Arial" w:cs="Arial" w:eastAsia="Arial" w:hAnsi="Arial"/>
                <w:sz w:val="16"/>
                <w:szCs w:val="16"/>
                <w:b w:val="1"/>
                <w:bCs w:val="1"/>
                <w:color w:val="auto"/>
              </w:rPr>
              <w:t>2014</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jc w:val="right"/>
              <w:ind w:right="712"/>
              <w:spacing w:after="0" w:line="176" w:lineRule="exact"/>
              <w:rPr>
                <w:sz w:val="20"/>
                <w:szCs w:val="20"/>
                <w:color w:val="auto"/>
              </w:rPr>
            </w:pPr>
            <w:r>
              <w:rPr>
                <w:rFonts w:ascii="Arial" w:cs="Arial" w:eastAsia="Arial" w:hAnsi="Arial"/>
                <w:sz w:val="16"/>
                <w:szCs w:val="16"/>
                <w:b w:val="1"/>
                <w:bCs w:val="1"/>
                <w:color w:val="auto"/>
              </w:rPr>
              <w:t>2013</w:t>
            </w:r>
          </w:p>
        </w:tc>
      </w:tr>
      <w:tr>
        <w:trPr>
          <w:trHeight w:val="48"/>
        </w:trPr>
        <w:tc>
          <w:tcPr>
            <w:tcW w:w="20" w:type="dxa"/>
            <w:vAlign w:val="bottom"/>
            <w:tcBorders>
              <w:bottom w:val="single" w:sz="8" w:color="CCEEFF"/>
            </w:tcBorders>
          </w:tcPr>
          <w:p>
            <w:pPr>
              <w:spacing w:after="0"/>
              <w:rPr>
                <w:sz w:val="4"/>
                <w:szCs w:val="4"/>
                <w:color w:val="auto"/>
              </w:rPr>
            </w:pPr>
          </w:p>
        </w:tc>
        <w:tc>
          <w:tcPr>
            <w:tcW w:w="2140" w:type="dxa"/>
            <w:vAlign w:val="bottom"/>
            <w:tcBorders>
              <w:top w:val="single" w:sz="8" w:color="auto"/>
              <w:bottom w:val="single" w:sz="8" w:color="CCEEFF"/>
            </w:tcBorders>
          </w:tcPr>
          <w:p>
            <w:pPr>
              <w:spacing w:after="0"/>
              <w:rPr>
                <w:sz w:val="4"/>
                <w:szCs w:val="4"/>
                <w:color w:val="auto"/>
              </w:rPr>
            </w:pPr>
          </w:p>
        </w:tc>
        <w:tc>
          <w:tcPr>
            <w:tcW w:w="524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Americas:</w:t>
            </w: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380" w:type="dxa"/>
            <w:vAlign w:val="bottom"/>
            <w:gridSpan w:val="2"/>
          </w:tcPr>
          <w:p>
            <w:pPr>
              <w:ind w:left="260"/>
              <w:spacing w:after="0"/>
              <w:rPr>
                <w:sz w:val="20"/>
                <w:szCs w:val="20"/>
                <w:color w:val="auto"/>
              </w:rPr>
            </w:pPr>
            <w:r>
              <w:rPr>
                <w:rFonts w:ascii="Arial" w:cs="Arial" w:eastAsia="Arial" w:hAnsi="Arial"/>
                <w:sz w:val="18"/>
                <w:szCs w:val="18"/>
                <w:color w:val="auto"/>
              </w:rPr>
              <w:t>United States</w:t>
            </w:r>
          </w:p>
        </w:tc>
        <w:tc>
          <w:tcPr>
            <w:tcW w:w="1300" w:type="dxa"/>
            <w:vAlign w:val="bottom"/>
          </w:tcPr>
          <w:p>
            <w:pPr>
              <w:jc w:val="right"/>
              <w:ind w:right="1094"/>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43,834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29,334</w:t>
            </w:r>
          </w:p>
        </w:tc>
      </w:tr>
      <w:tr>
        <w:trPr>
          <w:trHeight w:val="27"/>
        </w:trPr>
        <w:tc>
          <w:tcPr>
            <w:tcW w:w="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Canada</w:t>
            </w: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4,372</w:t>
            </w:r>
          </w:p>
        </w:tc>
      </w:tr>
      <w:tr>
        <w:trPr>
          <w:trHeight w:val="243"/>
        </w:trPr>
        <w:tc>
          <w:tcPr>
            <w:tcW w:w="20" w:type="dxa"/>
            <w:vAlign w:val="bottom"/>
          </w:tcPr>
          <w:p>
            <w:pPr>
              <w:spacing w:after="0"/>
              <w:rPr>
                <w:sz w:val="21"/>
                <w:szCs w:val="21"/>
                <w:color w:val="auto"/>
              </w:rPr>
            </w:pPr>
          </w:p>
        </w:tc>
        <w:tc>
          <w:tcPr>
            <w:tcW w:w="7380" w:type="dxa"/>
            <w:vAlign w:val="bottom"/>
            <w:gridSpan w:val="2"/>
          </w:tcPr>
          <w:p>
            <w:pPr>
              <w:ind w:left="260"/>
              <w:spacing w:after="0"/>
              <w:rPr>
                <w:sz w:val="20"/>
                <w:szCs w:val="20"/>
                <w:color w:val="auto"/>
              </w:rPr>
            </w:pPr>
            <w:r>
              <w:rPr>
                <w:rFonts w:ascii="Arial" w:cs="Arial" w:eastAsia="Arial" w:hAnsi="Arial"/>
                <w:sz w:val="18"/>
                <w:szCs w:val="18"/>
                <w:color w:val="auto"/>
              </w:rPr>
              <w:t>Other Americas</w:t>
            </w:r>
          </w:p>
        </w:tc>
        <w:tc>
          <w:tcPr>
            <w:tcW w:w="13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45</w:t>
            </w:r>
          </w:p>
        </w:tc>
      </w:tr>
      <w:tr>
        <w:trPr>
          <w:trHeight w:val="27"/>
        </w:trPr>
        <w:tc>
          <w:tcPr>
            <w:tcW w:w="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Americas</w:t>
            </w: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50,691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33,751</w:t>
            </w:r>
          </w:p>
        </w:tc>
      </w:tr>
      <w:tr>
        <w:trPr>
          <w:trHeight w:val="243"/>
        </w:trPr>
        <w:tc>
          <w:tcPr>
            <w:tcW w:w="20" w:type="dxa"/>
            <w:vAlign w:val="bottom"/>
          </w:tcPr>
          <w:p>
            <w:pPr>
              <w:spacing w:after="0"/>
              <w:rPr>
                <w:sz w:val="21"/>
                <w:szCs w:val="21"/>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EMEA</w:t>
            </w:r>
          </w:p>
        </w:tc>
        <w:tc>
          <w:tcPr>
            <w:tcW w:w="13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2,300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1,273</w:t>
            </w:r>
          </w:p>
        </w:tc>
      </w:tr>
      <w:tr>
        <w:trPr>
          <w:trHeight w:val="27"/>
        </w:trPr>
        <w:tc>
          <w:tcPr>
            <w:tcW w:w="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APAC</w:t>
            </w:r>
          </w:p>
        </w:tc>
        <w:tc>
          <w:tcPr>
            <w:tcW w:w="13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1,628</w:t>
            </w:r>
          </w:p>
        </w:tc>
      </w:tr>
      <w:tr>
        <w:trPr>
          <w:trHeight w:val="257"/>
        </w:trPr>
        <w:tc>
          <w:tcPr>
            <w:tcW w:w="20" w:type="dxa"/>
            <w:vAlign w:val="bottom"/>
          </w:tcPr>
          <w:p>
            <w:pPr>
              <w:spacing w:after="0"/>
              <w:rPr>
                <w:sz w:val="22"/>
                <w:szCs w:val="22"/>
                <w:color w:val="auto"/>
              </w:rPr>
            </w:pPr>
          </w:p>
        </w:tc>
        <w:tc>
          <w:tcPr>
            <w:tcW w:w="7380" w:type="dxa"/>
            <w:vAlign w:val="bottom"/>
            <w:gridSpan w:val="2"/>
          </w:tcPr>
          <w:p>
            <w:pPr>
              <w:ind w:left="460"/>
              <w:spacing w:after="0"/>
              <w:rPr>
                <w:sz w:val="20"/>
                <w:szCs w:val="20"/>
                <w:color w:val="auto"/>
              </w:rPr>
            </w:pPr>
            <w:r>
              <w:rPr>
                <w:rFonts w:ascii="Arial" w:cs="Arial" w:eastAsia="Arial" w:hAnsi="Arial"/>
                <w:sz w:val="18"/>
                <w:szCs w:val="18"/>
                <w:color w:val="auto"/>
              </w:rPr>
              <w:t>Total property and equipment—net</w:t>
            </w:r>
          </w:p>
        </w:tc>
        <w:tc>
          <w:tcPr>
            <w:tcW w:w="1300" w:type="dxa"/>
            <w:vAlign w:val="bottom"/>
            <w:tcBorders>
              <w:top w:val="single" w:sz="8" w:color="auto"/>
              <w:bottom w:val="single" w:sz="8" w:color="auto"/>
            </w:tcBorders>
          </w:tcPr>
          <w:p>
            <w:pPr>
              <w:jc w:val="right"/>
              <w:ind w:right="1094"/>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55,300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36,652</w:t>
            </w: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INCOME</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 summarizes the changes in accumulated balances of other comprehensive income for the six months ended June 30, 2014 (in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5"/>
          </w:tcPr>
          <w:p>
            <w:pPr>
              <w:ind w:left="1020"/>
              <w:spacing w:after="0"/>
              <w:rPr>
                <w:sz w:val="20"/>
                <w:szCs w:val="20"/>
                <w:color w:val="auto"/>
              </w:rPr>
            </w:pPr>
            <w:r>
              <w:rPr>
                <w:rFonts w:ascii="Arial" w:cs="Arial" w:eastAsia="Arial" w:hAnsi="Arial"/>
                <w:sz w:val="16"/>
                <w:szCs w:val="16"/>
                <w:b w:val="1"/>
                <w:bCs w:val="1"/>
                <w:color w:val="auto"/>
                <w:w w:val="92"/>
              </w:rPr>
              <w:t>June 30, 2014</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5"/>
              </w:rPr>
              <w:t>Tax Benefit Or</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3"/>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0"/>
              </w:rPr>
              <w:t>Provision Related To</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2"/>
              </w:rPr>
              <w:t>Foreign Currency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4"/>
          </w:tcPr>
          <w:p>
            <w:pPr>
              <w:ind w:left="40"/>
              <w:spacing w:after="0"/>
              <w:rPr>
                <w:sz w:val="20"/>
                <w:szCs w:val="20"/>
                <w:color w:val="auto"/>
              </w:rPr>
            </w:pPr>
            <w:r>
              <w:rPr>
                <w:rFonts w:ascii="Arial" w:cs="Arial" w:eastAsia="Arial" w:hAnsi="Arial"/>
                <w:sz w:val="16"/>
                <w:szCs w:val="16"/>
                <w:b w:val="1"/>
                <w:bCs w:val="1"/>
                <w:color w:val="auto"/>
              </w:rPr>
              <w:t>Unrealized Gains And</w:t>
            </w:r>
          </w:p>
        </w:tc>
        <w:tc>
          <w:tcPr>
            <w:tcW w:w="168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5"/>
              </w:rPr>
              <w:t>Items Of Other</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1"/>
              </w:rPr>
              <w:t>Translation Gains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87"/>
              </w:rPr>
              <w:t>Losses On</w:t>
            </w:r>
          </w:p>
        </w:tc>
        <w:tc>
          <w:tcPr>
            <w:tcW w:w="16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89"/>
              </w:rPr>
              <w:t>Comprehensive</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85"/>
              </w:rPr>
              <w:t>And Losses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89"/>
              </w:rPr>
              <w:t>Investments</w:t>
            </w:r>
          </w:p>
        </w:tc>
        <w:tc>
          <w:tcPr>
            <w:tcW w:w="16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2"/>
              </w:rPr>
              <w:t>Income Or Loss</w:t>
            </w: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r>
      <w:tr>
        <w:trPr>
          <w:trHeight w:val="33"/>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38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1,092</w:t>
            </w: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w:t>
            </w: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1,149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1,181</w:t>
            </w:r>
          </w:p>
        </w:tc>
      </w:tr>
      <w:tr>
        <w:trPr>
          <w:trHeight w:val="20"/>
        </w:trPr>
        <w:tc>
          <w:tcPr>
            <w:tcW w:w="47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r>
      <w:tr>
        <w:trPr>
          <w:trHeight w:val="405"/>
        </w:trPr>
        <w:tc>
          <w:tcPr>
            <w:tcW w:w="11420" w:type="dxa"/>
            <w:vAlign w:val="bottom"/>
            <w:gridSpan w:val="17"/>
          </w:tcPr>
          <w:p>
            <w:pPr>
              <w:ind w:left="660"/>
              <w:spacing w:after="0"/>
              <w:rPr>
                <w:sz w:val="20"/>
                <w:szCs w:val="20"/>
                <w:color w:val="auto"/>
              </w:rPr>
            </w:pPr>
            <w:r>
              <w:rPr>
                <w:rFonts w:ascii="Arial" w:cs="Arial" w:eastAsia="Arial" w:hAnsi="Arial"/>
                <w:sz w:val="18"/>
                <w:szCs w:val="18"/>
                <w:color w:val="auto"/>
                <w:w w:val="93"/>
              </w:rPr>
              <w:t>The following table provides details about the reclassification out of accumulated other comprehensive income for the six months ended June 30,</w:t>
            </w: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2014 (in thousands):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575"/>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June 30, 2014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
        </w:trPr>
        <w:tc>
          <w:tcPr>
            <w:tcW w:w="4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7"/>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7"/>
          </w:tcPr>
          <w:p>
            <w:pPr>
              <w:jc w:val="right"/>
              <w:ind w:right="340"/>
              <w:spacing w:after="0"/>
              <w:rPr>
                <w:sz w:val="20"/>
                <w:szCs w:val="20"/>
                <w:color w:val="auto"/>
              </w:rPr>
            </w:pPr>
            <w:r>
              <w:rPr>
                <w:rFonts w:ascii="Arial" w:cs="Arial" w:eastAsia="Arial" w:hAnsi="Arial"/>
                <w:sz w:val="16"/>
                <w:szCs w:val="16"/>
                <w:b w:val="1"/>
                <w:bCs w:val="1"/>
                <w:color w:val="auto"/>
                <w:w w:val="93"/>
              </w:rPr>
              <w:t>Amount Reclassified From</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3"/>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2"/>
              </w:rPr>
              <w:t>Accumulated Other</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gridSpan w:val="4"/>
          </w:tcPr>
          <w:p>
            <w:pPr>
              <w:jc w:val="right"/>
              <w:ind w:right="51"/>
              <w:spacing w:after="0"/>
              <w:rPr>
                <w:sz w:val="20"/>
                <w:szCs w:val="20"/>
                <w:color w:val="auto"/>
              </w:rPr>
            </w:pPr>
            <w:r>
              <w:rPr>
                <w:rFonts w:ascii="Arial" w:cs="Arial" w:eastAsia="Arial" w:hAnsi="Arial"/>
                <w:sz w:val="16"/>
                <w:szCs w:val="16"/>
                <w:b w:val="1"/>
                <w:bCs w:val="1"/>
                <w:color w:val="auto"/>
                <w:w w:val="98"/>
              </w:rPr>
              <w:t>Affected Line Item In The Statement</w:t>
            </w:r>
          </w:p>
        </w:tc>
      </w:tr>
      <w:tr>
        <w:trPr>
          <w:trHeight w:val="210"/>
        </w:trPr>
        <w:tc>
          <w:tcPr>
            <w:tcW w:w="6200" w:type="dxa"/>
            <w:vAlign w:val="bottom"/>
            <w:gridSpan w:val="5"/>
          </w:tcPr>
          <w:p>
            <w:pPr>
              <w:ind w:left="560"/>
              <w:spacing w:after="0"/>
              <w:rPr>
                <w:sz w:val="20"/>
                <w:szCs w:val="20"/>
                <w:color w:val="auto"/>
              </w:rPr>
            </w:pPr>
            <w:r>
              <w:rPr>
                <w:rFonts w:ascii="Arial" w:cs="Arial" w:eastAsia="Arial" w:hAnsi="Arial"/>
                <w:sz w:val="16"/>
                <w:szCs w:val="16"/>
                <w:b w:val="1"/>
                <w:bCs w:val="1"/>
                <w:color w:val="auto"/>
              </w:rPr>
              <w:t>Details About Accumulated Other Comprehensive Income Components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Comprehensive Income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4"/>
          </w:tcPr>
          <w:p>
            <w:pPr>
              <w:jc w:val="right"/>
              <w:ind w:right="231"/>
              <w:spacing w:after="0"/>
              <w:rPr>
                <w:sz w:val="20"/>
                <w:szCs w:val="20"/>
                <w:color w:val="auto"/>
              </w:rPr>
            </w:pPr>
            <w:r>
              <w:rPr>
                <w:rFonts w:ascii="Arial" w:cs="Arial" w:eastAsia="Arial" w:hAnsi="Arial"/>
                <w:sz w:val="16"/>
                <w:szCs w:val="16"/>
                <w:b w:val="1"/>
                <w:bCs w:val="1"/>
                <w:color w:val="auto"/>
              </w:rPr>
              <w:t>Where Net Income Is Presented</w:t>
            </w:r>
          </w:p>
        </w:tc>
      </w:tr>
      <w:tr>
        <w:trPr>
          <w:trHeight w:val="33"/>
        </w:trPr>
        <w:tc>
          <w:tcPr>
            <w:tcW w:w="4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gains on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4"/>
            <w:shd w:val="clear" w:color="auto" w:fill="CCEEFF"/>
          </w:tcPr>
          <w:p>
            <w:pPr>
              <w:jc w:val="right"/>
              <w:ind w:right="611"/>
              <w:spacing w:after="0"/>
              <w:rPr>
                <w:sz w:val="20"/>
                <w:szCs w:val="20"/>
                <w:color w:val="auto"/>
              </w:rPr>
            </w:pPr>
            <w:r>
              <w:rPr>
                <w:rFonts w:ascii="Arial" w:cs="Arial" w:eastAsia="Arial" w:hAnsi="Arial"/>
                <w:sz w:val="18"/>
                <w:szCs w:val="18"/>
                <w:color w:val="auto"/>
                <w:w w:val="89"/>
              </w:rPr>
              <w:t>Other (expense) income—net</w:t>
            </w:r>
          </w:p>
        </w:tc>
      </w:tr>
      <w:tr>
        <w:trPr>
          <w:trHeight w:val="243"/>
        </w:trPr>
        <w:tc>
          <w:tcPr>
            <w:tcW w:w="6200" w:type="dxa"/>
            <w:vAlign w:val="bottom"/>
            <w:gridSpan w:val="5"/>
          </w:tcPr>
          <w:p>
            <w:pPr>
              <w:ind w:left="280"/>
              <w:spacing w:after="0"/>
              <w:rPr>
                <w:sz w:val="20"/>
                <w:szCs w:val="20"/>
                <w:color w:val="auto"/>
              </w:rPr>
            </w:pPr>
            <w:r>
              <w:rPr>
                <w:rFonts w:ascii="Arial" w:cs="Arial" w:eastAsia="Arial" w:hAnsi="Arial"/>
                <w:sz w:val="18"/>
                <w:szCs w:val="18"/>
                <w:color w:val="auto"/>
              </w:rPr>
              <w:t>Tax provision related to items of other comprehensive income or loss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80" w:type="dxa"/>
            <w:vAlign w:val="bottom"/>
            <w:gridSpan w:val="6"/>
          </w:tcPr>
          <w:p>
            <w:pPr>
              <w:jc w:val="right"/>
              <w:ind w:right="791"/>
              <w:spacing w:after="0"/>
              <w:rPr>
                <w:sz w:val="20"/>
                <w:szCs w:val="20"/>
                <w:color w:val="auto"/>
              </w:rPr>
            </w:pPr>
            <w:r>
              <w:rPr>
                <w:rFonts w:ascii="Arial" w:cs="Arial" w:eastAsia="Arial" w:hAnsi="Arial"/>
                <w:sz w:val="18"/>
                <w:szCs w:val="18"/>
                <w:color w:val="auto"/>
              </w:rPr>
              <w:t>3   Provision for income taxes</w:t>
            </w: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reclassification for the period</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FOREIGN CURRENCY DERIVATIVES</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b w:val="1"/>
          <w:bCs w:val="1"/>
          <w:color w:val="auto"/>
        </w:rPr>
        <w:t>Foreign Currency Derivatives</w:t>
      </w:r>
      <w:r>
        <w:rPr>
          <w:rFonts w:ascii="Arial" w:cs="Arial" w:eastAsia="Arial" w:hAnsi="Arial"/>
          <w:sz w:val="17"/>
          <w:szCs w:val="17"/>
          <w:color w:val="auto"/>
        </w:rPr>
        <w:t>—Our sales contracts are primarily denominated in U.S. dollars and therefore substantially all of our revenue is not</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foreign currency translation risk. However, a substantial portion of our operating expenses incurred outside the U.S. are denominated in foreign currencies and are subject to fluctuations due to changes in foreign currency exchange rates, particularly changes in the Canadian dollar (“CAD”). To help protect against significant fluctuations in value and the volatility of future cash flows caused by changes in currency exchange rates, we engage in foreign currency risk management activities, including forward contracts, to hedge balance sheet items denominated in CAD. We do not use these contracts for speculative or trading purposes. All of the derivative instruments are with high quality financial institutions and we monitor the creditworthiness of these parties. These contracts typically have maturities between one and three months. We record changes in the fair value of forward exchange contracts related to balance sheet accounts as Other (expense) income—net in the consolidated statement of operations.</w:t>
      </w:r>
    </w:p>
    <w:p>
      <w:pPr>
        <w:spacing w:after="0" w:line="17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Additionally, independent of any hedging activities, fluctuations in foreign currency exchange rates may cause us to recognize transaction gains and losses in Other (expense) income—net in our condensed consolidated statements of operations. Our hedging activities are intended to reduce, but not eliminate, the impact of currency exchange rate movements. As our hedging activities are relatively short-term in nature and are focused on CAD, long-term material changes in the value of the U.S. dollar against other foreign currencies, such as the GBP, EUR and JPY could adversely impact our operating expenses in the future.</w:t>
      </w:r>
    </w:p>
    <w:p>
      <w:pPr>
        <w:spacing w:after="0" w:line="188"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The notional amount of forward exchange contracts to hedge balance sheet accounts as of June 30, 2014 and December 31, 2013 were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460" w:type="dxa"/>
            <w:vAlign w:val="bottom"/>
          </w:tcPr>
          <w:p>
            <w:pPr>
              <w:ind w:left="640"/>
              <w:spacing w:after="0"/>
              <w:rPr>
                <w:sz w:val="20"/>
                <w:szCs w:val="20"/>
                <w:color w:val="auto"/>
              </w:rPr>
            </w:pPr>
            <w:r>
              <w:rPr>
                <w:rFonts w:ascii="Arial" w:cs="Arial" w:eastAsia="Arial" w:hAnsi="Arial"/>
                <w:sz w:val="18"/>
                <w:szCs w:val="18"/>
                <w:b w:val="1"/>
                <w:bCs w:val="1"/>
                <w:color w:val="auto"/>
              </w:rPr>
              <w:t>Buy/Sell</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Pr>
          <w:p>
            <w:pPr>
              <w:jc w:val="right"/>
              <w:ind w:right="550"/>
              <w:spacing w:after="0"/>
              <w:rPr>
                <w:sz w:val="20"/>
                <w:szCs w:val="20"/>
                <w:color w:val="auto"/>
              </w:rPr>
            </w:pPr>
            <w:r>
              <w:rPr>
                <w:rFonts w:ascii="Arial" w:cs="Arial" w:eastAsia="Arial" w:hAnsi="Arial"/>
                <w:sz w:val="18"/>
                <w:szCs w:val="18"/>
                <w:b w:val="1"/>
                <w:bCs w:val="1"/>
                <w:color w:val="auto"/>
              </w:rPr>
              <w:t>Notional</w:t>
            </w: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6"/>
        </w:trPr>
        <w:tc>
          <w:tcPr>
            <w:tcW w:w="8900" w:type="dxa"/>
            <w:vAlign w:val="bottom"/>
            <w:gridSpan w:val="5"/>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Currency—As of June 30, 2014</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40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60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r>
      <w:tr>
        <w:trPr>
          <w:trHeight w:val="243"/>
        </w:trPr>
        <w:tc>
          <w:tcPr>
            <w:tcW w:w="8900" w:type="dxa"/>
            <w:vAlign w:val="bottom"/>
            <w:gridSpan w:val="5"/>
          </w:tcPr>
          <w:p>
            <w:pPr>
              <w:ind w:left="40"/>
              <w:spacing w:after="0"/>
              <w:rPr>
                <w:sz w:val="20"/>
                <w:szCs w:val="20"/>
                <w:color w:val="auto"/>
              </w:rPr>
            </w:pPr>
            <w:r>
              <w:rPr>
                <w:rFonts w:ascii="Arial" w:cs="Arial" w:eastAsia="Arial" w:hAnsi="Arial"/>
                <w:sz w:val="18"/>
                <w:szCs w:val="18"/>
                <w:color w:val="auto"/>
              </w:rPr>
              <w:t>CAD</w:t>
            </w:r>
          </w:p>
        </w:tc>
        <w:tc>
          <w:tcPr>
            <w:tcW w:w="580" w:type="dxa"/>
            <w:vAlign w:val="bottom"/>
            <w:gridSpan w:val="2"/>
          </w:tcPr>
          <w:p>
            <w:pPr>
              <w:ind w:left="160"/>
              <w:spacing w:after="0"/>
              <w:rPr>
                <w:sz w:val="20"/>
                <w:szCs w:val="20"/>
                <w:color w:val="auto"/>
              </w:rPr>
            </w:pPr>
            <w:r>
              <w:rPr>
                <w:rFonts w:ascii="Arial" w:cs="Arial" w:eastAsia="Arial" w:hAnsi="Arial"/>
                <w:sz w:val="18"/>
                <w:szCs w:val="18"/>
                <w:color w:val="auto"/>
              </w:rPr>
              <w:t>Buy</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20,587</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6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03"/>
        </w:trPr>
        <w:tc>
          <w:tcPr>
            <w:tcW w:w="890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Currency—As of December 31, 2013</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4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46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560" w:type="dxa"/>
            <w:vAlign w:val="bottom"/>
          </w:tcPr>
          <w:p>
            <w:pPr>
              <w:spacing w:after="0"/>
              <w:rPr>
                <w:sz w:val="4"/>
                <w:szCs w:val="4"/>
                <w:color w:val="auto"/>
              </w:rPr>
            </w:pPr>
          </w:p>
        </w:tc>
      </w:tr>
      <w:tr>
        <w:trPr>
          <w:trHeight w:val="250"/>
        </w:trPr>
        <w:tc>
          <w:tcPr>
            <w:tcW w:w="89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CAD</w:t>
            </w:r>
          </w:p>
        </w:tc>
        <w:tc>
          <w:tcPr>
            <w:tcW w:w="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Buy</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21,867</w:t>
            </w:r>
          </w:p>
        </w:tc>
      </w:tr>
      <w:tr>
        <w:trPr>
          <w:trHeight w:val="459"/>
        </w:trPr>
        <w:tc>
          <w:tcPr>
            <w:tcW w:w="7440" w:type="dxa"/>
            <w:vAlign w:val="bottom"/>
            <w:gridSpan w:val="4"/>
          </w:tcPr>
          <w:p>
            <w:pPr>
              <w:ind w:left="5620"/>
              <w:spacing w:after="0"/>
              <w:rPr>
                <w:sz w:val="20"/>
                <w:szCs w:val="20"/>
                <w:color w:val="auto"/>
              </w:rPr>
            </w:pPr>
            <w:r>
              <w:rPr>
                <w:rFonts w:ascii="Arial" w:cs="Arial" w:eastAsia="Arial" w:hAnsi="Arial"/>
                <w:sz w:val="18"/>
                <w:szCs w:val="18"/>
                <w:color w:val="auto"/>
              </w:rPr>
              <w:t>22</w:t>
            </w:r>
          </w:p>
        </w:tc>
        <w:tc>
          <w:tcPr>
            <w:tcW w:w="1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i w:val="1"/>
          <w:iCs w:val="1"/>
          <w:color w:val="auto"/>
        </w:rPr>
        <w:t>In addition to historical information, this Quarterly Report on Form 10-Q contains forward-looking statements within the meaning of Section 27A of the Securities Act and Section 21E of the Exchange Act. These statements include, among other things, statements concerning our expectations regarding:</w:t>
      </w:r>
    </w:p>
    <w:p>
      <w:pPr>
        <w:spacing w:after="0" w:line="16"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variability in sales in certain product categories from year to year and between quarters;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expected impact of certain acquisitions and investments in strategic relationships;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expected impact of sales of certain products;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the proportion of our revenue that consists of our product and service revenues, and the mix of billings between products and services;</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our product innovation strategy;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expanding our reach into new high growth verticals and emerging markets and continuing to sell to large enterprises and service providers;</w:t>
      </w:r>
    </w:p>
    <w:p>
      <w:pPr>
        <w:spacing w:after="0" w:line="248" w:lineRule="exact"/>
        <w:rPr>
          <w:rFonts w:ascii="Arial" w:cs="Arial" w:eastAsia="Arial" w:hAnsi="Arial"/>
          <w:sz w:val="16"/>
          <w:szCs w:val="16"/>
          <w:i w:val="1"/>
          <w:iCs w:val="1"/>
          <w:color w:val="auto"/>
        </w:rPr>
      </w:pPr>
    </w:p>
    <w:p>
      <w:pPr>
        <w:ind w:left="1300" w:hanging="644"/>
        <w:spacing w:after="0"/>
        <w:tabs>
          <w:tab w:leader="none" w:pos="13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increasing customer expectations about the quality and functionality of our products;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trends in revenue, costs of revenue, and gross margin;</w:t>
      </w:r>
    </w:p>
    <w:p>
      <w:pPr>
        <w:spacing w:after="0" w:line="225"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trends in our operating expenses, including personnel costs, research and development expense, sales and marketing expense and general and administrative expense, and expectations regarding these expenses as a percentage of revenue;</w:t>
      </w:r>
    </w:p>
    <w:p>
      <w:pPr>
        <w:spacing w:after="0" w:line="170"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investments in research and development to strengthen our technology leadership position and in sales and marketing and the impact of those investments;</w:t>
      </w:r>
    </w:p>
    <w:p>
      <w:pPr>
        <w:spacing w:after="0" w:line="170" w:lineRule="exact"/>
        <w:rPr>
          <w:rFonts w:ascii="Arial" w:cs="Arial" w:eastAsia="Arial" w:hAnsi="Arial"/>
          <w:sz w:val="18"/>
          <w:szCs w:val="18"/>
          <w:i w:val="1"/>
          <w:iCs w:val="1"/>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expectations regarding uncertain tax benefits and our effective tax rate;</w:t>
      </w:r>
    </w:p>
    <w:p>
      <w:pPr>
        <w:spacing w:after="0" w:line="225"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expectations regarding spending related to capital expenditures, including improvements and expansion of our new corporate headquarters and other offices and the implementation of our enterprise resource planning system;</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competition in our market segment;</w:t>
      </w:r>
    </w:p>
    <w:p>
      <w:pPr>
        <w:spacing w:after="0" w:line="26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sufficiency of our existing cash, cash equivalents and investments to meet our cash needs for at least the next 12 months;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as well as other statements regarding our future operations, financial condition and prospects and business strategies.</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 Part II, Item 1A of this Quarterly Report on Form 10-Q and in our other SEC filings, including the Form 10-K. We undertake no obligation to revise or publicly release the results of any revision to these forward-looking statements. Given these risks and uncertainties, readers are cautioned not to place undue reliance on such forward-looking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provide high performance network security solutions, which enable broad, integrated and high performance protection against advanced security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threats while simplifying the IT security infrastructure for enterprises, service providers and governmental entities worldwide. Since inception through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30, 2014, we had shipped over 1,600,000 appliances via more than 28,000 channel partners to more than 200,000 end-customers worldwide, including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majority of the 2013 Fortune Global 100.</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1" w:right="25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core product line, comprised of FortiGate physical and virtual appliances, ships with a set of broad security and networking capabilities, including firewall, virtual private network (VPN), application control, antivirus, intrusion prevention, Web filtering, vulnerability management, anti-spam, wireless controller, wide area network (WAN) acceleration and native internet protocol version 6 (IPv6) support functionality. Customers select the functions or combination of functions that best meet their specific security requirements - whether that be a high-speed data center firewall (DCFW) at the network core, a next-generation firewall (NGFW) at the edge, or a broad unified threat management (UTM) solution at branch sites. We derive a substantial majority of product sales from our FortiGate appliances, which range from the FortiGate-20 to -100 series, designed for small businesses, FortiGate-200 to -800 series for mid-sized enterprises, to the FortiGate-1000 to -5000 series for large enterprises, telecommunications carriers, and service providers. Our network security platform also includes our FortiGuard security subscription services, which end-customers can subscribe to in order to obtain access to dynamic updates to intrusion prevention, application control, anti-malware, Web filtering, and anti-spam functionality. End-customers can also choose to purchase FortiCare technical support services for our products. End-customers also often use FortiManager and FortiAnalyzer products in conjunction with a FortiGate deployment to provide centralized management, analysis and reporting capabilities. We complement our core FortiGate product line with other appliances and software that offer additional protection from security threats to other critical areas of the enterprise, such as our advanced persistent threats (APTs) sandboxing product, messaging security product, Web application firewalls, databases security product, distributed denial of service attack (DDoS) security product, and endpoint security product for employee computers and mobile devices. Sales of these complementary products and related services represent less than 10% of our total revenue.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25" w:lineRule="exact"/>
        <w:rPr>
          <w:sz w:val="20"/>
          <w:szCs w:val="20"/>
          <w:color w:val="auto"/>
        </w:rPr>
      </w:pPr>
    </w:p>
    <w:p>
      <w:pPr>
        <w:ind w:left="660" w:right="40" w:hanging="328"/>
        <w:spacing w:after="0" w:line="27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recorded total revenue of $184.1 million and $353.0 million during the three and six months ended June 30, 2014, respectively. This represents an increase of 25% during each of these periods compared to the same periods last year. Product revenue was $85.4 million and $162.1 million, respectively, an increase of 28% and 30% during the three and six months ended June 30, 2014, respectively, compared to the same periods last year. Services and other revenue was $98.7 million and $190.9 million during the three and six months ended June 30, 2014, respectively, an increase of 22% and 20%, respectively, compared to the same periods last year.</w:t>
      </w:r>
    </w:p>
    <w:p>
      <w:pPr>
        <w:spacing w:after="0" w:line="172"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Cash, cash equivalents and investments were $910.6 million as of June 30, 2014, an increase of $67.5 million from December 31, 2013.</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Deferred revenue was $480.2 million as of June 30, 2014, an increase of $47.6 million from December 31, 2013</w:t>
      </w:r>
      <w:r>
        <w:rPr>
          <w:rFonts w:ascii="Arial" w:cs="Arial" w:eastAsia="Arial" w:hAnsi="Arial"/>
          <w:sz w:val="18"/>
          <w:szCs w:val="18"/>
          <w:color w:val="0000FF"/>
        </w:rPr>
        <w:t>.</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generated cash flows from operating activities of $104.7 million during the six months ended June 30, 2014, an increase of 39% compared to the same period last year.</w:t>
      </w:r>
    </w:p>
    <w:p>
      <w:pPr>
        <w:spacing w:after="0" w:line="170"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received $20.0 million pursuant to a six year mutual covenant-not-to-sue and release agreement with Palo Alto Networks, Inc. during the six months ended June 30, 2014.</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repurchased 1.0 million shares of common stock under our previously-announced Share Repurchase Program for an aggregate purchase price of $22.5 million during the six months ended June 30, 2014.</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During the three and six months ended June 30, 2014, revenue grew as a result of our focus on growth and our strategy to invest in our marketing and increase sales capacity. We also continued to gain traction with several recently introduced FortiGate products, including demand for certain of our high speed, low latency next-generation enterprise data center security product.</w:t>
      </w:r>
    </w:p>
    <w:p>
      <w:pPr>
        <w:spacing w:after="0" w:line="18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We continue to invest in sales and marketing to expand brand awareness, our global sales team and distribution channels to expand our global reach and sales capacity and meet increasing customer expectations about the quality and functionality of our products, and research and development to strengthen our technology leadership position. We continue to focus on selling to large customers, such as enterprise and service providers. As a result, we experienced increased deal volumes driven by traction in enterprise data center deployments and large enterprise deals.</w:t>
      </w:r>
    </w:p>
    <w:p>
      <w:pPr>
        <w:spacing w:after="0" w:line="171" w:lineRule="exact"/>
        <w:rPr>
          <w:sz w:val="20"/>
          <w:szCs w:val="20"/>
          <w:color w:val="auto"/>
        </w:rPr>
      </w:pPr>
    </w:p>
    <w:p>
      <w:pPr>
        <w:ind w:right="280" w:firstLine="648"/>
        <w:spacing w:after="0" w:line="302" w:lineRule="auto"/>
        <w:rPr>
          <w:sz w:val="20"/>
          <w:szCs w:val="20"/>
          <w:color w:val="auto"/>
        </w:rPr>
      </w:pPr>
      <w:r>
        <w:rPr>
          <w:rFonts w:ascii="Arial" w:cs="Arial" w:eastAsia="Arial" w:hAnsi="Arial"/>
          <w:sz w:val="16"/>
          <w:szCs w:val="16"/>
          <w:color w:val="auto"/>
        </w:rPr>
        <w:t>During the three months ended June 30, 2014, our high-end FortiGate products (FortiGate-1000 to -5000 series) accounted for 40% of billings primarily due to an increase in billings from large enterprise and service provider customers. Our mid-range products (FortiGate-200 to -800 series) accounted for 26% of billings, and our entry-level products (FortiGate-20 to -100 series) accounted for 34% of billings. In prior periods, sales of FortiGate products have generally been balanced across product categories, with some degree of variability from year to year and between quarters.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During the three and six months ended June 30, 2014, operating expenses increased by 28% and 29%, respectively, compared to the same periods last year. The increase was primarily driven by our accelerated pace of hiring and marketing investments to support our growth as we continued to invest in expanding our sales coverage, marketing capabilities, developing new products and scaling our customer support organization to meet the needs of our growing customer base. Headcount increased to 2,532 as of June 30, 2014 from 2,182 as of June 30,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Financial Metrics</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We monitor the key financial metrics set forth below to help us evaluate growth trends, establish budgets, measure the effectiveness of our sales and marketing efforts, and assess operational efficiencies. The following table summarizes revenue, deferred revenue, billings (non-GAAP), cash, cash equivalents and investments, net cash provided by operating activities, and free cash flow (non-GAAP). We discuss revenue below under “—Results of Operations,” and we discuss our cash, cash equivalents, and investments, and net cash provided by operating activities below under “—Liquidity and Capital Resources.” Deferred revenue, billings (non-GAAP), and free cash flow (non-GAAP) are discussed immediately below the following table.</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3"/>
          </w:tcPr>
          <w:p>
            <w:pPr>
              <w:jc w:val="right"/>
              <w:ind w:right="352"/>
              <w:spacing w:after="0"/>
              <w:rPr>
                <w:sz w:val="20"/>
                <w:szCs w:val="20"/>
                <w:color w:val="auto"/>
              </w:rPr>
            </w:pPr>
            <w:r>
              <w:rPr>
                <w:rFonts w:ascii="Arial" w:cs="Arial" w:eastAsia="Arial" w:hAnsi="Arial"/>
                <w:sz w:val="16"/>
                <w:szCs w:val="16"/>
                <w:b w:val="1"/>
                <w:bCs w:val="1"/>
                <w:color w:val="auto"/>
              </w:rPr>
              <w:t>Three Months Ended Or As Of</w:t>
            </w: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413"/>
              <w:spacing w:after="0"/>
              <w:rPr>
                <w:sz w:val="20"/>
                <w:szCs w:val="20"/>
                <w:color w:val="auto"/>
              </w:rPr>
            </w:pPr>
            <w:r>
              <w:rPr>
                <w:rFonts w:ascii="Arial" w:cs="Arial" w:eastAsia="Arial" w:hAnsi="Arial"/>
                <w:sz w:val="16"/>
                <w:szCs w:val="16"/>
                <w:b w:val="1"/>
                <w:bCs w:val="1"/>
                <w:color w:val="auto"/>
              </w:rPr>
              <w:t>June 30,</w:t>
            </w:r>
          </w:p>
        </w:tc>
        <w:tc>
          <w:tcPr>
            <w:tcW w:w="360" w:type="dxa"/>
            <w:vAlign w:val="bottom"/>
          </w:tcPr>
          <w:p>
            <w:pPr>
              <w:spacing w:after="0"/>
              <w:rPr>
                <w:sz w:val="18"/>
                <w:szCs w:val="18"/>
                <w:color w:val="auto"/>
              </w:rPr>
            </w:pPr>
          </w:p>
        </w:tc>
        <w:tc>
          <w:tcPr>
            <w:tcW w:w="1200" w:type="dxa"/>
            <w:vAlign w:val="bottom"/>
          </w:tcPr>
          <w:p>
            <w:pPr>
              <w:jc w:val="right"/>
              <w:ind w:right="372"/>
              <w:spacing w:after="0"/>
              <w:rPr>
                <w:sz w:val="20"/>
                <w:szCs w:val="20"/>
                <w:color w:val="auto"/>
              </w:rPr>
            </w:pPr>
            <w:r>
              <w:rPr>
                <w:rFonts w:ascii="Arial" w:cs="Arial" w:eastAsia="Arial" w:hAnsi="Arial"/>
                <w:sz w:val="16"/>
                <w:szCs w:val="16"/>
                <w:b w:val="1"/>
                <w:bCs w:val="1"/>
                <w:color w:val="auto"/>
              </w:rPr>
              <w:t>June 30,</w:t>
            </w:r>
          </w:p>
        </w:tc>
      </w:t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513"/>
              <w:spacing w:after="0"/>
              <w:rPr>
                <w:sz w:val="20"/>
                <w:szCs w:val="20"/>
                <w:color w:val="auto"/>
              </w:rPr>
            </w:pPr>
            <w:r>
              <w:rPr>
                <w:rFonts w:ascii="Arial" w:cs="Arial" w:eastAsia="Arial" w:hAnsi="Arial"/>
                <w:sz w:val="16"/>
                <w:szCs w:val="16"/>
                <w:b w:val="1"/>
                <w:bCs w:val="1"/>
                <w:color w:val="auto"/>
              </w:rPr>
              <w:t>2014</w:t>
            </w:r>
          </w:p>
        </w:tc>
        <w:tc>
          <w:tcPr>
            <w:tcW w:w="360" w:type="dxa"/>
            <w:vAlign w:val="bottom"/>
          </w:tcPr>
          <w:p>
            <w:pPr>
              <w:spacing w:after="0"/>
              <w:rPr>
                <w:sz w:val="18"/>
                <w:szCs w:val="18"/>
                <w:color w:val="auto"/>
              </w:rPr>
            </w:pPr>
          </w:p>
        </w:tc>
        <w:tc>
          <w:tcPr>
            <w:tcW w:w="12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2013</w:t>
            </w: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3"/>
          </w:tcPr>
          <w:p>
            <w:pPr>
              <w:jc w:val="right"/>
              <w:ind w:right="952"/>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184,098</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147,428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480,202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389,682</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deferred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28,899</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13,268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Billings (non-GAAP)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212,997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160,696</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investments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910,594</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814,410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43,798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37,221</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Free cash flow (non-GAAP)</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34,094</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35,186</w:t>
            </w:r>
          </w:p>
        </w:tc>
      </w:tr>
      <w:tr>
        <w:trPr>
          <w:trHeight w:val="27"/>
        </w:trPr>
        <w:tc>
          <w:tcPr>
            <w:tcW w:w="83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i w:val="1"/>
          <w:iCs w:val="1"/>
          <w:color w:val="auto"/>
        </w:rPr>
        <w:t xml:space="preserve">Deferred revenue. </w:t>
      </w:r>
      <w:r>
        <w:rPr>
          <w:rFonts w:ascii="Arial" w:cs="Arial" w:eastAsia="Arial" w:hAnsi="Arial"/>
          <w:sz w:val="17"/>
          <w:szCs w:val="17"/>
          <w:color w:val="auto"/>
        </w:rPr>
        <w:t>Our deferred revenue consists of amounts that have been invoiced but that have not yet been recognized as revenue. The majority</w:t>
      </w:r>
      <w:r>
        <w:rPr>
          <w:rFonts w:ascii="Arial" w:cs="Arial" w:eastAsia="Arial" w:hAnsi="Arial"/>
          <w:sz w:val="17"/>
          <w:szCs w:val="17"/>
          <w:i w:val="1"/>
          <w:iCs w:val="1"/>
          <w:color w:val="auto"/>
        </w:rPr>
        <w:t xml:space="preserve"> </w:t>
      </w:r>
      <w:r>
        <w:rPr>
          <w:rFonts w:ascii="Arial" w:cs="Arial" w:eastAsia="Arial" w:hAnsi="Arial"/>
          <w:sz w:val="17"/>
          <w:szCs w:val="17"/>
          <w:color w:val="auto"/>
        </w:rPr>
        <w:t>of our deferred revenue balance consists of the unamortized portion of services revenue from FortiGuard subscription and support service contracts. We monitor our deferred revenue balance because it represents a significant portion of revenue to be recognized in future periods.</w:t>
      </w:r>
    </w:p>
    <w:p>
      <w:pPr>
        <w:spacing w:after="0" w:line="16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 xml:space="preserve">Billings (Non-GAAP). </w:t>
      </w:r>
      <w:r>
        <w:rPr>
          <w:rFonts w:ascii="Arial" w:cs="Arial" w:eastAsia="Arial" w:hAnsi="Arial"/>
          <w:sz w:val="17"/>
          <w:szCs w:val="17"/>
          <w:color w:val="auto"/>
        </w:rPr>
        <w:t>We define billings as revenue recognized during a period plus the change in deferred revenue from the beginning to the end of</w:t>
      </w:r>
      <w:r>
        <w:rPr>
          <w:rFonts w:ascii="Arial" w:cs="Arial" w:eastAsia="Arial" w:hAnsi="Arial"/>
          <w:sz w:val="17"/>
          <w:szCs w:val="17"/>
          <w:i w:val="1"/>
          <w:iCs w:val="1"/>
          <w:color w:val="auto"/>
        </w:rPr>
        <w:t xml:space="preserve"> </w:t>
      </w:r>
      <w:r>
        <w:rPr>
          <w:rFonts w:ascii="Arial" w:cs="Arial" w:eastAsia="Arial" w:hAnsi="Arial"/>
          <w:sz w:val="17"/>
          <w:szCs w:val="17"/>
          <w:color w:val="auto"/>
        </w:rPr>
        <w:t>the period less deferred revenue balances acquired from business combinations, if any. We consider billings to be a useful metric for management and investors because billings drive deferred revenue, which is an important indicator of the health and visibility of our business, and has historically, represented a majority of the quarterly revenue that we recognize. There are a number of limitations related to the use of billings versus revenue calculated in accordance with GAAP. First, billings include amounts that have not yet been recognized as revenue. Second, we may calculate billings in a manner that is different from other companies that report similar financial measures. We compensate for these limitations by providing specific information regarding GAAP revenue and evaluating billings together with revenues calculated in accordance with GAAP. A reconciliation of billings to revenue, the most directly comparable financial measure calculated and presented in accordance with GAAP, is provided below:</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0" w:type="dxa"/>
            <w:vAlign w:val="bottom"/>
            <w:gridSpan w:val="4"/>
          </w:tcPr>
          <w:p>
            <w:pPr>
              <w:jc w:val="right"/>
              <w:ind w:right="934"/>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7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w:t>
            </w:r>
          </w:p>
        </w:tc>
        <w:tc>
          <w:tcPr>
            <w:tcW w:w="500" w:type="dxa"/>
            <w:vAlign w:val="bottom"/>
          </w:tcPr>
          <w:p>
            <w:pPr>
              <w:spacing w:after="0"/>
              <w:rPr>
                <w:sz w:val="18"/>
                <w:szCs w:val="18"/>
                <w:color w:val="auto"/>
              </w:rPr>
            </w:pPr>
          </w:p>
        </w:tc>
        <w:tc>
          <w:tcPr>
            <w:tcW w:w="1200" w:type="dxa"/>
            <w:vAlign w:val="bottom"/>
          </w:tcPr>
          <w:p>
            <w:pPr>
              <w:jc w:val="right"/>
              <w:ind w:right="494"/>
              <w:spacing w:after="0"/>
              <w:rPr>
                <w:sz w:val="20"/>
                <w:szCs w:val="20"/>
                <w:color w:val="auto"/>
              </w:rPr>
            </w:pPr>
            <w:r>
              <w:rPr>
                <w:rFonts w:ascii="Arial" w:cs="Arial" w:eastAsia="Arial" w:hAnsi="Arial"/>
                <w:sz w:val="16"/>
                <w:szCs w:val="16"/>
                <w:b w:val="1"/>
                <w:bCs w:val="1"/>
                <w:color w:val="auto"/>
                <w:w w:val="93"/>
              </w:rPr>
              <w:t>June 30,</w:t>
            </w:r>
          </w:p>
        </w:tc>
      </w:tr>
      <w:tr>
        <w:trPr>
          <w:trHeight w:val="210"/>
        </w:trPr>
        <w:tc>
          <w:tcPr>
            <w:tcW w:w="7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ind w:right="615"/>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ind w:right="594"/>
              <w:spacing w:after="0"/>
              <w:rPr>
                <w:sz w:val="20"/>
                <w:szCs w:val="20"/>
                <w:color w:val="auto"/>
              </w:rPr>
            </w:pPr>
            <w:r>
              <w:rPr>
                <w:rFonts w:ascii="Arial" w:cs="Arial" w:eastAsia="Arial" w:hAnsi="Arial"/>
                <w:sz w:val="16"/>
                <w:szCs w:val="16"/>
                <w:b w:val="1"/>
                <w:bCs w:val="1"/>
                <w:color w:val="auto"/>
              </w:rPr>
              <w:t>2013</w:t>
            </w:r>
          </w:p>
        </w:tc>
      </w:tr>
      <w:tr>
        <w:trPr>
          <w:trHeight w:val="33"/>
        </w:trPr>
        <w:tc>
          <w:tcPr>
            <w:tcW w:w="7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20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Billings: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184,098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147,428</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increase in deferred revenue</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28,899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13,268</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billings (Non-GAAP)</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212,997</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160,696</w:t>
            </w: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Free cash flow (Non-GAAP). </w:t>
      </w:r>
      <w:r>
        <w:rPr>
          <w:rFonts w:ascii="Arial" w:cs="Arial" w:eastAsia="Arial" w:hAnsi="Arial"/>
          <w:sz w:val="18"/>
          <w:szCs w:val="18"/>
          <w:color w:val="auto"/>
        </w:rPr>
        <w:t>Free cash flow is defined as net cash provided by operating activities less capital expenditures. We consider free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 to be a liquidity measure that provides useful information to management and</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investors about the amount of cash generated by the business that, after the acquisition of property and equipment, can be used for strategic opportunities, including investing in our business, making acquisitions, repurchasing shares of our outstanding common stock, and strengthening the balance sheet. Analysis of free cash flow facilitates comparisons of our operating results to competitors’ operating results. A limitation of using free cash flow versus the GAAP measure of net cash provided by operating activities as a means for evaluating liquidity is that free cash flow does not represent the total increase or decrease in the cash balance from operations for the period because it excludes cash used for capital expenditures. We compensate for this limitation by providing information about our capital expenditures on the face of the cash flow statement and under “—Liquidity and Capital Resources.” A reconciliation of free cash flow to net cash provided by operating activities, the most directly comparable financial measure calculated and presented in accordance with GAAP, is provided below:</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0" w:type="dxa"/>
            <w:vAlign w:val="bottom"/>
            <w:gridSpan w:val="4"/>
          </w:tcPr>
          <w:p>
            <w:pPr>
              <w:jc w:val="right"/>
              <w:ind w:right="934"/>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7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w:t>
            </w:r>
          </w:p>
        </w:tc>
        <w:tc>
          <w:tcPr>
            <w:tcW w:w="500" w:type="dxa"/>
            <w:vAlign w:val="bottom"/>
          </w:tcPr>
          <w:p>
            <w:pPr>
              <w:spacing w:after="0"/>
              <w:rPr>
                <w:sz w:val="18"/>
                <w:szCs w:val="18"/>
                <w:color w:val="auto"/>
              </w:rPr>
            </w:pPr>
          </w:p>
        </w:tc>
        <w:tc>
          <w:tcPr>
            <w:tcW w:w="1200" w:type="dxa"/>
            <w:vAlign w:val="bottom"/>
          </w:tcPr>
          <w:p>
            <w:pPr>
              <w:jc w:val="right"/>
              <w:ind w:right="494"/>
              <w:spacing w:after="0"/>
              <w:rPr>
                <w:sz w:val="20"/>
                <w:szCs w:val="20"/>
                <w:color w:val="auto"/>
              </w:rPr>
            </w:pPr>
            <w:r>
              <w:rPr>
                <w:rFonts w:ascii="Arial" w:cs="Arial" w:eastAsia="Arial" w:hAnsi="Arial"/>
                <w:sz w:val="16"/>
                <w:szCs w:val="16"/>
                <w:b w:val="1"/>
                <w:bCs w:val="1"/>
                <w:color w:val="auto"/>
                <w:w w:val="93"/>
              </w:rPr>
              <w:t>June 30,</w:t>
            </w:r>
          </w:p>
        </w:tc>
      </w:tr>
      <w:tr>
        <w:trPr>
          <w:trHeight w:val="210"/>
        </w:trPr>
        <w:tc>
          <w:tcPr>
            <w:tcW w:w="7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ind w:right="615"/>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ind w:right="594"/>
              <w:spacing w:after="0"/>
              <w:rPr>
                <w:sz w:val="20"/>
                <w:szCs w:val="20"/>
                <w:color w:val="auto"/>
              </w:rPr>
            </w:pPr>
            <w:r>
              <w:rPr>
                <w:rFonts w:ascii="Arial" w:cs="Arial" w:eastAsia="Arial" w:hAnsi="Arial"/>
                <w:sz w:val="16"/>
                <w:szCs w:val="16"/>
                <w:b w:val="1"/>
                <w:bCs w:val="1"/>
                <w:color w:val="auto"/>
              </w:rPr>
              <w:t>2013</w:t>
            </w:r>
          </w:p>
        </w:tc>
      </w:tr>
      <w:tr>
        <w:trPr>
          <w:trHeight w:val="33"/>
        </w:trPr>
        <w:tc>
          <w:tcPr>
            <w:tcW w:w="7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20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Free Cash Flow:</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43,798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37,221</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purchases of property and equipment</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(2,035)</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Free cash flow (Non-GAAP)</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34,094</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35,186</w:t>
            </w: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b w:val="1"/>
          <w:bCs w:val="1"/>
          <w:color w:val="auto"/>
        </w:rPr>
        <w:t>Critical Accounting Policies and Estimates</w:t>
      </w:r>
      <w:r>
        <w:rPr>
          <w:rFonts w:ascii="Arial" w:cs="Arial" w:eastAsia="Arial" w:hAnsi="Arial"/>
          <w:sz w:val="18"/>
          <w:szCs w:val="18"/>
          <w:color w:val="auto"/>
        </w:rPr>
        <w:t>—Our discussion and analysis of our financial condition and results of operations are based upon our</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statements, which have been prepared in accordance with GAAP. These principles require us to make estimates and judgments that affect the reported amounts of assets, liabilities, revenue and expenses, cash flow and related disclosure of contingent assets and liabilities. Our estimates include those related to revenue recognition, stock-based compensation expense, valuation of inventory, warranty liabilities and accounting for income taxes. We base our estimates on historical experience and on various other assumptions that we believe to be reasonable under the circumstances. Actual results may differ from these estimates. To the extent that there are material differences between these estimates and our actual results, our future financial statements will be affected.</w:t>
      </w:r>
    </w:p>
    <w:p>
      <w:pPr>
        <w:spacing w:after="0" w:line="19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as of and for the three and six months ended June 30, 2014, as compared to the critical accounting policies and estimates described in the Form 10-K.</w:t>
      </w:r>
    </w:p>
    <w:p>
      <w:pPr>
        <w:spacing w:after="0" w:line="180" w:lineRule="exact"/>
        <w:rPr>
          <w:sz w:val="20"/>
          <w:szCs w:val="20"/>
          <w:color w:val="auto"/>
        </w:rPr>
      </w:pPr>
    </w:p>
    <w:p>
      <w:pPr>
        <w:ind w:firstLine="648"/>
        <w:spacing w:after="0" w:line="315" w:lineRule="auto"/>
        <w:rPr>
          <w:sz w:val="20"/>
          <w:szCs w:val="20"/>
          <w:color w:val="auto"/>
        </w:rPr>
      </w:pPr>
      <w:r>
        <w:rPr>
          <w:rFonts w:ascii="Arial" w:cs="Arial" w:eastAsia="Arial" w:hAnsi="Arial"/>
          <w:sz w:val="16"/>
          <w:szCs w:val="16"/>
          <w:b w:val="1"/>
          <w:bCs w:val="1"/>
          <w:color w:val="auto"/>
        </w:rPr>
        <w:t>Reclassification</w:t>
      </w:r>
      <w:r>
        <w:rPr>
          <w:rFonts w:ascii="Arial" w:cs="Arial" w:eastAsia="Arial" w:hAnsi="Arial"/>
          <w:sz w:val="16"/>
          <w:szCs w:val="16"/>
          <w:color w:val="auto"/>
        </w:rPr>
        <w:t>—Beginning in the first quarter of 2014, the amounts previously reported as Ratable and other revenue have been combined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amounts previously reported as Services revenue in the condensed consolidated statements of operations. The combined amounts are now being presented as Services and other revenue in the condensed consolidated statements of operations. The related Cost of revenue and Gross profit, including prior period amounts, have also been combined to conform to the current period presentation. The Ratable and other revenue amounts, including the related Cost of revenue and Gross profit amounts, are not material, and the reclassification did not have any impact on our gross margin or net income.</w:t>
      </w:r>
    </w:p>
    <w:p>
      <w:pPr>
        <w:spacing w:after="0" w:line="157"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b w:val="1"/>
          <w:bCs w:val="1"/>
          <w:color w:val="auto"/>
        </w:rPr>
        <w:t>Recent Accounting Pronouncement</w:t>
      </w:r>
      <w:r>
        <w:rPr>
          <w:rFonts w:ascii="Arial" w:cs="Arial" w:eastAsia="Arial" w:hAnsi="Arial"/>
          <w:sz w:val="18"/>
          <w:szCs w:val="18"/>
          <w:color w:val="auto"/>
        </w:rPr>
        <w:t>—In May 2014, the Financial Accounting Standards Board issued Accounting Standards Update No. 2014-09</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(Topic 606) - Revenue from Contracts with Customers </w:t>
      </w:r>
      <w:r>
        <w:rPr>
          <w:rFonts w:ascii="Arial" w:cs="Arial" w:eastAsia="Arial" w:hAnsi="Arial"/>
          <w:sz w:val="18"/>
          <w:szCs w:val="18"/>
          <w:color w:val="auto"/>
        </w:rPr>
        <w:t>(“ASU 2014-09”) ”) to create a single, joint revenue standard that is consistent across all industries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for companies that prepare their financial statements in accordance with U.S. GAAP. Under ASU 2014-09, an entity is required to recognize revenue upon the transfer of promised goods or services to customers, in an amount that reflects the consideration the entity expects to be entitled to in exchange for those goods or services. ASU 2014-09 is effective for us beginning on January 1, 2017. We are currently evaluating the impact of ASU 2014-09 on our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2014 and June 30,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6"/>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center"/>
              <w:ind w:left="693"/>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left="733"/>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2014</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left="793"/>
              <w:spacing w:after="0"/>
              <w:rPr>
                <w:sz w:val="20"/>
                <w:szCs w:val="20"/>
                <w:color w:val="auto"/>
              </w:rPr>
            </w:pPr>
            <w:r>
              <w:rPr>
                <w:rFonts w:ascii="Arial" w:cs="Arial" w:eastAsia="Arial" w:hAnsi="Arial"/>
                <w:sz w:val="16"/>
                <w:szCs w:val="16"/>
                <w:b w:val="1"/>
                <w:bCs w:val="1"/>
                <w:color w:val="auto"/>
                <w:w w:val="89"/>
              </w:rPr>
              <w:t>2013</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6"/>
              </w:rPr>
              <w:t>Revenue</w:t>
            </w:r>
          </w:p>
        </w:tc>
        <w:tc>
          <w:tcPr>
            <w:tcW w:w="140" w:type="dxa"/>
            <w:vAlign w:val="bottom"/>
          </w:tcPr>
          <w:p>
            <w:pPr>
              <w:spacing w:after="0"/>
              <w:rPr>
                <w:sz w:val="18"/>
                <w:szCs w:val="18"/>
                <w:color w:val="auto"/>
              </w:rPr>
            </w:pPr>
          </w:p>
        </w:tc>
        <w:tc>
          <w:tcPr>
            <w:tcW w:w="152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1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7"/>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85,384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66,525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18,859</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28%</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98,714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80,903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17,811</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22</w:t>
            </w:r>
          </w:p>
        </w:tc>
      </w:tr>
      <w:tr>
        <w:trPr>
          <w:trHeight w:val="297"/>
        </w:trPr>
        <w:tc>
          <w:tcPr>
            <w:tcW w:w="3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184,098</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147,428</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36,670</w:t>
            </w:r>
          </w:p>
        </w:tc>
        <w:tc>
          <w:tcPr>
            <w:tcW w:w="1420" w:type="dxa"/>
            <w:vAlign w:val="bottom"/>
            <w:tcBorders>
              <w:bottom w:val="single" w:sz="8" w:color="CCEEFF"/>
            </w:tcBorders>
          </w:tcPr>
          <w:p>
            <w:pPr>
              <w:ind w:left="1060"/>
              <w:spacing w:after="0"/>
              <w:rPr>
                <w:sz w:val="20"/>
                <w:szCs w:val="20"/>
                <w:color w:val="auto"/>
              </w:rPr>
            </w:pPr>
            <w:r>
              <w:rPr>
                <w:rFonts w:ascii="Arial" w:cs="Arial" w:eastAsia="Arial" w:hAnsi="Arial"/>
                <w:sz w:val="18"/>
                <w:szCs w:val="18"/>
                <w:color w:val="auto"/>
                <w:w w:val="94"/>
              </w:rPr>
              <w:t>25%</w:t>
            </w: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78,385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60,026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18,359</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31%</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62,554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50,801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11,753</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23</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APAC</w:t>
            </w: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43,159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36,601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6,558</w:t>
            </w:r>
          </w:p>
        </w:tc>
        <w:tc>
          <w:tcPr>
            <w:tcW w:w="1420" w:type="dxa"/>
            <w:vAlign w:val="bottom"/>
          </w:tcPr>
          <w:p>
            <w:pPr>
              <w:ind w:left="1060"/>
              <w:spacing w:after="0"/>
              <w:rPr>
                <w:sz w:val="20"/>
                <w:szCs w:val="20"/>
                <w:color w:val="auto"/>
              </w:rPr>
            </w:pPr>
            <w:r>
              <w:rPr>
                <w:rFonts w:ascii="Arial" w:cs="Arial" w:eastAsia="Arial" w:hAnsi="Arial"/>
                <w:sz w:val="18"/>
                <w:szCs w:val="18"/>
                <w:color w:val="auto"/>
              </w:rPr>
              <w:t>18</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184,098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147,428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36,670</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w w:val="94"/>
              </w:rPr>
              <w:t>25%</w:t>
            </w:r>
          </w:p>
        </w:tc>
      </w:tr>
      <w:tr>
        <w:trPr>
          <w:trHeight w:val="20"/>
        </w:trPr>
        <w:tc>
          <w:tcPr>
            <w:tcW w:w="3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Total revenue increased by $36.7 million, or 25%, in the three months ended June 30, 2014 compared to the same period last year. All three regions experienced revenue growth compared to the same period last year, with Americas contributing the largest portion of our revenue growth. Product revenue increased by $18.9 million, or 28%, in the three months ended June 30, 2014, compared to the same period last year. The increase in product revenue was primarily driven by greater sales volume in our FortiGate product family due to increased demand across all product categories, particularly in our high-end products including our recently introduced FortiGate 1500D and 3700D enterprise security appliances.</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Services and other revenue increased by $17.8 million, or 22%, in the three months ended June 30, 2014 compared to the same period last year due to the recognition of revenue from our growing deferred revenue balance consisting of FortiGuard subscription and support contracts sold to a larger customer base. In addition, we experienced growth in our FortiGuard subscription offerings, FortiCare support, and our professional services revenues from existing large enterprise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40" w:type="dxa"/>
            <w:vAlign w:val="bottom"/>
            <w:gridSpan w:val="5"/>
          </w:tcPr>
          <w:p>
            <w:pPr>
              <w:ind w:left="80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09"/>
        </w:trPr>
        <w:tc>
          <w:tcPr>
            <w:tcW w:w="3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2"/>
          </w:tcPr>
          <w:p>
            <w:pPr>
              <w:ind w:left="240"/>
              <w:spacing w:after="0"/>
              <w:rPr>
                <w:sz w:val="20"/>
                <w:szCs w:val="20"/>
                <w:color w:val="auto"/>
              </w:rPr>
            </w:pPr>
            <w:r>
              <w:rPr>
                <w:rFonts w:ascii="Arial" w:cs="Arial" w:eastAsia="Arial" w:hAnsi="Arial"/>
                <w:sz w:val="16"/>
                <w:szCs w:val="16"/>
                <w:b w:val="1"/>
                <w:bCs w:val="1"/>
                <w:color w:val="auto"/>
              </w:rPr>
              <w:t>June 30,</w:t>
            </w:r>
          </w:p>
        </w:tc>
        <w:tc>
          <w:tcPr>
            <w:tcW w:w="380" w:type="dxa"/>
            <w:vAlign w:val="bottom"/>
          </w:tcPr>
          <w:p>
            <w:pPr>
              <w:spacing w:after="0"/>
              <w:rPr>
                <w:sz w:val="18"/>
                <w:szCs w:val="18"/>
                <w:color w:val="auto"/>
              </w:rPr>
            </w:pPr>
          </w:p>
        </w:tc>
        <w:tc>
          <w:tcPr>
            <w:tcW w:w="1580" w:type="dxa"/>
            <w:vAlign w:val="bottom"/>
            <w:gridSpan w:val="2"/>
          </w:tcPr>
          <w:p>
            <w:pPr>
              <w:ind w:left="240"/>
              <w:spacing w:after="0"/>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0"/>
        </w:trPr>
        <w:tc>
          <w:tcPr>
            <w:tcW w:w="3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ind w:right="673"/>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ind w:right="673"/>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jc w:val="right"/>
              <w:ind w:right="611"/>
              <w:spacing w:after="0"/>
              <w:rPr>
                <w:sz w:val="20"/>
                <w:szCs w:val="20"/>
                <w:color w:val="auto"/>
              </w:rPr>
            </w:pPr>
            <w:r>
              <w:rPr>
                <w:rFonts w:ascii="Arial" w:cs="Arial" w:eastAsia="Arial" w:hAnsi="Arial"/>
                <w:sz w:val="16"/>
                <w:szCs w:val="16"/>
                <w:b w:val="1"/>
                <w:bCs w:val="1"/>
                <w:color w:val="auto"/>
              </w:rPr>
              <w:t>Change</w:t>
            </w:r>
          </w:p>
        </w:tc>
        <w:tc>
          <w:tcPr>
            <w:tcW w:w="1960" w:type="dxa"/>
            <w:vAlign w:val="bottom"/>
          </w:tcPr>
          <w:p>
            <w:pPr>
              <w:ind w:left="66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gridSpan w:val="4"/>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17"/>
        </w:trPr>
        <w:tc>
          <w:tcPr>
            <w:tcW w:w="3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0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(in thousands except percentages)</w:t>
            </w:r>
          </w:p>
        </w:tc>
        <w:tc>
          <w:tcPr>
            <w:tcW w:w="196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500"/>
              <w:spacing w:after="0"/>
              <w:rPr>
                <w:sz w:val="20"/>
                <w:szCs w:val="20"/>
                <w:color w:val="auto"/>
              </w:rPr>
            </w:pPr>
            <w:r>
              <w:rPr>
                <w:rFonts w:ascii="Arial" w:cs="Arial" w:eastAsia="Arial" w:hAnsi="Arial"/>
                <w:sz w:val="18"/>
                <w:szCs w:val="18"/>
                <w:color w:val="auto"/>
              </w:rPr>
              <w:t>Product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3"/>
              <w:spacing w:after="0"/>
              <w:rPr>
                <w:sz w:val="20"/>
                <w:szCs w:val="20"/>
                <w:color w:val="auto"/>
              </w:rPr>
            </w:pPr>
            <w:r>
              <w:rPr>
                <w:rFonts w:ascii="Arial" w:cs="Arial" w:eastAsia="Arial" w:hAnsi="Arial"/>
                <w:sz w:val="18"/>
                <w:szCs w:val="18"/>
                <w:color w:val="auto"/>
              </w:rPr>
              <w:t>37,455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3"/>
              <w:spacing w:after="0"/>
              <w:rPr>
                <w:sz w:val="20"/>
                <w:szCs w:val="20"/>
                <w:color w:val="auto"/>
              </w:rPr>
            </w:pPr>
            <w:r>
              <w:rPr>
                <w:rFonts w:ascii="Arial" w:cs="Arial" w:eastAsia="Arial" w:hAnsi="Arial"/>
                <w:sz w:val="18"/>
                <w:szCs w:val="18"/>
                <w:color w:val="auto"/>
              </w:rPr>
              <w:t>26,948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51"/>
              <w:spacing w:after="0"/>
              <w:rPr>
                <w:sz w:val="20"/>
                <w:szCs w:val="20"/>
                <w:color w:val="auto"/>
              </w:rPr>
            </w:pPr>
            <w:r>
              <w:rPr>
                <w:rFonts w:ascii="Arial" w:cs="Arial" w:eastAsia="Arial" w:hAnsi="Arial"/>
                <w:sz w:val="18"/>
                <w:szCs w:val="18"/>
                <w:color w:val="auto"/>
              </w:rPr>
              <w:t>10,507</w:t>
            </w:r>
          </w:p>
        </w:tc>
        <w:tc>
          <w:tcPr>
            <w:tcW w:w="1960" w:type="dxa"/>
            <w:vAlign w:val="bottom"/>
          </w:tcPr>
          <w:p>
            <w:pPr>
              <w:ind w:left="1600"/>
              <w:spacing w:after="0"/>
              <w:rPr>
                <w:sz w:val="20"/>
                <w:szCs w:val="20"/>
                <w:color w:val="auto"/>
              </w:rPr>
            </w:pPr>
            <w:r>
              <w:rPr>
                <w:rFonts w:ascii="Arial" w:cs="Arial" w:eastAsia="Arial" w:hAnsi="Arial"/>
                <w:sz w:val="18"/>
                <w:szCs w:val="18"/>
                <w:color w:val="auto"/>
                <w:w w:val="94"/>
              </w:rPr>
              <w:t>39%</w:t>
            </w:r>
          </w:p>
        </w:tc>
      </w:tr>
      <w:tr>
        <w:trPr>
          <w:trHeight w:val="27"/>
        </w:trPr>
        <w:tc>
          <w:tcPr>
            <w:tcW w:w="3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 and other</w:t>
            </w:r>
          </w:p>
        </w:tc>
        <w:tc>
          <w:tcPr>
            <w:tcW w:w="3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20,302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16,760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3,542</w:t>
            </w:r>
          </w:p>
        </w:tc>
        <w:tc>
          <w:tcPr>
            <w:tcW w:w="19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21</w:t>
            </w:r>
          </w:p>
        </w:tc>
      </w:tr>
      <w:tr>
        <w:trPr>
          <w:trHeight w:val="297"/>
        </w:trPr>
        <w:tc>
          <w:tcPr>
            <w:tcW w:w="3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cost of revenue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57,757</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43,708</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14,049</w:t>
            </w:r>
          </w:p>
        </w:tc>
        <w:tc>
          <w:tcPr>
            <w:tcW w:w="1960" w:type="dxa"/>
            <w:vAlign w:val="bottom"/>
            <w:tcBorders>
              <w:bottom w:val="single" w:sz="8" w:color="CCEEFF"/>
            </w:tcBorders>
          </w:tcPr>
          <w:p>
            <w:pPr>
              <w:ind w:left="1600"/>
              <w:spacing w:after="0"/>
              <w:rPr>
                <w:sz w:val="20"/>
                <w:szCs w:val="20"/>
                <w:color w:val="auto"/>
              </w:rPr>
            </w:pPr>
            <w:r>
              <w:rPr>
                <w:rFonts w:ascii="Arial" w:cs="Arial" w:eastAsia="Arial" w:hAnsi="Arial"/>
                <w:sz w:val="18"/>
                <w:szCs w:val="18"/>
                <w:color w:val="auto"/>
                <w:w w:val="94"/>
              </w:rPr>
              <w:t>32%</w:t>
            </w:r>
          </w:p>
        </w:tc>
      </w:tr>
      <w:tr>
        <w:trPr>
          <w:trHeight w:val="237"/>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r>
      <w:tr>
        <w:trPr>
          <w:trHeight w:val="243"/>
        </w:trPr>
        <w:tc>
          <w:tcPr>
            <w:tcW w:w="3620" w:type="dxa"/>
            <w:vAlign w:val="bottom"/>
          </w:tcPr>
          <w:p>
            <w:pPr>
              <w:ind w:left="500"/>
              <w:spacing w:after="0"/>
              <w:rPr>
                <w:sz w:val="20"/>
                <w:szCs w:val="20"/>
                <w:color w:val="auto"/>
              </w:rPr>
            </w:pPr>
            <w:r>
              <w:rPr>
                <w:rFonts w:ascii="Arial" w:cs="Arial" w:eastAsia="Arial" w:hAnsi="Arial"/>
                <w:sz w:val="18"/>
                <w:szCs w:val="18"/>
                <w:color w:val="auto"/>
              </w:rPr>
              <w:t>Product</w:t>
            </w:r>
          </w:p>
        </w:tc>
        <w:tc>
          <w:tcPr>
            <w:tcW w:w="3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w:t>
            </w:r>
          </w:p>
        </w:tc>
        <w:tc>
          <w:tcPr>
            <w:tcW w:w="1960" w:type="dxa"/>
            <w:vAlign w:val="bottom"/>
          </w:tcPr>
          <w:p>
            <w:pPr>
              <w:spacing w:after="0"/>
              <w:rPr>
                <w:sz w:val="21"/>
                <w:szCs w:val="21"/>
                <w:color w:val="auto"/>
              </w:rPr>
            </w:pPr>
          </w:p>
        </w:tc>
      </w:tr>
      <w:tr>
        <w:trPr>
          <w:trHeight w:val="27"/>
        </w:trPr>
        <w:tc>
          <w:tcPr>
            <w:tcW w:w="3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 and other</w:t>
            </w: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0.1</w:t>
            </w: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3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w:t>
            </w:r>
          </w:p>
        </w:tc>
        <w:tc>
          <w:tcPr>
            <w:tcW w:w="1960" w:type="dxa"/>
            <w:vAlign w:val="bottom"/>
          </w:tcPr>
          <w:p>
            <w:pPr>
              <w:spacing w:after="0"/>
              <w:rPr>
                <w:sz w:val="21"/>
                <w:szCs w:val="21"/>
                <w:color w:val="auto"/>
              </w:rPr>
            </w:pPr>
          </w:p>
        </w:tc>
      </w:tr>
    </w:tbl>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Total gross margin decreased by 1.8 percentage points in the three months ended June 30, 2014 compared to the same period last year, as product gross margin declined. Product gross margin decreased by 3.4 percentage points in the three months ended June 30, 2014 compared to the same period last year primarily due to a $2.4 million impairment charge related to certain intangible assets. We also experienced higher warranty-related costs of $1.0 million and higher excess inventory write-offs of $0.3 million. Services and other gross margin increased by 0.1 percentage points during the three months ended June 30, 2014</w:t>
      </w:r>
    </w:p>
    <w:p>
      <w:pPr>
        <w:sectPr>
          <w:pgSz w:w="11900" w:h="16838" w:orient="portrait"/>
          <w:cols w:equalWidth="0" w:num="1">
            <w:col w:w="11420"/>
          </w:cols>
          <w:pgMar w:left="240" w:top="121"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as our continued investments in our technical support and global threat research organizations were relatively in line with our rate of growth of services and other revenue. Cost of services and other revenue increased by $3.5 million primarily due to a $1.7 million increase in personnel costs related to headcount increases and a $1.0 million increase in depreciation and occupancy-related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6"/>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center"/>
              <w:ind w:left="694"/>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left="734"/>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2014</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left="794"/>
              <w:spacing w:after="0"/>
              <w:rPr>
                <w:sz w:val="20"/>
                <w:szCs w:val="20"/>
                <w:color w:val="auto"/>
              </w:rPr>
            </w:pPr>
            <w:r>
              <w:rPr>
                <w:rFonts w:ascii="Arial" w:cs="Arial" w:eastAsia="Arial" w:hAnsi="Arial"/>
                <w:sz w:val="16"/>
                <w:szCs w:val="16"/>
                <w:b w:val="1"/>
                <w:bCs w:val="1"/>
                <w:color w:val="auto"/>
                <w:w w:val="89"/>
              </w:rPr>
              <w:t>2013</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6"/>
              </w:rPr>
              <w:t>Revenue</w:t>
            </w:r>
          </w:p>
        </w:tc>
        <w:tc>
          <w:tcPr>
            <w:tcW w:w="140" w:type="dxa"/>
            <w:vAlign w:val="bottom"/>
          </w:tcPr>
          <w:p>
            <w:pPr>
              <w:spacing w:after="0"/>
              <w:rPr>
                <w:sz w:val="18"/>
                <w:szCs w:val="18"/>
                <w:color w:val="auto"/>
              </w:rPr>
            </w:pPr>
          </w:p>
        </w:tc>
        <w:tc>
          <w:tcPr>
            <w:tcW w:w="152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1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2"/>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7"/>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29,938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25,158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4,780</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19%</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74,817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55,997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18,820</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34</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10,444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8,788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1,656</w:t>
            </w:r>
          </w:p>
        </w:tc>
        <w:tc>
          <w:tcPr>
            <w:tcW w:w="1420" w:type="dxa"/>
            <w:vAlign w:val="bottom"/>
          </w:tcPr>
          <w:p>
            <w:pPr>
              <w:ind w:left="1060"/>
              <w:spacing w:after="0"/>
              <w:rPr>
                <w:sz w:val="20"/>
                <w:szCs w:val="20"/>
                <w:color w:val="auto"/>
              </w:rPr>
            </w:pPr>
            <w:r>
              <w:rPr>
                <w:rFonts w:ascii="Arial" w:cs="Arial" w:eastAsia="Arial" w:hAnsi="Arial"/>
                <w:sz w:val="18"/>
                <w:szCs w:val="18"/>
                <w:color w:val="auto"/>
              </w:rPr>
              <w:t>19</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115,199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89,943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25,256</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w w:val="94"/>
              </w:rPr>
              <w:t>28%</w:t>
            </w:r>
          </w:p>
        </w:tc>
      </w:tr>
      <w:tr>
        <w:trPr>
          <w:trHeight w:val="20"/>
        </w:trPr>
        <w:tc>
          <w:tcPr>
            <w:tcW w:w="3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Research and development expense increased by $4.8 million, or 19%, in the three months ended June 30, 2014 compared to the same period last year primarily due to an increase of $2.2 million in personnel costs as a result of increased headcount to support the development of new products and continued enhancements of our existing products. In addition, we incurred higher product development expenses, such as third-party testing, prototypes and supplies, of $1.6 million, higher depreciation and occupancy-related costs of $1.3 million, and higher stock-based compensation expense of $0.9 million. This increase in expense was partially offset by a $0.7 million reversal of estimated contingent consideration. We intend to continue to invest in our research and development organization but expect research and development expense as a percentage of total revenue to remain at similar levels during the remainder of fiscal 2014.</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Sales and marketing expense increased by $18.8 million, or 34%, in the three months ended June 30, 2014 compared to the same period last year, primarily due to an increase of $12.3 million in personnel costs as we continued to increase our headcount in order to drive continued market share gains. In addition, we incurred increases in tradeshows, lead generation campaigns and marketing-related expenses of $3.7 million. Our stock-based compensation expense increased by $1.2 million, depreciation expense and occupancy-related costs increased by $0.9 million and marketing supplies expense increased by $0.6 million. As a percentage of revenue, sales and marketing expenses increased as we are accelerating the investment in our sales force and marketing campaigns to drive future growth. We intend to continue to make investments in sales and marketing and expect sales and marketing expense as a percentage of total revenue to remain at similar levels or increase during the remainder of fiscal 2014.</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General and administrative expense increased by $1.7 million, or 19%, in the three months ended June 30, 2014 compared to the same period last year. Stock-based compensation expense increased by $1.8 million and personnel costs increased by $0.6 million as we continued to increase our headcount in order to support our expanding business. This increase was partially offset by a decrease in legal fees of $0.5 million. We expect general and administrative expense as a percentage of total revenue to remain at similar levels during the remainder of fiscal 2014.</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00" w:type="dxa"/>
            <w:vAlign w:val="bottom"/>
          </w:tcPr>
          <w:p>
            <w:pPr>
              <w:spacing w:after="0"/>
              <w:rPr>
                <w:sz w:val="18"/>
                <w:szCs w:val="18"/>
                <w:color w:val="auto"/>
              </w:rPr>
            </w:pPr>
          </w:p>
        </w:tc>
        <w:tc>
          <w:tcPr>
            <w:tcW w:w="3740" w:type="dxa"/>
            <w:vAlign w:val="bottom"/>
            <w:gridSpan w:val="4"/>
          </w:tcPr>
          <w:p>
            <w:pPr>
              <w:jc w:val="right"/>
              <w:ind w:right="1035"/>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3"/>
        </w:trPr>
        <w:tc>
          <w:tcPr>
            <w:tcW w:w="37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09"/>
        </w:trPr>
        <w:tc>
          <w:tcPr>
            <w:tcW w:w="3700" w:type="dxa"/>
            <w:vAlign w:val="bottom"/>
          </w:tcPr>
          <w:p>
            <w:pPr>
              <w:spacing w:after="0"/>
              <w:rPr>
                <w:sz w:val="18"/>
                <w:szCs w:val="18"/>
                <w:color w:val="auto"/>
              </w:rPr>
            </w:pPr>
          </w:p>
        </w:tc>
        <w:tc>
          <w:tcPr>
            <w:tcW w:w="1240" w:type="dxa"/>
            <w:vAlign w:val="bottom"/>
          </w:tcPr>
          <w:p>
            <w:pPr>
              <w:jc w:val="center"/>
              <w:ind w:left="457"/>
              <w:spacing w:after="0"/>
              <w:rPr>
                <w:sz w:val="20"/>
                <w:szCs w:val="20"/>
                <w:color w:val="auto"/>
              </w:rPr>
            </w:pPr>
            <w:r>
              <w:rPr>
                <w:rFonts w:ascii="Arial" w:cs="Arial" w:eastAsia="Arial" w:hAnsi="Arial"/>
                <w:sz w:val="16"/>
                <w:szCs w:val="16"/>
                <w:b w:val="1"/>
                <w:bCs w:val="1"/>
                <w:color w:val="auto"/>
                <w:w w:val="90"/>
              </w:rPr>
              <w:t>June 30,</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jc w:val="right"/>
              <w:ind w:right="555"/>
              <w:spacing w:after="0"/>
              <w:rPr>
                <w:sz w:val="20"/>
                <w:szCs w:val="20"/>
                <w:color w:val="auto"/>
              </w:rPr>
            </w:pPr>
            <w:r>
              <w:rPr>
                <w:rFonts w:ascii="Arial" w:cs="Arial" w:eastAsia="Arial" w:hAnsi="Arial"/>
                <w:sz w:val="16"/>
                <w:szCs w:val="16"/>
                <w:b w:val="1"/>
                <w:bCs w:val="1"/>
                <w:color w:val="auto"/>
              </w:rPr>
              <w:t>June 30,</w:t>
            </w: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3700" w:type="dxa"/>
            <w:vAlign w:val="bottom"/>
          </w:tcPr>
          <w:p>
            <w:pPr>
              <w:spacing w:after="0"/>
              <w:rPr>
                <w:sz w:val="18"/>
                <w:szCs w:val="18"/>
                <w:color w:val="auto"/>
              </w:rPr>
            </w:pPr>
          </w:p>
        </w:tc>
        <w:tc>
          <w:tcPr>
            <w:tcW w:w="1240" w:type="dxa"/>
            <w:vAlign w:val="bottom"/>
          </w:tcPr>
          <w:p>
            <w:pPr>
              <w:jc w:val="right"/>
              <w:ind w:right="77"/>
              <w:spacing w:after="0"/>
              <w:rPr>
                <w:sz w:val="20"/>
                <w:szCs w:val="20"/>
                <w:color w:val="auto"/>
              </w:rPr>
            </w:pPr>
            <w:r>
              <w:rPr>
                <w:rFonts w:ascii="Arial" w:cs="Arial" w:eastAsia="Arial" w:hAnsi="Arial"/>
                <w:sz w:val="16"/>
                <w:szCs w:val="16"/>
                <w:b w:val="1"/>
                <w:bCs w:val="1"/>
                <w:color w:val="auto"/>
              </w:rPr>
              <w:t>2014</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jc w:val="right"/>
              <w:ind w:right="655"/>
              <w:spacing w:after="0"/>
              <w:rPr>
                <w:sz w:val="20"/>
                <w:szCs w:val="20"/>
                <w:color w:val="auto"/>
              </w:rPr>
            </w:pPr>
            <w:r>
              <w:rPr>
                <w:rFonts w:ascii="Arial" w:cs="Arial" w:eastAsia="Arial" w:hAnsi="Arial"/>
                <w:sz w:val="16"/>
                <w:szCs w:val="16"/>
                <w:b w:val="1"/>
                <w:bCs w:val="1"/>
                <w:color w:val="auto"/>
              </w:rPr>
              <w:t>2013</w:t>
            </w:r>
          </w:p>
        </w:tc>
        <w:tc>
          <w:tcPr>
            <w:tcW w:w="500" w:type="dxa"/>
            <w:vAlign w:val="bottom"/>
          </w:tcPr>
          <w:p>
            <w:pPr>
              <w:spacing w:after="0"/>
              <w:rPr>
                <w:sz w:val="18"/>
                <w:szCs w:val="18"/>
                <w:color w:val="auto"/>
              </w:rPr>
            </w:pPr>
          </w:p>
        </w:tc>
        <w:tc>
          <w:tcPr>
            <w:tcW w:w="1760" w:type="dxa"/>
            <w:vAlign w:val="bottom"/>
          </w:tcPr>
          <w:p>
            <w:pPr>
              <w:jc w:val="right"/>
              <w:ind w:right="893"/>
              <w:spacing w:after="0"/>
              <w:rPr>
                <w:sz w:val="20"/>
                <w:szCs w:val="20"/>
                <w:color w:val="auto"/>
              </w:rPr>
            </w:pPr>
            <w:r>
              <w:rPr>
                <w:rFonts w:ascii="Arial" w:cs="Arial" w:eastAsia="Arial" w:hAnsi="Arial"/>
                <w:sz w:val="16"/>
                <w:szCs w:val="16"/>
                <w:b w:val="1"/>
                <w:bCs w:val="1"/>
                <w:color w:val="auto"/>
              </w:rPr>
              <w:t>Change</w:t>
            </w:r>
          </w:p>
        </w:tc>
        <w:tc>
          <w:tcPr>
            <w:tcW w:w="1720" w:type="dxa"/>
            <w:vAlign w:val="bottom"/>
          </w:tcPr>
          <w:p>
            <w:pPr>
              <w:jc w:val="right"/>
              <w:ind w:right="51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gridSpan w:val="3"/>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3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20" w:type="dxa"/>
            <w:vAlign w:val="bottom"/>
            <w:gridSpan w:val="3"/>
          </w:tcPr>
          <w:p>
            <w:pPr>
              <w:jc w:val="right"/>
              <w:ind w:right="873"/>
              <w:spacing w:after="0"/>
              <w:rPr>
                <w:sz w:val="20"/>
                <w:szCs w:val="20"/>
                <w:color w:val="auto"/>
              </w:rPr>
            </w:pPr>
            <w:r>
              <w:rPr>
                <w:rFonts w:ascii="Arial" w:cs="Arial" w:eastAsia="Arial" w:hAnsi="Arial"/>
                <w:sz w:val="16"/>
                <w:szCs w:val="16"/>
                <w:b w:val="1"/>
                <w:bCs w:val="1"/>
                <w:color w:val="auto"/>
              </w:rPr>
              <w:t>(in thousands except percentages)</w:t>
            </w:r>
          </w:p>
        </w:tc>
        <w:tc>
          <w:tcPr>
            <w:tcW w:w="1720" w:type="dxa"/>
            <w:vAlign w:val="bottom"/>
          </w:tcPr>
          <w:p>
            <w:pPr>
              <w:spacing w:after="0"/>
              <w:rPr>
                <w:sz w:val="18"/>
                <w:szCs w:val="18"/>
                <w:color w:val="auto"/>
              </w:rPr>
            </w:pPr>
          </w:p>
        </w:tc>
      </w:tr>
      <w:tr>
        <w:trPr>
          <w:trHeight w:val="33"/>
        </w:trPr>
        <w:tc>
          <w:tcPr>
            <w:tcW w:w="3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240" w:type="dxa"/>
            <w:vAlign w:val="bottom"/>
            <w:tcBorders>
              <w:bottom w:val="single" w:sz="8" w:color="CCEEFF"/>
            </w:tcBorders>
            <w:shd w:val="clear" w:color="auto" w:fill="CCEEFF"/>
          </w:tcPr>
          <w:p>
            <w:pPr>
              <w:jc w:val="right"/>
              <w:ind w:right="103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1,319</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1,337</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rPr>
              <w:t>(18)</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expense—net</w:t>
            </w:r>
          </w:p>
        </w:tc>
        <w:tc>
          <w:tcPr>
            <w:tcW w:w="1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(574)</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w:t>
            </w:r>
          </w:p>
        </w:tc>
        <w:tc>
          <w:tcPr>
            <w:tcW w:w="500" w:type="dxa"/>
            <w:vAlign w:val="bottom"/>
          </w:tcPr>
          <w:p>
            <w:pPr>
              <w:spacing w:after="0"/>
              <w:rPr>
                <w:sz w:val="21"/>
                <w:szCs w:val="21"/>
                <w:color w:val="auto"/>
              </w:rPr>
            </w:pPr>
          </w:p>
        </w:tc>
        <w:tc>
          <w:tcPr>
            <w:tcW w:w="1760" w:type="dxa"/>
            <w:vAlign w:val="bottom"/>
          </w:tcPr>
          <w:p>
            <w:pPr>
              <w:jc w:val="right"/>
              <w:ind w:right="293"/>
              <w:spacing w:after="0"/>
              <w:rPr>
                <w:sz w:val="20"/>
                <w:szCs w:val="20"/>
                <w:color w:val="auto"/>
              </w:rPr>
            </w:pPr>
            <w:r>
              <w:rPr>
                <w:rFonts w:ascii="Arial" w:cs="Arial" w:eastAsia="Arial" w:hAnsi="Arial"/>
                <w:sz w:val="18"/>
                <w:szCs w:val="18"/>
                <w:color w:val="auto"/>
              </w:rPr>
              <w:t>(474)</w:t>
            </w:r>
          </w:p>
        </w:tc>
        <w:tc>
          <w:tcPr>
            <w:tcW w:w="1720" w:type="dxa"/>
            <w:vAlign w:val="bottom"/>
          </w:tcPr>
          <w:p>
            <w:pPr>
              <w:jc w:val="right"/>
              <w:ind w:right="153"/>
              <w:spacing w:after="0"/>
              <w:rPr>
                <w:sz w:val="20"/>
                <w:szCs w:val="20"/>
                <w:color w:val="auto"/>
              </w:rPr>
            </w:pPr>
            <w:r>
              <w:rPr>
                <w:rFonts w:ascii="Arial" w:cs="Arial" w:eastAsia="Arial" w:hAnsi="Arial"/>
                <w:sz w:val="18"/>
                <w:szCs w:val="18"/>
                <w:color w:val="auto"/>
              </w:rPr>
              <w:t>474</w:t>
            </w:r>
          </w:p>
        </w:tc>
      </w:tr>
    </w:tbl>
    <w:p>
      <w:pPr>
        <w:spacing w:after="0" w:line="229"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Interest income decreased in the three months ended June 30, 2014 compared to the same period last year due to lower interest earned despite higher invested balances of cash, cash equivalents and investments. The change in other expense—net, for the three months ended June 30, 2014 when compared to the same period last year, was the result of higher foreign exchange losses, partially offset by gains on forward contracts.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3820" w:type="dxa"/>
            <w:vAlign w:val="bottom"/>
            <w:gridSpan w:val="4"/>
          </w:tcPr>
          <w:p>
            <w:pPr>
              <w:jc w:val="right"/>
              <w:ind w:right="1075"/>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09"/>
        </w:trPr>
        <w:tc>
          <w:tcPr>
            <w:tcW w:w="3620" w:type="dxa"/>
            <w:vAlign w:val="bottom"/>
          </w:tcPr>
          <w:p>
            <w:pPr>
              <w:spacing w:after="0"/>
              <w:rPr>
                <w:sz w:val="18"/>
                <w:szCs w:val="18"/>
                <w:color w:val="auto"/>
              </w:rPr>
            </w:pPr>
          </w:p>
        </w:tc>
        <w:tc>
          <w:tcPr>
            <w:tcW w:w="1220" w:type="dxa"/>
            <w:vAlign w:val="bottom"/>
          </w:tcPr>
          <w:p>
            <w:pPr>
              <w:jc w:val="center"/>
              <w:ind w:left="497"/>
              <w:spacing w:after="0"/>
              <w:rPr>
                <w:sz w:val="20"/>
                <w:szCs w:val="20"/>
                <w:color w:val="auto"/>
              </w:rPr>
            </w:pPr>
            <w:r>
              <w:rPr>
                <w:rFonts w:ascii="Arial" w:cs="Arial" w:eastAsia="Arial" w:hAnsi="Arial"/>
                <w:sz w:val="16"/>
                <w:szCs w:val="16"/>
                <w:b w:val="1"/>
                <w:bCs w:val="1"/>
                <w:color w:val="auto"/>
                <w:w w:val="87"/>
              </w:rPr>
              <w:t>June 30,</w:t>
            </w: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jc w:val="right"/>
              <w:ind w:right="575"/>
              <w:spacing w:after="0"/>
              <w:rPr>
                <w:sz w:val="20"/>
                <w:szCs w:val="20"/>
                <w:color w:val="auto"/>
              </w:rPr>
            </w:pPr>
            <w:r>
              <w:rPr>
                <w:rFonts w:ascii="Arial" w:cs="Arial" w:eastAsia="Arial" w:hAnsi="Arial"/>
                <w:sz w:val="16"/>
                <w:szCs w:val="16"/>
                <w:b w:val="1"/>
                <w:bCs w:val="1"/>
                <w:color w:val="auto"/>
              </w:rPr>
              <w:t>June 30,</w:t>
            </w:r>
          </w:p>
        </w:tc>
        <w:tc>
          <w:tcPr>
            <w:tcW w:w="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3620" w:type="dxa"/>
            <w:vAlign w:val="bottom"/>
          </w:tcPr>
          <w:p>
            <w:pPr>
              <w:spacing w:after="0"/>
              <w:rPr>
                <w:sz w:val="18"/>
                <w:szCs w:val="18"/>
                <w:color w:val="auto"/>
              </w:rPr>
            </w:pPr>
          </w:p>
        </w:tc>
        <w:tc>
          <w:tcPr>
            <w:tcW w:w="1220" w:type="dxa"/>
            <w:vAlign w:val="bottom"/>
          </w:tcPr>
          <w:p>
            <w:pPr>
              <w:jc w:val="right"/>
              <w:ind w:right="57"/>
              <w:spacing w:after="0"/>
              <w:rPr>
                <w:sz w:val="20"/>
                <w:szCs w:val="20"/>
                <w:color w:val="auto"/>
              </w:rPr>
            </w:pPr>
            <w:r>
              <w:rPr>
                <w:rFonts w:ascii="Arial" w:cs="Arial" w:eastAsia="Arial" w:hAnsi="Arial"/>
                <w:sz w:val="16"/>
                <w:szCs w:val="16"/>
                <w:b w:val="1"/>
                <w:bCs w:val="1"/>
                <w:color w:val="auto"/>
              </w:rPr>
              <w:t>2014</w:t>
            </w: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jc w:val="right"/>
              <w:ind w:right="695"/>
              <w:spacing w:after="0"/>
              <w:rPr>
                <w:sz w:val="20"/>
                <w:szCs w:val="20"/>
                <w:color w:val="auto"/>
              </w:rPr>
            </w:pPr>
            <w:r>
              <w:rPr>
                <w:rFonts w:ascii="Arial" w:cs="Arial" w:eastAsia="Arial" w:hAnsi="Arial"/>
                <w:sz w:val="16"/>
                <w:szCs w:val="16"/>
                <w:b w:val="1"/>
                <w:bCs w:val="1"/>
                <w:color w:val="auto"/>
              </w:rPr>
              <w:t>2013</w:t>
            </w:r>
          </w:p>
        </w:tc>
        <w:tc>
          <w:tcPr>
            <w:tcW w:w="500" w:type="dxa"/>
            <w:vAlign w:val="bottom"/>
          </w:tcPr>
          <w:p>
            <w:pPr>
              <w:spacing w:after="0"/>
              <w:rPr>
                <w:sz w:val="18"/>
                <w:szCs w:val="18"/>
                <w:color w:val="auto"/>
              </w:rPr>
            </w:pPr>
          </w:p>
        </w:tc>
        <w:tc>
          <w:tcPr>
            <w:tcW w:w="1800" w:type="dxa"/>
            <w:vAlign w:val="bottom"/>
          </w:tcPr>
          <w:p>
            <w:pPr>
              <w:jc w:val="right"/>
              <w:ind w:right="913"/>
              <w:spacing w:after="0"/>
              <w:rPr>
                <w:sz w:val="20"/>
                <w:szCs w:val="20"/>
                <w:color w:val="auto"/>
              </w:rPr>
            </w:pPr>
            <w:r>
              <w:rPr>
                <w:rFonts w:ascii="Arial" w:cs="Arial" w:eastAsia="Arial" w:hAnsi="Arial"/>
                <w:sz w:val="16"/>
                <w:szCs w:val="16"/>
                <w:b w:val="1"/>
                <w:bCs w:val="1"/>
                <w:color w:val="auto"/>
              </w:rPr>
              <w:t>Change</w:t>
            </w:r>
          </w:p>
        </w:tc>
        <w:tc>
          <w:tcPr>
            <w:tcW w:w="1680" w:type="dxa"/>
            <w:vAlign w:val="bottom"/>
          </w:tcPr>
          <w:p>
            <w:pPr>
              <w:jc w:val="right"/>
              <w:ind w:right="49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3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0" w:type="dxa"/>
            <w:vAlign w:val="bottom"/>
            <w:gridSpan w:val="3"/>
          </w:tcPr>
          <w:p>
            <w:pPr>
              <w:jc w:val="right"/>
              <w:ind w:right="953"/>
              <w:spacing w:after="0"/>
              <w:rPr>
                <w:sz w:val="20"/>
                <w:szCs w:val="20"/>
                <w:color w:val="auto"/>
              </w:rPr>
            </w:pPr>
            <w:r>
              <w:rPr>
                <w:rFonts w:ascii="Arial" w:cs="Arial" w:eastAsia="Arial" w:hAnsi="Arial"/>
                <w:sz w:val="16"/>
                <w:szCs w:val="16"/>
                <w:b w:val="1"/>
                <w:bCs w:val="1"/>
                <w:color w:val="auto"/>
              </w:rPr>
              <w:t>(in thousands except percentages)</w:t>
            </w:r>
          </w:p>
        </w:tc>
        <w:tc>
          <w:tcPr>
            <w:tcW w:w="168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220" w:type="dxa"/>
            <w:vAlign w:val="bottom"/>
            <w:tcBorders>
              <w:bottom w:val="single" w:sz="8" w:color="CCEEFF"/>
            </w:tcBorders>
            <w:shd w:val="clear" w:color="auto" w:fill="CCEEFF"/>
          </w:tcPr>
          <w:p>
            <w:pPr>
              <w:jc w:val="right"/>
              <w:ind w:right="1017"/>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3"/>
              </w:rPr>
              <w:t>5,806</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6,035</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373"/>
              <w:spacing w:after="0"/>
              <w:rPr>
                <w:sz w:val="20"/>
                <w:szCs w:val="20"/>
                <w:color w:val="auto"/>
              </w:rPr>
            </w:pPr>
            <w:r>
              <w:rPr>
                <w:rFonts w:ascii="Arial" w:cs="Arial" w:eastAsia="Arial" w:hAnsi="Arial"/>
                <w:sz w:val="18"/>
                <w:szCs w:val="18"/>
                <w:color w:val="auto"/>
              </w:rPr>
              <w:t>(229)</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1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4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w:t>
            </w:r>
          </w:p>
        </w:tc>
        <w:tc>
          <w:tcPr>
            <w:tcW w:w="500" w:type="dxa"/>
            <w:vAlign w:val="bottom"/>
          </w:tcPr>
          <w:p>
            <w:pPr>
              <w:spacing w:after="0"/>
              <w:rPr>
                <w:sz w:val="21"/>
                <w:szCs w:val="21"/>
                <w:color w:val="auto"/>
              </w:rPr>
            </w:pPr>
          </w:p>
        </w:tc>
        <w:tc>
          <w:tcPr>
            <w:tcW w:w="1800" w:type="dxa"/>
            <w:vAlign w:val="bottom"/>
          </w:tcPr>
          <w:p>
            <w:pPr>
              <w:jc w:val="right"/>
              <w:ind w:right="293"/>
              <w:spacing w:after="0"/>
              <w:rPr>
                <w:sz w:val="20"/>
                <w:szCs w:val="20"/>
                <w:color w:val="auto"/>
              </w:rPr>
            </w:pPr>
            <w:r>
              <w:rPr>
                <w:rFonts w:ascii="Arial" w:cs="Arial" w:eastAsia="Arial" w:hAnsi="Arial"/>
                <w:sz w:val="18"/>
                <w:szCs w:val="18"/>
                <w:color w:val="auto"/>
              </w:rPr>
              <w:t>9%</w:t>
            </w:r>
          </w:p>
        </w:tc>
        <w:tc>
          <w:tcPr>
            <w:tcW w:w="168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effective tax rate was 49% for the three months ended June 30, 2014, compared to 40% for the same period last year. The provision for income taxes for the three months ended June 30, 2014 was comprised primarily of U.S. federal and state taxes, Singapore and other foreign income taxes, and withholding tax, as well as the inclusion of stock compensation benefits and transfer pricing allocations which impact jurisdictional income taxed at various tax rates. The increase in the effective tax rate for the three months ended June 30, 2014 as compared to the same period last year was primarily due to a change in the mix of profitability between jurisdictions, an increase in non-tax deductible stock-based compensation expense, limitations on utilizing foreign tax credits, and expiration of the U.S. federal research and development credit effective December 31, 2013. The U.S. Congress has not extended the research and development tax credit as of June 30, 2014.</w:t>
      </w:r>
    </w:p>
    <w:p>
      <w:pPr>
        <w:spacing w:after="0" w:line="17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It is our policy to classify accrued interest and penalties related to unrecognized tax benefits in the provision for income taxes. As of June 30, 2014, we had accrued approximately $1.4 million for estimated interest related to uncertain tax positions.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Within the next twelve months, we do not believe there will be a decrease in uncertain tax benefits that could impact our future effective tax rate.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2014 and June 30,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6"/>
          </w:tcPr>
          <w:p>
            <w:pPr>
              <w:ind w:left="440"/>
              <w:spacing w:after="0"/>
              <w:rPr>
                <w:sz w:val="20"/>
                <w:szCs w:val="20"/>
                <w:color w:val="auto"/>
              </w:rPr>
            </w:pPr>
            <w:r>
              <w:rPr>
                <w:rFonts w:ascii="Arial" w:cs="Arial" w:eastAsia="Arial" w:hAnsi="Arial"/>
                <w:sz w:val="16"/>
                <w:szCs w:val="16"/>
                <w:b w:val="1"/>
                <w:bCs w:val="1"/>
                <w:color w:val="auto"/>
              </w:rPr>
              <w:t>Six Months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center"/>
              <w:ind w:left="693"/>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left="733"/>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2014</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left="793"/>
              <w:spacing w:after="0"/>
              <w:rPr>
                <w:sz w:val="20"/>
                <w:szCs w:val="20"/>
                <w:color w:val="auto"/>
              </w:rPr>
            </w:pPr>
            <w:r>
              <w:rPr>
                <w:rFonts w:ascii="Arial" w:cs="Arial" w:eastAsia="Arial" w:hAnsi="Arial"/>
                <w:sz w:val="16"/>
                <w:szCs w:val="16"/>
                <w:b w:val="1"/>
                <w:bCs w:val="1"/>
                <w:color w:val="auto"/>
                <w:w w:val="89"/>
              </w:rPr>
              <w:t>2013</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6"/>
              </w:rPr>
              <w:t>Revenue</w:t>
            </w:r>
          </w:p>
        </w:tc>
        <w:tc>
          <w:tcPr>
            <w:tcW w:w="140" w:type="dxa"/>
            <w:vAlign w:val="bottom"/>
          </w:tcPr>
          <w:p>
            <w:pPr>
              <w:spacing w:after="0"/>
              <w:rPr>
                <w:sz w:val="18"/>
                <w:szCs w:val="18"/>
                <w:color w:val="auto"/>
              </w:rPr>
            </w:pPr>
          </w:p>
        </w:tc>
        <w:tc>
          <w:tcPr>
            <w:tcW w:w="152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1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7"/>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162,149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124,475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37,674</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30%</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190,898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158,773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32,125</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20</w:t>
            </w:r>
          </w:p>
        </w:tc>
      </w:tr>
      <w:tr>
        <w:trPr>
          <w:trHeight w:val="297"/>
        </w:trPr>
        <w:tc>
          <w:tcPr>
            <w:tcW w:w="3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353,047</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283,248</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69,799</w:t>
            </w:r>
          </w:p>
        </w:tc>
        <w:tc>
          <w:tcPr>
            <w:tcW w:w="1420" w:type="dxa"/>
            <w:vAlign w:val="bottom"/>
            <w:tcBorders>
              <w:bottom w:val="single" w:sz="8" w:color="CCEEFF"/>
            </w:tcBorders>
          </w:tcPr>
          <w:p>
            <w:pPr>
              <w:ind w:left="1060"/>
              <w:spacing w:after="0"/>
              <w:rPr>
                <w:sz w:val="20"/>
                <w:szCs w:val="20"/>
                <w:color w:val="auto"/>
              </w:rPr>
            </w:pPr>
            <w:r>
              <w:rPr>
                <w:rFonts w:ascii="Arial" w:cs="Arial" w:eastAsia="Arial" w:hAnsi="Arial"/>
                <w:sz w:val="18"/>
                <w:szCs w:val="18"/>
                <w:color w:val="auto"/>
                <w:w w:val="94"/>
              </w:rPr>
              <w:t>25%</w:t>
            </w: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150,817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112,653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38,164</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34%</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119,197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98,127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21,070</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21</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APAC</w:t>
            </w: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83,033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72,468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10,565</w:t>
            </w:r>
          </w:p>
        </w:tc>
        <w:tc>
          <w:tcPr>
            <w:tcW w:w="1420" w:type="dxa"/>
            <w:vAlign w:val="bottom"/>
          </w:tcPr>
          <w:p>
            <w:pPr>
              <w:ind w:left="1060"/>
              <w:spacing w:after="0"/>
              <w:rPr>
                <w:sz w:val="20"/>
                <w:szCs w:val="20"/>
                <w:color w:val="auto"/>
              </w:rPr>
            </w:pPr>
            <w:r>
              <w:rPr>
                <w:rFonts w:ascii="Arial" w:cs="Arial" w:eastAsia="Arial" w:hAnsi="Arial"/>
                <w:sz w:val="18"/>
                <w:szCs w:val="18"/>
                <w:color w:val="auto"/>
              </w:rPr>
              <w:t>15</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353,047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283,248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69,799</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w w:val="94"/>
              </w:rPr>
              <w:t>25%</w:t>
            </w:r>
          </w:p>
        </w:tc>
      </w:tr>
      <w:tr>
        <w:trPr>
          <w:trHeight w:val="20"/>
        </w:trPr>
        <w:tc>
          <w:tcPr>
            <w:tcW w:w="3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Total revenue increased by $69.8 million, or 25%, in the six months ended June 30, 2014 compared to the same period last year. All three regions experienced revenue growth compared to the same period last year, with Americas contributing the largest portion of our revenue growth. Product revenue increased by $37.7 million, or 30%, in the six months ended June 30, 2014, compared to the same period last year. The increase in product revenue was primarily driven by greater sales volume in our FortiGate product family due to increased demand across all product categories, particularly in our high-end products including our recently introduced FortiGate 1500D and 3700D enterprise security appliances.</w:t>
      </w:r>
    </w:p>
    <w:p>
      <w:pPr>
        <w:spacing w:after="0" w:line="17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Services and other revenue increased by $32.1 million, or 20%, in the six months ended June 30, 2014 compared to the same period last year due to the recognition of revenue from our growing deferred revenue balance consisting of FortiGuard subscription and support contracts sold to a larger customer base. In addition, we experienced growth in our FortiGuard subscription offerings, FortiCare support, and our professional services revenues from existing large enterprise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2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09"/>
        </w:trPr>
        <w:tc>
          <w:tcPr>
            <w:tcW w:w="3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30,</w:t>
            </w:r>
          </w:p>
        </w:tc>
        <w:tc>
          <w:tcPr>
            <w:tcW w:w="62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0"/>
        </w:trPr>
        <w:tc>
          <w:tcPr>
            <w:tcW w:w="3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jc w:val="right"/>
              <w:ind w:right="693"/>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jc w:val="right"/>
              <w:ind w:right="673"/>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jc w:val="right"/>
              <w:ind w:right="611"/>
              <w:spacing w:after="0"/>
              <w:rPr>
                <w:sz w:val="20"/>
                <w:szCs w:val="20"/>
                <w:color w:val="auto"/>
              </w:rPr>
            </w:pPr>
            <w:r>
              <w:rPr>
                <w:rFonts w:ascii="Arial" w:cs="Arial" w:eastAsia="Arial" w:hAnsi="Arial"/>
                <w:sz w:val="16"/>
                <w:szCs w:val="16"/>
                <w:b w:val="1"/>
                <w:bCs w:val="1"/>
                <w:color w:val="auto"/>
              </w:rPr>
              <w:t>Change</w:t>
            </w:r>
          </w:p>
        </w:tc>
        <w:tc>
          <w:tcPr>
            <w:tcW w:w="1960" w:type="dxa"/>
            <w:vAlign w:val="bottom"/>
          </w:tcPr>
          <w:p>
            <w:pPr>
              <w:ind w:left="66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4"/>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17"/>
        </w:trPr>
        <w:tc>
          <w:tcPr>
            <w:tcW w:w="3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6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w w:val="93"/>
              </w:rPr>
              <w:t>(in thousands except percentages)</w:t>
            </w:r>
          </w:p>
        </w:tc>
        <w:tc>
          <w:tcPr>
            <w:tcW w:w="196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500"/>
              <w:spacing w:after="0"/>
              <w:rPr>
                <w:sz w:val="20"/>
                <w:szCs w:val="20"/>
                <w:color w:val="auto"/>
              </w:rPr>
            </w:pPr>
            <w:r>
              <w:rPr>
                <w:rFonts w:ascii="Arial" w:cs="Arial" w:eastAsia="Arial" w:hAnsi="Arial"/>
                <w:sz w:val="18"/>
                <w:szCs w:val="18"/>
                <w:color w:val="auto"/>
              </w:rPr>
              <w:t>Product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3"/>
              <w:spacing w:after="0"/>
              <w:rPr>
                <w:sz w:val="20"/>
                <w:szCs w:val="20"/>
                <w:color w:val="auto"/>
              </w:rPr>
            </w:pPr>
            <w:r>
              <w:rPr>
                <w:rFonts w:ascii="Arial" w:cs="Arial" w:eastAsia="Arial" w:hAnsi="Arial"/>
                <w:sz w:val="18"/>
                <w:szCs w:val="18"/>
                <w:color w:val="auto"/>
              </w:rPr>
              <w:t>69,594</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49,906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51"/>
              <w:spacing w:after="0"/>
              <w:rPr>
                <w:sz w:val="20"/>
                <w:szCs w:val="20"/>
                <w:color w:val="auto"/>
              </w:rPr>
            </w:pPr>
            <w:r>
              <w:rPr>
                <w:rFonts w:ascii="Arial" w:cs="Arial" w:eastAsia="Arial" w:hAnsi="Arial"/>
                <w:sz w:val="18"/>
                <w:szCs w:val="18"/>
                <w:color w:val="auto"/>
              </w:rPr>
              <w:t>19,688</w:t>
            </w:r>
          </w:p>
        </w:tc>
        <w:tc>
          <w:tcPr>
            <w:tcW w:w="1960" w:type="dxa"/>
            <w:vAlign w:val="bottom"/>
          </w:tcPr>
          <w:p>
            <w:pPr>
              <w:ind w:left="1600"/>
              <w:spacing w:after="0"/>
              <w:rPr>
                <w:sz w:val="20"/>
                <w:szCs w:val="20"/>
                <w:color w:val="auto"/>
              </w:rPr>
            </w:pPr>
            <w:r>
              <w:rPr>
                <w:rFonts w:ascii="Arial" w:cs="Arial" w:eastAsia="Arial" w:hAnsi="Arial"/>
                <w:sz w:val="18"/>
                <w:szCs w:val="18"/>
                <w:color w:val="auto"/>
                <w:w w:val="94"/>
              </w:rPr>
              <w:t>39%</w:t>
            </w:r>
          </w:p>
        </w:tc>
      </w:tr>
      <w:tr>
        <w:trPr>
          <w:trHeight w:val="27"/>
        </w:trPr>
        <w:tc>
          <w:tcPr>
            <w:tcW w:w="3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38,906</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32,930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5,976</w:t>
            </w:r>
          </w:p>
        </w:tc>
        <w:tc>
          <w:tcPr>
            <w:tcW w:w="19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18</w:t>
            </w:r>
          </w:p>
        </w:tc>
      </w:tr>
      <w:tr>
        <w:trPr>
          <w:trHeight w:val="297"/>
        </w:trPr>
        <w:tc>
          <w:tcPr>
            <w:tcW w:w="3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cost of revenue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108,500</w:t>
            </w:r>
          </w:p>
        </w:tc>
        <w:tc>
          <w:tcPr>
            <w:tcW w:w="100" w:type="dxa"/>
            <w:vAlign w:val="bottom"/>
            <w:tcBorders>
              <w:bottom w:val="single" w:sz="8" w:color="CCEEFF"/>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82,836</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25,664</w:t>
            </w:r>
          </w:p>
        </w:tc>
        <w:tc>
          <w:tcPr>
            <w:tcW w:w="1960" w:type="dxa"/>
            <w:vAlign w:val="bottom"/>
            <w:tcBorders>
              <w:bottom w:val="single" w:sz="8" w:color="CCEEFF"/>
            </w:tcBorders>
          </w:tcPr>
          <w:p>
            <w:pPr>
              <w:ind w:left="1600"/>
              <w:spacing w:after="0"/>
              <w:rPr>
                <w:sz w:val="20"/>
                <w:szCs w:val="20"/>
                <w:color w:val="auto"/>
              </w:rPr>
            </w:pPr>
            <w:r>
              <w:rPr>
                <w:rFonts w:ascii="Arial" w:cs="Arial" w:eastAsia="Arial" w:hAnsi="Arial"/>
                <w:sz w:val="18"/>
                <w:szCs w:val="18"/>
                <w:color w:val="auto"/>
                <w:w w:val="94"/>
              </w:rPr>
              <w:t>31%</w:t>
            </w:r>
          </w:p>
        </w:tc>
      </w:tr>
      <w:tr>
        <w:trPr>
          <w:trHeight w:val="237"/>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r>
      <w:tr>
        <w:trPr>
          <w:trHeight w:val="243"/>
        </w:trPr>
        <w:tc>
          <w:tcPr>
            <w:tcW w:w="3620" w:type="dxa"/>
            <w:vAlign w:val="bottom"/>
          </w:tcPr>
          <w:p>
            <w:pPr>
              <w:ind w:left="500"/>
              <w:spacing w:after="0"/>
              <w:rPr>
                <w:sz w:val="20"/>
                <w:szCs w:val="20"/>
                <w:color w:val="auto"/>
              </w:rPr>
            </w:pPr>
            <w:r>
              <w:rPr>
                <w:rFonts w:ascii="Arial" w:cs="Arial" w:eastAsia="Arial" w:hAnsi="Arial"/>
                <w:sz w:val="18"/>
                <w:szCs w:val="18"/>
                <w:color w:val="auto"/>
              </w:rPr>
              <w:t>Product</w:t>
            </w:r>
          </w:p>
        </w:tc>
        <w:tc>
          <w:tcPr>
            <w:tcW w:w="3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w:t>
            </w:r>
          </w:p>
        </w:tc>
        <w:tc>
          <w:tcPr>
            <w:tcW w:w="1960" w:type="dxa"/>
            <w:vAlign w:val="bottom"/>
          </w:tcPr>
          <w:p>
            <w:pPr>
              <w:spacing w:after="0"/>
              <w:rPr>
                <w:sz w:val="21"/>
                <w:szCs w:val="21"/>
                <w:color w:val="auto"/>
              </w:rPr>
            </w:pPr>
          </w:p>
        </w:tc>
      </w:tr>
      <w:tr>
        <w:trPr>
          <w:trHeight w:val="27"/>
        </w:trPr>
        <w:tc>
          <w:tcPr>
            <w:tcW w:w="3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0.3</w:t>
            </w: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3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w:t>
            </w:r>
          </w:p>
        </w:tc>
        <w:tc>
          <w:tcPr>
            <w:tcW w:w="1960" w:type="dxa"/>
            <w:vAlign w:val="bottom"/>
          </w:tcPr>
          <w:p>
            <w:pPr>
              <w:spacing w:after="0"/>
              <w:rPr>
                <w:sz w:val="21"/>
                <w:szCs w:val="21"/>
                <w:color w:val="auto"/>
              </w:rPr>
            </w:pPr>
          </w:p>
        </w:tc>
      </w:tr>
    </w:tbl>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Total gross margin decreased by 1.5 percentage points in the six months ended June 30, 2014 compared to the same period last year, as product gross margin declined. Product gross margin decreased by 2.8 percentage points in the six months ended June 30, 2014 compared to the same period last year primarily due to a $2.4 million impairment charge related to certain intangible assets. In addition, warranty-related costs increased by $1.3 million, excess inventory write-offs increased by $1.3 million, and personnel costs increased by $0.5 million. Services and other gross margin increased by 0.3 percentage points during the six months ended June 30, 2014 as our continued investments in our technical support and global threat research organizations were relatively in line with our rate of growth of services and other revenue. Cost of services and other revenue</w:t>
      </w:r>
    </w:p>
    <w:p>
      <w:pPr>
        <w:sectPr>
          <w:pgSz w:w="11900" w:h="16838" w:orient="portrait"/>
          <w:cols w:equalWidth="0" w:num="1">
            <w:col w:w="11420"/>
          </w:cols>
          <w:pgMar w:left="240" w:top="121"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increased by $6.0 million primarily due to a $3.5 million increase in personnel costs related to headcount increases and a $1.4 million increase in depreciation and occupancy-related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6"/>
          </w:tcPr>
          <w:p>
            <w:pPr>
              <w:ind w:left="440"/>
              <w:spacing w:after="0"/>
              <w:rPr>
                <w:sz w:val="20"/>
                <w:szCs w:val="20"/>
                <w:color w:val="auto"/>
              </w:rPr>
            </w:pPr>
            <w:r>
              <w:rPr>
                <w:rFonts w:ascii="Arial" w:cs="Arial" w:eastAsia="Arial" w:hAnsi="Arial"/>
                <w:sz w:val="16"/>
                <w:szCs w:val="16"/>
                <w:b w:val="1"/>
                <w:bCs w:val="1"/>
                <w:color w:val="auto"/>
              </w:rPr>
              <w:t>Six Months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center"/>
              <w:ind w:left="694"/>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left="734"/>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2014</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left="794"/>
              <w:spacing w:after="0"/>
              <w:rPr>
                <w:sz w:val="20"/>
                <w:szCs w:val="20"/>
                <w:color w:val="auto"/>
              </w:rPr>
            </w:pPr>
            <w:r>
              <w:rPr>
                <w:rFonts w:ascii="Arial" w:cs="Arial" w:eastAsia="Arial" w:hAnsi="Arial"/>
                <w:sz w:val="16"/>
                <w:szCs w:val="16"/>
                <w:b w:val="1"/>
                <w:bCs w:val="1"/>
                <w:color w:val="auto"/>
                <w:w w:val="89"/>
              </w:rPr>
              <w:t>2013</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6"/>
              </w:rPr>
              <w:t>Revenue</w:t>
            </w:r>
          </w:p>
        </w:tc>
        <w:tc>
          <w:tcPr>
            <w:tcW w:w="140" w:type="dxa"/>
            <w:vAlign w:val="bottom"/>
          </w:tcPr>
          <w:p>
            <w:pPr>
              <w:spacing w:after="0"/>
              <w:rPr>
                <w:sz w:val="18"/>
                <w:szCs w:val="18"/>
                <w:color w:val="auto"/>
              </w:rPr>
            </w:pPr>
          </w:p>
        </w:tc>
        <w:tc>
          <w:tcPr>
            <w:tcW w:w="152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1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2"/>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7"/>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58,993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48,492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10,501</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22%</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142,143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105,973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36,170</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34</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19,454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16,779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2,675</w:t>
            </w:r>
          </w:p>
        </w:tc>
        <w:tc>
          <w:tcPr>
            <w:tcW w:w="1420" w:type="dxa"/>
            <w:vAlign w:val="bottom"/>
          </w:tcPr>
          <w:p>
            <w:pPr>
              <w:ind w:left="1060"/>
              <w:spacing w:after="0"/>
              <w:rPr>
                <w:sz w:val="20"/>
                <w:szCs w:val="20"/>
                <w:color w:val="auto"/>
              </w:rPr>
            </w:pPr>
            <w:r>
              <w:rPr>
                <w:rFonts w:ascii="Arial" w:cs="Arial" w:eastAsia="Arial" w:hAnsi="Arial"/>
                <w:sz w:val="18"/>
                <w:szCs w:val="18"/>
                <w:color w:val="auto"/>
              </w:rPr>
              <w:t>16</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220,590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171,244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49,346</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w w:val="94"/>
              </w:rPr>
              <w:t>29%</w:t>
            </w:r>
          </w:p>
        </w:tc>
      </w:tr>
      <w:tr>
        <w:trPr>
          <w:trHeight w:val="20"/>
        </w:trPr>
        <w:tc>
          <w:tcPr>
            <w:tcW w:w="3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Research and development expense increased by $10.5 million, or 22%, in the six months ended June 30, 2014 compared to the same period last year primarily due to an increase of $5.3 million in personnel costs as a result of increased headcount to support the development of new products and continued enhancements of our existing products. In addition, we incurred higher product development expenses, such as third-party testing, prototypes and supplies, of $3.8 million and higher stock-based compensation expense of $2.0 million, and higher depreciation and occupancy-related costs of $1.8 million. This increase in expense was partially offset by a $1.9 million reversal of estimated contingent consideration.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Sales and marketing expense increased by $36.2 million, or 34%, in the six months ended June 30, 2014 compared to the same period last year, primarily due to an increase of $24.0 million in personnel costs as we continued to increase our headcount in order to drive continued market share gains. We also increased marketing-related expenses by $5.6 million as we invested in tradeshows and lead generation campaigns. In addition, we incurred increases in stock-based compensation of $2.8 million, depreciation and occupancy-related costs of $1.3 million, travel expense of $1.0 million and marketing supplies of $0.8 million. As a percentage of revenue, sales and marketing expenses increased as we are accelerating the investment in our sales force and marketing campaigns to drive future growth.</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General and administrative expense increased by $2.7 million, or 16%, in the six months ended June 30, 2014 compared to the same period last year. Stock-based compensation expense increased by $2.3 million and personnel costs increased by $1.6 million as we continued to increase our headcount in order to support our expanding business. The increase in expense was partially offset by a decrease of $0.7 million in legal fees and $0.6 million in other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(expense) income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520" w:type="dxa"/>
            <w:vAlign w:val="bottom"/>
            <w:gridSpan w:val="3"/>
          </w:tcPr>
          <w:p>
            <w:pPr>
              <w:jc w:val="right"/>
              <w:ind w:right="1115"/>
              <w:spacing w:after="0"/>
              <w:rPr>
                <w:sz w:val="20"/>
                <w:szCs w:val="20"/>
                <w:color w:val="auto"/>
              </w:rPr>
            </w:pPr>
            <w:r>
              <w:rPr>
                <w:rFonts w:ascii="Arial" w:cs="Arial" w:eastAsia="Arial" w:hAnsi="Arial"/>
                <w:sz w:val="16"/>
                <w:szCs w:val="16"/>
                <w:b w:val="1"/>
                <w:bCs w:val="1"/>
                <w:color w:val="auto"/>
                <w:w w:val="93"/>
              </w:rPr>
              <w:t>Six Months Ended</w:t>
            </w: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3"/>
        </w:trPr>
        <w:tc>
          <w:tcPr>
            <w:tcW w:w="37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09"/>
        </w:trPr>
        <w:tc>
          <w:tcPr>
            <w:tcW w:w="3720" w:type="dxa"/>
            <w:vAlign w:val="bottom"/>
          </w:tcPr>
          <w:p>
            <w:pPr>
              <w:spacing w:after="0"/>
              <w:rPr>
                <w:sz w:val="18"/>
                <w:szCs w:val="18"/>
                <w:color w:val="auto"/>
              </w:rPr>
            </w:pPr>
          </w:p>
        </w:tc>
        <w:tc>
          <w:tcPr>
            <w:tcW w:w="1200" w:type="dxa"/>
            <w:vAlign w:val="bottom"/>
          </w:tcPr>
          <w:p>
            <w:pPr>
              <w:jc w:val="center"/>
              <w:ind w:left="496"/>
              <w:spacing w:after="0"/>
              <w:rPr>
                <w:sz w:val="20"/>
                <w:szCs w:val="20"/>
                <w:color w:val="auto"/>
              </w:rPr>
            </w:pPr>
            <w:r>
              <w:rPr>
                <w:rFonts w:ascii="Arial" w:cs="Arial" w:eastAsia="Arial" w:hAnsi="Arial"/>
                <w:sz w:val="16"/>
                <w:szCs w:val="16"/>
                <w:b w:val="1"/>
                <w:bCs w:val="1"/>
                <w:color w:val="auto"/>
                <w:w w:val="90"/>
              </w:rPr>
              <w:t>June 30,</w:t>
            </w: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ind w:right="535"/>
              <w:spacing w:after="0"/>
              <w:rPr>
                <w:sz w:val="20"/>
                <w:szCs w:val="20"/>
                <w:color w:val="auto"/>
              </w:rPr>
            </w:pPr>
            <w:r>
              <w:rPr>
                <w:rFonts w:ascii="Arial" w:cs="Arial" w:eastAsia="Arial" w:hAnsi="Arial"/>
                <w:sz w:val="16"/>
                <w:szCs w:val="16"/>
                <w:b w:val="1"/>
                <w:bCs w:val="1"/>
                <w:color w:val="auto"/>
              </w:rPr>
              <w:t>June 30,</w:t>
            </w: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3720" w:type="dxa"/>
            <w:vAlign w:val="bottom"/>
          </w:tcPr>
          <w:p>
            <w:pPr>
              <w:spacing w:after="0"/>
              <w:rPr>
                <w:sz w:val="18"/>
                <w:szCs w:val="18"/>
                <w:color w:val="auto"/>
              </w:rPr>
            </w:pPr>
          </w:p>
        </w:tc>
        <w:tc>
          <w:tcPr>
            <w:tcW w:w="1200" w:type="dxa"/>
            <w:vAlign w:val="bottom"/>
          </w:tcPr>
          <w:p>
            <w:pPr>
              <w:jc w:val="right"/>
              <w:ind w:right="56"/>
              <w:spacing w:after="0"/>
              <w:rPr>
                <w:sz w:val="20"/>
                <w:szCs w:val="20"/>
                <w:color w:val="auto"/>
              </w:rPr>
            </w:pPr>
            <w:r>
              <w:rPr>
                <w:rFonts w:ascii="Arial" w:cs="Arial" w:eastAsia="Arial" w:hAnsi="Arial"/>
                <w:sz w:val="16"/>
                <w:szCs w:val="16"/>
                <w:b w:val="1"/>
                <w:bCs w:val="1"/>
                <w:color w:val="auto"/>
              </w:rPr>
              <w:t>2014</w:t>
            </w: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ind w:right="655"/>
              <w:spacing w:after="0"/>
              <w:rPr>
                <w:sz w:val="20"/>
                <w:szCs w:val="20"/>
                <w:color w:val="auto"/>
              </w:rPr>
            </w:pPr>
            <w:r>
              <w:rPr>
                <w:rFonts w:ascii="Arial" w:cs="Arial" w:eastAsia="Arial" w:hAnsi="Arial"/>
                <w:sz w:val="16"/>
                <w:szCs w:val="16"/>
                <w:b w:val="1"/>
                <w:bCs w:val="1"/>
                <w:color w:val="auto"/>
              </w:rPr>
              <w:t>2013</w:t>
            </w:r>
          </w:p>
        </w:tc>
        <w:tc>
          <w:tcPr>
            <w:tcW w:w="500" w:type="dxa"/>
            <w:vAlign w:val="bottom"/>
          </w:tcPr>
          <w:p>
            <w:pPr>
              <w:spacing w:after="0"/>
              <w:rPr>
                <w:sz w:val="18"/>
                <w:szCs w:val="18"/>
                <w:color w:val="auto"/>
              </w:rPr>
            </w:pPr>
          </w:p>
        </w:tc>
        <w:tc>
          <w:tcPr>
            <w:tcW w:w="1760" w:type="dxa"/>
            <w:vAlign w:val="bottom"/>
          </w:tcPr>
          <w:p>
            <w:pPr>
              <w:jc w:val="right"/>
              <w:ind w:right="893"/>
              <w:spacing w:after="0"/>
              <w:rPr>
                <w:sz w:val="20"/>
                <w:szCs w:val="20"/>
                <w:color w:val="auto"/>
              </w:rPr>
            </w:pPr>
            <w:r>
              <w:rPr>
                <w:rFonts w:ascii="Arial" w:cs="Arial" w:eastAsia="Arial" w:hAnsi="Arial"/>
                <w:sz w:val="16"/>
                <w:szCs w:val="16"/>
                <w:b w:val="1"/>
                <w:bCs w:val="1"/>
                <w:color w:val="auto"/>
              </w:rPr>
              <w:t>Change</w:t>
            </w:r>
          </w:p>
        </w:tc>
        <w:tc>
          <w:tcPr>
            <w:tcW w:w="1720" w:type="dxa"/>
            <w:vAlign w:val="bottom"/>
          </w:tcPr>
          <w:p>
            <w:pPr>
              <w:jc w:val="right"/>
              <w:ind w:right="51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gridSpan w:val="3"/>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3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00" w:type="dxa"/>
            <w:vAlign w:val="bottom"/>
            <w:gridSpan w:val="3"/>
          </w:tcPr>
          <w:p>
            <w:pPr>
              <w:jc w:val="right"/>
              <w:ind w:right="873"/>
              <w:spacing w:after="0"/>
              <w:rPr>
                <w:sz w:val="20"/>
                <w:szCs w:val="20"/>
                <w:color w:val="auto"/>
              </w:rPr>
            </w:pPr>
            <w:r>
              <w:rPr>
                <w:rFonts w:ascii="Arial" w:cs="Arial" w:eastAsia="Arial" w:hAnsi="Arial"/>
                <w:sz w:val="16"/>
                <w:szCs w:val="16"/>
                <w:b w:val="1"/>
                <w:bCs w:val="1"/>
                <w:color w:val="auto"/>
              </w:rPr>
              <w:t>(in thousands except percentages)</w:t>
            </w:r>
          </w:p>
        </w:tc>
        <w:tc>
          <w:tcPr>
            <w:tcW w:w="1720" w:type="dxa"/>
            <w:vAlign w:val="bottom"/>
          </w:tcPr>
          <w:p>
            <w:pPr>
              <w:spacing w:after="0"/>
              <w:rPr>
                <w:sz w:val="18"/>
                <w:szCs w:val="18"/>
                <w:color w:val="auto"/>
              </w:rPr>
            </w:pPr>
          </w:p>
        </w:tc>
      </w:tr>
      <w:tr>
        <w:trPr>
          <w:trHeight w:val="33"/>
        </w:trPr>
        <w:tc>
          <w:tcPr>
            <w:tcW w:w="3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20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2,652</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2,706</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rPr>
              <w:t>(54)</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Other (expense) income—net</w:t>
            </w:r>
          </w:p>
        </w:tc>
        <w:tc>
          <w:tcPr>
            <w:tcW w:w="120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(963)</w:t>
            </w:r>
          </w:p>
        </w:tc>
        <w:tc>
          <w:tcPr>
            <w:tcW w:w="42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115</w:t>
            </w:r>
          </w:p>
        </w:tc>
        <w:tc>
          <w:tcPr>
            <w:tcW w:w="500" w:type="dxa"/>
            <w:vAlign w:val="bottom"/>
          </w:tcPr>
          <w:p>
            <w:pPr>
              <w:spacing w:after="0"/>
              <w:rPr>
                <w:sz w:val="21"/>
                <w:szCs w:val="21"/>
                <w:color w:val="auto"/>
              </w:rPr>
            </w:pPr>
          </w:p>
        </w:tc>
        <w:tc>
          <w:tcPr>
            <w:tcW w:w="1760" w:type="dxa"/>
            <w:vAlign w:val="bottom"/>
          </w:tcPr>
          <w:p>
            <w:pPr>
              <w:jc w:val="right"/>
              <w:ind w:right="293"/>
              <w:spacing w:after="0"/>
              <w:rPr>
                <w:sz w:val="20"/>
                <w:szCs w:val="20"/>
                <w:color w:val="auto"/>
              </w:rPr>
            </w:pPr>
            <w:r>
              <w:rPr>
                <w:rFonts w:ascii="Arial" w:cs="Arial" w:eastAsia="Arial" w:hAnsi="Arial"/>
                <w:sz w:val="18"/>
                <w:szCs w:val="18"/>
                <w:color w:val="auto"/>
              </w:rPr>
              <w:t>(1,078)</w:t>
            </w:r>
          </w:p>
        </w:tc>
        <w:tc>
          <w:tcPr>
            <w:tcW w:w="1720" w:type="dxa"/>
            <w:vAlign w:val="bottom"/>
          </w:tcPr>
          <w:p>
            <w:pPr>
              <w:jc w:val="right"/>
              <w:ind w:right="93"/>
              <w:spacing w:after="0"/>
              <w:rPr>
                <w:sz w:val="20"/>
                <w:szCs w:val="20"/>
                <w:color w:val="auto"/>
              </w:rPr>
            </w:pPr>
            <w:r>
              <w:rPr>
                <w:rFonts w:ascii="Arial" w:cs="Arial" w:eastAsia="Arial" w:hAnsi="Arial"/>
                <w:sz w:val="18"/>
                <w:szCs w:val="18"/>
                <w:color w:val="auto"/>
              </w:rPr>
              <w:t>(937)</w:t>
            </w:r>
          </w:p>
        </w:tc>
      </w:tr>
    </w:tbl>
    <w:p>
      <w:pPr>
        <w:spacing w:after="0" w:line="229"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Interest income decreased in the six months ended June 30, 2014 compared to the same period last year due to lower interest earned despite higher invested balances of cash, cash equivalents and investments. The change in other (expense) income—net, for the six months ended June 30, 2014 when compared to the same period last year, was the result of higher foreign exchange losses, partially offset by gains on forward contracts.</w:t>
      </w:r>
    </w:p>
    <w:p>
      <w:pPr>
        <w:sectPr>
          <w:pgSz w:w="11900" w:h="16838" w:orient="portrait"/>
          <w:cols w:equalWidth="0" w:num="1">
            <w:col w:w="11420"/>
          </w:cols>
          <w:pgMar w:left="240" w:top="121"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1" w:right="23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0" w:type="dxa"/>
            <w:vAlign w:val="bottom"/>
            <w:gridSpan w:val="2"/>
          </w:tcPr>
          <w:p>
            <w:pPr>
              <w:jc w:val="right"/>
              <w:spacing w:after="0"/>
              <w:rPr>
                <w:sz w:val="20"/>
                <w:szCs w:val="20"/>
                <w:color w:val="auto"/>
              </w:rPr>
            </w:pPr>
            <w:r>
              <w:rPr>
                <w:rFonts w:ascii="Arial" w:cs="Arial" w:eastAsia="Arial" w:hAnsi="Arial"/>
                <w:sz w:val="16"/>
                <w:szCs w:val="16"/>
                <w:b w:val="1"/>
                <w:bCs w:val="1"/>
                <w:color w:val="auto"/>
              </w:rPr>
              <w:t>Six Months Ended</w:t>
            </w: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3"/>
        </w:trPr>
        <w:tc>
          <w:tcPr>
            <w:tcW w:w="36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09"/>
        </w:trPr>
        <w:tc>
          <w:tcPr>
            <w:tcW w:w="3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jc w:val="right"/>
              <w:ind w:right="635"/>
              <w:spacing w:after="0"/>
              <w:rPr>
                <w:sz w:val="20"/>
                <w:szCs w:val="20"/>
                <w:color w:val="auto"/>
              </w:rPr>
            </w:pPr>
            <w:r>
              <w:rPr>
                <w:rFonts w:ascii="Arial" w:cs="Arial" w:eastAsia="Arial" w:hAnsi="Arial"/>
                <w:sz w:val="16"/>
                <w:szCs w:val="16"/>
                <w:b w:val="1"/>
                <w:bCs w:val="1"/>
                <w:color w:val="auto"/>
              </w:rPr>
              <w:t>June 30,</w:t>
            </w:r>
          </w:p>
        </w:tc>
        <w:tc>
          <w:tcPr>
            <w:tcW w:w="660" w:type="dxa"/>
            <w:vAlign w:val="bottom"/>
          </w:tcPr>
          <w:p>
            <w:pPr>
              <w:spacing w:after="0"/>
              <w:rPr>
                <w:sz w:val="18"/>
                <w:szCs w:val="18"/>
                <w:color w:val="auto"/>
              </w:rPr>
            </w:pPr>
          </w:p>
        </w:tc>
        <w:tc>
          <w:tcPr>
            <w:tcW w:w="1260" w:type="dxa"/>
            <w:vAlign w:val="bottom"/>
          </w:tcPr>
          <w:p>
            <w:pPr>
              <w:ind w:left="20"/>
              <w:spacing w:after="0"/>
              <w:rPr>
                <w:sz w:val="20"/>
                <w:szCs w:val="20"/>
                <w:color w:val="auto"/>
              </w:rPr>
            </w:pPr>
            <w:r>
              <w:rPr>
                <w:rFonts w:ascii="Arial" w:cs="Arial" w:eastAsia="Arial" w:hAnsi="Arial"/>
                <w:sz w:val="16"/>
                <w:szCs w:val="16"/>
                <w:b w:val="1"/>
                <w:bCs w:val="1"/>
                <w:color w:val="auto"/>
              </w:rPr>
              <w:t>June 30,</w:t>
            </w:r>
          </w:p>
        </w:tc>
        <w:tc>
          <w:tcPr>
            <w:tcW w:w="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0"/>
        </w:trPr>
        <w:tc>
          <w:tcPr>
            <w:tcW w:w="3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jc w:val="right"/>
              <w:ind w:right="735"/>
              <w:spacing w:after="0"/>
              <w:rPr>
                <w:sz w:val="20"/>
                <w:szCs w:val="20"/>
                <w:color w:val="auto"/>
              </w:rPr>
            </w:pPr>
            <w:r>
              <w:rPr>
                <w:rFonts w:ascii="Arial" w:cs="Arial" w:eastAsia="Arial" w:hAnsi="Arial"/>
                <w:sz w:val="16"/>
                <w:szCs w:val="16"/>
                <w:b w:val="1"/>
                <w:bCs w:val="1"/>
                <w:color w:val="auto"/>
              </w:rPr>
              <w:t>2014</w:t>
            </w:r>
          </w:p>
        </w:tc>
        <w:tc>
          <w:tcPr>
            <w:tcW w:w="66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6"/>
                <w:szCs w:val="16"/>
                <w:b w:val="1"/>
                <w:bCs w:val="1"/>
                <w:color w:val="auto"/>
              </w:rPr>
              <w:t>2013</w:t>
            </w:r>
          </w:p>
        </w:tc>
        <w:tc>
          <w:tcPr>
            <w:tcW w:w="500" w:type="dxa"/>
            <w:vAlign w:val="bottom"/>
          </w:tcPr>
          <w:p>
            <w:pPr>
              <w:spacing w:after="0"/>
              <w:rPr>
                <w:sz w:val="18"/>
                <w:szCs w:val="18"/>
                <w:color w:val="auto"/>
              </w:rPr>
            </w:pPr>
          </w:p>
        </w:tc>
        <w:tc>
          <w:tcPr>
            <w:tcW w:w="1780" w:type="dxa"/>
            <w:vAlign w:val="bottom"/>
          </w:tcPr>
          <w:p>
            <w:pPr>
              <w:jc w:val="right"/>
              <w:ind w:right="893"/>
              <w:spacing w:after="0"/>
              <w:rPr>
                <w:sz w:val="20"/>
                <w:szCs w:val="20"/>
                <w:color w:val="auto"/>
              </w:rPr>
            </w:pPr>
            <w:r>
              <w:rPr>
                <w:rFonts w:ascii="Arial" w:cs="Arial" w:eastAsia="Arial" w:hAnsi="Arial"/>
                <w:sz w:val="16"/>
                <w:szCs w:val="16"/>
                <w:b w:val="1"/>
                <w:bCs w:val="1"/>
                <w:color w:val="auto"/>
              </w:rPr>
              <w:t>Change</w:t>
            </w:r>
          </w:p>
        </w:tc>
        <w:tc>
          <w:tcPr>
            <w:tcW w:w="1660" w:type="dxa"/>
            <w:vAlign w:val="bottom"/>
          </w:tcPr>
          <w:p>
            <w:pPr>
              <w:jc w:val="right"/>
              <w:ind w:right="47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7"/>
        </w:trPr>
        <w:tc>
          <w:tcPr>
            <w:tcW w:w="3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540" w:type="dxa"/>
            <w:vAlign w:val="bottom"/>
            <w:gridSpan w:val="3"/>
          </w:tcPr>
          <w:p>
            <w:pPr>
              <w:ind w:left="160"/>
              <w:spacing w:after="0"/>
              <w:rPr>
                <w:sz w:val="20"/>
                <w:szCs w:val="20"/>
                <w:color w:val="auto"/>
              </w:rPr>
            </w:pPr>
            <w:r>
              <w:rPr>
                <w:rFonts w:ascii="Arial" w:cs="Arial" w:eastAsia="Arial" w:hAnsi="Arial"/>
                <w:sz w:val="16"/>
                <w:szCs w:val="16"/>
                <w:b w:val="1"/>
                <w:bCs w:val="1"/>
                <w:color w:val="auto"/>
              </w:rPr>
              <w:t>(in thousands except percentages)</w:t>
            </w:r>
          </w:p>
        </w:tc>
        <w:tc>
          <w:tcPr>
            <w:tcW w:w="1660" w:type="dxa"/>
            <w:vAlign w:val="bottom"/>
          </w:tcPr>
          <w:p>
            <w:pPr>
              <w:spacing w:after="0"/>
              <w:rPr>
                <w:sz w:val="18"/>
                <w:szCs w:val="18"/>
                <w:color w:val="auto"/>
              </w:rPr>
            </w:pPr>
          </w:p>
        </w:tc>
      </w:tr>
      <w:tr>
        <w:trPr>
          <w:trHeight w:val="33"/>
        </w:trPr>
        <w:tc>
          <w:tcPr>
            <w:tcW w:w="3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11,172</w:t>
            </w:r>
          </w:p>
        </w:tc>
        <w:tc>
          <w:tcPr>
            <w:tcW w:w="6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10,761</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413"/>
              <w:spacing w:after="0"/>
              <w:rPr>
                <w:sz w:val="20"/>
                <w:szCs w:val="20"/>
                <w:color w:val="auto"/>
              </w:rPr>
            </w:pPr>
            <w:r>
              <w:rPr>
                <w:rFonts w:ascii="Arial" w:cs="Arial" w:eastAsia="Arial" w:hAnsi="Arial"/>
                <w:sz w:val="18"/>
                <w:szCs w:val="18"/>
                <w:color w:val="auto"/>
              </w:rPr>
              <w:t>411</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380" w:type="dxa"/>
            <w:vAlign w:val="bottom"/>
          </w:tcPr>
          <w:p>
            <w:pPr>
              <w:spacing w:after="0"/>
              <w:rPr>
                <w:sz w:val="21"/>
                <w:szCs w:val="21"/>
                <w:color w:val="auto"/>
              </w:rPr>
            </w:pP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44%</w:t>
            </w:r>
          </w:p>
        </w:tc>
        <w:tc>
          <w:tcPr>
            <w:tcW w:w="6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w:t>
            </w:r>
          </w:p>
        </w:tc>
        <w:tc>
          <w:tcPr>
            <w:tcW w:w="500" w:type="dxa"/>
            <w:vAlign w:val="bottom"/>
          </w:tcPr>
          <w:p>
            <w:pPr>
              <w:spacing w:after="0"/>
              <w:rPr>
                <w:sz w:val="21"/>
                <w:szCs w:val="21"/>
                <w:color w:val="auto"/>
              </w:rPr>
            </w:pPr>
          </w:p>
        </w:tc>
        <w:tc>
          <w:tcPr>
            <w:tcW w:w="1780" w:type="dxa"/>
            <w:vAlign w:val="bottom"/>
          </w:tcPr>
          <w:p>
            <w:pPr>
              <w:jc w:val="right"/>
              <w:ind w:right="273"/>
              <w:spacing w:after="0"/>
              <w:rPr>
                <w:sz w:val="20"/>
                <w:szCs w:val="20"/>
                <w:color w:val="auto"/>
              </w:rPr>
            </w:pPr>
            <w:r>
              <w:rPr>
                <w:rFonts w:ascii="Arial" w:cs="Arial" w:eastAsia="Arial" w:hAnsi="Arial"/>
                <w:sz w:val="18"/>
                <w:szCs w:val="18"/>
                <w:color w:val="auto"/>
              </w:rPr>
              <w:t>10%</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Our effective tax rate was 44% for the six months ended June 30, 2014, compared to 34% for the same period last year. The provision for income taxes for the six months ended June 30, 2014 was comprised primarily of U.S. federal and state taxes, Singapore and other foreign income taxes, and withholding tax, as well as the inclusion of stock compensation benefits and transfer pricing allocations which impact jurisdictional income taxed at various tax rates. The increase in the effective tax rate for the six months ended June 30, 2014 as compared to the same period last year was primarily due to a change in the mix of profitability between jurisdictions, an increase in non-tax deductible stock-based compensation expense, limitations on utilizing foreign tax credits, and expiration of the U.S. federal research and development credit effective December 31, 2013.</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June 30,</w:t>
            </w:r>
          </w:p>
        </w:tc>
        <w:tc>
          <w:tcPr>
            <w:tcW w:w="180" w:type="dxa"/>
            <w:vAlign w:val="bottom"/>
          </w:tcPr>
          <w:p>
            <w:pPr>
              <w:spacing w:after="0"/>
              <w:rPr>
                <w:sz w:val="17"/>
                <w:szCs w:val="17"/>
                <w:color w:val="auto"/>
              </w:rPr>
            </w:pPr>
          </w:p>
        </w:tc>
        <w:tc>
          <w:tcPr>
            <w:tcW w:w="1300" w:type="dxa"/>
            <w:vAlign w:val="bottom"/>
          </w:tcPr>
          <w:p>
            <w:pPr>
              <w:jc w:val="center"/>
              <w:ind w:right="113"/>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center"/>
              <w:ind w:right="194"/>
              <w:spacing w:after="0"/>
              <w:rPr>
                <w:sz w:val="20"/>
                <w:szCs w:val="20"/>
                <w:color w:val="auto"/>
              </w:rPr>
            </w:pPr>
            <w:r>
              <w:rPr>
                <w:rFonts w:ascii="Arial" w:cs="Arial" w:eastAsia="Arial" w:hAnsi="Arial"/>
                <w:sz w:val="16"/>
                <w:szCs w:val="16"/>
                <w:b w:val="1"/>
                <w:bCs w:val="1"/>
                <w:color w:val="auto"/>
                <w:w w:val="95"/>
              </w:rPr>
              <w:t>2014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2013</w:t>
            </w: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4"/>
          </w:tcPr>
          <w:p>
            <w:pPr>
              <w:jc w:val="center"/>
              <w:ind w:right="173"/>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203,947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115,873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706,647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727,172</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investments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910,594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843,045</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1"/>
        </w:trPr>
        <w:tc>
          <w:tcPr>
            <w:tcW w:w="83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380,861</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322,485</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710"/>
        </w:trPr>
        <w:tc>
          <w:tcPr>
            <w:tcW w:w="8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gridSpan w:val="4"/>
          </w:tcPr>
          <w:p>
            <w:pPr>
              <w:jc w:val="center"/>
              <w:ind w:right="153"/>
              <w:spacing w:after="0"/>
              <w:rPr>
                <w:sz w:val="20"/>
                <w:szCs w:val="20"/>
                <w:color w:val="auto"/>
              </w:rPr>
            </w:pPr>
            <w:r>
              <w:rPr>
                <w:rFonts w:ascii="Arial" w:cs="Arial" w:eastAsia="Arial" w:hAnsi="Arial"/>
                <w:sz w:val="16"/>
                <w:szCs w:val="16"/>
                <w:b w:val="1"/>
                <w:bCs w:val="1"/>
                <w:color w:val="auto"/>
                <w:w w:val="92"/>
              </w:rPr>
              <w:t>Six Months Ended</w:t>
            </w: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June 30,</w:t>
            </w:r>
          </w:p>
        </w:tc>
        <w:tc>
          <w:tcPr>
            <w:tcW w:w="180" w:type="dxa"/>
            <w:vAlign w:val="bottom"/>
          </w:tcPr>
          <w:p>
            <w:pPr>
              <w:spacing w:after="0"/>
              <w:rPr>
                <w:sz w:val="18"/>
                <w:szCs w:val="18"/>
                <w:color w:val="auto"/>
              </w:rPr>
            </w:pPr>
          </w:p>
        </w:tc>
        <w:tc>
          <w:tcPr>
            <w:tcW w:w="1300" w:type="dxa"/>
            <w:vAlign w:val="bottom"/>
          </w:tcPr>
          <w:p>
            <w:pPr>
              <w:jc w:val="center"/>
              <w:ind w:right="113"/>
              <w:spacing w:after="0"/>
              <w:rPr>
                <w:sz w:val="20"/>
                <w:szCs w:val="20"/>
                <w:color w:val="auto"/>
              </w:rPr>
            </w:pPr>
            <w:r>
              <w:rPr>
                <w:rFonts w:ascii="Arial" w:cs="Arial" w:eastAsia="Arial" w:hAnsi="Arial"/>
                <w:sz w:val="16"/>
                <w:szCs w:val="16"/>
                <w:b w:val="1"/>
                <w:bCs w:val="1"/>
                <w:color w:val="auto"/>
                <w:w w:val="90"/>
              </w:rPr>
              <w:t>June 30,</w:t>
            </w:r>
          </w:p>
        </w:tc>
      </w:t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center"/>
              <w:ind w:right="194"/>
              <w:spacing w:after="0"/>
              <w:rPr>
                <w:sz w:val="20"/>
                <w:szCs w:val="20"/>
                <w:color w:val="auto"/>
              </w:rPr>
            </w:pPr>
            <w:r>
              <w:rPr>
                <w:rFonts w:ascii="Arial" w:cs="Arial" w:eastAsia="Arial" w:hAnsi="Arial"/>
                <w:sz w:val="16"/>
                <w:szCs w:val="16"/>
                <w:b w:val="1"/>
                <w:bCs w:val="1"/>
                <w:color w:val="auto"/>
                <w:w w:val="95"/>
              </w:rPr>
              <w:t>2014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2013</w:t>
            </w: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4"/>
          </w:tcPr>
          <w:p>
            <w:pPr>
              <w:jc w:val="center"/>
              <w:ind w:right="173"/>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104,700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75,332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(91,514)</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17,484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(809)</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88,074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493</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Liquidity and capital resources may be impacted by our operating activities, as well as acquisitions, capital expenditures and investments in strategic relationships that we have made or may make in the future. During the six months ended June 30, 2014, we received a cash payment of $20.0 million pursuant to a six year mutual covenant-not-to-sue and release agreement with Palo Alto Networks, Inc. We expect to spend up to $20.0 million related to our capital expenditures, primarily related to the improvement and expansion of our corporate headquarters and other offices, as well as the implementation of our enterprise resource planning system during the remainder of fiscal 2014. Additionally, our liquidity may be impacted if we were to repurchase additional shares of our outstanding common stock under our Share Repurchase Program. As of June 30, 2014, $138.6 million remained available for future share repurchases under this program, which will be financed through our available working capital.</w:t>
      </w:r>
    </w:p>
    <w:p>
      <w:pPr>
        <w:spacing w:after="0" w:line="178" w:lineRule="exact"/>
        <w:rPr>
          <w:sz w:val="20"/>
          <w:szCs w:val="20"/>
          <w:color w:val="auto"/>
        </w:rPr>
      </w:pPr>
    </w:p>
    <w:p>
      <w:pPr>
        <w:ind w:right="500" w:firstLine="648"/>
        <w:spacing w:after="0" w:line="259" w:lineRule="auto"/>
        <w:rPr>
          <w:sz w:val="20"/>
          <w:szCs w:val="20"/>
          <w:color w:val="auto"/>
        </w:rPr>
      </w:pPr>
      <w:r>
        <w:rPr>
          <w:rFonts w:ascii="Arial" w:cs="Arial" w:eastAsia="Arial" w:hAnsi="Arial"/>
          <w:sz w:val="18"/>
          <w:szCs w:val="18"/>
          <w:color w:val="auto"/>
        </w:rPr>
        <w:t>As of June 30, 2014, our cash, cash equivalents and investments of $910.6 million were held for working-capital purposes and were invested primarily in corporate debt securities, commercial paper, municipal bonds, certificates of deposit and term deposits, money market funds, and U.S. government and agency securities. It is our investment policy to invest excess cash in a manner that preserves capital, provides liquidity and maximizes return.</w:t>
      </w:r>
    </w:p>
    <w:p>
      <w:pPr>
        <w:sectPr>
          <w:pgSz w:w="11900" w:h="16838" w:orient="portrait"/>
          <w:cols w:equalWidth="0" w:num="1">
            <w:col w:w="11420"/>
          </w:cols>
          <w:pgMar w:left="240" w:top="12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As of June 30, 2014, $180.5 million of our cash and investments was held by our international subsidiaries and is therefore not immediately available to fund domestic operations unless the cash is repatriated. While we do not intend to do so, should this amount be repatriated, it would be subject to U.S. federal income tax which would be partially offset by foreign tax credits. We do not enter into investments for trading or speculative purposes. We believe that our existing cash and cash equivalents will be sufficient to meet our anticipated cash needs for at least the next 12 months. Our future capital requirements will depend on many factors including our growth rate, the timing and extent of spending to support development efforts, the expansion of sales and marketing activities, the introduction of new and enhanced products and services offerings, the costs to ensure access to adequate manufacturing capacity, the continuing market acceptance of our products, share repurchases, and future capital expenditures related to real estate and infrastructure. Historically, we have required capital principally to fund our working capital needs, capital expenditures, share repurchases, and acquisition activities.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Cash generated by operating activities is our primary source of liquidity. It is primarily comprised of net income, adjusted for non-cash items, and changes in operating assets and liabilities. Non-cash adjustments consist primarily of stock-based compensation, depreciation of property and equipment, amortization of intangible assets, excess tax benefit from stock-based compensation, and amortization of investment premiums.</w:t>
      </w:r>
    </w:p>
    <w:p>
      <w:pPr>
        <w:spacing w:after="0" w:line="16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Our operating activities during the six months ended June 30, 2014 provided $104.7 million in cash as a result of our growth in billings, profitability, and the ability to successfully manage our working capital. The primary sources of cash from operating activities during the six months ended June 30, 2014 consisted of net income of $14.5 million increased by non-cash adjustments of $44.4 million and changes in operating assets and liabilities of $45.8 million. During the six months ended June 30, 2014, we received $20.0 million pursuant to a six year mutual covenant-not-to-sue and release agreement with Palo Alto Networks, Inc. Changes in operating assets and liabilities primarily included an increase in payments received from customers and a receipt of cash related to the mutual covenant-not-to-sue and release agreement, partially offset by payment of income taxes during the period.</w:t>
      </w:r>
    </w:p>
    <w:p>
      <w:pPr>
        <w:spacing w:after="0" w:line="165"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Our operating activities during the six months ended June 30, 2013 provided $75.3 million in cash. The primary sources of cash from operating activities during the six months ended June 30, 2013 consisted of net income of $21.2 million increased by non-cash adjustments of $30.4 million and changes in operating assets and liabilities of $23.7 million. Changes in operating assets and liabilities primarily included an increase in payments received from customers, partially offset by payment for inventory purchases.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changes in cash flows from investing activities primarily relate to timing of purchases, maturities, and sales of investments, purchases of property and equipment, and payments made in connection with acquisitions.</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During the six months ended June 30, 2014, cash used was primarily due to $21.0 million for our capital expenditures, partially offset by positive cash flow due to maturities, net of purchases, from our investments of $12.7 million.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the six months ended June 30, 2013, cash used was primarily due to $82.0 million net purchases of investments, $6.0 million for acquisitions, and $3.6 million for the purchases of property and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The changes in cash flows from financing activities primarily relate to proceeds from the issuance of common stock, taxes paid related to net share settlement of equity awards, excess tax benefit from stock-based compensation, and repurchase and retirement of common stock.</w:t>
      </w:r>
    </w:p>
    <w:p>
      <w:pPr>
        <w:spacing w:after="0" w:line="147"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During the six months ended June 30, 2014, we used $27.2 million and $5.5 million of our cash to repurchase and retire our common stock and pay taxes related to withholding upon the issuance of restricted stock units, respectively. This cash outflow was partially offset by proceeds of $22.5 million from the issuance of common stock under our stock plans, as well as excess tax benefit from employee stock-based compensation of $2.4 million.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During the six months ended June 30, 2013, we had positive cash flow of $17.5 million as a result of proceeds of $15.6 million from the issuance of common stock under our stock plans and an excess tax benefit from employee stock option exercises of $1.9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There have been no material changes outside the ordinary course of business during the six months ended June 30, 2014, to the contractual obligations and commitments disclosed in Management’s Discussion and Analysis of Financial Condition and Results of Operations, set forth in Part II, Item 7, of the Form 10-K.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As of June 30, 2014,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3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There have been no material changes in our market risk during the six months ended June 30, 2014, compared to the disclosures in Part II, Item 7A of the Form 10-K.</w:t>
      </w:r>
    </w:p>
    <w:p>
      <w:pPr>
        <w:spacing w:after="0" w:line="38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management, with the participation of our Chief Executive Officer (“CEO”) and Chief Financial Officer (“CFO”), evaluated the effectiveness of our disclosure controls and procedures (as defined in Rule 13a-15(e) or 15d-15(e) under the Exchange Act) as of June 30, 2014.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9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Based on that evaluation, our CEO and CFO concluded that our disclosure controls and procedures were effective as of June 30, 2014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CEO and CFO, as appropriate, to allow timely decisions regarding required disclosure.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or 15d-15(f) under the Exchange Act) during the three months ended June 30, 2014 that have materially affected, or are reasonably likely to materially affect, our internal control over financial reporting.</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1" w:right="25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currently have any litigation matters that we expect will have a material adverse effect on our business.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are subject to various claims, complaints and legal actions that arise from time to time in the normal course of business. We believe that the possibility that any of these claims, complaints or legal proceedings will result in a material loss is remote. There can be no assurance that existing or future legal proceedings arising in the ordinary course of business or otherwise will not have a material adverse effect on our business, consolidated financial position, results of operations or cash flows.</w:t>
      </w:r>
    </w:p>
    <w:p>
      <w:pPr>
        <w:spacing w:after="0" w:line="39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Investors should carefully consider the following risks and all other information contained in this Quarterly Report on Form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and investors may lose some or all of their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are likely to vary significantly and be unpredictable.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and may be difficult to predict, including:</w:t>
      </w:r>
    </w:p>
    <w:p>
      <w:pPr>
        <w:spacing w:after="0" w:line="170"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demand for our products and services, which may render forecasts inaccurate;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timing of channel partner and end-customer orders and our reliance on a concentration of shipments at the end of each quarter;</w:t>
      </w:r>
    </w:p>
    <w:p>
      <w:pPr>
        <w:spacing w:after="0" w:line="236" w:lineRule="exact"/>
        <w:rPr>
          <w:rFonts w:ascii="Arial" w:cs="Arial" w:eastAsia="Arial" w:hAnsi="Arial"/>
          <w:sz w:val="17"/>
          <w:szCs w:val="17"/>
          <w:color w:val="auto"/>
        </w:rPr>
      </w:pPr>
    </w:p>
    <w:p>
      <w:pPr>
        <w:ind w:left="1300" w:right="380" w:hanging="644"/>
        <w:spacing w:after="0" w:line="308"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timing of shipments, which may depend on many factors such as inventory levels and logistics, our ability to ship new products on schedule and to accurately forecast inventory requirements, and potential delays in the manufacturing process;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inventory imbalances, such as those related to new products and the end of life of existing products;</w:t>
      </w:r>
    </w:p>
    <w:p>
      <w:pPr>
        <w:spacing w:after="0" w:line="225"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mix of products sold, the mix of revenue between products and services and the degree to which products and services are bundled and sold together for a package price;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budgeting cycles and purchasing practices of our channel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seasonal buying patterns of our end-customers;</w:t>
      </w:r>
    </w:p>
    <w:p>
      <w:pPr>
        <w:spacing w:after="0" w:line="225" w:lineRule="exact"/>
        <w:rPr>
          <w:rFonts w:ascii="Arial" w:cs="Arial" w:eastAsia="Arial" w:hAnsi="Arial"/>
          <w:sz w:val="18"/>
          <w:szCs w:val="18"/>
          <w:color w:val="auto"/>
        </w:rPr>
      </w:pPr>
    </w:p>
    <w:p>
      <w:pPr>
        <w:ind w:left="1300" w:hanging="644"/>
        <w:spacing w:after="0" w:line="26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revenue recognition for our sales, which may be affected by both the mix of sales by our “sell-in” versus our “sell-through” channel partners, and the accuracy and timing of point of sale reporting by our “sell-through” channel partners, which impacts our ability to recognize revenue;</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end-customer, distributor or reseller requirements or market needs and buying practices and patterns;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growth rate of the network security or UTM markets;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122" w:right="29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300" w:right="4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success of new product and service introductions by us or our competitors or any other change in the competitive landscape of our industry, including consolidation among our competitors or end-customers;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deferral of orders from end-customers in anticipation of new products or product enhancements announced by us or our competitors;</w:t>
      </w:r>
    </w:p>
    <w:p>
      <w:pPr>
        <w:spacing w:after="0" w:line="236" w:lineRule="exact"/>
        <w:rPr>
          <w:rFonts w:ascii="Arial" w:cs="Arial" w:eastAsia="Arial" w:hAnsi="Arial"/>
          <w:sz w:val="17"/>
          <w:szCs w:val="17"/>
          <w:color w:val="auto"/>
        </w:rPr>
      </w:pPr>
    </w:p>
    <w:p>
      <w:pPr>
        <w:ind w:left="1300" w:right="18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or decreases in our expenses caused by fluctuations in foreign currency exchange rates, as a significant portion of our expenses are incurred and paid in currencies other than the U.S. dollar;</w:t>
      </w:r>
    </w:p>
    <w:p>
      <w:pPr>
        <w:spacing w:after="0" w:line="170" w:lineRule="exact"/>
        <w:rPr>
          <w:rFonts w:ascii="Arial" w:cs="Arial" w:eastAsia="Arial" w:hAnsi="Arial"/>
          <w:sz w:val="18"/>
          <w:szCs w:val="18"/>
          <w:color w:val="auto"/>
        </w:rPr>
      </w:pPr>
    </w:p>
    <w:p>
      <w:pPr>
        <w:ind w:left="1300" w:right="76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 competition, and increased competitiveness in general in our market;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customer renewal rates for our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payment terms of services contracts or the length of services contracts sold;</w:t>
      </w:r>
    </w:p>
    <w:p>
      <w:pPr>
        <w:spacing w:after="0" w:line="319" w:lineRule="exact"/>
        <w:rPr>
          <w:rFonts w:ascii="Arial" w:cs="Arial" w:eastAsia="Arial" w:hAnsi="Arial"/>
          <w:sz w:val="18"/>
          <w:szCs w:val="18"/>
          <w:color w:val="auto"/>
        </w:rPr>
      </w:pPr>
    </w:p>
    <w:p>
      <w:pPr>
        <w:ind w:left="1300" w:right="220" w:hanging="644"/>
        <w:spacing w:after="0" w:line="308" w:lineRule="auto"/>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increased expenses, unforeseen liabilities or write-downs and any impact on results of operations from any acquisition consummated;</w:t>
      </w:r>
    </w:p>
    <w:p>
      <w:pPr>
        <w:spacing w:after="0" w:line="236" w:lineRule="exact"/>
        <w:rPr>
          <w:rFonts w:ascii="Arial" w:cs="Arial" w:eastAsia="Arial" w:hAnsi="Arial"/>
          <w:sz w:val="17"/>
          <w:szCs w:val="17"/>
          <w:color w:val="auto"/>
        </w:rPr>
      </w:pPr>
    </w:p>
    <w:p>
      <w:pPr>
        <w:ind w:left="1300" w:right="56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channel partners may have insufficient financial resources and may not be able to withstand changes and challenges in business conditions;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disruptions in our channel or termination of our relationship with important channel partners;</w:t>
      </w:r>
    </w:p>
    <w:p>
      <w:pPr>
        <w:spacing w:after="0" w:line="225" w:lineRule="exact"/>
        <w:rPr>
          <w:rFonts w:ascii="Arial" w:cs="Arial" w:eastAsia="Arial" w:hAnsi="Arial"/>
          <w:sz w:val="18"/>
          <w:szCs w:val="18"/>
          <w:color w:val="auto"/>
        </w:rPr>
      </w:pPr>
    </w:p>
    <w:p>
      <w:pPr>
        <w:ind w:left="1300" w:right="18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insolvency, credit, or other difficulties confronting our key suppliers or channel partners, affecting their ability to purchase or pay for our products and services, which could disrupt our supply or distribution chain;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conditions, both in our domestic and foreign markets;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and based on forecasted revenue trends. Accordingly, in the event of revenue shortfalls, we are generally unable to mitigate the negative impact on margins in the short term.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information technology spending may adversely impact our business.</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economic conditions, weak economic conditions in certain geographies, or a reduction in information technology spending regardless of macro-economic conditions, could adversely impact our business, financial condition and results of operations in a number of ways, including longer sales cycles, lower prices for our products and services, higher default rates among our channel partners, reduced unit sales and slower or little to no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121" w:right="31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billings and revenue growth may slow or may not continue.</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Billings and revenue growth may slow, or we may experience a decrease in billings and revenue, for a number of reasons, including a slowdown in demand for our products or services, an increase in competition, a decrease in the growth of our overall market, softness in demand in certain geographies or industry verticals, such as the service provider industry, or if we fail for any reason to continue to capitalize on growth opportunities. Our expenses as a percentage of total revenue may be higher than expected if our revenue is lower than expectations, and we may not be able to sustain profitability in future periods if we fail to increase billings, revenue or deferred revenue, do not appropriately manage our cost structure, or encounter unanticipated liabilities. Any failure by us to maintain profitability and continue our billings and revenue growth could cause the price of our common stock to materially decline.</w:t>
      </w:r>
    </w:p>
    <w:p>
      <w:pPr>
        <w:spacing w:after="0" w:line="16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rely significantly on revenue from FortiGuard subscription and support services which may decline, and because we recognize revenue from FortiGuard subscription and support services over the term of the relevant service period, downturns or upturns in sales of FortiGuard subscription and support services are not immediately reflected in full in our operating results.</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FortiGuard subscription and support services revenue has historically accounted for a significant percentage of our total revenue. Sales of new or renewal FortiGuard subscription and support services contracts may decline and fluctuate as a result of a number of factors, including end-customers’ level of satisfaction with our products and services, the prices of our products and services, the prices of products and services offered by our competitors or reductions in our customers’ spending levels. If our sales of new or renewal FortiGuard subscription and support services contracts decline, our revenue and revenue growth may decline and our business will suffer. In addition, in the event significant customers require payment terms for FortiGuard subscription or support services in arrears or for shorter periods of time than annually, such as monthly or quarterly, this may negatively impact FortiGuard subscription and support revenue. Furthermore, we recognize FortiGuard subscription and support services revenue monthly over the term of the relevant service period, which is typically from one to three years, but in some instances has been as long as five years. As a result, much of the FortiGuard subscription and support services revenue we report each quarter is the recognition of deferred revenue from FortiGuard subscription and support services contracts entered into during previous quarters. Consequently, a decline in new or renewed FortiGuard subscription or support services contracts in any one quarter will not be fully reflected in revenue in that quarter but will negatively affect our revenue in future quarters. Accordingly, the effect of significant downturns in new or renewed sales of our FortiGuard subscriptions or support services is not reflected in full in our statements of operations until future periods. Our FortiGuard subscription and support services revenue also makes it difficult for us to rapidly increase our revenue through additional service sales in any period, as revenue from new and renewal support services contracts must be recognized over the applicable service period.</w:t>
      </w:r>
    </w:p>
    <w:p>
      <w:pPr>
        <w:spacing w:after="0" w:line="17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70"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We market and sell our products throughout the world and have established sales offices in many parts of the world. Therefore, we are subject to risks associated with having worldwide operations. We are also subject to a number of risks typically associated with international sales and operations, including:</w:t>
      </w:r>
    </w:p>
    <w:p>
      <w:pPr>
        <w:spacing w:after="0" w:line="181"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of compliance with foreign policies, laws and regulations and the risks and costs of non-compliance with such policies, laws and regulations;</w:t>
      </w:r>
    </w:p>
    <w:p>
      <w:pPr>
        <w:spacing w:after="0" w:line="170"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and economic sanctions;</w:t>
      </w:r>
    </w:p>
    <w:p>
      <w:pPr>
        <w:spacing w:after="0" w:line="170" w:lineRule="exact"/>
        <w:rPr>
          <w:rFonts w:ascii="Arial" w:cs="Arial" w:eastAsia="Arial" w:hAnsi="Arial"/>
          <w:sz w:val="18"/>
          <w:szCs w:val="18"/>
          <w:color w:val="auto"/>
        </w:rPr>
      </w:pPr>
    </w:p>
    <w:p>
      <w:pPr>
        <w:ind w:left="1300" w:right="48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regulatory or contractual limitations on our ability to sell our products in certain foreign markets, and the risks and costs of non-compliance;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300" w:right="180" w:hanging="644"/>
        <w:spacing w:after="0" w:line="259"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or sales-related arrangements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effectively implement and maintain adequate internal controls to properly manage our international sales and operations;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for political unrest, terrorism, hostilities, war, or natural disasters;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Product and service sales may be subject to foreign governmental regulations, which vary substantially from country to country. Further, we may be unable to keep up-to-date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successful in continuing to execute our strategy to increase our sales to larger end-customers, our results of operations may suffer.</w:t>
      </w:r>
    </w:p>
    <w:p>
      <w:pPr>
        <w:spacing w:after="0" w:line="248"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An important part of our growth strategy is to increase sales of our products to large enterprises, service providers and governmental entities. While we have experienced some success selling to service providers and enterprises, we have experienced less traction selling to certain governmental entities and there can be no assurance that we will be successful selling to these customer segments. Sales to enterprises, service providers and governmental entities involve risks that may not be present (or that are present to a lesser extent) with sales to small-to-mid-sized entities. These risks include:</w:t>
      </w:r>
    </w:p>
    <w:p>
      <w:pPr>
        <w:spacing w:after="0" w:line="154" w:lineRule="exact"/>
        <w:rPr>
          <w:sz w:val="20"/>
          <w:szCs w:val="20"/>
          <w:color w:val="auto"/>
        </w:rPr>
      </w:pPr>
    </w:p>
    <w:p>
      <w:pPr>
        <w:ind w:left="1300" w:right="60" w:hanging="644"/>
        <w:spacing w:after="0" w:line="288"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increased competition from competitors, such as Cisco Systems, Inc. (“Cisco”), Sourcefire, Inc. (“Sourcefire”) (acquired by Cisco), Check Point Software Technologies Ltd. (“Check Point”), McAfee, Inc. (“McAfee”) (acquired by Intel Corporation (“Intel”)), Blue Coat Systems, Inc. (“Blue Coat”), FireEye, Inc. (“FireEye”), Palo Alto Networks, Inc. (“Palo Alto Networks”), SonicWALL, Inc. (“SonicWALL”)</w:t>
      </w:r>
    </w:p>
    <w:p>
      <w:pPr>
        <w:jc w:val="both"/>
        <w:ind w:left="1300" w:right="240"/>
        <w:spacing w:after="0" w:line="255" w:lineRule="auto"/>
        <w:rPr>
          <w:rFonts w:ascii="Arial" w:cs="Arial" w:eastAsia="Arial" w:hAnsi="Arial"/>
          <w:sz w:val="16"/>
          <w:szCs w:val="16"/>
          <w:color w:val="auto"/>
        </w:rPr>
      </w:pPr>
      <w:r>
        <w:rPr>
          <w:rFonts w:ascii="Arial" w:cs="Arial" w:eastAsia="Arial" w:hAnsi="Arial"/>
          <w:sz w:val="18"/>
          <w:szCs w:val="18"/>
          <w:color w:val="auto"/>
        </w:rPr>
        <w:t>(acquired by Dell Inc. (“Dell”)), Juniper Networks, Inc. (“Juniper”), and Stonesoft Corporation (“Stonesoft”) (acquired by McAfee) that traditionally target enterprises, service providers and governmental entities and that may already have purchase commitments from those end-customers;</w:t>
      </w:r>
    </w:p>
    <w:p>
      <w:pPr>
        <w:spacing w:after="0" w:line="190" w:lineRule="exact"/>
        <w:rPr>
          <w:rFonts w:ascii="Arial" w:cs="Arial" w:eastAsia="Arial" w:hAnsi="Arial"/>
          <w:sz w:val="16"/>
          <w:szCs w:val="16"/>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w:t>
      </w:r>
    </w:p>
    <w:p>
      <w:pPr>
        <w:spacing w:after="0" w:line="225" w:lineRule="exact"/>
        <w:rPr>
          <w:rFonts w:ascii="Arial" w:cs="Arial" w:eastAsia="Arial" w:hAnsi="Arial"/>
          <w:sz w:val="18"/>
          <w:szCs w:val="18"/>
          <w:color w:val="auto"/>
        </w:rPr>
      </w:pPr>
    </w:p>
    <w:p>
      <w:pPr>
        <w:ind w:left="1300" w:right="48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unanticipated changes in the capital resources of or purchasing behavior of large end-customers, including changes in the volume and frequency of their purchases;</w:t>
      </w:r>
    </w:p>
    <w:p>
      <w:pPr>
        <w:spacing w:after="0" w:line="170" w:lineRule="exact"/>
        <w:rPr>
          <w:rFonts w:ascii="Arial" w:cs="Arial" w:eastAsia="Arial" w:hAnsi="Arial"/>
          <w:sz w:val="18"/>
          <w:szCs w:val="18"/>
          <w:color w:val="auto"/>
        </w:rPr>
      </w:pPr>
    </w:p>
    <w:p>
      <w:pPr>
        <w:ind w:left="1300" w:right="34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more stringent support requirements in our support service contracts, including stricter support response times, more complex customer requirements, and increased penalties for any failure to meet support requirements; and</w:t>
      </w:r>
    </w:p>
    <w:p>
      <w:pPr>
        <w:spacing w:after="0" w:line="170" w:lineRule="exact"/>
        <w:rPr>
          <w:rFonts w:ascii="Arial" w:cs="Arial" w:eastAsia="Arial" w:hAnsi="Arial"/>
          <w:sz w:val="18"/>
          <w:szCs w:val="18"/>
          <w:color w:val="auto"/>
        </w:rPr>
      </w:pPr>
    </w:p>
    <w:p>
      <w:pPr>
        <w:ind w:left="1300" w:right="28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end-customer that elects not to purchase our products and services.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Large enterprises, service providers and governmental entities often undertake a significant evaluation process that results in a lengthy sales cycle, in some cases over 12 months. Although we have a channel sales model, our sales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2" w:right="25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representatives typically engage in direct interaction with end-customers, along with our distributors and resellers in connection with sales to larger end-customers. Due to the lengthy nature, the size and scope, and stringent requirements of these evaluations, we typically provide evaluation products to these customers. We may spend substantial time, effort and money in our sales efforts without being successful in producing any sales. If we are unsuccessful in converting these evaluations into sales, we may experience an increased inventory of used products and potentially increased write-offs. In addition, product purchases by enterprises, service providers and governmental entities are frequently subject to budget constraints, multiple approvals, and unplanned administrative, processing and other delays. Furthermore, service providers represent our largest industry vertical and consolidation or changes in buying behavior by larger customers within this industry could negatively impact our business. Enterprises, service providers and governmental entities typically have longer implementation cycles, require greater product functionality and scalability and a broader range of services, including design services, demand that vendors take on a larger share of risks, sometimes require acceptance provisions that can lead to a delay in revenue recognition, and expect greater payment flexibility from vendors. All these factors can add further risk to business conducted with these customers. If sales expected from a large end-customer for a particular quarter are not realized in that quarter or at all, our business, operating results and financial condition could be materially and adversely affected.</w:t>
      </w:r>
    </w:p>
    <w:p>
      <w:pPr>
        <w:spacing w:after="0" w:line="1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Managing inventory of our products and product components is complex. Insufficient inventory may result in lost sales opportunities or delayed revenue, while excess inventory may harm our gross margins.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Managing our inventory is complex.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They also may adjust their orders in response to the supply of our products and the products of our competitors that are available to them and in response to seasonal fluctuations in end-customer demand. Furthermore, if the time required to manufacture certain products or ship products increases for any reason, this could result in inventory shortfalls. Management of our inventory is further complicated by the significant number of different products and models that we sell.</w:t>
      </w:r>
    </w:p>
    <w:p>
      <w:pPr>
        <w:spacing w:after="0" w:line="193"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In addition, for those channel partners that have rights of return, inventory held by such channel partners affects our results of operations. Our inventory management systems and related supply chain visibility tools may be inadequate to enable us to effectively manage inventory. Inventory management remains an area of focus as we balance the need to maintain inventory levels that are sufficient to ensure competitive lead times against the risk of inventory obsolescence because of rapidly changing technology and customer requirements. If we ultimately determine that we have excess inventory, we may have to reduce our prices and write-down inventory, which in turn could result in lower gross margins. Alternatively, insufficient inventory levels may lead to shortages that result in delayed revenue or loss of sales opportunities altogether as potential end-customers turn to competitors’ products that are readily available. For example, we experienced inventory shortages in the first quarter of 2013 due to more demand for certain products than we had forecasted. If we are unable to effectively manage our inventory and that of our channel partners, our results of operations could be adversely affected.</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7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and Chief Executive Officer and Michael Xie, our Co-founder, President and Chief Technology Officer, and any of our senior sales leaders or functional area leaders, could significantly delay or prevent the achievement of our development and strategic objectives. In addition, key personnel may be distracted by activities unrelated to our business. The loss of the services, or distraction, of our senior management for any reason could adversely affect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From time to time, we experience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 Competition for highly-skilled personnel is frequently intense, especially in the locations where we have a substantial presence and need for highly-skilled personnel such as the San Francisco Bay Area and Vancouver, Canada. We may not be successful in attracting, assimilating or retaining qualified personnel to fulfill our current or future needs. Also, to the extent we hire personnel from competitors, we may be</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22" w:right="27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subject to allegations that they have been improperly solicited or divulged proprietary or other confidential information.</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average sales prices of our products may decrease, which may reduce our gross profits and adversely impact our financial results and the trading price of our common stock.</w:t>
      </w:r>
    </w:p>
    <w:p>
      <w:pPr>
        <w:spacing w:after="0" w:line="17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average sales prices for our products may decline for a variety of reasons, including competitive pricing pressures, discounts we offer, a change in our mix of products, anticipation of the introduction of new products or promotional programs. Competition continues to increase in the market segments in which we participate, and we expect competition to further increase in the future, thereby leading to increased pricing pressures. Larger competitors with more diverse product offerings may reduce the price of products that compete with ours in order to promote the sale of other products or may bundle them with other products. Additionally, although we price our products and services worldwide in U.S. dollars, currency fluctuations in certain countries and regions may negatively impact actual prices that partners and customers are willing to pay in those countries and regions. Furthermore, we anticipate that the average sales prices and gross profits for our products will decrease over product life cycles. We cannot assure you that we will be successful in developing and introducing new offerings with enhanced functionality on a timely basis, or that our product offerings, if introduced, will enable us to maintain our prices and gross profits at levels that will allow us to maintain profitability.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Reliance on a concentration of shipments at the end of the quarter could cause our billings and revenue to fall below expected levels.</w:t>
      </w:r>
    </w:p>
    <w:p>
      <w:pPr>
        <w:spacing w:after="0" w:line="237"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As a result of customer-buying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For example, on average over the past eight quarters, our shipments during the last two weeks of each quarter accounted for approximately 36% of aggregate billings for each quarter. If expected orders at the end of any quarter are delayed for any reason, including the failure of anticipated purchase orders to materialize, our logistics partners’ inability to ship products prior to quarter-end to fulfill purchase orders received near the end of the quarter, our failure to manage inventory to meet demand, our inability to release new products on schedule, any failure of our systems related to order review and processing, or any delays in shipments based on trade compliance requirements, our billings and revenue for that quarter could fall below our expectations or those of securities analysts and investors, resulting in a decline in our stock price.</w:t>
      </w:r>
    </w:p>
    <w:p>
      <w:pPr>
        <w:spacing w:after="0" w:line="166"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We rely on third-party channel partners to generate substantially all of our revenue. If our partners fail to perform, our ability to sell our products and services will be limited, and if we fail to optimize our channel partner model going forward, our operating results will be harmed.</w:t>
      </w:r>
    </w:p>
    <w:p>
      <w:pPr>
        <w:spacing w:after="0" w:line="124"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Substantially all of our revenue is generated through sales by our channel partners, which include distributors and resellers. We depend upon our channel partners to generate sales opportunities and manage the sales process. To the extent our channel partners are unsuccessful in selling our products, or we are unable to enter into arrangements with, and retain, a sufficient number of high quality channel partners in each of the regions in which we sell products, and keep them motivated to sell our products, our ability to sell our products and operating results will be harmed. The termination of our relationship with any significant channel partner may adversely impact our sales and operating results.</w:t>
      </w:r>
    </w:p>
    <w:p>
      <w:pPr>
        <w:spacing w:after="0" w:line="173"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provide sales channel partners with specific programs to assist them in selling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In addition, if our channel partners’ financial condition or operations weaken it could negatively impact their ability to sell our product and services. They may also market, sell and support products and services that are competitive with ours, and may devote more resources to the marketing, sales and support of such products. They may also have incentives to promote our competitors’ products to the detriment of our own. They may cease selling our products altogether. We cannot assure you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 In addition, 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our channel partners violate laws or our corporate policies. We depend on our global channel partners to comply with applicable legal and regulatory requirements. To the extent that they fail to do so, that could have a material adverse effect on our</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business, operating results, and financial condition. If we fail to optimize our channel partner model or fail to manage existing sales channels, our business will be seriously harmed.</w:t>
      </w:r>
    </w:p>
    <w:p>
      <w:pPr>
        <w:spacing w:after="0" w:line="170" w:lineRule="exact"/>
        <w:rPr>
          <w:sz w:val="20"/>
          <w:szCs w:val="20"/>
          <w:color w:val="auto"/>
        </w:rPr>
      </w:pPr>
    </w:p>
    <w:p>
      <w:pPr>
        <w:ind w:right="320" w:firstLine="45"/>
        <w:spacing w:after="0" w:line="277" w:lineRule="auto"/>
        <w:rPr>
          <w:sz w:val="20"/>
          <w:szCs w:val="20"/>
          <w:color w:val="auto"/>
        </w:rPr>
      </w:pPr>
      <w:r>
        <w:rPr>
          <w:rFonts w:ascii="Arial" w:cs="Arial" w:eastAsia="Arial" w:hAnsi="Arial"/>
          <w:sz w:val="18"/>
          <w:szCs w:val="18"/>
          <w:b w:val="1"/>
          <w:bCs w:val="1"/>
          <w:i w:val="1"/>
          <w:iCs w:val="1"/>
          <w:color w:val="auto"/>
        </w:rPr>
        <w:t>Actual, possible or perceived defects or vulnerabilities in our products or services, the failure of our products or services to prevent a virus or security breach, or misuse of our products could harm our reputation and divert resources.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Because our products and services are complex, they have contained and may contain defects or errors that are not detected until after their commercial release and deployment by our customers. Defects or vulnerabilities may impede or block network traffic or cause our products or services to be vulnerable to electronic break-ins or cause them to fail to help secure networks. Because the techniques used by computer hackers to access or sabotage networks change frequently and generally are not recognized until launched against a target, we may be unable to anticipate these techniques. In addition, defects or errors in our FortiGuard subscription updates or our FortiGate appliances could result in a failure of our FortiGuard services to effectively update end-customers’ FortiGate appliances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FortiGuard or FortiCare data centers and networks may also experience technical failures and downtime, and may fail to distribute appropriate updates, or fail to meet the increased requirements of a growing customer base. Any such technical failure, downtime, or failures in general may temporarily or permanently expose our end-customers’ networks, leaving their networks unprotected against the latest security threats.</w:t>
      </w:r>
    </w:p>
    <w:p>
      <w:pPr>
        <w:spacing w:after="0" w:line="18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An actual, possible or perceived security breach or infection of the network of one of our end-customers, regardless of whether the breach is attributable to the failure of our products or services to prevent the security breach, could adversely affect the market’s perception of our security products and services. We may not be able to correct any security flaws or vulnerabilities promptly, or at all. Our products may also be misused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third-party. Any actual, possible, or perceived defects, errors or vulnerabilities in our products, or misuse of our products, could result in:</w:t>
      </w:r>
    </w:p>
    <w:p>
      <w:pPr>
        <w:spacing w:after="0" w:line="178" w:lineRule="exact"/>
        <w:rPr>
          <w:sz w:val="20"/>
          <w:szCs w:val="20"/>
          <w:color w:val="auto"/>
        </w:rPr>
      </w:pPr>
    </w:p>
    <w:p>
      <w:pPr>
        <w:ind w:left="1300" w:right="34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expenditure of significant financial and product development resources in efforts to analyze, correct, eliminate or work-around errors or defects or to address and eliminate vulnerabilities;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of existing or potential end-customers or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negative publicity, which will harm our reputation;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business and operations have experienced growth, and if we do not appropriately manage any future growth, or are unable to improve our systems and processes, our operating results will be negatively affected.</w:t>
      </w:r>
    </w:p>
    <w:p>
      <w:pPr>
        <w:spacing w:after="0" w:line="170"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Our business has grown over the last several years. We rely heavily on information technology systems to help manage critical functions such as order processing, revenue recognition, financial forecasts, inventory and supply chain management and trade compliance reviews. However, we have been slow to adopt and implement certain automated functions, which could have a negative impact on our business. For example, a large part of our order processing relies on the manual processing of emails internally and from our customers. Combined with the fact that we may receive a majority of our orders in the last few weeks of any given quarter, a significant interruption in our email service or other systems could result in delayed order fulfillment and decreased revenue for that quarter. To manage any future growth effectively, we must continue to improve and expand our information technology and financial infrastructure, operating and administrative systems and controls, and continue to manage headcount, capital and processes in an efficient manner. We may not be able to successfully implement requisite improvements to these systems, controls and processes, such as system access and change management controls, in a timely or efficient manner. We purchased a new enterprise resource planning system during the second quarter of fiscal 2014. We are in the early stages of implementing the new system and, as a result, we have incurred and will continue to incur additional costs in connection with implementing the system. In addition, we may experience some disruption during the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system implementation process. Our failure to improve our systems and processes, or their failure to operate in the intended manner, may result in our inability to manage the growth of our business and to accurately forecast our revenue, expenses and earnings, or to prevent certain losses. In addition, our systems and processes may not prevent or detect all errors, omissions or fraud. 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manage any future growth effectively could result in increased costs and harm our results of operations.</w:t>
      </w:r>
    </w:p>
    <w:p>
      <w:pPr>
        <w:spacing w:after="0" w:line="193"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in this Quarterly Report on Form 10-Q,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stock-based compensation expense, valuation of inventory, warranty liabilities, goodwill and other long-lived assets, investments, accounting for income taxes, litigation and settlement costs and other loss contingencies, sales returns and allowances, reserve for bad debt, and the accounting for business combinations.</w:t>
      </w:r>
    </w:p>
    <w:p>
      <w:pPr>
        <w:spacing w:after="0" w:line="178"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outsource the manufacturing of our security appliance products to a variety of contract manufacturing partners and original design manufacturing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partners.</w:t>
      </w:r>
    </w:p>
    <w:p>
      <w:pPr>
        <w:spacing w:after="0" w:line="21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Our reliance on our third-party manufacturers in Asia and elsewhere reduces our control over the manufacturing process, exposing us to risks, including reduced control over quality assurance, product costs and product supply and timing. Any manufacturing disruption by our third-party manufacturers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w:t>
      </w:r>
    </w:p>
    <w:p>
      <w:pPr>
        <w:spacing w:after="0" w:line="19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These manufacturers fulfill our supply requirements on the basis of individual purchase orders. We have no long-term contracts or arrangements with certain of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interruptions for any reason, such as a natural disaster, epidemic, capacity shortages, or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color w:val="auto"/>
        </w:rPr>
        <w:t>quality problems, at one of our manufacturing partners would severely affect sales of our product lines manufactured by that manufacturing partner.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Furthermore manufacturing cost increases for any reason could result in lower gross margins.</w:t>
      </w:r>
    </w:p>
    <w:p>
      <w:pPr>
        <w:spacing w:after="0" w:line="211"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Our proprietary FortiASIC, which is the key to the performance of our appliances, is fabricated by contract manufacturers in foundries operated by UMC and TSMC. Faraday (using UMC’s foundry), K-Micro (using TSMC’s foundry) and Renesas (using UMC’s foundry) manufacture our ASICs on a purchase order basis, and UMC and TSMC do not guarantee any capacity and could reject orders from Faraday, K-Micro or Renesas or could try to increase pricing. Accordingly, the foundries are not obligated to continue to fulfill our supply requirements, and due to the long lead time that a new foundry would require, we could suffer temporary or long term inventory shortages of our FortiASIC as well as increased costs. Our suppliers may also prioritize orders by other companies that order higher volumes of products. If any of these suppliers materially delays its supply of ASICs or specific product models to us, or requires us to find an alternate supplier and we are not able to do so on a timely and reasonable basis, or if these foundries materially increase their prices for fabrication of our ASICs or specific product models, our business would be harmed.</w:t>
      </w:r>
    </w:p>
    <w:p>
      <w:pPr>
        <w:spacing w:after="0" w:line="17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our reliance on third-party manufacturers and foundries limits our control over environmental regulatory requirements such as the hazardous substance content of our products and therefore our ability to ensure compliance with the European Union’s (“EU”) Restriction of Hazardous Substances Directive (“RoHS”) and other similar laws. It also exposes us to the risk that certain minerals and metals that originated in the Democratic Republic of Congo or an adjoining country, known as “conflict minerals,” are contained within our products. Under the Dodd-Frank Wall Street Reform and Consumer Protection Act of 2010, the SEC adopted new disclosure requirements for public companies using conflict minerals in their products. Under these rules, we are required to perform due diligence, disclose and report our efforts to prevent the sourcing of such conflict minerals. As a result of these new rules, we have incurred and expect to incur additional costs to comply with the disclosure requirements, including costs related to determining the source of any of the conflict minerals that may be used in our products. Moreover, the implementation of these new requirements could adversely affect the sourcing, availability, and pricing of materials used in the manufacture of our products to the extent that there may be only a limited number of suppliers offering “conflict free” minerals that can be used in our products. There can be no assurance that we will be able to obtain such minerals in sufficient quantities or at competitive prices. We may also encounter customers who require that all of the components of our products be certified as conflict free. If we are not able to meet customer requirements, such customers may choose to not purchase our products, which could impact our sales and the value of portions of our inventory.</w:t>
      </w:r>
    </w:p>
    <w:p>
      <w:pPr>
        <w:spacing w:after="0" w:line="188"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and may result in the loss of sales and customers, and increased component costs may result in lower gross margins.</w:t>
      </w:r>
    </w:p>
    <w:p>
      <w:pPr>
        <w:spacing w:after="0" w:line="14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discontinue or modify components used in our products. We have in the past experienced, and are currently experiencing, shortages and long lead times for certain components. Certain of our limited source components for particular appliances and suppliers of those components include: specific types of central processing units from Intel, Advanced Micro Devices, Inc., and RMI/Netlogic Corporation, network chips from Broadcom Corporation, Marvell Technology Group Ltd. and Intel, and hard drives from Western Digital Technologies, Inc.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78"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Our manufacturing partners have experienced long lead times for the purchase of components incorporated into our products. Lead times for components may be adversely impacted by factors outside of our control, such as natural disasters and other factors. Our reliance on a limited number of suppliers involves several additional risks, including:</w:t>
      </w:r>
    </w:p>
    <w:p>
      <w:pPr>
        <w:spacing w:after="0" w:line="181"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infringement or misappropriation of our intellectual property;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in component quality.</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3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 majority of our operating expenses are incurred outside the United States. These expenses are denominated in foreign currencies and are subject to fluctuations due to changes in foreign currency exchange rates, particularly changes in the Euro and Canadian dollar. Although we have been hedging currency exposures relating to certain balance sheet accounts and have periodically entered into cash flow hedges relating to certain operating expenses incurred outside of the United States, if we stop hedging against any of these risks or if our attempts to hedge against these currency exposures are not successful, our financial condition and results of operations could be adversely affected. In addition,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could increase the real cost of our products to our customers outside of the United States, which could also adversely affect our financial condition and results of operations.</w:t>
      </w:r>
    </w:p>
    <w:p>
      <w:pPr>
        <w:spacing w:after="0" w:line="1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restriction on sales, and/or impair our ability to compete in international markets.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Because we incorporate encryption technology into our products, certain of our products are subject to U.S. export controls and may be exported outside the United States only with the required export license or through an export license exception. If we were to fail to comply with U.S. export licensing,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for orders placed by partners as stocking orders for example,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17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122" w:right="27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comply with environmental requirements, our business, financial condition, operating results and reputation could be adversely affected.</w:t>
      </w:r>
    </w:p>
    <w:p>
      <w:pPr>
        <w:spacing w:after="0" w:line="248"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We are subject to various environmental laws and regulations including laws governing the hazardous material content of our products and laws relating to the recycling of electrical and electronic equipment. The laws and regulations to which we are subject include the EU, RoHS and the EU Waste Electrical and Electronic Equipment Directive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18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EU RoHS and the similar laws of other jurisdictions ban the use of certain hazardous materials such as lead, mercury and cadmium in the manufacture of electrical equipment, including our products. We have incurred costs to comply with these laws, including research and development costs, costs associated with assuring the supply of compliant components and costs associated with writing off noncompliant inventory. We expect to continue to incur costs related to environmental laws and regulations in the future. With respect to the EU RoHS, we and our competitors rely on an exemption for lead in network infrastructure equipment. It is possible this exemption will be revoked in the near future. If this exemption is revoked,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167"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5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 is generated by sales to governmental entities, which are subject to a number of challenges and risks.</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Sales to U.S. and foreign federal, state and local governmental agency end-customers have accounted for a portion of our revenue in past periods, and we may in the future increase sales to governmental entities. Sales to governmental entities are subject to a number of risks. Selling to governmental entities can be highly competitive, expensive and time consuming, often requiring significant upfront time and expense without any assurance that we will win a sale.</w:t>
      </w:r>
    </w:p>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Government demand, sales, and payment for our products and services may be negatively impacted by numerous factors and requirements unique to selling to government agencies, such as:</w:t>
      </w:r>
    </w:p>
    <w:p>
      <w:pPr>
        <w:spacing w:after="0" w:line="170"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public sector budgetary cycles,</w:t>
      </w:r>
    </w:p>
    <w:p>
      <w:pPr>
        <w:spacing w:after="0" w:line="225" w:lineRule="exact"/>
        <w:rPr>
          <w:rFonts w:ascii="Arial" w:cs="Arial" w:eastAsia="Arial" w:hAnsi="Arial"/>
          <w:sz w:val="18"/>
          <w:szCs w:val="18"/>
          <w:color w:val="auto"/>
        </w:rPr>
      </w:pPr>
    </w:p>
    <w:p>
      <w:pPr>
        <w:ind w:left="1300" w:right="62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funding authorizations and requirements unique to government agencies, with funding or purchasing reductions or delays adversely affecting public sector demand for our products,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geopolitical matters,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rules and regulations applicable to certain government sales.</w:t>
      </w:r>
    </w:p>
    <w:p>
      <w:pPr>
        <w:spacing w:after="0" w:line="22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 rules and regulations applicable to government sales may also negatively impact sales to non-governmental entities. To date, we have had limited traction in sales to U.S. federal government agencies, and any future sales to governmental entities is uncertain. All of our sales to governmental entities have been made indirectly through our distribution channel. Governmental entities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governmental entity, the financial health of the distributor could be substantially harmed, which could negatively affect our future sales to such distributor. Governments routinely investigate and audit government contractors’ administrative processes, and any unfavorable audit could result in the government refusing to continue buying our products and services, a reduction of revenue or fines or civil or criminal liability if the audit uncovers improper or illegal activities. Any such penalties could adversely impact our results of</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1" w:right="25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operations in a material way. Finally, purchases by the U.S. government may require certain products to be manufactured in the United States and other high cost manufacturing locations, and we may not manufacture all products in locations that meet the requirements of the U.S. government.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False detection of viruses or security breaches or false identification of spam or spyware could adversely affect our business.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antivirus and our intrusion prevention services may falsely detect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anti-spam and anti-malware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Any such false identification of important files or applications could result in negative publicity, loss of end-customers and sales, increased costs to remedy any problem, and costly litigation.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internal network system is compromised by computer hackers, public perception of our products and services will be harmed.</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We will not succeed unless the marketplace is confident that we provide effective network security protection. Because we provide network security products, we may be a more attractive target for attacks by computer hackers. Although we have not experienced significant damages from unauthorized access by a third party of our internal network, if an actual or perceived breach of network security occurs in our internal systems it could adversely affect the market perception of our products and services. In addition, such a security breach could impair our ability to operate our business, including our ability to provide FortiGuard subscription and support services to our end-customers. If this happens, our revenue could decline and our business could suffer.</w:t>
      </w:r>
    </w:p>
    <w:p>
      <w:pPr>
        <w:spacing w:after="0" w:line="15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ability to sell our products is dependent on the quality of our technical support services, and our failure to offer high quality technical support services would have a material adverse effect on our sales and results of operations.</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Once our products are deployed within our end-customers’ networks, our end-customers depend on our technical support services, as well as the support of our channel partners, to resolve any issues relating to our products. If we or our channel partners do not effectively assist our customers in deploying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large end-customers, service provider and governmental entity end-customers require higher levels of support than smaller end-customers because of their more complex deployments. If we fail to meet the requirements of our larger end-customers, it may be more difficult to execute on our strategy to increase our penetration with enterprises, service providers and governmental entities.</w:t>
      </w:r>
    </w:p>
    <w:p>
      <w:pPr>
        <w:spacing w:after="0" w:line="17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a result, our failure to maintain high quality support services would have a material adverse effect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changes in our tax rates, the adoption of new U.S. or international tax legislation or exposure to additional tax liabilities.</w:t>
      </w:r>
    </w:p>
    <w:p>
      <w:pPr>
        <w:spacing w:after="0" w:line="24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are subject to taxes in the United States and numerous foreign jurisdictions, including Singapore, where a number of our subsidiaries are organized. Our provision for income taxes is subject to volatility and could be adversely affected by several factors, many of which are outside of our control, including:</w:t>
      </w:r>
    </w:p>
    <w:p>
      <w:pPr>
        <w:spacing w:after="0" w:line="181" w:lineRule="exact"/>
        <w:rPr>
          <w:sz w:val="20"/>
          <w:szCs w:val="20"/>
          <w:color w:val="auto"/>
        </w:rPr>
      </w:pPr>
    </w:p>
    <w:p>
      <w:pPr>
        <w:ind w:left="1300" w:right="34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earnings being lower than anticipated in countries that have lower tax rates and higher than anticipated in countries that have higher tax rates;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2" w:right="25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mix of earnings in countries with differing statutory tax rates or withholding taxes;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expiration of, or lapses in the research and development tax credit laws;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transfer pricing adjustments including the effect of acquisitions on our intercompany research and development and legal structure;</w:t>
      </w:r>
    </w:p>
    <w:p>
      <w:pPr>
        <w:spacing w:after="0" w:line="236" w:lineRule="exact"/>
        <w:rPr>
          <w:rFonts w:ascii="Arial" w:cs="Arial" w:eastAsia="Arial" w:hAnsi="Arial"/>
          <w:sz w:val="17"/>
          <w:szCs w:val="17"/>
          <w:color w:val="auto"/>
        </w:rPr>
      </w:pPr>
    </w:p>
    <w:p>
      <w:pPr>
        <w:ind w:left="1300" w:right="34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expense, write-offs of acquired in-process research and development, and impairment of goodwill;</w:t>
      </w:r>
    </w:p>
    <w:p>
      <w:pPr>
        <w:spacing w:after="0" w:line="170"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in the stock option exercises by our employees in some of our foreign subsidiaries that can cause an adverse transfer pricing adjustment;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225" w:lineRule="exact"/>
        <w:rPr>
          <w:rFonts w:ascii="Arial" w:cs="Arial" w:eastAsia="Arial" w:hAnsi="Arial"/>
          <w:sz w:val="18"/>
          <w:szCs w:val="18"/>
          <w:color w:val="auto"/>
        </w:rPr>
      </w:pPr>
    </w:p>
    <w:p>
      <w:pPr>
        <w:ind w:left="1300" w:right="42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 assessments resulting from income tax audits or any related tax interest or penalties that could significantly affect our provision for income taxes for the period in which the settlement takes place;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change in our decision to indefinitely reinvest foreign earnings;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accounting principles; or</w:t>
      </w:r>
    </w:p>
    <w:p>
      <w:pPr>
        <w:spacing w:after="0" w:line="225" w:lineRule="exact"/>
        <w:rPr>
          <w:rFonts w:ascii="Arial" w:cs="Arial" w:eastAsia="Arial" w:hAnsi="Arial"/>
          <w:sz w:val="18"/>
          <w:szCs w:val="18"/>
          <w:color w:val="auto"/>
        </w:rPr>
      </w:pPr>
    </w:p>
    <w:p>
      <w:pPr>
        <w:ind w:left="1300" w:hanging="644"/>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tax laws and regulations including possible changes in the United States to the taxation of earnings of our foreign subsidiaries, and the deductibility of expenses attributable to foreign income, or the foreign tax credit rules, or changes to the U.S. income tax rate, which would necessitate a revaluation of our deferred tax assets and liabilities.</w:t>
      </w:r>
    </w:p>
    <w:p>
      <w:pPr>
        <w:spacing w:after="0" w:line="181"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Significant judgment is required to determine the recognition and measurement attribute prescribed in the Financial Accounting Standards Board (“FASB”) standard. In addition, the standard applies to all income tax positions, including the potential recovery of previously paid taxes, which if settled unfavorably could adversely impact our provision for income taxes or additional paid-in capital. Further, as a result of certain of our ongoing employment and capital investment actions and commitments, our income in certain foreign countries is subject to reduced tax rates and in some cases is wholly exempt from tax. Our failure to meet these commitments could adversely impact our provision for income taxes. In addition, we are subject to the examination of our income tax returns by the Internal Revenue Service (“IRS”) and other tax authorities. We regularly assess the likelihood of adverse outcomes resulting from such examinations to determine the adequacy of our provision for income taxes. Although the California examination resulted in no significant impact to our tax position or reserves, there can be no assurance that the outcomes from these continuous examinations will not have an adverse effect on our results of operations in the future.</w:t>
      </w:r>
    </w:p>
    <w:p>
      <w:pPr>
        <w:spacing w:after="0" w:line="19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Although we currently do not have a valuation allowance, we may in the future be required to establish one. We will continue to assess the need for a valuation allowance on the deferred tax asset by evaluating both positive and negative evidence that may exist.</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Forecasts of our income tax position and effective tax rate are complex and subject to uncertainty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by jurisdiction is different than those estimated, our actual tax rate could be materially different than forecasted, which could have a material impact on our results of business, financial condition and results of operations.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taxing authorities may impose tax assessments or judgments against us that could materially impact our tax liability and/or our effective income tax rate.</w:t>
      </w:r>
    </w:p>
    <w:p>
      <w:pPr>
        <w:spacing w:after="0" w:line="178"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In addition, we may be subject to examination of our income tax returns by the IRS and other tax authorities. If tax authorities challenge the relative mix of U.S. and international income, our future effective income tax rates could be adversely affected. While we regularly assess the likelihood of adverse outcomes from such examinations and the adequacy of our provision for income taxes, there can be no assurance that such provision is sufficient and that a determination by a tax authority will not have an adverse effect on our business,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acquire and integrate other businesses, products or technologies could seriously harm our competitive position.</w:t>
      </w:r>
    </w:p>
    <w:p>
      <w:pPr>
        <w:spacing w:after="0" w:line="225"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In order to remain competitive, we may seek to acquire additional businesses, products, or technologies and intellectual property, such as patents. If we identify an appropriate acquisition candidate, we may not be successful in negotiating the terms of the acquisition, financing the acquisition, or effectively integrating the acquired business, product, technology or intellectual property into our existing business and operations. We may have difficulty incorporating acquired technologies, intellectual property or products with our existing product lines and maintaining uniform standards, controls, procedures and policies. Our due diligence may fail to identify all of the problems, liabilities or other shortcomings or challenges of an acquired business, product or technology, including issues with intellectual property, product quality or product architecture, regulatory compliance practices, revenue recognition or other accounting practices or employee or customer issues, and we may not accurately forecast the financial impact of an acquisition. In addition, any acquisitions we are able to complete may be dilutive to revenue growth and earnings and may not result in any synergies or other benefits we had expected to achieve, which could result in impairment charges that could be substantial. For example, in the second quarter of 2014 we recognized an impairment charge of $2.4 million for intangible assets from our acquisition of Coyote Point Systems, Inc. Acquisitions during a quarter may result in increased operating expenses and adversely affect our results of operations for that period or future periods compared to the results that we have previously forecasted or achieved. Further, completing a potential acquisition and integrating acquired businesses, products, technologies or intellectual property could significantly divert management time and resources.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22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Our products are very complex and, despite testing prior to their release, have contained and may contain undetected defects or errors, especially when first introduced or when new versions are released. Product errors have affected the performance of our products and could delay the development or release of new products or new versions of products, adversely affect our reputation and our end-customers’ willingness to buy products from us,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8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Although we have limitation of liability provisions in our standard terms and conditions of sale, they may not fully or effectively protect us from claims as a result of federal, state or local laws or ordinances or unfavorable judicial decisions in the United States or other countries. The sale and support of our products also entail the risk of product liability claims. We maintain insurance to protect against certain claims associated with the use of our products, but our insurance coverage may not adequately cover any claim asserted against us. In addition, even claims that ultimately are unsuccessful could result in our expenditure of funds in litigation and divert management’s time and other resources.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floods and other catastrophic events, and to interruption by manmade problems such as civil unrest and terrorism.</w:t>
      </w:r>
    </w:p>
    <w:p>
      <w:pPr>
        <w:spacing w:after="0" w:line="170"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A significant natural disaster, such as an earthquake, fire, a flood, or significant power outage could have a material adverse impact on our business, operating results and financial condition. Our corporate headquarters are located in the San Francisco Bay Area, a region known for seismic activity. In addition, natural disasters could affect our manufacturing vendors, suppliers or logistics providers’ ability to perform services such as obtaining product components and manufacturing products on a timely basis and assisting with shipments on a timely basis. In the event our or our service providers’ information technology systems or manufacturing or logistics abilities are hindered by any of the events discussed above, shipments could be delayed, resulting in us missing financial targets, such as revenue and shipment targets, for a particular quarter. In addition, regional instability, acts of terrorism and other geo-political unrest could cause disruptions in our business or the business of our manufacturers, logistics providers, partners, or end-customers or the economy as a whole. Given our typical concentration of sales at each quarter end, any disruption in the business of our manufacturers, logistics providers, partners or end-customers that impacts sales at the end of our quarter could have a significant adverse impact on our quarterly results. All of the aforementioned risks may be augmented if the disaster recovery plans for us and our suppliers prove to be inadequate. To the extent that any of the above results in delays or cancellations of customer orders, or the delay in the manufacture, deployment or shipment of our products, our business, financial condition and results of operations would be adversely affected.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will be harmed.</w:t>
      </w:r>
    </w:p>
    <w:p>
      <w:pPr>
        <w:spacing w:after="0" w:line="18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enterprise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 consuming research and development processes.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will be harmed.</w:t>
      </w:r>
    </w:p>
    <w:p>
      <w:pPr>
        <w:spacing w:after="0" w:line="16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URL database for our Web filtering service may fail to keep pace with the rapid growth of URLs and may not categorize websites in accordance with our end-customers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expectations.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182"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new products and product enhancements do not achieve sufficient market acceptance, our results of operations and competitive position will suffer.</w:t>
      </w:r>
    </w:p>
    <w:p>
      <w:pPr>
        <w:spacing w:after="0" w:line="260"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spend substantial amounts of time and money to research and develop new products and enhanced versions of our existing products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releasing our new products or enhancements to the market;</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accurately predict market demand in terms of product functionality and to supply products that meet this demand in a timely fashion;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of our sales force and partners to focus on selling new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perceived defects, vulnerabilities, errors or failures;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easing of regulatory requirements around security;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reluctance of customers to purchase products incorporating open source software.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Unless we continue to develop better market awareness of our company and our products and to improve lead generation, our revenue may not continue to grow.</w:t>
      </w:r>
    </w:p>
    <w:p>
      <w:pPr>
        <w:spacing w:after="0" w:line="17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Increased market awareness of our capabilities and products and increased lead generation are essential to our continued growth and our success in all of our markets, particularly for the large enterprise, service provider and governmental entities markets. We have historically had relatively low spending on certain marketing activities. While we have recently been increasing our investments in sales and marketing, it is not clear that these investments will continue to result in increased revenues. If our investments in additional sales personnel or if our marketing programs are not successful in continuing to create market awareness of our company and products, our business, financial condition and results of operations will be adversely affected, and we will not be able to achieve sustained growth.</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2" w:right="25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Demand for UTM products may be limited by market perception that UTM products are inferior to network security solutions from multiple vendors.</w:t>
      </w:r>
    </w:p>
    <w:p>
      <w:pPr>
        <w:spacing w:after="0" w:line="24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Sales of most of our products depend on increased demand for UTM products. If the UTM market fails to grow as we anticipate, our business will be seriously harmed. Target customers may view UTM “all-in-one” solutions as inferior to security solutions from multiple vendors because of, among other things, their perception that UTM products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UTM solutions create a “single point of failure” in their networks, which means that an error, vulnerability or failure of the UTM product may place the entire network at risk. In addition, the market perception that UTM solutions may be suitable only for small and medium sized businesses because UTM lacks the performance capabilities and functionality of other solutions may harm our sales to large enterprise, service provider, and governmental entity end-customers. If the foregoing concerns and perceptions become prevalent, even if there is no factual basis for these concerns and perceptions, or if other issues arise with the UTM market in general, demand for UTM products could be severely limited, which would limit our growth and harm our business, financial condition and results of operations. Further, a successful and publicized targeted attack against us or another well known UTM vendor exposing a “single point of failure” could significantly increase these concerns and perceptions and may harm our business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intense competition in our market and we may lack sufficient financial or other resources to maintain or improve our competitive position.</w:t>
      </w:r>
    </w:p>
    <w:p>
      <w:pPr>
        <w:spacing w:after="0" w:line="248" w:lineRule="exact"/>
        <w:rPr>
          <w:sz w:val="20"/>
          <w:szCs w:val="20"/>
          <w:color w:val="auto"/>
        </w:rPr>
      </w:pPr>
    </w:p>
    <w:p>
      <w:pPr>
        <w:ind w:right="320" w:firstLine="648"/>
        <w:spacing w:after="0" w:line="312" w:lineRule="auto"/>
        <w:rPr>
          <w:sz w:val="20"/>
          <w:szCs w:val="20"/>
          <w:color w:val="auto"/>
        </w:rPr>
      </w:pPr>
      <w:r>
        <w:rPr>
          <w:rFonts w:ascii="Arial" w:cs="Arial" w:eastAsia="Arial" w:hAnsi="Arial"/>
          <w:sz w:val="16"/>
          <w:szCs w:val="16"/>
          <w:color w:val="auto"/>
        </w:rPr>
        <w:t>The market for network security products is intensely competitive, and we expect competition to intensify in the future. Our competitors include networking companies such as Cisco and Juniper, security vendors such as Check Point, McAfee (acquired by Intel), Sourcefire (acquired by Cisco), Stonesoft (acquired by McAfee), SonicWALL (acquired by Dell), Blue Coat, FireEye, and Palo Alto Networks, and other point solution security vendors.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Many of our existing and potential competitors enjoy substantial competitive advantages such as:</w:t>
      </w:r>
    </w:p>
    <w:p>
      <w:pPr>
        <w:spacing w:after="0" w:line="225"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greater name recognition and longer operating histories;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addition, some of our larger competitors have substantially broader product offerings and leverage their relationships based on other products or incorporate functionality into existing products in a manner that discourages users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network security threat are often able to deliver these specialized network security products to the market more quickly than we can. Some of our smaller competitors are using third-party chips designed to accelerate performance. Conditions in our markets could change rapidly and significantly as a result of technological advancements or continuing market consolidation. Our current and potential competitors may also establish cooperative relationships among themselves or with third parties that may further enhance their resources. In addition, current or potential competitors may be acquired by third parties with greater available resources (such as Juniper’s acquisition of NetScreen Technologies Inc., Intel’s acquisition of McAfee, McAfee’s acquisition of Stonesoft, Check Point’s acquisition of Nokia Corporations’ security appliance business and Dell’s acquisition of SonicWALL), and new competitors may arise pursuant to acquisitions of network security companies or divisions. As a result of such acquisitions, competition in our market may</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2" w:right="25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16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Large, well-established providers of networking equipment such as Cisco and Juniper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proprietary rights may be difficult to enforce, which could enable others to copy or use aspects of our products without compensating us.</w:t>
      </w:r>
    </w:p>
    <w:p>
      <w:pPr>
        <w:spacing w:after="0" w:line="24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rely primarily on patent, trademark, copyright and trade secrets laws,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78"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assure you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2" w:right="25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other than by patent rights), we may find ourselves at a competitive disadvantage to others who need not incur the additional expense, time and effort required to create the innovative products that have enabled us to be successful to date.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products contain software modules licensed to us by third-party authors under “open source” licenses, including the GNU Public License, the GNU Lesser Public License (LGPL), the BSD License, the Apache License and others. From time to time, there have been claims against companies that distribute or use open source software in their products and services, asserting that open source software infringes the claimants’ intellectual property rights. We could be subject to suits by parties claiming infringement of intellectual property rights in what we believe to be licensed open source software. Use and distribution of open source software may entail greater risks than use of third-party commercial software, as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7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Although we monitor our use of open source software to avoid subjecting our products to conditions we do not intend, the terms of many open source licenses have not been interpreted by United States courts, and there is a risk that these licenses could be construed in a way that could impose unanticipated conditions or restrictions on our ability to commercialize our products. In this event, we could be required to seek licenses from third parties to continue offering our products, to make generally available, in source code form, our proprietary code, to re-engineer our products, or to discontinue the sale of our products if re-engineering could not be accomplished on a timely basis, any of which could adversely affect our business, operating results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litigation matters could harm our business.</w:t>
      </w:r>
    </w:p>
    <w:p>
      <w:pPr>
        <w:spacing w:after="0" w:line="225"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Patent and other intellectual property disputes are common in the network security industry. Third parties are currently asserting, have asserted and may in the future assert claims of infringement of intellectual property rights against us. They may also assert such claims against our end-customers or channel partners whom we typically indemnify against claims that our products infringe the intellectual property rights of third parties. As the number of products and competitors in our market increases and overlaps occur, infringement claims may increase. Any claim of infringement by a third-party, even those without merit, could cause us to incur substantial costs defending against the claim and could distract our management from our business. In addition, litigation may involve patent holding companies or other adverse patent owners who have no relevant product revenue and against whom our own patents may therefore provide little or no deterrence or protection.</w:t>
      </w:r>
    </w:p>
    <w:p>
      <w:pPr>
        <w:spacing w:after="0" w:line="178"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6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188"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From time to time we are subject to lawsuits claiming patent infringement. We are also subject to other litigation in addition to patent infringement claims, such as employment-related litigation and disputes, general commercial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 Several non-practicing patent holding companies have sent us letters proposing that we license certain of their patents, and given this and the proliferation of lawsuits in our industry and other similar industries by both non-practicing entities and operating entities, we expect that we will be sued for patent infringement in the future, regardless of the merits of any such lawsuits. The cost to</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color w:val="auto"/>
        </w:rPr>
        <w:t>defend such lawsuits and any adverse result in such lawsuits could have a material adverse effect on our results of operations and financial condition.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Many of our products include software or other intellectual property licensed from third parties. It may be necessary in the future to renew licenses relating to various aspects of these products or to seek new licenses for existing or new products. There can be no assurance that the necessary licenses would be available on acceptable terms, if at all. The inability to obtain certain licenses or other rights or to obtain such licenses or rights on favorable terms, or the need to engage in litigation regarding these matters, could result in delays in product releases until equivalent technology can be identified, licensed or developed, if at all, and integrated into our products and may have a material adverse effect on our business, operating results, and financial condition. Moreover, the inclusion in our products of software or other intellectual property licensed from third parties on a nonexclusive basis could limit our ability to differentiate our products from those of our competitors.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Sarbanes-Oxley Act of 2002, the Dodd-Frank Wall Street Reform and Consumer Protection Act of 2010, as well as other rules implemented by the SEC and The NASDAQ Stock Market, impose various requirements on public companies, including requiring changes in corporate governance practices. These and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The Sarbanes-Oxley Act requires, among other things, that we assess the effectiveness of our internal control over financial reporting annually and disclosure controls and procedures quarterly. Although our most recent assessment, testing and evaluation resulted in our conclusion that as of December 31, 2013, our internal controls over financial reporting were effective, we cannot predict the outcome of our testing in 2014 or future periods. If our internal controls or disclosure controls are ineffective in future periods, our business and reputation could be harmed. We may incur additional expenses and commitment of management’s time in connection with further evaluations, both of which could materially increase our operating expenses and accordingly reduce our operating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financial accounting standards may cause adverse unexpected fluctuations and affect our reported results of operations.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 change in accounting standards or practices and varying interpretations of existing accounting pronouncements, such as changes to standards related to revenue recognition which are effective for us beginning on January 1, 2017, the increased use of fair value measure, and financial instruments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would have an adverse effect on our business and our ability to meet our reporting obligations.</w:t>
      </w:r>
    </w:p>
    <w:p>
      <w:pPr>
        <w:spacing w:after="0" w:line="1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7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or our business. If we do not maintain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is likely to be volatile.</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market price of our common stock is subject to wide fluctuations in response to, among other things, the risk factors described in this periodic report, and other factors such as rumors or fluctuations in the valuation of companies perceived by investors to be comparable to us or announcements regarding our share repurchase program and the timing and amount of shares we purchase under the program. For example, in the six months ended June 30, 2014, the closing price of our common stock ranged from $19.02 to $25.13.</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2" w:right="25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Anti-takeover provisions contained in our certificate of incorporation and bylaws, as well as provisions of Delaware law, could impair a takeover attempt.</w:t>
      </w:r>
    </w:p>
    <w:p>
      <w:pPr>
        <w:spacing w:after="0" w:line="260"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47"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providing for a classified board of directors whose members serve staggered three-year terms;</w:t>
      </w:r>
    </w:p>
    <w:p>
      <w:pPr>
        <w:spacing w:after="0" w:line="225" w:lineRule="exact"/>
        <w:rPr>
          <w:rFonts w:ascii="Arial" w:cs="Arial" w:eastAsia="Arial" w:hAnsi="Arial"/>
          <w:sz w:val="18"/>
          <w:szCs w:val="18"/>
          <w:color w:val="auto"/>
        </w:rPr>
      </w:pPr>
    </w:p>
    <w:p>
      <w:pPr>
        <w:ind w:left="1300" w:right="52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225" w:lineRule="exact"/>
        <w:rPr>
          <w:rFonts w:ascii="Arial" w:cs="Arial" w:eastAsia="Arial" w:hAnsi="Arial"/>
          <w:sz w:val="18"/>
          <w:szCs w:val="18"/>
          <w:color w:val="auto"/>
        </w:rPr>
      </w:pPr>
    </w:p>
    <w:p>
      <w:pPr>
        <w:ind w:left="1300" w:right="64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a substantial majority of all of our outstanding common stock.</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4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addition, in April 2014, we amended our bylaws to provide that certain litigation matters may only be brought against us in state or federal courts in the State of Delaware.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table provides information with respect to the shares of common stock we repurchased in three months ended June 30, 2014 (in thousands, except number of share and per share amounts):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54"/>
              <w:spacing w:after="0"/>
              <w:rPr>
                <w:sz w:val="20"/>
                <w:szCs w:val="20"/>
                <w:color w:val="auto"/>
              </w:rPr>
            </w:pPr>
            <w:r>
              <w:rPr>
                <w:rFonts w:ascii="Arial" w:cs="Arial" w:eastAsia="Arial" w:hAnsi="Arial"/>
                <w:sz w:val="16"/>
                <w:szCs w:val="16"/>
                <w:b w:val="1"/>
                <w:bCs w:val="1"/>
                <w:color w:val="auto"/>
                <w:w w:val="94"/>
              </w:rPr>
              <w:t>Approximate</w:t>
            </w:r>
          </w:p>
        </w:tc>
      </w:tr>
      <w:tr>
        <w:trPr>
          <w:trHeight w:val="203"/>
        </w:trPr>
        <w:tc>
          <w:tcPr>
            <w:tcW w:w="37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54"/>
              <w:spacing w:after="0"/>
              <w:rPr>
                <w:sz w:val="20"/>
                <w:szCs w:val="20"/>
                <w:color w:val="auto"/>
              </w:rPr>
            </w:pPr>
            <w:r>
              <w:rPr>
                <w:rFonts w:ascii="Arial" w:cs="Arial" w:eastAsia="Arial" w:hAnsi="Arial"/>
                <w:sz w:val="16"/>
                <w:szCs w:val="16"/>
                <w:b w:val="1"/>
                <w:bCs w:val="1"/>
                <w:color w:val="auto"/>
                <w:w w:val="92"/>
              </w:rPr>
              <w:t>Dollar Value of</w:t>
            </w:r>
          </w:p>
        </w:tc>
      </w:tr>
      <w:tr>
        <w:trPr>
          <w:trHeight w:val="203"/>
        </w:trPr>
        <w:tc>
          <w:tcPr>
            <w:tcW w:w="37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9"/>
              </w:rPr>
              <w:t>Total Number of</w:t>
            </w: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Shares that May</w:t>
            </w:r>
          </w:p>
        </w:tc>
      </w:tr>
      <w:tr>
        <w:trPr>
          <w:trHeight w:val="203"/>
        </w:trPr>
        <w:tc>
          <w:tcPr>
            <w:tcW w:w="37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Shares Purchased</w:t>
            </w: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Yet Be Purchased</w:t>
            </w:r>
          </w:p>
        </w:tc>
      </w:tr>
      <w:tr>
        <w:trPr>
          <w:trHeight w:val="203"/>
        </w:trPr>
        <w:tc>
          <w:tcPr>
            <w:tcW w:w="37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as Part of Publicly</w:t>
            </w: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Under the Plan or</w:t>
            </w:r>
          </w:p>
        </w:tc>
      </w:tr>
      <w:tr>
        <w:trPr>
          <w:trHeight w:val="203"/>
        </w:trPr>
        <w:tc>
          <w:tcPr>
            <w:tcW w:w="3760" w:type="dxa"/>
            <w:vAlign w:val="bottom"/>
          </w:tcPr>
          <w:p>
            <w:pPr>
              <w:spacing w:after="0"/>
              <w:rPr>
                <w:sz w:val="17"/>
                <w:szCs w:val="17"/>
                <w:color w:val="auto"/>
              </w:rPr>
            </w:pPr>
          </w:p>
        </w:tc>
        <w:tc>
          <w:tcPr>
            <w:tcW w:w="33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Total Number of</w:t>
            </w:r>
          </w:p>
        </w:tc>
        <w:tc>
          <w:tcPr>
            <w:tcW w:w="148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Average Price Paid</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6"/>
              </w:rPr>
              <w:t>Announced Plan</w:t>
            </w:r>
          </w:p>
        </w:tc>
        <w:tc>
          <w:tcPr>
            <w:tcW w:w="140" w:type="dxa"/>
            <w:vAlign w:val="bottom"/>
          </w:tcPr>
          <w:p>
            <w:pPr>
              <w:spacing w:after="0"/>
              <w:rPr>
                <w:sz w:val="17"/>
                <w:szCs w:val="17"/>
                <w:color w:val="auto"/>
              </w:rPr>
            </w:pPr>
          </w:p>
        </w:tc>
        <w:tc>
          <w:tcPr>
            <w:tcW w:w="1220" w:type="dxa"/>
            <w:vAlign w:val="bottom"/>
          </w:tcPr>
          <w:p>
            <w:pPr>
              <w:jc w:val="center"/>
              <w:ind w:right="74"/>
              <w:spacing w:after="0"/>
              <w:rPr>
                <w:sz w:val="20"/>
                <w:szCs w:val="20"/>
                <w:color w:val="auto"/>
              </w:rPr>
            </w:pPr>
            <w:r>
              <w:rPr>
                <w:rFonts w:ascii="Arial" w:cs="Arial" w:eastAsia="Arial" w:hAnsi="Arial"/>
                <w:sz w:val="16"/>
                <w:szCs w:val="16"/>
                <w:b w:val="1"/>
                <w:bCs w:val="1"/>
                <w:color w:val="auto"/>
                <w:w w:val="94"/>
              </w:rPr>
              <w:t>Program</w:t>
            </w:r>
          </w:p>
        </w:tc>
      </w:tr>
      <w:tr>
        <w:trPr>
          <w:trHeight w:val="243"/>
        </w:trPr>
        <w:tc>
          <w:tcPr>
            <w:tcW w:w="3760" w:type="dxa"/>
            <w:vAlign w:val="bottom"/>
          </w:tcPr>
          <w:p>
            <w:pPr>
              <w:ind w:left="40"/>
              <w:spacing w:after="0"/>
              <w:rPr>
                <w:sz w:val="20"/>
                <w:szCs w:val="20"/>
                <w:color w:val="auto"/>
              </w:rPr>
            </w:pPr>
            <w:r>
              <w:rPr>
                <w:rFonts w:ascii="Arial" w:cs="Arial" w:eastAsia="Arial" w:hAnsi="Arial"/>
                <w:sz w:val="16"/>
                <w:szCs w:val="16"/>
                <w:b w:val="1"/>
                <w:bCs w:val="1"/>
                <w:color w:val="auto"/>
              </w:rPr>
              <w:t>Period</w:t>
            </w:r>
          </w:p>
        </w:tc>
        <w:tc>
          <w:tcPr>
            <w:tcW w:w="3360" w:type="dxa"/>
            <w:vAlign w:val="bottom"/>
            <w:gridSpan w:val="2"/>
          </w:tcPr>
          <w:p>
            <w:pPr>
              <w:ind w:left="1920"/>
              <w:spacing w:after="0"/>
              <w:rPr>
                <w:sz w:val="20"/>
                <w:szCs w:val="20"/>
                <w:color w:val="auto"/>
              </w:rPr>
            </w:pPr>
            <w:r>
              <w:rPr>
                <w:rFonts w:ascii="Arial" w:cs="Arial" w:eastAsia="Arial" w:hAnsi="Arial"/>
                <w:sz w:val="16"/>
                <w:szCs w:val="16"/>
                <w:b w:val="1"/>
                <w:bCs w:val="1"/>
                <w:color w:val="auto"/>
              </w:rPr>
              <w:t>Shares Purchased</w:t>
            </w:r>
          </w:p>
        </w:tc>
        <w:tc>
          <w:tcPr>
            <w:tcW w:w="220" w:type="dxa"/>
            <w:vAlign w:val="bottom"/>
          </w:tcPr>
          <w:p>
            <w:pPr>
              <w:spacing w:after="0"/>
              <w:rPr>
                <w:sz w:val="21"/>
                <w:szCs w:val="21"/>
                <w:color w:val="auto"/>
              </w:rPr>
            </w:pPr>
          </w:p>
        </w:tc>
        <w:tc>
          <w:tcPr>
            <w:tcW w:w="1260" w:type="dxa"/>
            <w:vAlign w:val="bottom"/>
            <w:gridSpan w:val="2"/>
          </w:tcPr>
          <w:p>
            <w:pPr>
              <w:ind w:left="120"/>
              <w:spacing w:after="0"/>
              <w:rPr>
                <w:sz w:val="20"/>
                <w:szCs w:val="20"/>
                <w:color w:val="auto"/>
              </w:rPr>
            </w:pPr>
            <w:r>
              <w:rPr>
                <w:rFonts w:ascii="Arial" w:cs="Arial" w:eastAsia="Arial" w:hAnsi="Arial"/>
                <w:sz w:val="16"/>
                <w:szCs w:val="16"/>
                <w:b w:val="1"/>
                <w:bCs w:val="1"/>
                <w:color w:val="auto"/>
              </w:rPr>
              <w:t>per Share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or Program</w:t>
            </w:r>
            <w:r>
              <w:rPr>
                <w:rFonts w:ascii="Arial" w:cs="Arial" w:eastAsia="Arial" w:hAnsi="Arial"/>
                <w:sz w:val="21"/>
                <w:szCs w:val="21"/>
                <w:b w:val="1"/>
                <w:bCs w:val="1"/>
                <w:color w:val="auto"/>
                <w:w w:val="90"/>
                <w:vertAlign w:val="superscript"/>
              </w:rPr>
              <w:t>(1)</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4"/>
        </w:trPr>
        <w:tc>
          <w:tcPr>
            <w:tcW w:w="37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1 - April 30, 2014</w:t>
            </w:r>
          </w:p>
        </w:tc>
        <w:tc>
          <w:tcPr>
            <w:tcW w:w="324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210,000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148,901</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May 1 - May 31, 2014</w:t>
            </w:r>
          </w:p>
        </w:tc>
        <w:tc>
          <w:tcPr>
            <w:tcW w:w="3240" w:type="dxa"/>
            <w:vAlign w:val="bottom"/>
          </w:tcPr>
          <w:p>
            <w:pPr>
              <w:jc w:val="right"/>
              <w:ind w:right="54"/>
              <w:spacing w:after="0"/>
              <w:rPr>
                <w:sz w:val="20"/>
                <w:szCs w:val="20"/>
                <w:color w:val="auto"/>
              </w:rPr>
            </w:pPr>
            <w:r>
              <w:rPr>
                <w:rFonts w:ascii="Arial" w:cs="Arial" w:eastAsia="Arial" w:hAnsi="Arial"/>
                <w:sz w:val="18"/>
                <w:szCs w:val="18"/>
                <w:color w:val="auto"/>
              </w:rPr>
              <w:t>250,400</w:t>
            </w:r>
          </w:p>
        </w:tc>
        <w:tc>
          <w:tcPr>
            <w:tcW w:w="1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21.38</w:t>
            </w:r>
          </w:p>
        </w:tc>
        <w:tc>
          <w:tcPr>
            <w:tcW w:w="12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250,400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143,547</w:t>
            </w:r>
          </w:p>
        </w:tc>
      </w:tr>
      <w:tr>
        <w:trPr>
          <w:trHeight w:val="27"/>
        </w:trPr>
        <w:tc>
          <w:tcPr>
            <w:tcW w:w="37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1 - June 30, 2014</w:t>
            </w:r>
          </w:p>
        </w:tc>
        <w:tc>
          <w:tcPr>
            <w:tcW w:w="3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209,700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209,700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138,572</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____________________</w:t>
            </w:r>
          </w:p>
        </w:tc>
        <w:tc>
          <w:tcPr>
            <w:tcW w:w="3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bl>
    <w:p>
      <w:pPr>
        <w:spacing w:after="0" w:line="40" w:lineRule="exact"/>
        <w:rPr>
          <w:sz w:val="20"/>
          <w:szCs w:val="20"/>
          <w:color w:val="auto"/>
        </w:rPr>
      </w:pPr>
    </w:p>
    <w:p>
      <w:pPr>
        <w:ind w:left="40" w:right="220" w:hanging="5"/>
        <w:spacing w:after="0" w:line="245" w:lineRule="auto"/>
        <w:tabs>
          <w:tab w:leader="none" w:pos="232" w:val="left"/>
        </w:tabs>
        <w:numPr>
          <w:ilvl w:val="0"/>
          <w:numId w:val="20"/>
        </w:numPr>
        <w:rPr>
          <w:rFonts w:ascii="Arial" w:cs="Arial" w:eastAsia="Arial" w:hAnsi="Arial"/>
          <w:sz w:val="24"/>
          <w:szCs w:val="24"/>
          <w:color w:val="auto"/>
          <w:vertAlign w:val="superscript"/>
        </w:rPr>
      </w:pPr>
      <w:r>
        <w:rPr>
          <w:rFonts w:ascii="Arial" w:cs="Arial" w:eastAsia="Arial" w:hAnsi="Arial"/>
          <w:sz w:val="17"/>
          <w:szCs w:val="17"/>
          <w:color w:val="auto"/>
        </w:rPr>
        <w:t>On December 6, 2013, our Board of Directors had authorized a Share Repurchase Program (“Program”) to repurchase up to $200.0 million of our outstanding common stock through December 31, 2014. This column discloses the number of shares purchased pursuant to the Program during the time periods indicated (including shares purchased pursuant to the terms of preset trading plans meeting the requirements of Rules 10b5-1 and 10b-18 under the Exchange Act).</w:t>
      </w:r>
    </w:p>
    <w:p>
      <w:pPr>
        <w:spacing w:after="0" w:line="200" w:lineRule="exact"/>
        <w:rPr>
          <w:sz w:val="20"/>
          <w:szCs w:val="20"/>
          <w:color w:val="auto"/>
        </w:rPr>
      </w:pPr>
    </w:p>
    <w:p>
      <w:pPr>
        <w:spacing w:after="0" w:line="23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Change of Control Severance Agreements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On July 31, 2014, we amended the Change of Control Severance Agreement for each of Ken Xie, Michael Xie and John Whittle to extend the term of each such agreement from August 7, 2014 to August 7, 2019.</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foregoing description is qualified in its entirety by the full text of each of the amendments to the Change of Control Severance Agreements, which are each filed as exhibits to this Quarterly Report on Form 10-Q.</w:t>
      </w:r>
    </w:p>
    <w:p>
      <w:pPr>
        <w:spacing w:after="0" w:line="3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exhibits listed in the accompanying Exhibit Index are filed or incorporated by reference as part of this Quarterly Report on Form 10-Q.</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2014</w:t>
      </w:r>
    </w:p>
    <w:p>
      <w:pPr>
        <w:spacing w:after="0" w:line="38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FORTINET, INC.</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240" w:type="dxa"/>
            <w:vAlign w:val="bottom"/>
          </w:tcPr>
          <w:p>
            <w:pPr>
              <w:ind w:left="5700"/>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/s/ Andrew Del Matto</w:t>
            </w:r>
          </w:p>
        </w:tc>
        <w:tc>
          <w:tcPr>
            <w:tcW w:w="0" w:type="dxa"/>
            <w:vAlign w:val="bottom"/>
          </w:tcPr>
          <w:p>
            <w:pPr>
              <w:spacing w:after="0"/>
              <w:rPr>
                <w:sz w:val="1"/>
                <w:szCs w:val="1"/>
                <w:color w:val="auto"/>
              </w:rPr>
            </w:pPr>
          </w:p>
        </w:tc>
      </w:tr>
      <w:tr>
        <w:trPr>
          <w:trHeight w:val="27"/>
        </w:trPr>
        <w:tc>
          <w:tcPr>
            <w:tcW w:w="6240" w:type="dxa"/>
            <w:vAlign w:val="bottom"/>
            <w:vMerge w:val="restart"/>
          </w:tcPr>
          <w:p>
            <w:pPr>
              <w:spacing w:after="0"/>
              <w:rPr>
                <w:sz w:val="20"/>
                <w:szCs w:val="20"/>
                <w:color w:val="auto"/>
              </w:rPr>
            </w:pPr>
            <w:r>
              <w:rPr>
                <w:rFonts w:ascii="Arial" w:cs="Arial" w:eastAsia="Arial" w:hAnsi="Arial"/>
                <w:sz w:val="14"/>
                <w:szCs w:val="14"/>
                <w:b w:val="1"/>
                <w:bCs w:val="1"/>
                <w:color w:val="FFFFFF"/>
              </w:rPr>
              <w:t>Ken Goldman</w:t>
            </w:r>
          </w:p>
        </w:tc>
        <w:tc>
          <w:tcPr>
            <w:tcW w:w="5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6240" w:type="dxa"/>
            <w:vAlign w:val="bottom"/>
            <w:vMerge w:val="continue"/>
          </w:tcPr>
          <w:p>
            <w:pPr>
              <w:spacing w:after="0"/>
              <w:rPr>
                <w:sz w:val="12"/>
                <w:szCs w:val="12"/>
                <w:color w:val="auto"/>
              </w:rPr>
            </w:pPr>
          </w:p>
        </w:tc>
        <w:tc>
          <w:tcPr>
            <w:tcW w:w="514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Andrew Del Matto</w:t>
            </w:r>
          </w:p>
        </w:tc>
        <w:tc>
          <w:tcPr>
            <w:tcW w:w="0" w:type="dxa"/>
            <w:vAlign w:val="bottom"/>
          </w:tcPr>
          <w:p>
            <w:pPr>
              <w:spacing w:after="0"/>
              <w:rPr>
                <w:sz w:val="1"/>
                <w:szCs w:val="1"/>
                <w:color w:val="auto"/>
              </w:rPr>
            </w:pPr>
          </w:p>
        </w:tc>
      </w:tr>
      <w:tr>
        <w:trPr>
          <w:trHeight w:val="186"/>
        </w:trPr>
        <w:tc>
          <w:tcPr>
            <w:tcW w:w="6240" w:type="dxa"/>
            <w:vAlign w:val="bottom"/>
          </w:tcPr>
          <w:p>
            <w:pPr>
              <w:spacing w:after="0"/>
              <w:rPr>
                <w:sz w:val="20"/>
                <w:szCs w:val="20"/>
                <w:color w:val="auto"/>
              </w:rPr>
            </w:pPr>
            <w:r>
              <w:rPr>
                <w:rFonts w:ascii="Arial" w:cs="Arial" w:eastAsia="Arial" w:hAnsi="Arial"/>
                <w:sz w:val="14"/>
                <w:szCs w:val="14"/>
                <w:b w:val="1"/>
                <w:bCs w:val="1"/>
                <w:color w:val="FFFFFF"/>
              </w:rPr>
              <w:t>Vice President and Chief Financial Officer</w:t>
            </w:r>
          </w:p>
        </w:tc>
        <w:tc>
          <w:tcPr>
            <w:tcW w:w="5140" w:type="dxa"/>
            <w:vAlign w:val="bottom"/>
          </w:tcPr>
          <w:p>
            <w:pPr>
              <w:ind w:left="40"/>
              <w:spacing w:after="0"/>
              <w:rPr>
                <w:sz w:val="20"/>
                <w:szCs w:val="20"/>
                <w:color w:val="auto"/>
              </w:rPr>
            </w:pPr>
            <w:r>
              <w:rPr>
                <w:rFonts w:ascii="Arial" w:cs="Arial" w:eastAsia="Arial" w:hAnsi="Arial"/>
                <w:sz w:val="14"/>
                <w:szCs w:val="14"/>
                <w:b w:val="1"/>
                <w:bCs w:val="1"/>
                <w:color w:val="auto"/>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ind w:right="379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0219"/>
          </w:cols>
          <w:pgMar w:left="240" w:top="122" w:right="1440" w:bottom="1440" w:gutter="0" w:footer="0" w:header="0"/>
        </w:sect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gridSpan w:val="2"/>
          </w:tcPr>
          <w:p>
            <w:pPr>
              <w:ind w:left="200"/>
              <w:spacing w:after="0"/>
              <w:rPr>
                <w:sz w:val="20"/>
                <w:szCs w:val="20"/>
                <w:color w:val="auto"/>
              </w:rPr>
            </w:pPr>
            <w:r>
              <w:rPr>
                <w:rFonts w:ascii="Arial" w:cs="Arial" w:eastAsia="Arial" w:hAnsi="Arial"/>
                <w:sz w:val="14"/>
                <w:szCs w:val="14"/>
                <w:b w:val="1"/>
                <w:bCs w:val="1"/>
                <w:color w:val="auto"/>
              </w:rPr>
              <w:t>Exhibit Number</w:t>
            </w:r>
          </w:p>
        </w:tc>
        <w:tc>
          <w:tcPr>
            <w:tcW w:w="4020" w:type="dxa"/>
            <w:vAlign w:val="bottom"/>
          </w:tcPr>
          <w:p>
            <w:pPr>
              <w:ind w:left="1660"/>
              <w:spacing w:after="0"/>
              <w:rPr>
                <w:sz w:val="20"/>
                <w:szCs w:val="20"/>
                <w:color w:val="auto"/>
              </w:rPr>
            </w:pPr>
            <w:r>
              <w:rPr>
                <w:rFonts w:ascii="Arial" w:cs="Arial" w:eastAsia="Arial" w:hAnsi="Arial"/>
                <w:sz w:val="14"/>
                <w:szCs w:val="14"/>
                <w:b w:val="1"/>
                <w:bCs w:val="1"/>
                <w:color w:val="auto"/>
              </w:rPr>
              <w:t>Description</w:t>
            </w:r>
          </w:p>
        </w:tc>
      </w:tr>
      <w:tr>
        <w:trPr>
          <w:trHeight w:val="595"/>
        </w:trPr>
        <w:tc>
          <w:tcPr>
            <w:tcW w:w="140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4"/>
                <w:szCs w:val="24"/>
                <w:color w:val="auto"/>
              </w:rPr>
            </w:pPr>
          </w:p>
        </w:tc>
        <w:tc>
          <w:tcPr>
            <w:tcW w:w="402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Bylaws</w:t>
            </w:r>
          </w:p>
        </w:tc>
      </w:tr>
      <w:tr>
        <w:trPr>
          <w:trHeight w:val="736"/>
        </w:trPr>
        <w:tc>
          <w:tcPr>
            <w:tcW w:w="1400" w:type="dxa"/>
            <w:vAlign w:val="bottom"/>
          </w:tcPr>
          <w:p>
            <w:pPr>
              <w:ind w:left="40"/>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c>
          <w:tcPr>
            <w:tcW w:w="4020" w:type="dxa"/>
            <w:vAlign w:val="bottom"/>
          </w:tcPr>
          <w:p>
            <w:pPr>
              <w:ind w:left="40"/>
              <w:spacing w:after="0"/>
              <w:rPr>
                <w:sz w:val="20"/>
                <w:szCs w:val="20"/>
                <w:color w:val="auto"/>
              </w:rPr>
            </w:pPr>
            <w:r>
              <w:rPr>
                <w:rFonts w:ascii="Arial" w:cs="Arial" w:eastAsia="Arial" w:hAnsi="Arial"/>
                <w:sz w:val="14"/>
                <w:szCs w:val="14"/>
                <w:color w:val="auto"/>
                <w:w w:val="93"/>
              </w:rPr>
              <w:t>Amendment 1 to Change of Control Severance Agreement, dated as</w:t>
            </w:r>
          </w:p>
        </w:tc>
      </w:tr>
      <w:tr>
        <w:trPr>
          <w:trHeight w:val="182"/>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20" w:type="dxa"/>
            <w:vAlign w:val="bottom"/>
          </w:tcPr>
          <w:p>
            <w:pPr>
              <w:ind w:left="40"/>
              <w:spacing w:after="0"/>
              <w:rPr>
                <w:sz w:val="20"/>
                <w:szCs w:val="20"/>
                <w:color w:val="auto"/>
              </w:rPr>
            </w:pPr>
            <w:r>
              <w:rPr>
                <w:rFonts w:ascii="Arial" w:cs="Arial" w:eastAsia="Arial" w:hAnsi="Arial"/>
                <w:sz w:val="14"/>
                <w:szCs w:val="14"/>
                <w:color w:val="auto"/>
              </w:rPr>
              <w:t>of July 31, 2014, between the Company and Ken Xie</w:t>
            </w:r>
          </w:p>
        </w:tc>
      </w:tr>
      <w:tr>
        <w:trPr>
          <w:trHeight w:val="290"/>
        </w:trPr>
        <w:tc>
          <w:tcPr>
            <w:tcW w:w="1400" w:type="dxa"/>
            <w:vAlign w:val="bottom"/>
          </w:tcPr>
          <w:p>
            <w:pPr>
              <w:ind w:left="40"/>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4"/>
                <w:szCs w:val="24"/>
                <w:color w:val="auto"/>
              </w:rPr>
            </w:pPr>
          </w:p>
        </w:tc>
        <w:tc>
          <w:tcPr>
            <w:tcW w:w="4020" w:type="dxa"/>
            <w:vAlign w:val="bottom"/>
          </w:tcPr>
          <w:p>
            <w:pPr>
              <w:ind w:left="40"/>
              <w:spacing w:after="0"/>
              <w:rPr>
                <w:sz w:val="20"/>
                <w:szCs w:val="20"/>
                <w:color w:val="auto"/>
              </w:rPr>
            </w:pPr>
            <w:r>
              <w:rPr>
                <w:rFonts w:ascii="Arial" w:cs="Arial" w:eastAsia="Arial" w:hAnsi="Arial"/>
                <w:sz w:val="14"/>
                <w:szCs w:val="14"/>
                <w:color w:val="auto"/>
                <w:w w:val="93"/>
              </w:rPr>
              <w:t>Amendment 1 to Change of Control Severance Agreement, dated as</w:t>
            </w:r>
          </w:p>
        </w:tc>
      </w:tr>
      <w:tr>
        <w:trPr>
          <w:trHeight w:val="182"/>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20" w:type="dxa"/>
            <w:vAlign w:val="bottom"/>
          </w:tcPr>
          <w:p>
            <w:pPr>
              <w:ind w:left="40"/>
              <w:spacing w:after="0"/>
              <w:rPr>
                <w:sz w:val="20"/>
                <w:szCs w:val="20"/>
                <w:color w:val="auto"/>
              </w:rPr>
            </w:pPr>
            <w:r>
              <w:rPr>
                <w:rFonts w:ascii="Arial" w:cs="Arial" w:eastAsia="Arial" w:hAnsi="Arial"/>
                <w:sz w:val="14"/>
                <w:szCs w:val="14"/>
                <w:color w:val="auto"/>
              </w:rPr>
              <w:t>of July 31, 2014, between the Company and Michael Xie</w:t>
            </w:r>
          </w:p>
        </w:tc>
      </w:tr>
      <w:tr>
        <w:trPr>
          <w:trHeight w:val="290"/>
        </w:trPr>
        <w:tc>
          <w:tcPr>
            <w:tcW w:w="1400" w:type="dxa"/>
            <w:vAlign w:val="bottom"/>
          </w:tcPr>
          <w:p>
            <w:pPr>
              <w:ind w:left="40"/>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4"/>
                <w:szCs w:val="24"/>
                <w:color w:val="auto"/>
              </w:rPr>
            </w:pPr>
          </w:p>
        </w:tc>
        <w:tc>
          <w:tcPr>
            <w:tcW w:w="4020" w:type="dxa"/>
            <w:vAlign w:val="bottom"/>
          </w:tcPr>
          <w:p>
            <w:pPr>
              <w:ind w:left="40"/>
              <w:spacing w:after="0"/>
              <w:rPr>
                <w:sz w:val="20"/>
                <w:szCs w:val="20"/>
                <w:color w:val="auto"/>
              </w:rPr>
            </w:pPr>
            <w:r>
              <w:rPr>
                <w:rFonts w:ascii="Arial" w:cs="Arial" w:eastAsia="Arial" w:hAnsi="Arial"/>
                <w:sz w:val="14"/>
                <w:szCs w:val="14"/>
                <w:color w:val="auto"/>
                <w:w w:val="93"/>
              </w:rPr>
              <w:t>Amendment 1 to Change of Control Severance Agreement, dated as</w:t>
            </w:r>
          </w:p>
        </w:tc>
      </w:tr>
      <w:tr>
        <w:trPr>
          <w:trHeight w:val="182"/>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20" w:type="dxa"/>
            <w:vAlign w:val="bottom"/>
          </w:tcPr>
          <w:p>
            <w:pPr>
              <w:ind w:left="40"/>
              <w:spacing w:after="0"/>
              <w:rPr>
                <w:sz w:val="20"/>
                <w:szCs w:val="20"/>
                <w:color w:val="auto"/>
              </w:rPr>
            </w:pPr>
            <w:r>
              <w:rPr>
                <w:rFonts w:ascii="Arial" w:cs="Arial" w:eastAsia="Arial" w:hAnsi="Arial"/>
                <w:sz w:val="14"/>
                <w:szCs w:val="14"/>
                <w:color w:val="auto"/>
              </w:rPr>
              <w:t>of July 31, 2014, between the Company and John Whittle</w:t>
            </w:r>
          </w:p>
        </w:tc>
      </w:tr>
      <w:tr>
        <w:trPr>
          <w:trHeight w:val="290"/>
        </w:trPr>
        <w:tc>
          <w:tcPr>
            <w:tcW w:w="1400" w:type="dxa"/>
            <w:vAlign w:val="bottom"/>
          </w:tcPr>
          <w:p>
            <w:pPr>
              <w:ind w:left="40"/>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24"/>
                <w:szCs w:val="24"/>
                <w:color w:val="auto"/>
              </w:rPr>
            </w:pPr>
          </w:p>
        </w:tc>
        <w:tc>
          <w:tcPr>
            <w:tcW w:w="4020" w:type="dxa"/>
            <w:vAlign w:val="bottom"/>
          </w:tcPr>
          <w:p>
            <w:pPr>
              <w:ind w:left="40"/>
              <w:spacing w:after="0"/>
              <w:rPr>
                <w:sz w:val="20"/>
                <w:szCs w:val="20"/>
                <w:color w:val="auto"/>
              </w:rPr>
            </w:pPr>
            <w:r>
              <w:rPr>
                <w:rFonts w:ascii="Arial" w:cs="Arial" w:eastAsia="Arial" w:hAnsi="Arial"/>
                <w:sz w:val="14"/>
                <w:szCs w:val="14"/>
                <w:color w:val="auto"/>
                <w:w w:val="99"/>
              </w:rPr>
              <w:t>Certification of Chief Executive Officer pursuant to Exchange Act</w:t>
            </w:r>
          </w:p>
        </w:tc>
      </w:tr>
      <w:tr>
        <w:trPr>
          <w:trHeight w:val="149"/>
        </w:trPr>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20" w:type="dxa"/>
            <w:vAlign w:val="bottom"/>
          </w:tcPr>
          <w:p>
            <w:pPr>
              <w:ind w:left="40"/>
              <w:spacing w:after="0" w:line="149" w:lineRule="exact"/>
              <w:rPr>
                <w:sz w:val="20"/>
                <w:szCs w:val="20"/>
                <w:color w:val="auto"/>
              </w:rPr>
            </w:pPr>
            <w:r>
              <w:rPr>
                <w:rFonts w:ascii="Arial" w:cs="Arial" w:eastAsia="Arial" w:hAnsi="Arial"/>
                <w:sz w:val="14"/>
                <w:szCs w:val="14"/>
                <w:color w:val="auto"/>
                <w:w w:val="94"/>
              </w:rPr>
              <w:t>Rules 13a-14(a) and 15d-14(a), as adopted pursuant to Section 302</w:t>
            </w:r>
          </w:p>
        </w:tc>
      </w:tr>
      <w:tr>
        <w:trPr>
          <w:trHeight w:val="182"/>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20" w:type="dxa"/>
            <w:vAlign w:val="bottom"/>
          </w:tcPr>
          <w:p>
            <w:pPr>
              <w:ind w:left="40"/>
              <w:spacing w:after="0"/>
              <w:rPr>
                <w:sz w:val="20"/>
                <w:szCs w:val="20"/>
                <w:color w:val="auto"/>
              </w:rPr>
            </w:pPr>
            <w:r>
              <w:rPr>
                <w:rFonts w:ascii="Arial" w:cs="Arial" w:eastAsia="Arial" w:hAnsi="Arial"/>
                <w:sz w:val="14"/>
                <w:szCs w:val="14"/>
                <w:color w:val="auto"/>
              </w:rPr>
              <w:t>of the Sarbanes-Oxley Act of 2002</w:t>
            </w:r>
          </w:p>
        </w:tc>
      </w:tr>
      <w:tr>
        <w:trPr>
          <w:trHeight w:val="290"/>
        </w:trPr>
        <w:tc>
          <w:tcPr>
            <w:tcW w:w="1400" w:type="dxa"/>
            <w:vAlign w:val="bottom"/>
          </w:tcPr>
          <w:p>
            <w:pPr>
              <w:ind w:left="40"/>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24"/>
                <w:szCs w:val="24"/>
                <w:color w:val="auto"/>
              </w:rPr>
            </w:pPr>
          </w:p>
        </w:tc>
        <w:tc>
          <w:tcPr>
            <w:tcW w:w="4020" w:type="dxa"/>
            <w:vAlign w:val="bottom"/>
          </w:tcPr>
          <w:p>
            <w:pPr>
              <w:ind w:left="40"/>
              <w:spacing w:after="0"/>
              <w:rPr>
                <w:sz w:val="20"/>
                <w:szCs w:val="20"/>
                <w:color w:val="auto"/>
              </w:rPr>
            </w:pPr>
            <w:r>
              <w:rPr>
                <w:rFonts w:ascii="Arial" w:cs="Arial" w:eastAsia="Arial" w:hAnsi="Arial"/>
                <w:sz w:val="14"/>
                <w:szCs w:val="14"/>
                <w:color w:val="auto"/>
              </w:rPr>
              <w:t>Certification of Chief Financial Officer pursuant to Exchange Act</w:t>
            </w:r>
          </w:p>
        </w:tc>
      </w:tr>
      <w:tr>
        <w:trPr>
          <w:trHeight w:val="149"/>
        </w:trPr>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20" w:type="dxa"/>
            <w:vAlign w:val="bottom"/>
          </w:tcPr>
          <w:p>
            <w:pPr>
              <w:ind w:left="40"/>
              <w:spacing w:after="0" w:line="149" w:lineRule="exact"/>
              <w:rPr>
                <w:sz w:val="20"/>
                <w:szCs w:val="20"/>
                <w:color w:val="auto"/>
              </w:rPr>
            </w:pPr>
            <w:r>
              <w:rPr>
                <w:rFonts w:ascii="Arial" w:cs="Arial" w:eastAsia="Arial" w:hAnsi="Arial"/>
                <w:sz w:val="14"/>
                <w:szCs w:val="14"/>
                <w:color w:val="auto"/>
                <w:w w:val="94"/>
              </w:rPr>
              <w:t>Rules 13a-14(a) and 15d-14(a), as adopted pursuant to Section 302</w:t>
            </w:r>
          </w:p>
        </w:tc>
      </w:tr>
      <w:tr>
        <w:trPr>
          <w:trHeight w:val="182"/>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20" w:type="dxa"/>
            <w:vAlign w:val="bottom"/>
          </w:tcPr>
          <w:p>
            <w:pPr>
              <w:ind w:left="40"/>
              <w:spacing w:after="0"/>
              <w:rPr>
                <w:sz w:val="20"/>
                <w:szCs w:val="20"/>
                <w:color w:val="auto"/>
              </w:rPr>
            </w:pPr>
            <w:r>
              <w:rPr>
                <w:rFonts w:ascii="Arial" w:cs="Arial" w:eastAsia="Arial" w:hAnsi="Arial"/>
                <w:sz w:val="14"/>
                <w:szCs w:val="14"/>
                <w:color w:val="auto"/>
              </w:rPr>
              <w:t>of the Sarbanes-Oxley Act of 2002</w:t>
            </w:r>
          </w:p>
        </w:tc>
      </w:tr>
      <w:tr>
        <w:trPr>
          <w:trHeight w:val="290"/>
        </w:trPr>
        <w:tc>
          <w:tcPr>
            <w:tcW w:w="1400" w:type="dxa"/>
            <w:vAlign w:val="bottom"/>
          </w:tcPr>
          <w:p>
            <w:pPr>
              <w:ind w:left="40"/>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24"/>
                <w:szCs w:val="24"/>
                <w:color w:val="auto"/>
              </w:rPr>
            </w:pPr>
          </w:p>
        </w:tc>
        <w:tc>
          <w:tcPr>
            <w:tcW w:w="4020" w:type="dxa"/>
            <w:vAlign w:val="bottom"/>
          </w:tcPr>
          <w:p>
            <w:pPr>
              <w:ind w:left="40"/>
              <w:spacing w:after="0"/>
              <w:rPr>
                <w:sz w:val="20"/>
                <w:szCs w:val="20"/>
                <w:color w:val="auto"/>
              </w:rPr>
            </w:pPr>
            <w:r>
              <w:rPr>
                <w:rFonts w:ascii="Arial" w:cs="Arial" w:eastAsia="Arial" w:hAnsi="Arial"/>
                <w:sz w:val="14"/>
                <w:szCs w:val="14"/>
                <w:color w:val="auto"/>
              </w:rPr>
              <w:t>Certifications of Chief Executive Officer and Chief Financial</w:t>
            </w:r>
          </w:p>
        </w:tc>
      </w:tr>
      <w:tr>
        <w:trPr>
          <w:trHeight w:val="149"/>
        </w:trPr>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20" w:type="dxa"/>
            <w:vAlign w:val="bottom"/>
          </w:tcPr>
          <w:p>
            <w:pPr>
              <w:ind w:left="40"/>
              <w:spacing w:after="0" w:line="149" w:lineRule="exact"/>
              <w:rPr>
                <w:sz w:val="20"/>
                <w:szCs w:val="20"/>
                <w:color w:val="auto"/>
              </w:rPr>
            </w:pPr>
            <w:r>
              <w:rPr>
                <w:rFonts w:ascii="Arial" w:cs="Arial" w:eastAsia="Arial" w:hAnsi="Arial"/>
                <w:sz w:val="14"/>
                <w:szCs w:val="14"/>
                <w:color w:val="auto"/>
                <w:w w:val="95"/>
              </w:rPr>
              <w:t>Officer pursuant to 18 U.S.C. Section 1350, as adopted pursuant to</w:t>
            </w:r>
          </w:p>
        </w:tc>
      </w:tr>
      <w:tr>
        <w:trPr>
          <w:trHeight w:val="182"/>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20" w:type="dxa"/>
            <w:vAlign w:val="bottom"/>
          </w:tcPr>
          <w:p>
            <w:pPr>
              <w:ind w:left="40"/>
              <w:spacing w:after="0"/>
              <w:rPr>
                <w:sz w:val="20"/>
                <w:szCs w:val="20"/>
                <w:color w:val="auto"/>
              </w:rPr>
            </w:pPr>
            <w:r>
              <w:rPr>
                <w:rFonts w:ascii="Arial" w:cs="Arial" w:eastAsia="Arial" w:hAnsi="Arial"/>
                <w:sz w:val="14"/>
                <w:szCs w:val="14"/>
                <w:color w:val="auto"/>
              </w:rPr>
              <w:t>Section 906 of the Sarbanes-Oxley Act of 2002</w:t>
            </w:r>
          </w:p>
        </w:tc>
      </w:tr>
      <w:tr>
        <w:trPr>
          <w:trHeight w:val="324"/>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101.SCH*</w:t>
            </w:r>
          </w:p>
        </w:tc>
        <w:tc>
          <w:tcPr>
            <w:tcW w:w="4020" w:type="dxa"/>
            <w:vAlign w:val="bottom"/>
          </w:tcPr>
          <w:p>
            <w:pPr>
              <w:ind w:left="40"/>
              <w:spacing w:after="0"/>
              <w:rPr>
                <w:sz w:val="20"/>
                <w:szCs w:val="20"/>
                <w:color w:val="auto"/>
              </w:rPr>
            </w:pPr>
            <w:r>
              <w:rPr>
                <w:rFonts w:ascii="Arial" w:cs="Arial" w:eastAsia="Arial" w:hAnsi="Arial"/>
                <w:sz w:val="14"/>
                <w:szCs w:val="14"/>
                <w:color w:val="auto"/>
              </w:rPr>
              <w:t>XBRL Taxonomy Extension Schema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101.CAL*</w:t>
            </w:r>
          </w:p>
        </w:tc>
        <w:tc>
          <w:tcPr>
            <w:tcW w:w="4020" w:type="dxa"/>
            <w:vAlign w:val="bottom"/>
          </w:tcPr>
          <w:p>
            <w:pPr>
              <w:ind w:left="40"/>
              <w:spacing w:after="0"/>
              <w:rPr>
                <w:sz w:val="20"/>
                <w:szCs w:val="20"/>
                <w:color w:val="auto"/>
              </w:rPr>
            </w:pPr>
            <w:r>
              <w:rPr>
                <w:rFonts w:ascii="Arial" w:cs="Arial" w:eastAsia="Arial" w:hAnsi="Arial"/>
                <w:sz w:val="14"/>
                <w:szCs w:val="14"/>
                <w:color w:val="auto"/>
              </w:rPr>
              <w:t>XBRL Taxonomy Extension Calculation Linkbase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101.PRE*</w:t>
            </w:r>
          </w:p>
        </w:tc>
        <w:tc>
          <w:tcPr>
            <w:tcW w:w="4020" w:type="dxa"/>
            <w:vAlign w:val="bottom"/>
          </w:tcPr>
          <w:p>
            <w:pPr>
              <w:ind w:left="40"/>
              <w:spacing w:after="0"/>
              <w:rPr>
                <w:sz w:val="20"/>
                <w:szCs w:val="20"/>
                <w:color w:val="auto"/>
              </w:rPr>
            </w:pPr>
            <w:r>
              <w:rPr>
                <w:rFonts w:ascii="Arial" w:cs="Arial" w:eastAsia="Arial" w:hAnsi="Arial"/>
                <w:sz w:val="14"/>
                <w:szCs w:val="14"/>
                <w:color w:val="auto"/>
              </w:rPr>
              <w:t>XBRL Taxonomy Extension Presentation Linkbase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101.DEF*</w:t>
            </w:r>
          </w:p>
        </w:tc>
        <w:tc>
          <w:tcPr>
            <w:tcW w:w="4020" w:type="dxa"/>
            <w:vAlign w:val="bottom"/>
          </w:tcPr>
          <w:p>
            <w:pPr>
              <w:ind w:left="40"/>
              <w:spacing w:after="0"/>
              <w:rPr>
                <w:sz w:val="20"/>
                <w:szCs w:val="20"/>
                <w:color w:val="auto"/>
              </w:rPr>
            </w:pPr>
            <w:r>
              <w:rPr>
                <w:rFonts w:ascii="Arial" w:cs="Arial" w:eastAsia="Arial" w:hAnsi="Arial"/>
                <w:sz w:val="14"/>
                <w:szCs w:val="14"/>
                <w:color w:val="auto"/>
              </w:rPr>
              <w:t>XBRL Taxonomy Extension Definition Linkbase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101.LAB*</w:t>
            </w:r>
          </w:p>
        </w:tc>
        <w:tc>
          <w:tcPr>
            <w:tcW w:w="4020" w:type="dxa"/>
            <w:vAlign w:val="bottom"/>
          </w:tcPr>
          <w:p>
            <w:pPr>
              <w:ind w:left="40"/>
              <w:spacing w:after="0"/>
              <w:rPr>
                <w:sz w:val="20"/>
                <w:szCs w:val="20"/>
                <w:color w:val="auto"/>
              </w:rPr>
            </w:pPr>
            <w:r>
              <w:rPr>
                <w:rFonts w:ascii="Arial" w:cs="Arial" w:eastAsia="Arial" w:hAnsi="Arial"/>
                <w:sz w:val="14"/>
                <w:szCs w:val="14"/>
                <w:color w:val="auto"/>
              </w:rPr>
              <w:t>XBRL Taxonomy Extension Label Linkbase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101.INS*</w:t>
            </w:r>
          </w:p>
        </w:tc>
        <w:tc>
          <w:tcPr>
            <w:tcW w:w="4020" w:type="dxa"/>
            <w:vAlign w:val="bottom"/>
          </w:tcPr>
          <w:p>
            <w:pPr>
              <w:ind w:left="40"/>
              <w:spacing w:after="0"/>
              <w:rPr>
                <w:sz w:val="20"/>
                <w:szCs w:val="20"/>
                <w:color w:val="auto"/>
              </w:rPr>
            </w:pPr>
            <w:r>
              <w:rPr>
                <w:rFonts w:ascii="Arial" w:cs="Arial" w:eastAsia="Arial" w:hAnsi="Arial"/>
                <w:sz w:val="14"/>
                <w:szCs w:val="14"/>
                <w:color w:val="auto"/>
              </w:rPr>
              <w:t>XBRL Instance Document</w:t>
            </w: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w:t>
      </w:r>
    </w:p>
    <w:p>
      <w:pPr>
        <w:spacing w:after="0" w:line="179" w:lineRule="exact"/>
        <w:rPr>
          <w:sz w:val="20"/>
          <w:szCs w:val="20"/>
          <w:color w:val="auto"/>
        </w:rPr>
      </w:pPr>
    </w:p>
    <w:p>
      <w:pPr>
        <w:ind w:left="140" w:hanging="132"/>
        <w:spacing w:after="0"/>
        <w:tabs>
          <w:tab w:leader="none" w:pos="140" w:val="left"/>
        </w:tabs>
        <w:numPr>
          <w:ilvl w:val="0"/>
          <w:numId w:val="21"/>
        </w:numPr>
        <w:rPr>
          <w:rFonts w:ascii="Arial" w:cs="Arial" w:eastAsia="Arial" w:hAnsi="Arial"/>
          <w:sz w:val="18"/>
          <w:szCs w:val="18"/>
          <w:color w:val="auto"/>
        </w:rPr>
      </w:pPr>
      <w:r>
        <w:rPr>
          <w:rFonts w:ascii="Arial" w:cs="Arial" w:eastAsia="Arial" w:hAnsi="Arial"/>
          <w:sz w:val="14"/>
          <w:szCs w:val="14"/>
          <w:color w:val="auto"/>
        </w:rPr>
        <w:t>Filed herewith.</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28130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2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Exhibit Number</w:t>
            </w:r>
          </w:p>
        </w:tc>
      </w:tr>
      <w:tr>
        <w:trPr>
          <w:trHeight w:val="278"/>
        </w:trPr>
        <w:tc>
          <w:tcPr>
            <w:tcW w:w="1520" w:type="dxa"/>
            <w:vAlign w:val="bottom"/>
            <w:gridSpan w:val="2"/>
          </w:tcPr>
          <w:p>
            <w:pPr>
              <w:ind w:left="40"/>
              <w:spacing w:after="0"/>
              <w:rPr>
                <w:sz w:val="20"/>
                <w:szCs w:val="20"/>
                <w:color w:val="auto"/>
              </w:rPr>
            </w:pPr>
            <w:r>
              <w:rPr>
                <w:rFonts w:ascii="Arial" w:cs="Arial" w:eastAsia="Arial" w:hAnsi="Arial"/>
                <w:sz w:val="14"/>
                <w:szCs w:val="14"/>
                <w:color w:val="auto"/>
              </w:rPr>
              <w:t>Current Report on</w:t>
            </w: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April 21, 2014</w:t>
            </w:r>
          </w:p>
        </w:tc>
        <w:tc>
          <w:tcPr>
            <w:tcW w:w="1400" w:type="dxa"/>
            <w:vAlign w:val="bottom"/>
          </w:tcPr>
          <w:p>
            <w:pPr>
              <w:jc w:val="right"/>
              <w:ind w:right="548"/>
              <w:spacing w:after="0"/>
              <w:rPr>
                <w:sz w:val="20"/>
                <w:szCs w:val="20"/>
                <w:color w:val="auto"/>
              </w:rPr>
            </w:pPr>
            <w:r>
              <w:rPr>
                <w:rFonts w:ascii="Arial" w:cs="Arial" w:eastAsia="Arial" w:hAnsi="Arial"/>
                <w:sz w:val="14"/>
                <w:szCs w:val="14"/>
                <w:color w:val="auto"/>
              </w:rPr>
              <w:t>3.1</w:t>
            </w:r>
          </w:p>
        </w:tc>
      </w:tr>
      <w:tr>
        <w:trPr>
          <w:trHeight w:val="149"/>
        </w:trPr>
        <w:tc>
          <w:tcPr>
            <w:tcW w:w="15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Form 8-K (File No.</w:t>
            </w: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82"/>
        </w:trPr>
        <w:tc>
          <w:tcPr>
            <w:tcW w:w="1420" w:type="dxa"/>
            <w:vAlign w:val="bottom"/>
          </w:tcPr>
          <w:p>
            <w:pPr>
              <w:ind w:left="40"/>
              <w:spacing w:after="0"/>
              <w:rPr>
                <w:sz w:val="20"/>
                <w:szCs w:val="20"/>
                <w:color w:val="auto"/>
              </w:rPr>
            </w:pPr>
            <w:r>
              <w:rPr>
                <w:rFonts w:ascii="Arial" w:cs="Arial" w:eastAsia="Arial" w:hAnsi="Arial"/>
                <w:sz w:val="14"/>
                <w:szCs w:val="14"/>
                <w:color w:val="auto"/>
              </w:rPr>
              <w:t>001-34511)</w:t>
            </w: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r>
    </w:tbl>
    <w:p>
      <w:pPr>
        <w:spacing w:after="0" w:line="6520" w:lineRule="exact"/>
        <w:rPr>
          <w:sz w:val="20"/>
          <w:szCs w:val="20"/>
          <w:color w:val="auto"/>
        </w:rPr>
      </w:pPr>
    </w:p>
    <w:p>
      <w:pPr>
        <w:sectPr>
          <w:pgSz w:w="11900" w:h="16838" w:orient="portrait"/>
          <w:cols w:equalWidth="0" w:num="2">
            <w:col w:w="5520" w:space="100"/>
            <w:col w:w="4599"/>
          </w:cols>
          <w:pgMar w:left="240" w:top="12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0219"/>
          </w:cols>
          <w:pgMar w:left="240" w:top="122" w:right="1440" w:bottom="1440" w:gutter="0" w:footer="0" w:header="0"/>
          <w:type w:val="continuous"/>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FORTINET,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OF CONTROL SEVERANCE AGREEMENT</w:t>
      </w:r>
    </w:p>
    <w:p>
      <w:pPr>
        <w:spacing w:after="0" w:line="1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Amendment 1 to the Change of Control Severance Agreement (the “Agreement”) that was made and entered into by and between Ken Xie (“Executive”) and Fortinet, Inc. (the “Company”), effective as of August 7, 2009</w:t>
      </w:r>
      <w:r>
        <w:rPr>
          <w:rFonts w:ascii="Arial" w:cs="Arial" w:eastAsia="Arial" w:hAnsi="Arial"/>
          <w:sz w:val="18"/>
          <w:szCs w:val="18"/>
          <w:b w:val="1"/>
          <w:bCs w:val="1"/>
          <w:color w:val="auto"/>
        </w:rPr>
        <w:t>,</w:t>
      </w:r>
      <w:r>
        <w:rPr>
          <w:rFonts w:ascii="Arial" w:cs="Arial" w:eastAsia="Arial" w:hAnsi="Arial"/>
          <w:sz w:val="18"/>
          <w:szCs w:val="18"/>
          <w:color w:val="auto"/>
        </w:rPr>
        <w:t xml:space="preserve"> is made and entered into by and between the Executive and Fortinet as of the date stated in the paragraph that immediately follows.</w:t>
      </w:r>
    </w:p>
    <w:p>
      <w:pPr>
        <w:spacing w:after="0" w:line="14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all of the reasons stated in the Recitals of the Agreement and for other good and valuable consideration, the receipt and sufficiency of which are hereby acknowledged and agreed, Executive and the Company hereby agree that the Effective Date of the Agreement is amended to be August 7, 2014 and such date shall be the defined term “Effective Date” throughout the Agreement.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Except for the amendment stated immediately above, the Agreement and its terms remain in place as-is.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each of the parties has executed this Amendment 1 to Change of Control Severance Agreement effective as of July 31, 2014.</w:t>
      </w:r>
    </w:p>
    <w:p>
      <w:pPr>
        <w:spacing w:after="0" w:line="200" w:lineRule="exact"/>
        <w:rPr>
          <w:sz w:val="20"/>
          <w:szCs w:val="20"/>
          <w:color w:val="auto"/>
        </w:rPr>
      </w:pPr>
    </w:p>
    <w:p>
      <w:pPr>
        <w:spacing w:after="0" w:line="386"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COMPANY</w:t>
            </w:r>
          </w:p>
        </w:tc>
        <w:tc>
          <w:tcPr>
            <w:tcW w:w="3740" w:type="dxa"/>
            <w:vAlign w:val="bottom"/>
          </w:tcPr>
          <w:p>
            <w:pPr>
              <w:ind w:left="1560"/>
              <w:spacing w:after="0"/>
              <w:rPr>
                <w:sz w:val="20"/>
                <w:szCs w:val="20"/>
                <w:color w:val="auto"/>
              </w:rPr>
            </w:pPr>
            <w:r>
              <w:rPr>
                <w:rFonts w:ascii="Arial" w:cs="Arial" w:eastAsia="Arial" w:hAnsi="Arial"/>
                <w:sz w:val="18"/>
                <w:szCs w:val="18"/>
                <w:color w:val="auto"/>
              </w:rPr>
              <w:t>FORTINET, INC</w:t>
            </w:r>
          </w:p>
        </w:tc>
        <w:tc>
          <w:tcPr>
            <w:tcW w:w="4860" w:type="dxa"/>
            <w:vAlign w:val="bottom"/>
          </w:tcPr>
          <w:p>
            <w:pPr>
              <w:spacing w:after="0"/>
              <w:rPr>
                <w:sz w:val="20"/>
                <w:szCs w:val="20"/>
                <w:color w:val="auto"/>
              </w:rPr>
            </w:pPr>
          </w:p>
        </w:tc>
      </w:tr>
      <w:tr>
        <w:trPr>
          <w:trHeight w:val="594"/>
        </w:trPr>
        <w:tc>
          <w:tcPr>
            <w:tcW w:w="2440" w:type="dxa"/>
            <w:vAlign w:val="bottom"/>
          </w:tcPr>
          <w:p>
            <w:pPr>
              <w:spacing w:after="0"/>
              <w:rPr>
                <w:sz w:val="24"/>
                <w:szCs w:val="24"/>
                <w:color w:val="auto"/>
              </w:rPr>
            </w:pPr>
          </w:p>
        </w:tc>
        <w:tc>
          <w:tcPr>
            <w:tcW w:w="3740" w:type="dxa"/>
            <w:vAlign w:val="bottom"/>
          </w:tcPr>
          <w:p>
            <w:pPr>
              <w:ind w:left="1560"/>
              <w:spacing w:after="0"/>
              <w:rPr>
                <w:sz w:val="20"/>
                <w:szCs w:val="20"/>
                <w:color w:val="auto"/>
              </w:rPr>
            </w:pPr>
            <w:r>
              <w:rPr>
                <w:rFonts w:ascii="Arial" w:cs="Arial" w:eastAsia="Arial" w:hAnsi="Arial"/>
                <w:sz w:val="18"/>
                <w:szCs w:val="18"/>
                <w:color w:val="auto"/>
              </w:rPr>
              <w:t>By:</w:t>
            </w:r>
          </w:p>
        </w:tc>
        <w:tc>
          <w:tcPr>
            <w:tcW w:w="4860" w:type="dxa"/>
            <w:vAlign w:val="bottom"/>
          </w:tcPr>
          <w:p>
            <w:pPr>
              <w:ind w:left="20"/>
              <w:spacing w:after="0"/>
              <w:rPr>
                <w:sz w:val="20"/>
                <w:szCs w:val="20"/>
                <w:color w:val="auto"/>
              </w:rPr>
            </w:pPr>
            <w:r>
              <w:rPr>
                <w:rFonts w:ascii="Arial" w:cs="Arial" w:eastAsia="Arial" w:hAnsi="Arial"/>
                <w:sz w:val="18"/>
                <w:szCs w:val="18"/>
                <w:color w:val="auto"/>
              </w:rPr>
              <w:t>/s/ John Whittle</w:t>
            </w:r>
          </w:p>
        </w:tc>
      </w:tr>
      <w:tr>
        <w:trPr>
          <w:trHeight w:val="27"/>
        </w:trPr>
        <w:tc>
          <w:tcPr>
            <w:tcW w:w="24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r>
      <w:tr>
        <w:trPr>
          <w:trHeight w:val="237"/>
        </w:trPr>
        <w:tc>
          <w:tcPr>
            <w:tcW w:w="2440" w:type="dxa"/>
            <w:vAlign w:val="bottom"/>
          </w:tcPr>
          <w:p>
            <w:pPr>
              <w:spacing w:after="0"/>
              <w:rPr>
                <w:sz w:val="20"/>
                <w:szCs w:val="20"/>
                <w:color w:val="auto"/>
              </w:rPr>
            </w:pPr>
          </w:p>
        </w:tc>
        <w:tc>
          <w:tcPr>
            <w:tcW w:w="3740" w:type="dxa"/>
            <w:vAlign w:val="bottom"/>
          </w:tcPr>
          <w:p>
            <w:pPr>
              <w:ind w:left="1560"/>
              <w:spacing w:after="0"/>
              <w:rPr>
                <w:sz w:val="20"/>
                <w:szCs w:val="20"/>
                <w:color w:val="auto"/>
              </w:rPr>
            </w:pPr>
            <w:r>
              <w:rPr>
                <w:rFonts w:ascii="Arial" w:cs="Arial" w:eastAsia="Arial" w:hAnsi="Arial"/>
                <w:sz w:val="18"/>
                <w:szCs w:val="18"/>
                <w:color w:val="auto"/>
              </w:rPr>
              <w:t>Title:</w:t>
            </w:r>
          </w:p>
        </w:tc>
        <w:tc>
          <w:tcPr>
            <w:tcW w:w="4860" w:type="dxa"/>
            <w:vAlign w:val="bottom"/>
          </w:tcPr>
          <w:p>
            <w:pPr>
              <w:ind w:left="20"/>
              <w:spacing w:after="0"/>
              <w:rPr>
                <w:sz w:val="20"/>
                <w:szCs w:val="20"/>
                <w:color w:val="auto"/>
              </w:rPr>
            </w:pPr>
            <w:r>
              <w:rPr>
                <w:rFonts w:ascii="Arial" w:cs="Arial" w:eastAsia="Arial" w:hAnsi="Arial"/>
                <w:sz w:val="18"/>
                <w:szCs w:val="18"/>
                <w:color w:val="auto"/>
              </w:rPr>
              <w:t>Vice President,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EXECUTIVE</w:t>
            </w:r>
          </w:p>
        </w:tc>
        <w:tc>
          <w:tcPr>
            <w:tcW w:w="3680" w:type="dxa"/>
            <w:vAlign w:val="bottom"/>
          </w:tcPr>
          <w:p>
            <w:pPr>
              <w:ind w:left="1500"/>
              <w:spacing w:after="0"/>
              <w:rPr>
                <w:sz w:val="20"/>
                <w:szCs w:val="20"/>
                <w:color w:val="auto"/>
              </w:rPr>
            </w:pPr>
            <w:r>
              <w:rPr>
                <w:rFonts w:ascii="Arial" w:cs="Arial" w:eastAsia="Arial" w:hAnsi="Arial"/>
                <w:sz w:val="18"/>
                <w:szCs w:val="18"/>
                <w:color w:val="auto"/>
              </w:rPr>
              <w:t>By:</w:t>
            </w:r>
          </w:p>
        </w:tc>
        <w:tc>
          <w:tcPr>
            <w:tcW w:w="4860" w:type="dxa"/>
            <w:vAlign w:val="bottom"/>
          </w:tcPr>
          <w:p>
            <w:pPr>
              <w:ind w:left="20"/>
              <w:spacing w:after="0"/>
              <w:rPr>
                <w:sz w:val="20"/>
                <w:szCs w:val="20"/>
                <w:color w:val="auto"/>
              </w:rPr>
            </w:pPr>
            <w:r>
              <w:rPr>
                <w:rFonts w:ascii="Arial" w:cs="Arial" w:eastAsia="Arial" w:hAnsi="Arial"/>
                <w:sz w:val="18"/>
                <w:szCs w:val="18"/>
                <w:color w:val="auto"/>
              </w:rPr>
              <w:t>/s/ Ken Xie</w:t>
            </w:r>
          </w:p>
        </w:tc>
      </w:tr>
      <w:tr>
        <w:trPr>
          <w:trHeight w:val="27"/>
        </w:trPr>
        <w:tc>
          <w:tcPr>
            <w:tcW w:w="25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r>
      <w:tr>
        <w:trPr>
          <w:trHeight w:val="237"/>
        </w:trPr>
        <w:tc>
          <w:tcPr>
            <w:tcW w:w="2500" w:type="dxa"/>
            <w:vAlign w:val="bottom"/>
          </w:tcPr>
          <w:p>
            <w:pPr>
              <w:spacing w:after="0"/>
              <w:rPr>
                <w:sz w:val="20"/>
                <w:szCs w:val="20"/>
                <w:color w:val="auto"/>
              </w:rPr>
            </w:pPr>
          </w:p>
        </w:tc>
        <w:tc>
          <w:tcPr>
            <w:tcW w:w="3680" w:type="dxa"/>
            <w:vAlign w:val="bottom"/>
          </w:tcPr>
          <w:p>
            <w:pPr>
              <w:ind w:left="1500"/>
              <w:spacing w:after="0"/>
              <w:rPr>
                <w:sz w:val="20"/>
                <w:szCs w:val="20"/>
                <w:color w:val="auto"/>
              </w:rPr>
            </w:pPr>
            <w:r>
              <w:rPr>
                <w:rFonts w:ascii="Arial" w:cs="Arial" w:eastAsia="Arial" w:hAnsi="Arial"/>
                <w:sz w:val="18"/>
                <w:szCs w:val="18"/>
                <w:color w:val="auto"/>
              </w:rPr>
              <w:t>Title:</w:t>
            </w:r>
          </w:p>
        </w:tc>
        <w:tc>
          <w:tcPr>
            <w:tcW w:w="4860" w:type="dxa"/>
            <w:vAlign w:val="bottom"/>
          </w:tcPr>
          <w:p>
            <w:pPr>
              <w:ind w:left="20"/>
              <w:spacing w:after="0"/>
              <w:rPr>
                <w:sz w:val="20"/>
                <w:szCs w:val="20"/>
                <w:color w:val="auto"/>
              </w:rPr>
            </w:pPr>
            <w:r>
              <w:rPr>
                <w:rFonts w:ascii="Arial" w:cs="Arial" w:eastAsia="Arial" w:hAnsi="Arial"/>
                <w:sz w:val="18"/>
                <w:szCs w:val="18"/>
                <w:color w:val="auto"/>
              </w:rPr>
              <w:t>Chairman of the Board and Chief Executive Officer</w:t>
            </w:r>
          </w:p>
        </w:tc>
      </w:tr>
    </w:tbl>
    <w:p>
      <w:pPr>
        <w:sectPr>
          <w:pgSz w:w="11900" w:h="16838" w:orient="portrait"/>
          <w:cols w:equalWidth="0" w:num="1">
            <w:col w:w="11420"/>
          </w:cols>
          <w:pgMar w:left="240" w:top="58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10.2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FORTINET,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OF CONTROL SEVERANCE AGREEMENT</w:t>
      </w:r>
    </w:p>
    <w:p>
      <w:pPr>
        <w:spacing w:after="0" w:line="19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This Amendment 1 to the Change of Control Severance Agreement (the “Agreement”) that was made and entered into by and between Michael Xie (“Executive”) and Fortinet, Inc. (the “Company”), effective as of August 7, 2009</w:t>
      </w:r>
      <w:r>
        <w:rPr>
          <w:rFonts w:ascii="Arial" w:cs="Arial" w:eastAsia="Arial" w:hAnsi="Arial"/>
          <w:sz w:val="18"/>
          <w:szCs w:val="18"/>
          <w:b w:val="1"/>
          <w:bCs w:val="1"/>
          <w:color w:val="auto"/>
        </w:rPr>
        <w:t>,</w:t>
      </w:r>
      <w:r>
        <w:rPr>
          <w:rFonts w:ascii="Arial" w:cs="Arial" w:eastAsia="Arial" w:hAnsi="Arial"/>
          <w:sz w:val="18"/>
          <w:szCs w:val="18"/>
          <w:color w:val="auto"/>
        </w:rPr>
        <w:t xml:space="preserve"> is made and entered into by and between the Executive and Fortinet as of the date stated in the paragraph that immediately follows.</w:t>
      </w:r>
    </w:p>
    <w:p>
      <w:pPr>
        <w:spacing w:after="0" w:line="14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all of the reasons stated in the Recitals of the Agreement and for other good and valuable consideration, the receipt and sufficiency of which are hereby acknowledged and agreed, Executive and the Company hereby agree that the Effective Date of the Agreement is amended to be August 7, 2014 and such date shall be the defined term “Effective Date” throughout the Agreement.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Except for the amendment stated immediately above, the Agreement and its terms remain in place as-is.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each of the parties has executed this Amendment 1 to Change of Control Severance Agreement effective as of July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COMPANY</w:t>
            </w:r>
          </w:p>
        </w:tc>
        <w:tc>
          <w:tcPr>
            <w:tcW w:w="3740" w:type="dxa"/>
            <w:vAlign w:val="bottom"/>
          </w:tcPr>
          <w:p>
            <w:pPr>
              <w:ind w:left="1560"/>
              <w:spacing w:after="0"/>
              <w:rPr>
                <w:sz w:val="20"/>
                <w:szCs w:val="20"/>
                <w:color w:val="auto"/>
              </w:rPr>
            </w:pPr>
            <w:r>
              <w:rPr>
                <w:rFonts w:ascii="Arial" w:cs="Arial" w:eastAsia="Arial" w:hAnsi="Arial"/>
                <w:sz w:val="18"/>
                <w:szCs w:val="18"/>
                <w:color w:val="auto"/>
              </w:rPr>
              <w:t>FORTINET, INC</w:t>
            </w:r>
          </w:p>
        </w:tc>
        <w:tc>
          <w:tcPr>
            <w:tcW w:w="4860" w:type="dxa"/>
            <w:vAlign w:val="bottom"/>
          </w:tcPr>
          <w:p>
            <w:pPr>
              <w:spacing w:after="0"/>
              <w:rPr>
                <w:sz w:val="20"/>
                <w:szCs w:val="20"/>
                <w:color w:val="auto"/>
              </w:rPr>
            </w:pPr>
          </w:p>
        </w:tc>
      </w:tr>
      <w:tr>
        <w:trPr>
          <w:trHeight w:val="594"/>
        </w:trPr>
        <w:tc>
          <w:tcPr>
            <w:tcW w:w="2440" w:type="dxa"/>
            <w:vAlign w:val="bottom"/>
          </w:tcPr>
          <w:p>
            <w:pPr>
              <w:spacing w:after="0"/>
              <w:rPr>
                <w:sz w:val="24"/>
                <w:szCs w:val="24"/>
                <w:color w:val="auto"/>
              </w:rPr>
            </w:pPr>
          </w:p>
        </w:tc>
        <w:tc>
          <w:tcPr>
            <w:tcW w:w="3740" w:type="dxa"/>
            <w:vAlign w:val="bottom"/>
          </w:tcPr>
          <w:p>
            <w:pPr>
              <w:ind w:left="1560"/>
              <w:spacing w:after="0"/>
              <w:rPr>
                <w:sz w:val="20"/>
                <w:szCs w:val="20"/>
                <w:color w:val="auto"/>
              </w:rPr>
            </w:pPr>
            <w:r>
              <w:rPr>
                <w:rFonts w:ascii="Arial" w:cs="Arial" w:eastAsia="Arial" w:hAnsi="Arial"/>
                <w:sz w:val="18"/>
                <w:szCs w:val="18"/>
                <w:color w:val="auto"/>
              </w:rPr>
              <w:t>By:</w:t>
            </w:r>
          </w:p>
        </w:tc>
        <w:tc>
          <w:tcPr>
            <w:tcW w:w="4860" w:type="dxa"/>
            <w:vAlign w:val="bottom"/>
          </w:tcPr>
          <w:p>
            <w:pPr>
              <w:ind w:left="20"/>
              <w:spacing w:after="0"/>
              <w:rPr>
                <w:sz w:val="20"/>
                <w:szCs w:val="20"/>
                <w:color w:val="auto"/>
              </w:rPr>
            </w:pPr>
            <w:r>
              <w:rPr>
                <w:rFonts w:ascii="Arial" w:cs="Arial" w:eastAsia="Arial" w:hAnsi="Arial"/>
                <w:sz w:val="18"/>
                <w:szCs w:val="18"/>
                <w:color w:val="auto"/>
              </w:rPr>
              <w:t>/s/ John Whittle</w:t>
            </w:r>
          </w:p>
        </w:tc>
      </w:tr>
      <w:tr>
        <w:trPr>
          <w:trHeight w:val="27"/>
        </w:trPr>
        <w:tc>
          <w:tcPr>
            <w:tcW w:w="24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r>
      <w:tr>
        <w:trPr>
          <w:trHeight w:val="237"/>
        </w:trPr>
        <w:tc>
          <w:tcPr>
            <w:tcW w:w="2440" w:type="dxa"/>
            <w:vAlign w:val="bottom"/>
          </w:tcPr>
          <w:p>
            <w:pPr>
              <w:spacing w:after="0"/>
              <w:rPr>
                <w:sz w:val="20"/>
                <w:szCs w:val="20"/>
                <w:color w:val="auto"/>
              </w:rPr>
            </w:pPr>
          </w:p>
        </w:tc>
        <w:tc>
          <w:tcPr>
            <w:tcW w:w="3740" w:type="dxa"/>
            <w:vAlign w:val="bottom"/>
          </w:tcPr>
          <w:p>
            <w:pPr>
              <w:ind w:left="1560"/>
              <w:spacing w:after="0"/>
              <w:rPr>
                <w:sz w:val="20"/>
                <w:szCs w:val="20"/>
                <w:color w:val="auto"/>
              </w:rPr>
            </w:pPr>
            <w:r>
              <w:rPr>
                <w:rFonts w:ascii="Arial" w:cs="Arial" w:eastAsia="Arial" w:hAnsi="Arial"/>
                <w:sz w:val="18"/>
                <w:szCs w:val="18"/>
                <w:color w:val="auto"/>
              </w:rPr>
              <w:t>Title:</w:t>
            </w:r>
          </w:p>
        </w:tc>
        <w:tc>
          <w:tcPr>
            <w:tcW w:w="4860" w:type="dxa"/>
            <w:vAlign w:val="bottom"/>
          </w:tcPr>
          <w:p>
            <w:pPr>
              <w:ind w:left="20"/>
              <w:spacing w:after="0"/>
              <w:rPr>
                <w:sz w:val="20"/>
                <w:szCs w:val="20"/>
                <w:color w:val="auto"/>
              </w:rPr>
            </w:pPr>
            <w:r>
              <w:rPr>
                <w:rFonts w:ascii="Arial" w:cs="Arial" w:eastAsia="Arial" w:hAnsi="Arial"/>
                <w:sz w:val="18"/>
                <w:szCs w:val="18"/>
                <w:color w:val="auto"/>
              </w:rPr>
              <w:t>Vice President,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EXECUTIVE</w:t>
            </w:r>
          </w:p>
        </w:tc>
        <w:tc>
          <w:tcPr>
            <w:tcW w:w="3680" w:type="dxa"/>
            <w:vAlign w:val="bottom"/>
          </w:tcPr>
          <w:p>
            <w:pPr>
              <w:ind w:left="1500"/>
              <w:spacing w:after="0"/>
              <w:rPr>
                <w:sz w:val="20"/>
                <w:szCs w:val="20"/>
                <w:color w:val="auto"/>
              </w:rPr>
            </w:pPr>
            <w:r>
              <w:rPr>
                <w:rFonts w:ascii="Arial" w:cs="Arial" w:eastAsia="Arial" w:hAnsi="Arial"/>
                <w:sz w:val="18"/>
                <w:szCs w:val="18"/>
                <w:color w:val="auto"/>
              </w:rPr>
              <w:t>By:</w:t>
            </w:r>
          </w:p>
        </w:tc>
        <w:tc>
          <w:tcPr>
            <w:tcW w:w="4860" w:type="dxa"/>
            <w:vAlign w:val="bottom"/>
          </w:tcPr>
          <w:p>
            <w:pPr>
              <w:ind w:left="20"/>
              <w:spacing w:after="0"/>
              <w:rPr>
                <w:sz w:val="20"/>
                <w:szCs w:val="20"/>
                <w:color w:val="auto"/>
              </w:rPr>
            </w:pPr>
            <w:r>
              <w:rPr>
                <w:rFonts w:ascii="Arial" w:cs="Arial" w:eastAsia="Arial" w:hAnsi="Arial"/>
                <w:sz w:val="18"/>
                <w:szCs w:val="18"/>
                <w:color w:val="auto"/>
              </w:rPr>
              <w:t>/s/ Michael Xie</w:t>
            </w:r>
          </w:p>
        </w:tc>
      </w:tr>
      <w:tr>
        <w:trPr>
          <w:trHeight w:val="27"/>
        </w:trPr>
        <w:tc>
          <w:tcPr>
            <w:tcW w:w="25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r>
      <w:tr>
        <w:trPr>
          <w:trHeight w:val="237"/>
        </w:trPr>
        <w:tc>
          <w:tcPr>
            <w:tcW w:w="2500" w:type="dxa"/>
            <w:vAlign w:val="bottom"/>
          </w:tcPr>
          <w:p>
            <w:pPr>
              <w:spacing w:after="0"/>
              <w:rPr>
                <w:sz w:val="20"/>
                <w:szCs w:val="20"/>
                <w:color w:val="auto"/>
              </w:rPr>
            </w:pPr>
          </w:p>
        </w:tc>
        <w:tc>
          <w:tcPr>
            <w:tcW w:w="3680" w:type="dxa"/>
            <w:vAlign w:val="bottom"/>
          </w:tcPr>
          <w:p>
            <w:pPr>
              <w:ind w:left="1500"/>
              <w:spacing w:after="0"/>
              <w:rPr>
                <w:sz w:val="20"/>
                <w:szCs w:val="20"/>
                <w:color w:val="auto"/>
              </w:rPr>
            </w:pPr>
            <w:r>
              <w:rPr>
                <w:rFonts w:ascii="Arial" w:cs="Arial" w:eastAsia="Arial" w:hAnsi="Arial"/>
                <w:sz w:val="18"/>
                <w:szCs w:val="18"/>
                <w:color w:val="auto"/>
              </w:rPr>
              <w:t>Title:</w:t>
            </w:r>
          </w:p>
        </w:tc>
        <w:tc>
          <w:tcPr>
            <w:tcW w:w="4860" w:type="dxa"/>
            <w:vAlign w:val="bottom"/>
          </w:tcPr>
          <w:p>
            <w:pPr>
              <w:ind w:left="20"/>
              <w:spacing w:after="0"/>
              <w:rPr>
                <w:sz w:val="20"/>
                <w:szCs w:val="20"/>
                <w:color w:val="auto"/>
              </w:rPr>
            </w:pPr>
            <w:r>
              <w:rPr>
                <w:rFonts w:ascii="Arial" w:cs="Arial" w:eastAsia="Arial" w:hAnsi="Arial"/>
                <w:sz w:val="18"/>
                <w:szCs w:val="18"/>
                <w:color w:val="auto"/>
              </w:rPr>
              <w:t>President and Chief Technology Officer</w:t>
            </w:r>
          </w:p>
        </w:tc>
      </w:tr>
    </w:tbl>
    <w:p>
      <w:pPr>
        <w:sectPr>
          <w:pgSz w:w="11900" w:h="16838" w:orient="portrait"/>
          <w:cols w:equalWidth="0" w:num="1">
            <w:col w:w="11420"/>
          </w:cols>
          <w:pgMar w:left="240" w:top="58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10.3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FORTINET,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OF CONTROL SEVERANCE AGREEMENT</w:t>
      </w:r>
    </w:p>
    <w:p>
      <w:pPr>
        <w:spacing w:after="0" w:line="19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This Amendment 1 to the Change of Control Severance Agreement (the “Agreement”) that was made and entered into by and between John Whittle (“Executive”) and Fortinet, Inc. (the “Company”), effective as of August 7, 2009</w:t>
      </w:r>
      <w:r>
        <w:rPr>
          <w:rFonts w:ascii="Arial" w:cs="Arial" w:eastAsia="Arial" w:hAnsi="Arial"/>
          <w:sz w:val="18"/>
          <w:szCs w:val="18"/>
          <w:b w:val="1"/>
          <w:bCs w:val="1"/>
          <w:color w:val="auto"/>
        </w:rPr>
        <w:t>,</w:t>
      </w:r>
      <w:r>
        <w:rPr>
          <w:rFonts w:ascii="Arial" w:cs="Arial" w:eastAsia="Arial" w:hAnsi="Arial"/>
          <w:sz w:val="18"/>
          <w:szCs w:val="18"/>
          <w:color w:val="auto"/>
        </w:rPr>
        <w:t xml:space="preserve"> is made and entered into by and between the Executive and Fortinet as of the date stated in the paragraph that immediately follows.</w:t>
      </w:r>
    </w:p>
    <w:p>
      <w:pPr>
        <w:spacing w:after="0" w:line="14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all of the reasons stated in the Recitals of the Agreement and for other good and valuable consideration, the receipt and sufficiency of which are hereby acknowledged and agreed, Executive and the Company hereby agree that the Effective Date of the Agreement is amended to be August 7, 2014 and such date shall be the defined term “Effective Date” throughout the Agreement.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Except for the amendment stated immediately above, the Agreement and its terms remain in place as-is.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each of the parties has executed this Amendment 1 to Change of Control Severance Agreement effective as of July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COMPANY</w:t>
            </w:r>
          </w:p>
        </w:tc>
        <w:tc>
          <w:tcPr>
            <w:tcW w:w="3740" w:type="dxa"/>
            <w:vAlign w:val="bottom"/>
          </w:tcPr>
          <w:p>
            <w:pPr>
              <w:ind w:left="1560"/>
              <w:spacing w:after="0"/>
              <w:rPr>
                <w:sz w:val="20"/>
                <w:szCs w:val="20"/>
                <w:color w:val="auto"/>
              </w:rPr>
            </w:pPr>
            <w:r>
              <w:rPr>
                <w:rFonts w:ascii="Arial" w:cs="Arial" w:eastAsia="Arial" w:hAnsi="Arial"/>
                <w:sz w:val="18"/>
                <w:szCs w:val="18"/>
                <w:color w:val="auto"/>
              </w:rPr>
              <w:t>FORTINET, INC</w:t>
            </w:r>
          </w:p>
        </w:tc>
        <w:tc>
          <w:tcPr>
            <w:tcW w:w="4860" w:type="dxa"/>
            <w:vAlign w:val="bottom"/>
          </w:tcPr>
          <w:p>
            <w:pPr>
              <w:spacing w:after="0"/>
              <w:rPr>
                <w:sz w:val="20"/>
                <w:szCs w:val="20"/>
                <w:color w:val="auto"/>
              </w:rPr>
            </w:pPr>
          </w:p>
        </w:tc>
      </w:tr>
      <w:tr>
        <w:trPr>
          <w:trHeight w:val="594"/>
        </w:trPr>
        <w:tc>
          <w:tcPr>
            <w:tcW w:w="2440" w:type="dxa"/>
            <w:vAlign w:val="bottom"/>
          </w:tcPr>
          <w:p>
            <w:pPr>
              <w:spacing w:after="0"/>
              <w:rPr>
                <w:sz w:val="24"/>
                <w:szCs w:val="24"/>
                <w:color w:val="auto"/>
              </w:rPr>
            </w:pPr>
          </w:p>
        </w:tc>
        <w:tc>
          <w:tcPr>
            <w:tcW w:w="3740" w:type="dxa"/>
            <w:vAlign w:val="bottom"/>
          </w:tcPr>
          <w:p>
            <w:pPr>
              <w:ind w:left="1560"/>
              <w:spacing w:after="0"/>
              <w:rPr>
                <w:sz w:val="20"/>
                <w:szCs w:val="20"/>
                <w:color w:val="auto"/>
              </w:rPr>
            </w:pPr>
            <w:r>
              <w:rPr>
                <w:rFonts w:ascii="Arial" w:cs="Arial" w:eastAsia="Arial" w:hAnsi="Arial"/>
                <w:sz w:val="18"/>
                <w:szCs w:val="18"/>
                <w:color w:val="auto"/>
              </w:rPr>
              <w:t>By:</w:t>
            </w:r>
          </w:p>
        </w:tc>
        <w:tc>
          <w:tcPr>
            <w:tcW w:w="4860" w:type="dxa"/>
            <w:vAlign w:val="bottom"/>
          </w:tcPr>
          <w:p>
            <w:pPr>
              <w:ind w:left="20"/>
              <w:spacing w:after="0"/>
              <w:rPr>
                <w:sz w:val="20"/>
                <w:szCs w:val="20"/>
                <w:color w:val="auto"/>
              </w:rPr>
            </w:pPr>
            <w:r>
              <w:rPr>
                <w:rFonts w:ascii="Arial" w:cs="Arial" w:eastAsia="Arial" w:hAnsi="Arial"/>
                <w:sz w:val="18"/>
                <w:szCs w:val="18"/>
                <w:color w:val="auto"/>
              </w:rPr>
              <w:t>/s/ Ken Xie</w:t>
            </w:r>
          </w:p>
        </w:tc>
      </w:tr>
      <w:tr>
        <w:trPr>
          <w:trHeight w:val="27"/>
        </w:trPr>
        <w:tc>
          <w:tcPr>
            <w:tcW w:w="24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r>
      <w:tr>
        <w:trPr>
          <w:trHeight w:val="237"/>
        </w:trPr>
        <w:tc>
          <w:tcPr>
            <w:tcW w:w="2440" w:type="dxa"/>
            <w:vAlign w:val="bottom"/>
          </w:tcPr>
          <w:p>
            <w:pPr>
              <w:spacing w:after="0"/>
              <w:rPr>
                <w:sz w:val="20"/>
                <w:szCs w:val="20"/>
                <w:color w:val="auto"/>
              </w:rPr>
            </w:pPr>
          </w:p>
        </w:tc>
        <w:tc>
          <w:tcPr>
            <w:tcW w:w="3740" w:type="dxa"/>
            <w:vAlign w:val="bottom"/>
          </w:tcPr>
          <w:p>
            <w:pPr>
              <w:ind w:left="1560"/>
              <w:spacing w:after="0"/>
              <w:rPr>
                <w:sz w:val="20"/>
                <w:szCs w:val="20"/>
                <w:color w:val="auto"/>
              </w:rPr>
            </w:pPr>
            <w:r>
              <w:rPr>
                <w:rFonts w:ascii="Arial" w:cs="Arial" w:eastAsia="Arial" w:hAnsi="Arial"/>
                <w:sz w:val="18"/>
                <w:szCs w:val="18"/>
                <w:color w:val="auto"/>
              </w:rPr>
              <w:t>Title:</w:t>
            </w:r>
          </w:p>
        </w:tc>
        <w:tc>
          <w:tcPr>
            <w:tcW w:w="4860" w:type="dxa"/>
            <w:vAlign w:val="bottom"/>
          </w:tcPr>
          <w:p>
            <w:pPr>
              <w:ind w:left="20"/>
              <w:spacing w:after="0"/>
              <w:rPr>
                <w:sz w:val="20"/>
                <w:szCs w:val="20"/>
                <w:color w:val="auto"/>
              </w:rPr>
            </w:pPr>
            <w:r>
              <w:rPr>
                <w:rFonts w:ascii="Arial" w:cs="Arial" w:eastAsia="Arial" w:hAnsi="Arial"/>
                <w:sz w:val="18"/>
                <w:szCs w:val="18"/>
                <w:color w:val="auto"/>
              </w:rPr>
              <w:t>Chairman of the Board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EXECUTIVE</w:t>
            </w:r>
          </w:p>
        </w:tc>
        <w:tc>
          <w:tcPr>
            <w:tcW w:w="3680" w:type="dxa"/>
            <w:vAlign w:val="bottom"/>
          </w:tcPr>
          <w:p>
            <w:pPr>
              <w:ind w:left="1500"/>
              <w:spacing w:after="0"/>
              <w:rPr>
                <w:sz w:val="20"/>
                <w:szCs w:val="20"/>
                <w:color w:val="auto"/>
              </w:rPr>
            </w:pPr>
            <w:r>
              <w:rPr>
                <w:rFonts w:ascii="Arial" w:cs="Arial" w:eastAsia="Arial" w:hAnsi="Arial"/>
                <w:sz w:val="18"/>
                <w:szCs w:val="18"/>
                <w:color w:val="auto"/>
              </w:rPr>
              <w:t>By:</w:t>
            </w:r>
          </w:p>
        </w:tc>
        <w:tc>
          <w:tcPr>
            <w:tcW w:w="4860" w:type="dxa"/>
            <w:vAlign w:val="bottom"/>
          </w:tcPr>
          <w:p>
            <w:pPr>
              <w:ind w:left="20"/>
              <w:spacing w:after="0"/>
              <w:rPr>
                <w:sz w:val="20"/>
                <w:szCs w:val="20"/>
                <w:color w:val="auto"/>
              </w:rPr>
            </w:pPr>
            <w:r>
              <w:rPr>
                <w:rFonts w:ascii="Arial" w:cs="Arial" w:eastAsia="Arial" w:hAnsi="Arial"/>
                <w:sz w:val="18"/>
                <w:szCs w:val="18"/>
                <w:color w:val="auto"/>
              </w:rPr>
              <w:t>/s/ John Whittle</w:t>
            </w:r>
          </w:p>
        </w:tc>
      </w:tr>
      <w:tr>
        <w:trPr>
          <w:trHeight w:val="27"/>
        </w:trPr>
        <w:tc>
          <w:tcPr>
            <w:tcW w:w="25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r>
      <w:tr>
        <w:trPr>
          <w:trHeight w:val="237"/>
        </w:trPr>
        <w:tc>
          <w:tcPr>
            <w:tcW w:w="2500" w:type="dxa"/>
            <w:vAlign w:val="bottom"/>
          </w:tcPr>
          <w:p>
            <w:pPr>
              <w:spacing w:after="0"/>
              <w:rPr>
                <w:sz w:val="20"/>
                <w:szCs w:val="20"/>
                <w:color w:val="auto"/>
              </w:rPr>
            </w:pPr>
          </w:p>
        </w:tc>
        <w:tc>
          <w:tcPr>
            <w:tcW w:w="3680" w:type="dxa"/>
            <w:vAlign w:val="bottom"/>
          </w:tcPr>
          <w:p>
            <w:pPr>
              <w:ind w:left="1500"/>
              <w:spacing w:after="0"/>
              <w:rPr>
                <w:sz w:val="20"/>
                <w:szCs w:val="20"/>
                <w:color w:val="auto"/>
              </w:rPr>
            </w:pPr>
            <w:r>
              <w:rPr>
                <w:rFonts w:ascii="Arial" w:cs="Arial" w:eastAsia="Arial" w:hAnsi="Arial"/>
                <w:sz w:val="18"/>
                <w:szCs w:val="18"/>
                <w:color w:val="auto"/>
              </w:rPr>
              <w:t>Title:</w:t>
            </w:r>
          </w:p>
        </w:tc>
        <w:tc>
          <w:tcPr>
            <w:tcW w:w="4860" w:type="dxa"/>
            <w:vAlign w:val="bottom"/>
          </w:tcPr>
          <w:p>
            <w:pPr>
              <w:ind w:left="20"/>
              <w:spacing w:after="0"/>
              <w:rPr>
                <w:sz w:val="20"/>
                <w:szCs w:val="20"/>
                <w:color w:val="auto"/>
              </w:rPr>
            </w:pPr>
            <w:r>
              <w:rPr>
                <w:rFonts w:ascii="Arial" w:cs="Arial" w:eastAsia="Arial" w:hAnsi="Arial"/>
                <w:sz w:val="18"/>
                <w:szCs w:val="18"/>
                <w:color w:val="auto"/>
              </w:rPr>
              <w:t>Vice President, General Counsel</w:t>
            </w:r>
          </w:p>
        </w:tc>
      </w:tr>
    </w:tbl>
    <w:p>
      <w:pPr>
        <w:sectPr>
          <w:pgSz w:w="11900" w:h="16838" w:orient="portrait"/>
          <w:cols w:equalWidth="0" w:num="1">
            <w:col w:w="11420"/>
          </w:cols>
          <w:pgMar w:left="240" w:top="58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29673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Ken Xie</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Executive Officer and Chairman of the Board of</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Directors</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Andrew Del Matto, certify that:</w:t>
      </w:r>
    </w:p>
    <w:p>
      <w:pPr>
        <w:spacing w:after="0" w:line="17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Andrew Del Matto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29673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Andrew Del Matto</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17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 Ken Xie, certify, pursuant to 18 U.S.C. Section 1350, as adopted pursuant to Section 906 of the Sarbanes-Oxley Act of 2002, that the Quarterly Report on Form 10-Q of Fortinet, Inc. for the quarterly period ended June 30, 2014 fully complies with the requirements of Section 13(a) or 15(d) of the Securities Exchange Act of 1934, as amended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p>
        </w:tc>
        <w:tc>
          <w:tcPr>
            <w:tcW w:w="2840" w:type="dxa"/>
            <w:vAlign w:val="bottom"/>
          </w:tcPr>
          <w:p>
            <w:pPr>
              <w:ind w:left="220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Ken Xie</w:t>
            </w:r>
          </w:p>
        </w:tc>
      </w:tr>
      <w:tr>
        <w:trPr>
          <w:trHeight w:val="27"/>
        </w:trPr>
        <w:tc>
          <w:tcPr>
            <w:tcW w:w="38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spacing w:after="0"/>
              <w:rPr>
                <w:sz w:val="20"/>
                <w:szCs w:val="20"/>
                <w:color w:val="auto"/>
              </w:rPr>
            </w:pPr>
            <w:r>
              <w:rPr>
                <w:rFonts w:ascii="Arial" w:cs="Arial" w:eastAsia="Arial" w:hAnsi="Arial"/>
                <w:sz w:val="18"/>
                <w:szCs w:val="18"/>
                <w:color w:val="auto"/>
              </w:rPr>
              <w:t>Date:  August 4, 2014</w:t>
            </w:r>
          </w:p>
        </w:tc>
        <w:tc>
          <w:tcPr>
            <w:tcW w:w="2840" w:type="dxa"/>
            <w:vAlign w:val="bottom"/>
          </w:tcPr>
          <w:p>
            <w:pPr>
              <w:ind w:left="220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Ken Xie</w:t>
            </w:r>
          </w:p>
        </w:tc>
      </w:tr>
      <w:tr>
        <w:trPr>
          <w:trHeight w:val="256"/>
        </w:trPr>
        <w:tc>
          <w:tcPr>
            <w:tcW w:w="386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Chief Executive Officer and Chairman of the Board of</w:t>
            </w:r>
          </w:p>
        </w:tc>
      </w:tr>
      <w:tr>
        <w:trPr>
          <w:trHeight w:val="216"/>
        </w:trPr>
        <w:tc>
          <w:tcPr>
            <w:tcW w:w="38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Directors</w:t>
            </w:r>
          </w:p>
        </w:tc>
      </w:tr>
      <w:tr>
        <w:trPr>
          <w:trHeight w:val="230"/>
        </w:trPr>
        <w:tc>
          <w:tcPr>
            <w:tcW w:w="3860" w:type="dxa"/>
            <w:vAlign w:val="bottom"/>
          </w:tcPr>
          <w:p>
            <w:pPr>
              <w:spacing w:after="0"/>
              <w:rPr>
                <w:sz w:val="20"/>
                <w:szCs w:val="20"/>
                <w:color w:val="auto"/>
              </w:rPr>
            </w:pPr>
          </w:p>
        </w:tc>
        <w:tc>
          <w:tcPr>
            <w:tcW w:w="2840" w:type="dxa"/>
            <w:vAlign w:val="bottom"/>
          </w:tcPr>
          <w:p>
            <w:pPr>
              <w:ind w:left="2200"/>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bl>
    <w:p>
      <w:pPr>
        <w:spacing w:after="0" w:line="17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 Andrew Del Matto, certify, pursuant to 18 U.S.C. Section 1350, as adopted pursuant to Section 906 of the Sarbanes-Oxley Act of 2002, that the Quarterly Report on Form 10-Q of Fortinet, Inc. for the quarterly period ended June 30, 2014 fully complies with the requirements of Section 13(a) or 15(d) of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p>
        </w:tc>
        <w:tc>
          <w:tcPr>
            <w:tcW w:w="2840" w:type="dxa"/>
            <w:vAlign w:val="bottom"/>
          </w:tcPr>
          <w:p>
            <w:pPr>
              <w:ind w:left="220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Andrew Del Matto</w:t>
            </w:r>
          </w:p>
        </w:tc>
      </w:tr>
      <w:tr>
        <w:trPr>
          <w:trHeight w:val="27"/>
        </w:trPr>
        <w:tc>
          <w:tcPr>
            <w:tcW w:w="38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spacing w:after="0"/>
              <w:rPr>
                <w:sz w:val="20"/>
                <w:szCs w:val="20"/>
                <w:color w:val="auto"/>
              </w:rPr>
            </w:pPr>
            <w:r>
              <w:rPr>
                <w:rFonts w:ascii="Arial" w:cs="Arial" w:eastAsia="Arial" w:hAnsi="Arial"/>
                <w:sz w:val="18"/>
                <w:szCs w:val="18"/>
                <w:color w:val="auto"/>
              </w:rPr>
              <w:t>Date:  August 4, 2014</w:t>
            </w:r>
          </w:p>
        </w:tc>
        <w:tc>
          <w:tcPr>
            <w:tcW w:w="2840" w:type="dxa"/>
            <w:vAlign w:val="bottom"/>
          </w:tcPr>
          <w:p>
            <w:pPr>
              <w:ind w:left="220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Andrew Del Matto</w:t>
            </w:r>
          </w:p>
        </w:tc>
      </w:tr>
      <w:tr>
        <w:trPr>
          <w:trHeight w:val="256"/>
        </w:trPr>
        <w:tc>
          <w:tcPr>
            <w:tcW w:w="386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3860" w:type="dxa"/>
            <w:vAlign w:val="bottom"/>
          </w:tcPr>
          <w:p>
            <w:pPr>
              <w:spacing w:after="0"/>
              <w:rPr>
                <w:sz w:val="20"/>
                <w:szCs w:val="20"/>
                <w:color w:val="auto"/>
              </w:rPr>
            </w:pPr>
          </w:p>
        </w:tc>
        <w:tc>
          <w:tcPr>
            <w:tcW w:w="2840" w:type="dxa"/>
            <w:vAlign w:val="bottom"/>
          </w:tcPr>
          <w:p>
            <w:pPr>
              <w:ind w:left="2200"/>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(Principal Financial Officer)</w:t>
            </w:r>
          </w:p>
        </w:tc>
      </w:tr>
    </w:tbl>
    <w:p>
      <w:pPr>
        <w:spacing w:after="0" w:line="39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T"/>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2019-12-07T05:50:28Z</dcterms:created>
  <dcterms:modified xsi:type="dcterms:W3CDTF">2019-12-07T05:50:28Z</dcterms:modified>
</cp:coreProperties>
</file>