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1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ind w:left="5080"/>
        <w:spacing w:after="0"/>
        <w:rPr>
          <w:sz w:val="20"/>
          <w:szCs w:val="20"/>
          <w:color w:val="auto"/>
        </w:rPr>
      </w:pPr>
      <w:r>
        <w:rPr>
          <w:rFonts w:ascii="Arial" w:cs="Arial" w:eastAsia="Arial" w:hAnsi="Arial"/>
          <w:sz w:val="23"/>
          <w:szCs w:val="23"/>
          <w:b w:val="1"/>
          <w:bCs w:val="1"/>
          <w:color w:val="auto"/>
        </w:rPr>
        <w:t>FORM 10-K</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4020" w:right="1120" w:hanging="3985"/>
        <w:spacing w:after="0" w:line="451" w:lineRule="auto"/>
        <w:tabs>
          <w:tab w:leader="none" w:pos="39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line="1" w:lineRule="exact"/>
        <w:rPr>
          <w:sz w:val="24"/>
          <w:szCs w:val="24"/>
          <w:color w:val="auto"/>
        </w:rPr>
      </w:pPr>
    </w:p>
    <w:p>
      <w:pPr>
        <w:ind w:left="5620"/>
        <w:spacing w:after="0"/>
        <w:rPr>
          <w:sz w:val="20"/>
          <w:szCs w:val="20"/>
          <w:color w:val="auto"/>
        </w:rPr>
      </w:pPr>
      <w:r>
        <w:rPr>
          <w:rFonts w:ascii="Arial" w:cs="Arial" w:eastAsia="Arial" w:hAnsi="Arial"/>
          <w:sz w:val="20"/>
          <w:szCs w:val="20"/>
          <w:b w:val="1"/>
          <w:bCs w:val="1"/>
          <w:color w:val="auto"/>
        </w:rPr>
        <w:t>or</w:t>
      </w:r>
    </w:p>
    <w:p>
      <w:pPr>
        <w:spacing w:after="0" w:line="166"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 w:lineRule="exact"/>
        <w:rPr>
          <w:sz w:val="24"/>
          <w:szCs w:val="24"/>
          <w:color w:val="auto"/>
        </w:rPr>
      </w:pPr>
    </w:p>
    <w:tbl>
      <w:tblPr>
        <w:tblLayout w:type="fixed"/>
        <w:tblInd w:w="280" w:type="dxa"/>
        <w:tblCellMar>
          <w:top w:w="0" w:type="dxa"/>
          <w:left w:w="0" w:type="dxa"/>
          <w:bottom w:w="0" w:type="dxa"/>
          <w:right w:w="0" w:type="dxa"/>
        </w:tblCellMar>
      </w:tblPr>
      <w:tr>
        <w:trPr>
          <w:trHeight w:val="230"/>
        </w:trPr>
        <w:tc>
          <w:tcPr>
            <w:tcW w:w="6040" w:type="dxa"/>
            <w:vAlign w:val="bottom"/>
          </w:tcPr>
          <w:p>
            <w:pPr>
              <w:ind w:left="3420"/>
              <w:spacing w:after="0"/>
              <w:rPr>
                <w:sz w:val="20"/>
                <w:szCs w:val="20"/>
                <w:color w:val="auto"/>
              </w:rPr>
            </w:pPr>
            <w:r>
              <w:rPr>
                <w:rFonts w:ascii="Arial" w:cs="Arial" w:eastAsia="Arial" w:hAnsi="Arial"/>
                <w:sz w:val="20"/>
                <w:szCs w:val="20"/>
                <w:b w:val="1"/>
                <w:bCs w:val="1"/>
                <w:color w:val="auto"/>
                <w:w w:val="92"/>
              </w:rPr>
              <w:t>For the transition period from</w:t>
            </w:r>
          </w:p>
        </w:tc>
        <w:tc>
          <w:tcPr>
            <w:tcW w:w="580" w:type="dxa"/>
            <w:vAlign w:val="bottom"/>
            <w:tcBorders>
              <w:bottom w:val="single" w:sz="8" w:color="auto"/>
            </w:tcBorders>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20"/>
                <w:szCs w:val="20"/>
                <w:b w:val="1"/>
                <w:bCs w:val="1"/>
                <w:color w:val="auto"/>
                <w:w w:val="95"/>
              </w:rPr>
              <w:t>to</w:t>
            </w:r>
          </w:p>
        </w:tc>
        <w:tc>
          <w:tcPr>
            <w:tcW w:w="60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6"/>
        </w:trPr>
        <w:tc>
          <w:tcPr>
            <w:tcW w:w="8620" w:type="dxa"/>
            <w:vAlign w:val="bottom"/>
            <w:gridSpan w:val="5"/>
          </w:tcPr>
          <w:p>
            <w:pPr>
              <w:jc w:val="center"/>
              <w:ind w:left="2171"/>
              <w:spacing w:after="0"/>
              <w:rPr>
                <w:sz w:val="20"/>
                <w:szCs w:val="20"/>
                <w:color w:val="auto"/>
              </w:rPr>
            </w:pPr>
            <w:r>
              <w:rPr>
                <w:rFonts w:ascii="Arial" w:cs="Arial" w:eastAsia="Arial" w:hAnsi="Arial"/>
                <w:sz w:val="20"/>
                <w:szCs w:val="20"/>
                <w:b w:val="1"/>
                <w:bCs w:val="1"/>
                <w:color w:val="auto"/>
                <w:w w:val="89"/>
              </w:rPr>
              <w:t>Commission file number: 001-34511</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7480" w:type="dxa"/>
            <w:vAlign w:val="bottom"/>
            <w:gridSpan w:val="4"/>
          </w:tcPr>
          <w:p>
            <w:pPr>
              <w:jc w:val="center"/>
              <w:ind w:left="3311"/>
              <w:spacing w:after="0" w:line="176" w:lineRule="exact"/>
              <w:rPr>
                <w:sz w:val="20"/>
                <w:szCs w:val="20"/>
                <w:color w:val="auto"/>
              </w:rPr>
            </w:pPr>
            <w:r>
              <w:rPr>
                <w:rFonts w:ascii="Arial" w:cs="Arial" w:eastAsia="Arial" w:hAnsi="Arial"/>
                <w:sz w:val="16"/>
                <w:szCs w:val="16"/>
                <w:color w:val="auto"/>
                <w:w w:val="91"/>
              </w:rPr>
              <w:t>______________________________________</w:t>
            </w: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29"/>
        </w:trPr>
        <w:tc>
          <w:tcPr>
            <w:tcW w:w="6620" w:type="dxa"/>
            <w:vAlign w:val="bottom"/>
            <w:gridSpan w:val="2"/>
          </w:tcPr>
          <w:p>
            <w:pPr>
              <w:jc w:val="center"/>
              <w:ind w:left="4191"/>
              <w:spacing w:after="0"/>
              <w:rPr>
                <w:sz w:val="20"/>
                <w:szCs w:val="20"/>
                <w:color w:val="auto"/>
              </w:rPr>
            </w:pPr>
            <w:r>
              <w:rPr>
                <w:rFonts w:ascii="Arial" w:cs="Arial" w:eastAsia="Arial" w:hAnsi="Arial"/>
                <w:sz w:val="25"/>
                <w:szCs w:val="25"/>
                <w:b w:val="1"/>
                <w:bCs w:val="1"/>
                <w:color w:val="auto"/>
              </w:rPr>
              <w:t>FORTINET, INC.</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8"/>
        </w:trPr>
        <w:tc>
          <w:tcPr>
            <w:tcW w:w="8620" w:type="dxa"/>
            <w:vAlign w:val="bottom"/>
            <w:gridSpan w:val="5"/>
          </w:tcPr>
          <w:p>
            <w:pPr>
              <w:jc w:val="center"/>
              <w:ind w:left="215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6"/>
        </w:trPr>
        <w:tc>
          <w:tcPr>
            <w:tcW w:w="7480" w:type="dxa"/>
            <w:vAlign w:val="bottom"/>
            <w:gridSpan w:val="4"/>
          </w:tcPr>
          <w:p>
            <w:pPr>
              <w:jc w:val="center"/>
              <w:ind w:left="3311"/>
              <w:spacing w:after="0"/>
              <w:rPr>
                <w:sz w:val="20"/>
                <w:szCs w:val="20"/>
                <w:color w:val="auto"/>
              </w:rPr>
            </w:pPr>
            <w:r>
              <w:rPr>
                <w:rFonts w:ascii="Arial" w:cs="Arial" w:eastAsia="Arial" w:hAnsi="Arial"/>
                <w:sz w:val="16"/>
                <w:szCs w:val="16"/>
                <w:color w:val="auto"/>
                <w:w w:val="91"/>
              </w:rPr>
              <w:t>______________________________________</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87"/>
        </w:trPr>
        <w:tc>
          <w:tcPr>
            <w:tcW w:w="662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91"/>
              </w:rPr>
              <w:t>Delaware</w:t>
            </w:r>
          </w:p>
        </w:tc>
        <w:tc>
          <w:tcPr>
            <w:tcW w:w="24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77-0560389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43"/>
        </w:trPr>
        <w:tc>
          <w:tcPr>
            <w:tcW w:w="6620" w:type="dxa"/>
            <w:vAlign w:val="bottom"/>
            <w:gridSpan w:val="2"/>
          </w:tcPr>
          <w:p>
            <w:pPr>
              <w:jc w:val="center"/>
              <w:ind w:right="1440"/>
              <w:spacing w:after="0"/>
              <w:rPr>
                <w:sz w:val="20"/>
                <w:szCs w:val="20"/>
                <w:color w:val="auto"/>
              </w:rPr>
            </w:pPr>
            <w:r>
              <w:rPr>
                <w:rFonts w:ascii="Arial" w:cs="Arial" w:eastAsia="Arial" w:hAnsi="Arial"/>
                <w:sz w:val="16"/>
                <w:szCs w:val="16"/>
                <w:b w:val="1"/>
                <w:bCs w:val="1"/>
                <w:color w:val="auto"/>
                <w:w w:val="91"/>
              </w:rPr>
              <w:t>(State or other jurisdiction of</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(I.R.S. Employer</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0"/>
        </w:trPr>
        <w:tc>
          <w:tcPr>
            <w:tcW w:w="6620" w:type="dxa"/>
            <w:vAlign w:val="bottom"/>
            <w:gridSpan w:val="2"/>
          </w:tcPr>
          <w:p>
            <w:pPr>
              <w:jc w:val="center"/>
              <w:ind w:right="1460"/>
              <w:spacing w:after="0"/>
              <w:rPr>
                <w:sz w:val="20"/>
                <w:szCs w:val="20"/>
                <w:color w:val="auto"/>
              </w:rPr>
            </w:pPr>
            <w:r>
              <w:rPr>
                <w:rFonts w:ascii="Arial" w:cs="Arial" w:eastAsia="Arial" w:hAnsi="Arial"/>
                <w:sz w:val="16"/>
                <w:szCs w:val="16"/>
                <w:b w:val="1"/>
                <w:bCs w:val="1"/>
                <w:color w:val="auto"/>
                <w:w w:val="92"/>
              </w:rPr>
              <w:t>incorporation or organization)</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Identification No.)</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3"/>
        </w:trPr>
        <w:tc>
          <w:tcPr>
            <w:tcW w:w="662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94"/>
              </w:rPr>
              <w:t>1090 Kifer Road</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4"/>
        </w:trPr>
        <w:tc>
          <w:tcPr>
            <w:tcW w:w="662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91"/>
              </w:rPr>
              <w:t>Sunnyvale, California</w:t>
            </w:r>
          </w:p>
        </w:tc>
        <w:tc>
          <w:tcPr>
            <w:tcW w:w="2000" w:type="dxa"/>
            <w:vAlign w:val="bottom"/>
            <w:gridSpan w:val="3"/>
          </w:tcPr>
          <w:p>
            <w:pPr>
              <w:jc w:val="right"/>
              <w:ind w:right="19"/>
              <w:spacing w:after="0"/>
              <w:rPr>
                <w:sz w:val="20"/>
                <w:szCs w:val="20"/>
                <w:color w:val="auto"/>
              </w:rPr>
            </w:pPr>
            <w:r>
              <w:rPr>
                <w:rFonts w:ascii="Arial" w:cs="Arial" w:eastAsia="Arial" w:hAnsi="Arial"/>
                <w:sz w:val="18"/>
                <w:szCs w:val="18"/>
                <w:b w:val="1"/>
                <w:bCs w:val="1"/>
                <w:color w:val="auto"/>
              </w:rPr>
              <w:t>94086</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1"/>
        </w:trPr>
        <w:tc>
          <w:tcPr>
            <w:tcW w:w="6620" w:type="dxa"/>
            <w:vAlign w:val="bottom"/>
            <w:gridSpan w:val="2"/>
          </w:tcPr>
          <w:p>
            <w:pPr>
              <w:jc w:val="center"/>
              <w:ind w:right="14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(Zip Code)</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5"/>
        </w:trPr>
        <w:tc>
          <w:tcPr>
            <w:tcW w:w="6040" w:type="dxa"/>
            <w:vAlign w:val="bottom"/>
          </w:tcPr>
          <w:p>
            <w:pPr>
              <w:jc w:val="center"/>
              <w:ind w:left="4751"/>
              <w:spacing w:after="0"/>
              <w:rPr>
                <w:sz w:val="20"/>
                <w:szCs w:val="20"/>
                <w:color w:val="auto"/>
              </w:rPr>
            </w:pPr>
            <w:r>
              <w:rPr>
                <w:rFonts w:ascii="Arial" w:cs="Arial" w:eastAsia="Arial" w:hAnsi="Arial"/>
                <w:sz w:val="18"/>
                <w:szCs w:val="18"/>
                <w:b w:val="1"/>
                <w:bCs w:val="1"/>
                <w:color w:val="auto"/>
                <w:w w:val="90"/>
              </w:rPr>
              <w:t>(408) 235-7700</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8620" w:type="dxa"/>
            <w:vAlign w:val="bottom"/>
            <w:gridSpan w:val="5"/>
          </w:tcPr>
          <w:p>
            <w:pPr>
              <w:jc w:val="center"/>
              <w:ind w:left="215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8"/>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662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0"/>
              </w:rPr>
              <w:t>Common Stock, $0.001 Par Value</w:t>
            </w:r>
          </w:p>
        </w:tc>
        <w:tc>
          <w:tcPr>
            <w:tcW w:w="260" w:type="dxa"/>
            <w:vAlign w:val="bottom"/>
          </w:tcPr>
          <w:p>
            <w:pPr>
              <w:spacing w:after="0"/>
              <w:rPr>
                <w:sz w:val="24"/>
                <w:szCs w:val="24"/>
                <w:color w:val="auto"/>
              </w:rPr>
            </w:pPr>
          </w:p>
        </w:tc>
        <w:tc>
          <w:tcPr>
            <w:tcW w:w="3140" w:type="dxa"/>
            <w:vAlign w:val="bottom"/>
            <w:gridSpan w:val="5"/>
          </w:tcPr>
          <w:p>
            <w:pPr>
              <w:jc w:val="center"/>
              <w:ind w:left="274"/>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534"/>
        </w:trPr>
        <w:tc>
          <w:tcPr>
            <w:tcW w:w="662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w w:val="88"/>
              </w:rPr>
              <w:t>(Title of each class)</w:t>
            </w:r>
          </w:p>
        </w:tc>
        <w:tc>
          <w:tcPr>
            <w:tcW w:w="260" w:type="dxa"/>
            <w:vAlign w:val="bottom"/>
          </w:tcPr>
          <w:p>
            <w:pPr>
              <w:spacing w:after="0"/>
              <w:rPr>
                <w:sz w:val="24"/>
                <w:szCs w:val="24"/>
                <w:color w:val="auto"/>
              </w:rPr>
            </w:pPr>
          </w:p>
        </w:tc>
        <w:tc>
          <w:tcPr>
            <w:tcW w:w="3140" w:type="dxa"/>
            <w:vAlign w:val="bottom"/>
            <w:gridSpan w:val="5"/>
          </w:tcPr>
          <w:p>
            <w:pPr>
              <w:jc w:val="center"/>
              <w:ind w:left="294"/>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411"/>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480" w:type="dxa"/>
            <w:vAlign w:val="bottom"/>
          </w:tcPr>
          <w:p>
            <w:pPr>
              <w:spacing w:after="0"/>
              <w:rPr>
                <w:sz w:val="20"/>
                <w:szCs w:val="20"/>
                <w:color w:val="auto"/>
              </w:rPr>
            </w:pPr>
            <w:r>
              <w:rPr>
                <w:rFonts w:ascii="Arial" w:cs="Arial" w:eastAsia="Arial" w:hAnsi="Arial"/>
                <w:sz w:val="18"/>
                <w:szCs w:val="18"/>
                <w:color w:val="auto"/>
              </w:rPr>
              <w:t>Yes x</w:t>
            </w:r>
          </w:p>
        </w:tc>
        <w:tc>
          <w:tcPr>
            <w:tcW w:w="420" w:type="dxa"/>
            <w:vAlign w:val="bottom"/>
          </w:tcPr>
          <w:p>
            <w:pPr>
              <w:ind w:left="140"/>
              <w:spacing w:after="0"/>
              <w:rPr>
                <w:sz w:val="20"/>
                <w:szCs w:val="20"/>
                <w:color w:val="auto"/>
              </w:rPr>
            </w:pPr>
            <w:r>
              <w:rPr>
                <w:rFonts w:ascii="Arial" w:cs="Arial" w:eastAsia="Arial" w:hAnsi="Arial"/>
                <w:sz w:val="18"/>
                <w:szCs w:val="18"/>
                <w:color w:val="auto"/>
              </w:rPr>
              <w:t>No</w:t>
            </w:r>
          </w:p>
        </w:tc>
        <w:tc>
          <w:tcPr>
            <w:tcW w:w="500" w:type="dxa"/>
            <w:vAlign w:val="bottom"/>
          </w:tcPr>
          <w:p>
            <w:pPr>
              <w:ind w:left="40"/>
              <w:spacing w:after="0"/>
              <w:rPr>
                <w:sz w:val="20"/>
                <w:szCs w:val="20"/>
                <w:color w:val="auto"/>
              </w:rPr>
            </w:pPr>
            <w:r>
              <w:rPr>
                <w:rFonts w:ascii="Arial" w:cs="Arial" w:eastAsia="Arial" w:hAnsi="Arial"/>
                <w:sz w:val="18"/>
                <w:szCs w:val="18"/>
                <w:color w:val="auto"/>
              </w:rPr>
              <w:t>o</w:t>
            </w: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8"/>
                <w:szCs w:val="18"/>
                <w:color w:val="auto"/>
                <w:w w:val="96"/>
              </w:rPr>
              <w:t>Yes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o No</w:t>
            </w:r>
          </w:p>
        </w:tc>
        <w:tc>
          <w:tcPr>
            <w:tcW w:w="500" w:type="dxa"/>
            <w:vAlign w:val="bottom"/>
          </w:tcPr>
          <w:p>
            <w:pPr>
              <w:ind w:left="60"/>
              <w:spacing w:after="0"/>
              <w:rPr>
                <w:sz w:val="20"/>
                <w:szCs w:val="20"/>
                <w:color w:val="auto"/>
              </w:rPr>
            </w:pPr>
            <w:r>
              <w:rPr>
                <w:rFonts w:ascii="Arial" w:cs="Arial" w:eastAsia="Arial" w:hAnsi="Arial"/>
                <w:sz w:val="18"/>
                <w:szCs w:val="18"/>
                <w:color w:val="auto"/>
              </w:rPr>
              <w:t>x</w:t>
            </w:r>
          </w:p>
        </w:tc>
      </w:tr>
    </w:tbl>
    <w:p>
      <w:pPr>
        <w:sectPr>
          <w:pgSz w:w="11900" w:h="16838" w:orient="portrait"/>
          <w:cols w:equalWidth="0" w:num="1">
            <w:col w:w="10300"/>
          </w:cols>
          <w:pgMar w:left="240" w:top="229" w:right="1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27" w:lineRule="exact"/>
        <w:rPr>
          <w:sz w:val="20"/>
          <w:szCs w:val="20"/>
          <w:color w:val="auto"/>
        </w:rPr>
      </w:pPr>
    </w:p>
    <w:p>
      <w:pPr>
        <w:ind w:right="10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21" w:right="259" w:bottom="1440" w:gutter="0" w:footer="0" w:header="0"/>
        </w:sectPr>
      </w:pP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0"/>
          <w:szCs w:val="20"/>
          <w:color w:val="auto"/>
        </w:rPr>
      </w:pPr>
    </w:p>
    <w:p>
      <w:pPr>
        <w:sectPr>
          <w:pgSz w:w="11900" w:h="16838" w:orient="portrait"/>
          <w:cols w:equalWidth="0" w:num="4">
            <w:col w:w="2000" w:space="720"/>
            <w:col w:w="4780" w:space="720"/>
            <w:col w:w="1960" w:space="720"/>
            <w:col w:w="500"/>
          </w:cols>
          <w:pgMar w:left="240" w:top="121" w:right="25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0"/>
          <w:szCs w:val="20"/>
          <w:color w:val="auto"/>
        </w:rPr>
      </w:pPr>
    </w:p>
    <w:p>
      <w:pPr>
        <w:sectPr>
          <w:pgSz w:w="11900" w:h="16838" w:orient="portrait"/>
          <w:cols w:equalWidth="0" w:num="4">
            <w:col w:w="2000" w:space="720"/>
            <w:col w:w="4780" w:space="720"/>
            <w:col w:w="1960" w:space="720"/>
            <w:col w:w="500"/>
          </w:cols>
          <w:pgMar w:left="240" w:top="121" w:right="2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0"/>
          <w:szCs w:val="20"/>
          <w:color w:val="auto"/>
        </w:rPr>
      </w:pPr>
    </w:p>
    <w:p>
      <w:pPr>
        <w:sectPr>
          <w:pgSz w:w="11900" w:h="16838" w:orient="portrait"/>
          <w:cols w:equalWidth="0" w:num="3">
            <w:col w:w="7700" w:space="180"/>
            <w:col w:w="440" w:space="220"/>
            <w:col w:w="2860"/>
          </w:cols>
          <w:pgMar w:left="240" w:top="121" w:right="259" w:bottom="1440" w:gutter="0" w:footer="0" w:header="0"/>
          <w:type w:val="continuous"/>
        </w:sectPr>
      </w:pPr>
    </w:p>
    <w:p>
      <w:pPr>
        <w:ind w:right="60" w:firstLine="270"/>
        <w:spacing w:after="0" w:line="257" w:lineRule="auto"/>
        <w:rPr>
          <w:sz w:val="20"/>
          <w:szCs w:val="20"/>
          <w:color w:val="auto"/>
        </w:rPr>
      </w:pPr>
      <w:r>
        <w:rPr>
          <w:rFonts w:ascii="Arial" w:cs="Arial" w:eastAsia="Arial" w:hAnsi="Arial"/>
          <w:sz w:val="18"/>
          <w:szCs w:val="18"/>
          <w:color w:val="auto"/>
        </w:rPr>
        <w:t>The aggregate market value of voting stock held by non-affiliates of the registrant, as of June 29, 2012, the last business day of the registrant’s most recently completed second quarter, was $2,800,919,536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34" w:lineRule="exact"/>
        <w:rPr>
          <w:sz w:val="20"/>
          <w:szCs w:val="20"/>
          <w:color w:val="auto"/>
        </w:rPr>
      </w:pPr>
    </w:p>
    <w:p>
      <w:pPr>
        <w:jc w:val="right"/>
        <w:ind w:left="280" w:right="3740"/>
        <w:spacing w:after="0" w:line="438" w:lineRule="auto"/>
        <w:rPr>
          <w:sz w:val="20"/>
          <w:szCs w:val="20"/>
          <w:color w:val="auto"/>
        </w:rPr>
      </w:pPr>
      <w:r>
        <w:rPr>
          <w:rFonts w:ascii="Arial" w:cs="Arial" w:eastAsia="Arial" w:hAnsi="Arial"/>
          <w:sz w:val="18"/>
          <w:szCs w:val="18"/>
          <w:color w:val="auto"/>
        </w:rPr>
        <w:t>As of February 20, 2013, there were 161,607,952 shares of the registrant’s common stock outstanding. DOCUMENTS INCORPORATED BY REFERENCE</w:t>
      </w:r>
    </w:p>
    <w:p>
      <w:pPr>
        <w:spacing w:after="0" w:line="1"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Portions of the registrant’s definitive Proxy Statement relating to its 2013 Annual Meeting of Stockholders are incorporated by reference into Part III of this Annual Report on Form 10-K where indicated. Such Proxy Statement will be filed with the United States Securities and Exchange Commission (“SEC”) within 120 days after the end of the fiscal year to which this report relates.</w:t>
      </w:r>
    </w:p>
    <w:p>
      <w:pPr>
        <w:sectPr>
          <w:pgSz w:w="11900" w:h="16838" w:orient="portrait"/>
          <w:cols w:equalWidth="0" w:num="1">
            <w:col w:w="11400"/>
          </w:cols>
          <w:pgMar w:left="240" w:top="121"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FORTINET, INC.</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9"/>
              </w:rPr>
              <w:t>ANNUAL REPORT ON FORM 10-K</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0"/>
              </w:rPr>
              <w:t>For the Fiscal Year Ended December 31, 2012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gridSpan w:val="6"/>
            <w:vMerge w:val="restart"/>
          </w:tcPr>
          <w:p>
            <w:pPr>
              <w:jc w:val="center"/>
              <w:ind w:right="434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9140" w:type="dxa"/>
            <w:vAlign w:val="bottom"/>
            <w:gridSpan w:val="17"/>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12">
              <w:r>
                <w:rPr>
                  <w:rFonts w:ascii="Arial" w:cs="Arial" w:eastAsia="Arial" w:hAnsi="Arial"/>
                  <w:sz w:val="18"/>
                  <w:szCs w:val="18"/>
                  <w:color w:val="0000FF"/>
                  <w:w w:val="87"/>
                </w:rPr>
                <w:t>Risk Factors</w:t>
              </w:r>
            </w:hyperlink>
          </w:p>
        </w:tc>
        <w:tc>
          <w:tcPr>
            <w:tcW w:w="8880" w:type="dxa"/>
            <w:vAlign w:val="bottom"/>
            <w:gridSpan w:val="1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8"/>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Unresolved Staff Comments</w:t>
              </w:r>
            </w:hyperlink>
          </w:p>
        </w:tc>
        <w:tc>
          <w:tcPr>
            <w:tcW w:w="774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Properties</w:t>
              </w:r>
            </w:hyperlink>
          </w:p>
        </w:tc>
        <w:tc>
          <w:tcPr>
            <w:tcW w:w="774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1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Mine Safety Disclosures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Market for Registrant’s Common Equity, Related Stockholder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Selected Financial Data</w:t>
              </w:r>
            </w:hyperlink>
          </w:p>
        </w:tc>
        <w:tc>
          <w:tcPr>
            <w:tcW w:w="17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4"/>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4"/>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2"/>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Financial Statements and Supplementary Data</w:t>
              </w:r>
            </w:hyperlink>
          </w:p>
        </w:tc>
        <w:tc>
          <w:tcPr>
            <w:tcW w:w="54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gridSpan w:val="18"/>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92">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500" w:type="dxa"/>
            <w:vAlign w:val="bottom"/>
            <w:gridSpan w:val="15"/>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Controls and Procedures</w:t>
              </w:r>
            </w:hyperlink>
          </w:p>
        </w:tc>
        <w:tc>
          <w:tcPr>
            <w:tcW w:w="32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2">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Other Information</w:t>
              </w:r>
            </w:hyperlink>
          </w:p>
        </w:tc>
        <w:tc>
          <w:tcPr>
            <w:tcW w:w="802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2">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18"/>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Directors, Executive Officers and Corporate Governance</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7"/>
          </w:tcPr>
          <w:p>
            <w:pP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Executive Compensation</w:t>
              </w:r>
            </w:hyperlink>
          </w:p>
        </w:tc>
        <w:tc>
          <w:tcPr>
            <w:tcW w:w="2280" w:type="dxa"/>
            <w:vAlign w:val="bottom"/>
            <w:gridSpan w:val="4"/>
          </w:tcPr>
          <w:p>
            <w:pPr>
              <w:spacing w:after="0"/>
              <w:rPr>
                <w:sz w:val="21"/>
                <w:szCs w:val="21"/>
                <w:color w:val="auto"/>
              </w:rPr>
            </w:pPr>
          </w:p>
        </w:tc>
        <w:tc>
          <w:tcPr>
            <w:tcW w:w="57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18"/>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Security Ownership of Certain Beneficial Owners and Management and Related Stockholder Matters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900" w:type="dxa"/>
            <w:vAlign w:val="bottom"/>
            <w:tcBorders>
              <w:right w:val="single" w:sz="8" w:color="0000FF"/>
            </w:tcBorders>
            <w:gridSpan w:val="9"/>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6"/>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Certain Relationships and Related Transactions, and Director Independence</w:t>
              </w:r>
            </w:hyperlink>
          </w:p>
        </w:tc>
        <w:tc>
          <w:tcPr>
            <w:tcW w:w="25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900" w:type="dxa"/>
            <w:vAlign w:val="bottom"/>
            <w:tcBorders>
              <w:right w:val="single" w:sz="8" w:color="0000FF"/>
            </w:tcBorders>
            <w:gridSpan w:val="9"/>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3"/>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Principal Accounting Fees and Services</w:t>
              </w:r>
            </w:hyperlink>
          </w:p>
        </w:tc>
        <w:tc>
          <w:tcPr>
            <w:tcW w:w="434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9"/>
          </w:tcPr>
          <w:p>
            <w:pPr>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Exhibits, Financial Statement Schedules</w:t>
              </w:r>
            </w:hyperlink>
          </w:p>
        </w:tc>
        <w:tc>
          <w:tcPr>
            <w:tcW w:w="68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provide network security solutions that are designed to address the fundamental problems of an increasingly bandwidth-intensive network environment and a more sophisticated information technology (“IT”) threat landscape. Through our products and subscription services, we provide broad, integrated and high performance protection against dynamic security threats while simplifying the IT security infrastructure for enterprises, service providers and governmental entities worldwide. Our flagship integrated network security solution consists of our FortiGate physical and virtual appliance products that provide a broad array of security and networking functions to protect data, applications, and users from network- and content-level security threats. These functions provide Unified Threat Management (“UTM”)/Next Generation Firewall (“NGFW”) technologies, including firewall, VPN, application control, anti-malware, intrusion prevention, Web filtering, vulnerability management, anti-spam, wireless controller, and WAN acceleration. Our FortiGate appliances, from the FortiGate-20 for small businesses and branch offices to the FortiGate-5000 series for large enterprises and service providers, are based on our proprietary technology platform. This platform includes our FortiASICs, which are specifically designed for accelerated processing of security and networking functions, and our FortiOS operating system, which provides the foundation for all of our security functions. Our FortiGuard security subscription services provide end-customers with access to dynamic updates to our application control, anti-malware, intrusion prevention, Web filtering and anti-spam functionality based on intelligence gathered by our dedicated FortiGuard Labs team. By combining multiple proprietary security and networking functions with our purpose-built FortiASIC and FortiOS, our FortiGate UTM/NGFW solution delivers broad protection against dynamic security threats while reducing the operational burden and costs associated with managing multiple point products.</w:t>
      </w:r>
    </w:p>
    <w:p>
      <w:pPr>
        <w:spacing w:after="0" w:line="172"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complement our FortiGate product line with the FortiManager product family, which enables end-customers to manage the system configuration and security functions of multiple FortiGate devices from a centralized console, as well as the FortiAnalyzer product family, which enables collection, analysis and archiving of content and log data generated by our products. We also offer other product lines that provide additional protection, such as:</w:t>
      </w:r>
    </w:p>
    <w:p>
      <w:pPr>
        <w:ind w:right="100" w:firstLine="8"/>
        <w:spacing w:after="0" w:line="269"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FortiAP, secure wireless access points, (ii) FortiWeb, security for Web-based applications, (iii) FortiMail, multi-featured, high performance messaging security, (iv) FortiDB, centrally managed database-specific security, (v) FortiClient, endpoint security for desktops, laptops and mobile devices and that is primarily used in conjunction with our FortiGate appliances, (vi) FortiScan, endpoint vulnerability assessment and remediation, (vii) FortiSwitch, Ethernet switches, (viii) FortiBridge, bypass appliances to help ensure network availability, (ix) FortiAuthenticator, scalable secure authentication for enterprise networks, (x) FortiBalancer, optimizing the availability and performance of mobile, cloud, and enterprise applications, (xi) FortiCache, reducing the cost of and impact of cached internet content, (xii) FortiDNS, providing secure DNS caching, (xiii) FortiDDoS, protection against denial of service attack, and (xiv) FortiVoice, business telephone communication.</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Additionally, we offer virtual appliances for the FortiGate, FortiManager, FortiAnalyzer, FortiWeb, FortiMail, and FortiScan product lines. These virtual appliances help secure network infrastructures with the same functionality as the traditional physical appliances in their respective product lines. They can be used in conjunction with traditional Fortinet appliances (such as FortiGate, FortiManager, and FortiAnalyzer) to help ensure the visibility, management, and protection of physical and virtual environments.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Since our inception through December 31, 2012, we have shipped over 1,100,000 appliances via more than 10,000 channel partners to more than 150,000 end-customers worldwide, including a majority of the 2012 Fortune Global 100.</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were incorporated in Delaware in November 2000. Our principal executive office is located at 1090 Kifer Road, Sunnyvale, California 94086 and our telephone number at that location is (408) 235-7700.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Architecture</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Our proprietary FortiASIC hardware architecture, FortiOS operating system and associated security and networking functions combine to form a platform that integrates security features and enables our products to perform sophisticated security processing for networks with high throughput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FortiASIC</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FortiASIC family of Application-Specific Integrated Circuits (“ASICs”), is comprised of three lines of processors: FortiASIC content processor (“CP”), the FortiASIC network processor (“NP”), and the FortiASIC system-on-a-chip (“SOC”).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These custom ASICs are designed to enhance the sophisticated security processing capabilities implemented in software by accelerating the computation-intensive tasks such as firewall policy enforcement or IPS anomaly detection. This architecture provides the flexibility of implementing accelerated processing of new threat detection without requiring a new ASIC release. The FortiASIC CP is currently included in most of our entry-level and all of our mid-range and high-end FortiGate appliances. The FortiASIC NP is currently included in some of our mid-range and high-end FortiGate appliances, delivering further accelerated firewall and VPN performance. The FortiASIC SOC is currently included in our entry-level FortiGate-20 and -40 product families. During fiscal 2012, we also introduced our new FortiASIC-SoC2 processor, which is currently being designed into our new appliances. FortiASIC-SoC2 is our second-generation processor that combines general purpose processing power with Fortinet’s custom technology to provide hardware-accelerated network security performance for our FortiGate appliances. It provides more than double the general processing capacity than its predecessor.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FortiOS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FortiOS operating system provides the foundation for the operation of all FortiGate appliances, from the core kernel functions to the security processing feature sets. FortiOS provides multiple layers of security including a hardened kernel layer providing protection for the FortiGate system, a network security layer providing security for end-customers’ network infrastructures, and application content protection providing security for end-customers’ workstations and applications. FortiOS directs the operations of processors and ASICs as well as providing system management functions such as command-line and graphical user interfaces.</w:t>
      </w:r>
    </w:p>
    <w:p>
      <w:pPr>
        <w:spacing w:after="0" w:line="188"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In the fourth quarter of fiscal 2012, we released the latest version of our FortiOS operating system, which brings advanced security, control, and intelligence that organizations of all sizes need to protect themselves from today’s sophisticated threats. These enhancements to FortiOS include:</w:t>
      </w:r>
    </w:p>
    <w:p>
      <w:pPr>
        <w:spacing w:after="0" w:line="124"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client reputation feature which delivers specific, actionable information that identifies compromised systems in real time.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On-device behavior-based heuristic engine and cloud-based anti-malware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Industry-validated anti-malware protection.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User-based and device-based access and security policy enforcement for mobile devices.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Automatic adjustment of role-based policies for users and guests based on location, data, and application profiles.</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make available updates to FortiOS through our FortiCare support services. FortiOS also enables advanced, integrated routing and switching, allowing end-customers to deploy FortiGate devices within a wide variety of networks, as well as providing a direct replacement solution option for legacy switching and routing equipment. FortiOS implements a suite of commonly used routing protocols as well as address translation technologies, allowing the FortiGate appliance to integrate and operate in a wide variety of network environments. Additional features include Virtual Domain (“VDOM”), capabilities and traffic queuing and shaping, enabling administrators to set the appropriate configurations and policies that meet their infrastructure needs. FortiOS also provides capabilities for logging of traffic for forensic analysis purposes which are particularly important for regulatory compliance initiatives like PCI DSS. FortiOS’s packet classification, queue disciplines, policy enforcement, congestion management, and other traffic optimization functionality are designed to help control network traffic in order to optimize performance.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FortiOS incorporates the following eight core security and networking technologies:</w:t>
      </w:r>
    </w:p>
    <w:p>
      <w:pPr>
        <w:spacing w:after="0" w:line="225" w:lineRule="exact"/>
        <w:rPr>
          <w:sz w:val="20"/>
          <w:szCs w:val="20"/>
          <w:color w:val="auto"/>
        </w:rPr>
      </w:pPr>
    </w:p>
    <w:p>
      <w:pPr>
        <w:ind w:left="1300" w:right="60" w:hanging="644"/>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Firewall</w:t>
      </w:r>
      <w:r>
        <w:rPr>
          <w:rFonts w:ascii="Arial" w:cs="Arial" w:eastAsia="Arial" w:hAnsi="Arial"/>
          <w:sz w:val="18"/>
          <w:szCs w:val="18"/>
          <w:color w:val="auto"/>
        </w:rPr>
        <w:t>. Our firewall technology delivers high performance network and application firewalling, including the ability to enforce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application behavior and content. Our technology identifies traffic patterns independent of port or protocol used, and links them to the use of specific applications, enabling visibility and control over application behavior (explained in more detail below). By coupling application intelligence with firewall technology, the FortiGate platform is able to deliver real-time security with integrated application content level inspection, thereby simplifying security deployments.</w:t>
      </w:r>
    </w:p>
    <w:p>
      <w:pPr>
        <w:spacing w:after="0" w:line="188"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Virtual Private Network</w:t>
      </w:r>
      <w:r>
        <w:rPr>
          <w:rFonts w:ascii="Arial" w:cs="Arial" w:eastAsia="Arial" w:hAnsi="Arial"/>
          <w:sz w:val="18"/>
          <w:szCs w:val="18"/>
          <w:color w:val="auto"/>
        </w:rPr>
        <w:t>. Our advanced VPN technology provides secure communications between multiple networks and hosts,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both secure socket layer (“SSL”), and IPsec VPN technologies, leveraging our custom FortiASIC to provide hardware acceleration for high-performance communications and data privacy.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8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Application Control. </w:t>
      </w:r>
      <w:r>
        <w:rPr>
          <w:rFonts w:ascii="Arial" w:cs="Arial" w:eastAsia="Arial" w:hAnsi="Arial"/>
          <w:sz w:val="18"/>
          <w:szCs w:val="18"/>
          <w:color w:val="auto"/>
        </w:rPr>
        <w:t>Our application control technology allows our end-customers to define granular network-based application policies in</w:t>
      </w:r>
      <w:r>
        <w:rPr>
          <w:rFonts w:ascii="Arial" w:cs="Arial" w:eastAsia="Arial" w:hAnsi="Arial"/>
          <w:sz w:val="18"/>
          <w:szCs w:val="18"/>
          <w:i w:val="1"/>
          <w:iCs w:val="1"/>
          <w:color w:val="auto"/>
        </w:rPr>
        <w:t xml:space="preserve"> </w:t>
      </w:r>
      <w:r>
        <w:rPr>
          <w:rFonts w:ascii="Arial" w:cs="Arial" w:eastAsia="Arial" w:hAnsi="Arial"/>
          <w:sz w:val="18"/>
          <w:szCs w:val="18"/>
          <w:color w:val="auto"/>
        </w:rPr>
        <w:t>over 2,400 applications, providing additional visibility and control over application access, user behavior within applications, and application content.</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Anti-malware</w:t>
      </w:r>
      <w:r>
        <w:rPr>
          <w:rFonts w:ascii="Arial" w:cs="Arial" w:eastAsia="Arial" w:hAnsi="Arial"/>
          <w:sz w:val="18"/>
          <w:szCs w:val="18"/>
          <w:color w:val="auto"/>
        </w:rPr>
        <w:t>. Our anti-malware technology provides protection against malware, including viruses, spyware and trojans.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Intrusion Prevention System (IPS)</w:t>
      </w:r>
      <w:r>
        <w:rPr>
          <w:rFonts w:ascii="Arial" w:cs="Arial" w:eastAsia="Arial" w:hAnsi="Arial"/>
          <w:sz w:val="18"/>
          <w:szCs w:val="18"/>
          <w:color w:val="auto"/>
        </w:rPr>
        <w:t>. Our IPS technology provides protection against current and emerging network level threats.</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Web Filtering</w:t>
      </w:r>
      <w:r>
        <w:rPr>
          <w:rFonts w:ascii="Arial" w:cs="Arial" w:eastAsia="Arial" w:hAnsi="Arial"/>
          <w:sz w:val="18"/>
          <w:szCs w:val="18"/>
          <w:color w:val="auto"/>
        </w:rPr>
        <w:t>. Our Web filtering automation technology works in concert with our research team to collect, analyze and categorize websites</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real-time protection through website ratings and categorization. Our Web filtering technology is a pro-active defense feature that identifies known locations of malware and blocks access to these malicious sources.</w:t>
      </w:r>
    </w:p>
    <w:p>
      <w:pPr>
        <w:spacing w:after="0" w:line="181"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Anti-spam</w:t>
      </w:r>
      <w:r>
        <w:rPr>
          <w:rFonts w:ascii="Arial" w:cs="Arial" w:eastAsia="Arial" w:hAnsi="Arial"/>
          <w:sz w:val="18"/>
          <w:szCs w:val="18"/>
          <w:color w:val="auto"/>
        </w:rPr>
        <w:t>. We employ a variety of anti-spam techniques to detect and block spam. These techniques include a hosted service performing</w:t>
      </w:r>
      <w:r>
        <w:rPr>
          <w:rFonts w:ascii="Arial" w:cs="Arial" w:eastAsia="Arial" w:hAnsi="Arial"/>
          <w:sz w:val="18"/>
          <w:szCs w:val="18"/>
          <w:i w:val="1"/>
          <w:iCs w:val="1"/>
          <w:color w:val="auto"/>
        </w:rPr>
        <w:t xml:space="preserve"> </w:t>
      </w:r>
      <w:r>
        <w:rPr>
          <w:rFonts w:ascii="Arial" w:cs="Arial" w:eastAsia="Arial" w:hAnsi="Arial"/>
          <w:sz w:val="18"/>
          <w:szCs w:val="18"/>
          <w:color w:val="auto"/>
        </w:rPr>
        <w:t>algorithmic validations of messages against known spam messages, sophisticated reputation service designed to evaluate and track valid email sources and destinations, intelligent image scanning to evaluate the validity of images and dynamic heuristic rules to allow messages to be evaluated based on content within each message.</w:t>
      </w:r>
    </w:p>
    <w:p>
      <w:pPr>
        <w:spacing w:after="0" w:line="186" w:lineRule="exact"/>
        <w:rPr>
          <w:rFonts w:ascii="Arial" w:cs="Arial" w:eastAsia="Arial" w:hAnsi="Arial"/>
          <w:sz w:val="18"/>
          <w:szCs w:val="18"/>
          <w:color w:val="auto"/>
        </w:rPr>
      </w:pPr>
    </w:p>
    <w:p>
      <w:pPr>
        <w:ind w:left="1300" w:right="16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WAN Acceleration</w:t>
      </w:r>
      <w:r>
        <w:rPr>
          <w:rFonts w:ascii="Arial" w:cs="Arial" w:eastAsia="Arial" w:hAnsi="Arial"/>
          <w:sz w:val="17"/>
          <w:szCs w:val="17"/>
          <w:color w:val="auto"/>
        </w:rPr>
        <w:t>. Our storage-enabled and storage-ready FortiGate appliances provide the ability to accelerate network traffic across the</w:t>
      </w:r>
      <w:r>
        <w:rPr>
          <w:rFonts w:ascii="Arial" w:cs="Arial" w:eastAsia="Arial" w:hAnsi="Arial"/>
          <w:sz w:val="17"/>
          <w:szCs w:val="17"/>
          <w:i w:val="1"/>
          <w:iCs w:val="1"/>
          <w:color w:val="auto"/>
        </w:rPr>
        <w:t xml:space="preserve"> </w:t>
      </w:r>
      <w:r>
        <w:rPr>
          <w:rFonts w:ascii="Arial" w:cs="Arial" w:eastAsia="Arial" w:hAnsi="Arial"/>
          <w:sz w:val="17"/>
          <w:szCs w:val="17"/>
          <w:color w:val="auto"/>
        </w:rPr>
        <w:t>wide area network by implementing a combination of application content caching and protocol optimization techniques.</w:t>
      </w:r>
    </w:p>
    <w:p>
      <w:pPr>
        <w:spacing w:after="0" w:line="14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addition to the eight core security and networking functions mentioned above, we also incorporate additional technologies within FortiGate appliances that differentiate our UTM/NGFW solution, including:</w:t>
      </w:r>
    </w:p>
    <w:p>
      <w:pPr>
        <w:spacing w:after="0" w:line="170" w:lineRule="exact"/>
        <w:rPr>
          <w:sz w:val="20"/>
          <w:szCs w:val="20"/>
          <w:color w:val="auto"/>
        </w:rPr>
      </w:pPr>
    </w:p>
    <w:p>
      <w:pPr>
        <w:ind w:left="1300" w:right="2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Data Leakage Prevention (DLP). </w:t>
      </w:r>
      <w:r>
        <w:rPr>
          <w:rFonts w:ascii="Arial" w:cs="Arial" w:eastAsia="Arial" w:hAnsi="Arial"/>
          <w:sz w:val="18"/>
          <w:szCs w:val="18"/>
          <w:color w:val="auto"/>
        </w:rPr>
        <w:t>Our DLP technology provides the ability to define rules based on corporate policies, and consequently</w:t>
      </w:r>
      <w:r>
        <w:rPr>
          <w:rFonts w:ascii="Arial" w:cs="Arial" w:eastAsia="Arial" w:hAnsi="Arial"/>
          <w:sz w:val="18"/>
          <w:szCs w:val="18"/>
          <w:i w:val="1"/>
          <w:iCs w:val="1"/>
          <w:color w:val="auto"/>
        </w:rPr>
        <w:t xml:space="preserve"> </w:t>
      </w:r>
      <w:r>
        <w:rPr>
          <w:rFonts w:ascii="Arial" w:cs="Arial" w:eastAsia="Arial" w:hAnsi="Arial"/>
          <w:sz w:val="18"/>
          <w:szCs w:val="18"/>
          <w:color w:val="auto"/>
        </w:rPr>
        <w:t>detect and help prevent confidential data from being distributed outside of the corporate network.</w:t>
      </w:r>
    </w:p>
    <w:p>
      <w:pPr>
        <w:spacing w:after="0" w:line="170"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Traffic optimization. </w:t>
      </w:r>
      <w:r>
        <w:rPr>
          <w:rFonts w:ascii="Arial" w:cs="Arial" w:eastAsia="Arial" w:hAnsi="Arial"/>
          <w:sz w:val="18"/>
          <w:szCs w:val="18"/>
          <w:color w:val="auto"/>
        </w:rPr>
        <w:t>Our traffic optimization technology combines quality of service techniques with traffic shaping to provide better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selected network traffic based on customer policies without causing interruptions to other traffic.</w:t>
      </w:r>
    </w:p>
    <w:p>
      <w:pPr>
        <w:spacing w:after="0" w:line="170" w:lineRule="exact"/>
        <w:rPr>
          <w:rFonts w:ascii="Arial" w:cs="Arial" w:eastAsia="Arial" w:hAnsi="Arial"/>
          <w:sz w:val="18"/>
          <w:szCs w:val="18"/>
          <w:color w:val="auto"/>
        </w:rPr>
      </w:pPr>
    </w:p>
    <w:p>
      <w:pPr>
        <w:ind w:left="1300" w:right="340" w:hanging="644"/>
        <w:spacing w:after="0" w:line="31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SSL inspection. </w:t>
      </w:r>
      <w:r>
        <w:rPr>
          <w:rFonts w:ascii="Arial" w:cs="Arial" w:eastAsia="Arial" w:hAnsi="Arial"/>
          <w:sz w:val="16"/>
          <w:szCs w:val="16"/>
          <w:color w:val="auto"/>
        </w:rPr>
        <w:t>Our SSL inspection technology provides the ability to decrypt SSL application content for processing by FortiOS. The</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inspect encrypted SSL content enables our customers to ensure protection from malware that would be otherwise hidden from traditional security products, and enforce the full complement of security and networking features available within FortiOS.</w:t>
      </w:r>
    </w:p>
    <w:p>
      <w:pPr>
        <w:spacing w:after="0" w:line="146" w:lineRule="exact"/>
        <w:rPr>
          <w:rFonts w:ascii="Arial" w:cs="Arial" w:eastAsia="Arial" w:hAnsi="Arial"/>
          <w:sz w:val="16"/>
          <w:szCs w:val="16"/>
          <w:color w:val="auto"/>
        </w:rPr>
      </w:pPr>
    </w:p>
    <w:p>
      <w:pPr>
        <w:jc w:val="both"/>
        <w:ind w:left="1300" w:hanging="644"/>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Vulnerability Management</w:t>
      </w:r>
      <w:r>
        <w:rPr>
          <w:rFonts w:ascii="Arial" w:cs="Arial" w:eastAsia="Arial" w:hAnsi="Arial"/>
          <w:sz w:val="17"/>
          <w:szCs w:val="17"/>
          <w:color w:val="auto"/>
        </w:rPr>
        <w:t>. Our vulnerability management technology enables the FortiGate platform to perform network scans to discover</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on a network, identity vulnerabilities and recommend steps for remediation. The FortiGate devices can store the results of the scans locally, or send the results from multiple FortiGate devices to a central FortiAnalyzer for aggregation and analysis.</w:t>
      </w:r>
    </w:p>
    <w:p>
      <w:pPr>
        <w:spacing w:after="0" w:line="165" w:lineRule="exact"/>
        <w:rPr>
          <w:rFonts w:ascii="Arial" w:cs="Arial" w:eastAsia="Arial" w:hAnsi="Arial"/>
          <w:sz w:val="17"/>
          <w:szCs w:val="17"/>
          <w:color w:val="auto"/>
        </w:rPr>
      </w:pPr>
    </w:p>
    <w:p>
      <w:pPr>
        <w:jc w:val="both"/>
        <w:ind w:left="1300" w:right="360" w:hanging="644"/>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Wireless Controller</w:t>
      </w:r>
      <w:r>
        <w:rPr>
          <w:rFonts w:ascii="Arial" w:cs="Arial" w:eastAsia="Arial" w:hAnsi="Arial"/>
          <w:sz w:val="18"/>
          <w:szCs w:val="18"/>
          <w:color w:val="auto"/>
        </w:rPr>
        <w:t>. Our wireless controller technology provides the ability to deploy FortiAP wireless access points to create a secure</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network. FortiAP access points tunnel all wireless traffic to FortiGate or FortiWiFi platforms, enabling end-customers to use a single security platform to manage all wired and wireless network traffic.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right="900" w:firstLine="648"/>
        <w:spacing w:after="0" w:line="342" w:lineRule="auto"/>
        <w:rPr>
          <w:sz w:val="20"/>
          <w:szCs w:val="20"/>
          <w:color w:val="auto"/>
        </w:rPr>
      </w:pPr>
      <w:r>
        <w:rPr>
          <w:rFonts w:ascii="Arial" w:cs="Arial" w:eastAsia="Arial" w:hAnsi="Arial"/>
          <w:sz w:val="16"/>
          <w:szCs w:val="16"/>
          <w:color w:val="auto"/>
        </w:rPr>
        <w:t>Our core product offerings consist of our FortiGate UTM/NGFW product family, along with our FortiManager central management and FortiAnalyzer central logging and reporting product families, both of which are typically purchased to complement a large FortiGate deployment.</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FortiGate</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flagship FortiGate physical and virtual appliances offer a broad set of security and networking functions, including firewall, VPN, application control, antivirus, intrusion prevention, Web filtering, anti-spam and WAN acceleration. All FortiGate models are based on our proprietary operating system, FortiOS, and substantially all FortiGate physical appliances include our proprietary FortiASICs to accelerate content and network security features implemented within FortiOS. FortiGate platforms can be centrally managed through both embedded Web-based and command line interfaces, as well as through FortiManager which provides a central management architecture for thousands of FortiGate physical and virtual appliances.</w:t>
      </w:r>
    </w:p>
    <w:p>
      <w:pPr>
        <w:spacing w:after="0" w:line="15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By combining multiple network security functions in our purpose-built security platform, the FortiGate provides high quality protection capabilities and deployment flexibility while reducing the operational burden and costs associated with managing multiple point products. Through FortiGuard security subscription services, our products enable end-customers to add security functionality as required by their evolving business needs and the changing threat landscape. By purchasing FortiGuard security subscription services, end-customers obtain coverage and access to regular updates for application control, antivirus, IPS, Web filtering and anti-spam functions for their FortiGate appliances. With over 30 models in the FortiGate product line, FortiGate is designed to address security requirements for small- to mid-sized businesses, remote offices, large enterprises, and service providers.</w:t>
      </w:r>
    </w:p>
    <w:p>
      <w:pPr>
        <w:spacing w:after="0" w:line="165"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Each FortiGate model runs our FortiOS operating system, and substantially all FortiGate physical appliances include our FortiASIC CP. The significant differences between each model are the performance and scalability targets each model is designed to meet, while the security features and associated services offered are common throughout all models.</w:t>
      </w:r>
    </w:p>
    <w:p>
      <w:pPr>
        <w:spacing w:after="0" w:line="181"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color w:val="auto"/>
        </w:rPr>
        <w:t>The FortiGate-20 through -100 series models are designed for perimeter protection for small- to mid-sized businesses, remote offices of large distributed organizations and as customer premises equipment for service providers. Optional wireless LAN (“WLAN”), integration is available for the FortiGate-20, -40, -60 and -80 models, marketed as FortiWiFi, delivering additional network access and security for wireless environments.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FortiGate-200 through -800 series models are designed for perimeter deployment in mid-sized to large enterprise networks. These products offer increased capacity and scalability designed to provide high network performance while delivering the same broad security suite as all FortiGate models. Additionally, the FortiGate-300 -600 and -800 models provide hardware modularity, allowing end-customers the flexibility to customize solutions to their requirements.</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FortiGate-1000 through -5000 series models deliver high performance and scalable network security functionality for perimeter, data center and core deployment in large enterprise and service provider networks. Additionally, most of these products provide hardware modularity, allowing end-customers the flexibility to customize solutions to their requirements. Some products within the FortiGate-3000 and -5000 series leverage Advanced Mezzanine Card, or AMC, industry standards for hardware modularization to support the advanced networking requirements of large enterprises and service providers, including high-speed networking, WAN connectivity, and network attached storage connectivity. The FortiGate-3950B platform also leverages our proprietary Fortinet Mezzanine Card (“FMC”), that provides hardware modularity to give end-customers the ability to add additional firewall and/or intrusion prevention performance, or increase the number of interfaces, as their network security needs evolve. The FortiGate-5000 series, including our newly released high performance security blade for firewall, FortiGate-5001C, announced on January 7, 2013, is also compatible with the Advanced Telecommunications Computing Architecture (“ATCA”), standard, resulting in a flexible hardware platform for system modularity. This modularization gives end-customers the ability to deploy an initial FortiGate configuration with room to grow as their network security needs evolve. The inclusion of network load balancing and advanced switching functionality provides additional flexibility in how end-customers utilize the FortiGate modules within the FortiGate chassis. In addition, our FortiGate-5000 series ATCA blades can be utilized in other third-party vendors’ industry standard ATCA chassis, allowing FortiGate platforms to be deployed into a much wider range of network solutions. Our FortiGate-5000 series appliances offer modular, chassis-based architecture based on the ATCA and AMC industry standards. We brand a subset of our FortiGate-3000 and -5000 series products as FortiCarrier to reflect products specifically targeting a subset of service providers. These products add incremental security, networking and management functionality often utilized in service provider deployments.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FortiGate System Virtualization (VDOM)</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providing network and content level security, our FortiOS operating system also offers system virtualization capabilities—the ability to “divide” a security appliance into multiple, separately provisioned and managed instances. This capability is currently deployed in substantially all of our FortiGate products as our virtual domain, or VDOM, feature, where administrators have the ability to segment a single FortiGate appliance platform into multiple FortiGate instances. Network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security system virtualization, using our VDOM feature, provides isolation between each virtual system, giving administrators flexibility in configuration and traffic management capabilities for each virtual instance.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Fortinet Management and Analysis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FortiManager and FortiAnalyzer physical and virtual products are typically sold in conjunction with a large FortiGate deployment.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FortiManager. </w:t>
      </w:r>
      <w:r>
        <w:rPr>
          <w:rFonts w:ascii="Arial" w:cs="Arial" w:eastAsia="Arial" w:hAnsi="Arial"/>
          <w:sz w:val="18"/>
          <w:szCs w:val="18"/>
          <w:color w:val="auto"/>
        </w:rPr>
        <w:t>Our FortiManager family of products provides a central management solution for our FortiGate products, including the wide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network and security features offered within FortiOS. One FortiManager product is capable of effectively managing thousands of FortiGate units, and also provides central management for FortiClient software. FortiManager facilitates the coordination of policy-based provisioning, device configuration and operating system revision management, as well as network security monitoring and device control.</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FortiAnalyzer. </w:t>
      </w:r>
      <w:r>
        <w:rPr>
          <w:rFonts w:ascii="Arial" w:cs="Arial" w:eastAsia="Arial" w:hAnsi="Arial"/>
          <w:sz w:val="18"/>
          <w:szCs w:val="18"/>
          <w:color w:val="auto"/>
        </w:rPr>
        <w:t>Our FortiAnalyzer family provides network logging, analyzing, and reporting products that securely aggregate content and log data</w:t>
      </w:r>
      <w:r>
        <w:rPr>
          <w:rFonts w:ascii="Arial" w:cs="Arial" w:eastAsia="Arial" w:hAnsi="Arial"/>
          <w:sz w:val="18"/>
          <w:szCs w:val="18"/>
          <w:i w:val="1"/>
          <w:iCs w:val="1"/>
          <w:color w:val="auto"/>
        </w:rPr>
        <w:t xml:space="preserve"> </w:t>
      </w:r>
      <w:r>
        <w:rPr>
          <w:rFonts w:ascii="Arial" w:cs="Arial" w:eastAsia="Arial" w:hAnsi="Arial"/>
          <w:sz w:val="18"/>
          <w:szCs w:val="18"/>
          <w:color w:val="auto"/>
        </w:rPr>
        <w:t>from our FortiGate devices and other Fortinet products as well as third-party devices to enable network logging, analysis and reporting. Additional functions such as vulnerability assessments and traffic analysis provide additional value for customers seeking to control and monitor their network infrastructure and security policies. A full range of content and log data, including traffic, event, virus, attack, Web content, and email data may be archived, filtered and mined for compliance or historical analysis purposes. Our FortiAnalyzer product family comes with a suite of standard reports as well as the ability to customize reports.</w:t>
      </w:r>
    </w:p>
    <w:p>
      <w:pPr>
        <w:spacing w:after="0" w:line="193"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also offer other physical and virtual appliances and software that protect our end-customers from security threats to other critical areas in the enterprise, such as messaging, Web-based applications and databases, and employees’ computers or mobile devices as discussed above in the business overview.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FortiGuard Security Subscription Services</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Security requirements are dynamic due to the constantly changing nature of threats. Our FortiGuard Labs global threat research team, comprised of over 150 professionals, uses automated processes to identify emerging threats, collects threat samples, and replicates, reviews and characterizes attacks. Based on this research, we develop updates for virus signatures, attack definitions, scanning engines, and other security solution components to distribute to end-customers through our FortiGuard global distribution network. Our FortiGuard security subscription services are designed to allow us to quickly deliver new threat detection capabilities to end-customers worldwide as new threats evolve. End-customers purchase FortiGuard security subscription services in advance, typically for a one-year term, to obtain coverage and access to regular updates for application control, antivirus, intrusion prevention, Web filtering, and anti-spam functions for our FortiGate products; antivirus, Web filtering and anti-spam functions for our FortiClient software; antivirus and anti-spam functions for our FortiMail products; vulnerability management for our FortiGate, FortiAnalyzer and FortiScan products, database functions for our FortiDB appliance, and web functions for our FortiWeb appliances. We provide FortiGuard services 24 hours a day, seven days a week.</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FortiCare Technical Support Services</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Our FortiCare services are our technical support services for the software, firmware and hardware in our products. In addition to our standard support service offering, we offer a premium service that offers faster response times and dedicated support oriented towards major accounts.</w:t>
      </w:r>
    </w:p>
    <w:p>
      <w:pPr>
        <w:spacing w:after="0" w:line="12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our standard technical support offering for our products, channel partners often provide first level support to the end-customer, especially for small and mid-sized end-customers, and we typically provide second and third level support to our end-customers. We also provide knowledge management tools and customer self-help portals to help augment our support capabilities in an efficient and scalable manner. We provide technical support to partners and end-customers 24 hours a day, seven days a week through regional technical support managers located worldwide.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Services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offer training services to our end-customers and channel partners through our training department and authorized training partners. We have also implemented a training certification program to ensure an understanding of our products and services.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offer professional services to end-customers primarily for large implementations where expert technical resources are required. Our professional services consultants help in the design of deployments of our products and work closely with end-customer engineers, managers and other project team members to implement our products according to design, utilizing network analysis tools, attack simulation software and scripts.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We sell our security solutions through channel partners to end-customers of various sizes—from small businesses to large enterprises and service providers—and across a variety of industries including telecommunications, government, financial services, retail, education, technology, healthcare and manufacturing. An end-customer deployment may involve one of our appliances or thousands, depending on our end-customers’ size and security requirements. Since our inception through December 31, 2012, we have shipped over 1,100,000 appliances via more than 10,000 channel partners to more than 150,000 end-customers worldwide, including a majority of the 2012 Fortune Global 100. For additional information regarding our sales by customer location, see Note 13 to our consolidated financial statements in Part II, Item 8 of this Annual Report on Form 10-K.</w:t>
      </w:r>
    </w:p>
    <w:p>
      <w:pPr>
        <w:spacing w:after="0" w:line="16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During fiscal 2010 and 2011, no single customer or distributor accounted for 10% or more of total revenue. During fiscal 2012, one distributor, Exclusive Networks Group, accounted for 11% of total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primarily sell our products and services directly to distributors that sell to resellers and service providers, that, in turn, sell to our end-customers. In certain cases, we sell directly to government-focused resellers, very large service providers and major systems integrator partners who have large purchasing power and unique customer deployment demands. As of December 31, 2012, our distribution channel program had more than 10,000 channel partners worldwide. We work with many of the world’s leading technology distributors, including Arrow Electronics, Inc., Ingram Micro Inc. and Tech Data Corporation.</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support our channel partners that include distributors and resellers with a team of experienced channel account managers, sales professionals and sales engineers who provide business planning, joint marketing strategy, and pre-sales and operational sales support. Additionally, our sales team often helps drive and support large enterprise and service provider sales through a direct touch model. Our sales professionals and engineers typically work alongside our channel partners and directly engage with end-customers to address their unique security and deployment requirements. Our sales cycle for an initial end-customer purchase typically ranges from three to six months but can be longer especially for large enterprises, service providers and government customers. To support our broadly dispersed global channel and end-customer base, we have sales offices in over 30 countries around the world.</w:t>
      </w:r>
    </w:p>
    <w:p>
      <w:pPr>
        <w:spacing w:after="0" w:line="16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marketing strategy is focused on building our brand and driving end-customer demand for our security solutions. We execute this strategy by leveraging a combination of internal marketing professionals and a network of regional and global channel partners. Our internal marketing organization is responsible for branding, product marketing, channel marketing and sales support programs. We focus our resources on programs, tools and activities that can be leveraged by partners worldwide to extend our marketing reach, such as sales tools and collateral, product awards and technical certifications, training, regional seminars and conferences, webinars and various other demand-generation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outsource the manufacturing of our security appliance products to a variety of contract manufacturers and original design manufacturers. Our current manufacturing partners include Flextronics International Ltd., Micro-Star International Co., Ltd., Adlink Technology, Inc., Senao Networks, Inc., and a number of Taiwan-based manufacturers. We submit purchase orders to our contract manufacturers that describe the type and quantities of our products to be manufactured, the delivery date and other delivery terms. Once our products are manufactured, they are sent to either our headquarters in Sunnyvale, California, or to our logistics partner in Taoyuan City, Taiwan, where accessory packaging and quality-control testing are performed. We believe that outsourcing our manufacturing and a substantial portion of our logistics enables us to conserve capital, better adjust manufacturing volumes to meet changes in demand and more quickly deliver products, while allowing us to focus resources on our core competencies. Our proprietary FortiASICs, which are the key to the performance of our appliances, are fabricated by contract manufacturers in foundries operated by United Microelectronics Corporation (“UMC”) and Taiwan Semiconductor Manufacturing Company Limited (“TSMC”). Faraday Technology Corporation (using UMC’s foundry), Kawasaki Microelectronics America, Inc. (“K-Micro”) (using TSMC’s foundry) and Renesas Electronics Corporation (“Renesas”) (using UMC’s foundry) manufacture our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ASICs on a purchase order basis. Accordingly, they are not obligated to continue to fulfill our supply requirements, and the prices we are charged for the fabrication of our ASICs could be increased on short notice.</w:t>
      </w:r>
    </w:p>
    <w:p>
      <w:pPr>
        <w:spacing w:after="0" w:line="1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components included in our products are sourced from various suppliers by us or more frequently by our contract manufacturers. Some of the components important to our business, including specific types of central processing units from Intel Corporation (“Intel”), network chips from Broadcom Corporation (“Broadcom”), Marvell Technology Group Ltd. (“Marvell”) and Intel, and solid-state drives (silicon-based storage device) from OCZ Technology Group, Inc. and Samsung Electronics Co., Ltd., are available from a limited or sole source of supply.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 long-term contracts related to the manufacturing of our ASICs or other components that guarantee any capacity or pricing terms.</w:t>
      </w:r>
    </w:p>
    <w:p>
      <w:pPr>
        <w:spacing w:after="0" w:line="2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information regarding the geographical disbursement of our long-lived assets, see Note 13 to our consolidated financial statements in Part II, Item 8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focus our research and development efforts on developing new products and systems, and adding new features to existing products and systems. Our development strategy is to identify features, products and systems for both software and hardware that are, or are expected to be, needed by our end-customers. Our success in designing, developing, manufacturing and selling new or enhanced products will depend on a variety of factors, including the identification of market demand for new products, product selection, timely implementation of product design and development, product performance, effective manufacturing and assembly processes and sales and marketing.</w:t>
      </w:r>
    </w:p>
    <w:p>
      <w:pPr>
        <w:spacing w:after="0" w:line="18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As of December 31, 2012, our research and development organization had headcount of 599 people predominantly in Canada, the United States and China. Our research and development expense was $81.1 million in fiscal 2012, $63.6 million in fiscal 2011 and $49.8 million in fiscal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As of December 31, 2012, we had 102 issued U.S. patents, 18 issued Chinese patents, 1 issued Japanese patent, 86 patent applications pending for examination in the United States, and 9 patent applications pending for examination in China. We also license software from third parties for inclusion in our products, including open source software and other software available on commercially reasonable terms.</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Despite our efforts to protect our proprietary rights, unauthorized parties may attempt to copy aspects of our products or obtain and use information that we regard as proprietary. We generally enter into confidentiality agreements with our employees, consultants, vendors and customers, and generally limit access to and distribution of our proprietary information. However, we cannot assure you that the steps taken by us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15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industry is characterized by the existence of a large number of patents and frequent claims and related litigation regarding patent and other intellectual property rights. From time to time third parties may assert patent, copyright, trademark and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may offer a license to their technology, the terms of any offered license may not be acceptable and the failure to obtain a license or the costs associated with any license could cause our business, operating results or financial condition to be materially and adversely affected. We typically indemnify our end-customers, distributors and certain resellers against claims that our products infringe the intellectual property of third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420" w:firstLine="1040"/>
        <w:spacing w:after="0" w:line="277" w:lineRule="auto"/>
        <w:rPr>
          <w:sz w:val="20"/>
          <w:szCs w:val="20"/>
          <w:color w:val="auto"/>
        </w:rPr>
      </w:pPr>
      <w:r>
        <w:rPr>
          <w:rFonts w:ascii="Arial" w:cs="Arial" w:eastAsia="Arial" w:hAnsi="Arial"/>
          <w:sz w:val="18"/>
          <w:szCs w:val="18"/>
          <w:color w:val="auto"/>
        </w:rPr>
        <w:t>For information regarding seasonality, see the section entitled “—Quarterly Results of Operations—Seasonality, Cyclicality and Quarterly Revenue Trends” in Part II, Item 7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markets for our products are extremely competitive and are characterized by rapid technological change. The principal competitive factors in our markets include the following:</w:t>
      </w:r>
    </w:p>
    <w:p>
      <w:pPr>
        <w:spacing w:after="0" w:line="197" w:lineRule="exact"/>
        <w:rPr>
          <w:sz w:val="20"/>
          <w:szCs w:val="20"/>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performance, features, effectiveness, interoperability and reliability;</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of products and services and total cost of ownership;</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distribution capabilities;</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size and financial stability of operations; and</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23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competitors include networking companies such as Cisco Systems, Inc. (“Cisco”) and Juniper Networks, Inc. (“Juniper”), security vendors such as Check Point Software Technologies Ltd. (“Check Point”), McAfee, Inc. (“McAfee”) (acquired by Intel), SonicWALL, Inc. (“SonicWALL”) (acquired by Dell Inc. (“Dell”)), and Palo Alto Networks, Inc. (“Palo Alto Networks”), and other point solution security vendors.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we compete favorably based on our products’ performance, reliability and breadth,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functionality.</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The development and market acceptance of alternative technologies could decrease the demand for our products or render them obsolete. Our competitors may introduce products that are less costly, provide superior performance or achieve greater market acceptance than our products. In addition, our larger competitors often have broader product lines and market focus, are in a better position to withstand any significant reduction in capital spending by end-customers in these markets,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As of December 31, 2012, our total headcount was 1,954 people including contractors. We had 599 in research and development, 701 in sales and marketing, 483 in services and support, 39 in manufacturing operations, and 132 in a general and administrative capacity. As of December 31, 2012, our headcount was 469 people in the United States, 648 in Canada, 212 in China, 104 in France, and 521 in other countries.</w:t>
      </w:r>
    </w:p>
    <w:p>
      <w:pPr>
        <w:spacing w:after="0" w:line="166"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None of our U.S. employees are represented by a labor union with respect to his or her employment with us; however, our employees in France, Spain and Italy are represented by collective bargaining agreements. We have not experienced any work stoppages, and we consider our relations with our employees to be good.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web site is located at www.fortinet.com, and our investor relations web site is located at http://investor.fortinet.com.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are available free of charge on our investor relations web site as soon as reasonably practicable after we electronically file such material with, or furnish it to, the SEC. You may also access all of our public filings through the SEC’s website at www.sec.gov.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8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press and earnings releases, as part of our investor relations web site. The contents of these web sites are not intended to be incorporated by reference into this report or in any other report or document we file.</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w:t>
      </w:r>
    </w:p>
    <w:p>
      <w:pPr>
        <w:spacing w:after="0" w:line="225" w:lineRule="exact"/>
        <w:rPr>
          <w:rFonts w:ascii="Arial" w:cs="Arial" w:eastAsia="Arial" w:hAnsi="Arial"/>
          <w:sz w:val="18"/>
          <w:szCs w:val="18"/>
          <w:color w:val="auto"/>
        </w:rPr>
      </w:pPr>
    </w:p>
    <w:p>
      <w:pPr>
        <w:ind w:left="1300" w:right="380" w:hanging="644"/>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accuracy and timing of point of sale reporting by our sell-through distributors, which impacts our ability to recognize revenue;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1" w:right="29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general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expenses and any impact on results of operations from any acquisition consummated;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affecting their ability to purchase or pay for our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Billings and revenue growth may slow or decline for a number of reasons, including a slowdown in demand for our products or services, an increase in competition, a decrease in the growth of our overall market, softness in demand in certain geographies, or if we fail for any reason to continue to capitalize on growth opportunities.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revenue to fall below expected levels.</w:t>
      </w:r>
    </w:p>
    <w:p>
      <w:pPr>
        <w:spacing w:after="0" w:line="225" w:lineRule="exact"/>
        <w:rPr>
          <w:sz w:val="20"/>
          <w:szCs w:val="20"/>
          <w:color w:val="auto"/>
        </w:rPr>
      </w:pPr>
    </w:p>
    <w:p>
      <w:pPr>
        <w:ind w:right="340" w:firstLine="648"/>
        <w:spacing w:after="0" w:line="297"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revenue during the last two weeks of the quarter. For example, on average over the past eight quarters, our shipments during the last two weeks of each quarter accounted for approximately 35% of aggregate billings for each quarter. If expected revenue at the end of any quarter is delayed for any reason, including the failure of anticipated purchase orders to materialize, our logistics partners’ inability to ship products prior to quarter-end to fulfill purchase orders received</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2" w:right="29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near the end of the quarter, our failure to manage inventory to meet demand, our inability to release new products on schedule, any failure of our systems related to order review and processing, or any delays in shipments based on trade compliance requirements, our revenue for that quarter could fall below our expectations or those of securities analysts and investors, resulting in a decline in our stock price.</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rely significantly on revenue from subscription and support services which may decline, and because we recognize revenue from subscription and support services over the term of the relevant service period, downturns or upturns in sales of subscription and support services are not immediately reflected in full in our operating results.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subscription and support services revenue has historically accounted for a significant percentage of our total revenue. Sales of new or renewal subscription and support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support services contracts decline, our revenue and revenue growth may decline and our business will suffer. In addition, in the event significant customers require payment terms for subscription or support services in arrears or for shorter periods of time than annually, such as monthly or quarterly, this may negatively impact subscription and support billing. Furthermore, we recognize subscription and support services revenue monthly over the term of the relevant service period, which is typically one year but has been as long as five years. As a result, much of the subscription and support services revenue we report each quarter is the recognition of deferred revenue from subscription and support services contracts entered into during previous quarters. Consequently, a decline in new or renewed subscription or support services contracts in any one quarter will not be fully reflected in revenue in that quarter but will negatively affect our revenue in future quarters. Accordingly, the effect of significant downturns in new or renewed sales of our subscriptions or support services is not reflected in full in our statements of operations until future periods. Our subscription and support services revenue also makes it difficult for us to rapidly increase our revenue through additional service sales in any period, as revenue from new and renewal services contracts must be recognized over the applicable service period.</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experienced inventory shortages in the past, for instance, based on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optimize our channel partner model or fail to manage existing sales channels, our business will be seriously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governmental entities. Sales to enterprises, service providers and governmental entities involve risks that may not be present (or that are present to a lesser extent) with sales to small-to-mid-sized entities. These risks include:</w:t>
      </w:r>
    </w:p>
    <w:p>
      <w:pPr>
        <w:spacing w:after="0" w:line="181" w:lineRule="exact"/>
        <w:rPr>
          <w:sz w:val="20"/>
          <w:szCs w:val="20"/>
          <w:color w:val="auto"/>
        </w:rPr>
      </w:pPr>
    </w:p>
    <w:p>
      <w:pPr>
        <w:ind w:left="1300" w:right="26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from competitors, such as Cisco, Check Point, McAfee (acquired by Intel), Palo Alto Networks, and Juniper, that traditionally target enterprises, service providers and governmental entities and that may already have purchase commitments from those end-customers;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stringent requirements in our support service contracts, including stricter support response times, and increased penalties for any failure to meet support requirements;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Finally, enterprises,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78" w:lineRule="exact"/>
        <w:rPr>
          <w:sz w:val="20"/>
          <w:szCs w:val="20"/>
          <w:color w:val="auto"/>
        </w:rPr>
      </w:pPr>
    </w:p>
    <w:p>
      <w:pPr>
        <w:ind w:left="1300" w:right="3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significant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have a high volume business that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For example, we are in the early stages of considering upgrading our enterprise resource planning system and any such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change may cause disruption and additional cost.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9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expense, valuation of inventory, warranty liabilities, and accounting for income taxes.</w:t>
      </w:r>
    </w:p>
    <w:p>
      <w:pPr>
        <w:spacing w:after="0" w:line="16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have experienced turnover in our management-level personnel, including the recent resignation of our Vice President of Sales for Americas.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in the locations where we have a substantial presence and need for highly-skilled personnel: the San Francisco Bay Area, Vancouver, Canada and Beijing, China.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Ken Goldman, our former Vice President and Chief Financial Officer, resigned from his position in October 2012. The loss of services of other members of senior management, particularly Ken Xie, our Co-founder, President and Chief Executive Officer and Michael Xie, our Co-founder, Vice President of Engineering and Chief Technology Officer, and any of our senior sales leaders,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 Furthermore manufacturing cost increases for any reason could result in lower gross margins.</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TSMC. Faraday Technology Corporation (using UMC’s foundry), K-Micro (using TSMC’s foundry) and Renesas (using UMC’s foundry) manufacture our ASICs on a purchase order basis, and these foundries do not guarantee any capacity and could reject orders from Faraday, K-Micro or Renesas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that originated in the Democratic Republic of Congo or an adjoining country, known as “conflict minerals,” are contained within our products. Under the Dodd-Frank Wall Street Reform and Consumer Protection Act of 2010, the SEC adopted new disclosure requirements for public companies using conflict minerals in their products. Under these rules, we are required to perform due diligence, disclose and report our efforts to prevent the sourcing of such conflict minerals. As a result of these new rules, we expect to incur additional costs to comply with the disclosure requirements, including costs related to determining the source of any of the conflict minerals that may be used in our products. Moreover, the implementation of these new requirements could adversely affect the sourcing, availability, and pricing of materials used in the manufacture of our products.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Advanced Micro Devices, Inc., RMI/Netlogic Corporation and VIA Technologies, Inc., network chips from Broadcom, Marvell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7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 majority of our operating expenses is incurred outside the United States. These expenses are denominated in foreign currencies and are subject to fluctuations due to changes in foreign currency exchange rates, particularly changes in the Euro and Canadian dollar (“CAD”) . For example, during the second and third quarters of 2011, we were affected by the weakening of the U.S. dollar against the CAD and the Euro (“EUR”), which caused our operating expenses to increase.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also adversely affect our financial condition and results of operations.</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2" w:right="29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right="6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rules and regulations applicable to government sales may also negatively impact sales to non-governmental entities.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 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governmental entity end-customers require higher levels of support than smaller end-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customers. If we fail to meet the requirements of the larger end-customers, it may be more difficult to execute on our strategy to increase our penetration with larger end-customers.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1300" w:right="3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the stock option exercises by our employees in some of our foreign subsidiaries that can cause an adverse transfer pricing adjustment;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Financial Accounting Standards Board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(“IRS”)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significant expenses. The occurrence of any such problems could harm our business, financial condition and results of operations.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defects, vulnerabilities, errors or failures or any perceived possible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Increased market awareness of our capabilities and products is essential to our continued growth and our success in all of our markets, particularly for the large enterprise, service provider and governmental entities markets. We have historically had relatively low spending on certain marketing activities, and,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UTM products may be limited by market perception that UTM products are inferior to network security solutions from multiple vendors.</w:t>
      </w:r>
    </w:p>
    <w:p>
      <w:pPr>
        <w:spacing w:after="0" w:line="24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networking companies such as Cisco and Juniper, security vendors such as Check Point, McAfee (acquired by Intel), SonicWALL (acquired by Dell) and Palo Alto Networks, and other point solution security vendors.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Check Point’s acquisition of Nokia Corporations’ security appliance business and Dell’s acquisition of SonicWALL.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and others.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From time to time we are subject to lawsuits claiming patent infringement, and there are lawsuits claiming patent infringement currently pending, as discussed in the section entitled “Legal Proceedings” in Part I, Item 3 of this Annual Report on Form 10-K. We are also subject to other litigation in addition to patent infringement claims, such as employment-related litigation and disputes, general commercial litigation, and other forms of litigation and disputes, including stockholder litigation. If we are unsuccessful in defending any such claims, our operating results and financial condition and results may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materially and adversely affected. For example, we may be required to pay substantial damages and could be prevented from selling certain of our products. Litigation, with or without merit, could negatively impact our business, reputation, and sales in a material fashion.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We completed our evaluation of our internal controls over financial reporting for fiscal 2012 as required by Section 404 of the Sarbanes-Oxley Act of 2002. Although our assessment, testing and evaluation resulted in our conclusion that as of December 31, 2012, our internal controls over financial reporting were effective, we cannot predict the outcome of our testing in 2013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 change in accounting standards or practices and varying interpretations of existing accounting pronouncements, such as changes to standards related to the increased use of fair value measure, financial instruments, and the potential requirement that U.S. registrants prepare financial statements in accordance with International Financial Reporting Standards (“IFRS”),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For example, in the year ended December 31, 2012, the price of our common stock ranged from $17.81 to $28.44.</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at least the next 12 months. If we need to raise additional funds in the future,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We may also be required to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178"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or enhance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expand our sales and marketing and research and development organizations;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do any of these things could seriously harm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Our corporate headquarters are located at 1090 Kifer Road, Sunnyvale, California in an office consisting of approximately 107,000 square feet. The lease for this office expires in September 2013. In August 2012, we purchased real property including land and buildings comprising 441,265 and 164,099 square feet, respectively, in Sunnyvale, California, for approximately $14.5 million. We are in the process of evaluating uses for this property.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our headquarters, we lease approximately 14,000 square feet of data center space and a total of approximately 71,000 square feet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office space in two buildings in Burnaby, Canada under various leases that expire July 2015, approximately 24,000 square feet of office space in Ottawa,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Canada under a lease that expires in February 2015, approximately 19,000 square feet of office space in Sophia, France under a lease that expires</w:t>
      </w:r>
    </w:p>
    <w:p>
      <w:pPr>
        <w:spacing w:after="0" w:line="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December 2013, and approximately 26,000 square feet of office space in Beijing, China under a lease that expires in August 2013. We also lease sales and support offices in Australia, Austria, Belgium, Egypt, Germany, Hong Kong, India, Indonesia, Israel, Italy, Japan, Korea, Malaysia, Mexico, the Netherlands, New Zealand, Philippines, Poland, Russia, Saudi Arabia, Singapore, Spain, Sweden, Switzerland, Taiwan, Thailand, Turkey, United Arab Emirates, and the United Kingdom. We believe that our existing properties are sufficient and suitable for the conduct of our business.</w:t>
      </w:r>
    </w:p>
    <w:p>
      <w:pPr>
        <w:spacing w:after="0" w:line="17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in the U.S. Patent and Trademark Office (“PTO”) on both asserted patents. The PTO rejected all of the claims of the patents in the suit and ESR appealed this result to the Board of Patent Appeals and Interferences (“BPAI”). In August 2012, the BPAI completed its review of both reexamination proceedings, and, after the BPAI’s review, all claims of the asserted ESR patents remain rejected. In October 2012, ESR filed an additional appeal of the BPAI decision with the United States Court of Appeal for the Federal Circuit. That appeal is still pending.</w:t>
      </w:r>
    </w:p>
    <w:p>
      <w:pPr>
        <w:spacing w:after="0" w:line="16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April 2010, an individual, a former stockholder of Fortinet, filed a class action lawsuit against us claiming unspecified damages in the California Superior Court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motion to transfer the case to the California Superior Court for Santa Clara County and the plaintiff has filed several amended complaints in the Superior Court to add individual defendants, among other amendments. The Superior Court set a trial date for December 2012, but we settled this matter and paid $1.0 million in November 2012, and the settlement was approved by the court.</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Fortinet as the sole defendant. This case is currently scheduled for a jury trial starting in September 2013.</w:t>
      </w:r>
    </w:p>
    <w:p>
      <w:pPr>
        <w:spacing w:after="0" w:line="19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June 2012, we received a letter from SRI International (“SRI”) claiming that we infringed certain SRI patents. Subsequently, we filed a complaint in the United States District Court for the Northern District of California seeking declaratory relief and a judgment that the SRI patents were invalid, unenforceable and not infringed by any of our products or services. The case is proceeding in District Court.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currently believe that any of the foregoing litigation matters will have a material adverse effect on our business.</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“FTNT.” The following table sets forth, for the time periods indicated, the high and low closing sales price of our common stock, adjusted to reflect the two-for-one split effective June 1, 2011, as reported on The NASDAQ Global Select Market.</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2012</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w w:val="84"/>
              </w:rPr>
              <w:t>2011</w:t>
            </w:r>
          </w:p>
        </w:tc>
      </w:tr>
      <w:tr>
        <w:trPr>
          <w:trHeight w:val="33"/>
        </w:trPr>
        <w:tc>
          <w:tcPr>
            <w:tcW w:w="558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High ($)</w:t>
            </w: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Low ($)</w:t>
            </w:r>
          </w:p>
        </w:tc>
        <w:tc>
          <w:tcPr>
            <w:tcW w:w="1040" w:type="dxa"/>
            <w:vAlign w:val="bottom"/>
          </w:tcPr>
          <w:p>
            <w:pPr>
              <w:jc w:val="right"/>
              <w:ind w:right="112"/>
              <w:spacing w:after="0"/>
              <w:rPr>
                <w:sz w:val="20"/>
                <w:szCs w:val="20"/>
                <w:color w:val="auto"/>
              </w:rPr>
            </w:pPr>
            <w:r>
              <w:rPr>
                <w:rFonts w:ascii="Arial" w:cs="Arial" w:eastAsia="Arial" w:hAnsi="Arial"/>
                <w:sz w:val="16"/>
                <w:szCs w:val="16"/>
                <w:b w:val="1"/>
                <w:bCs w:val="1"/>
                <w:color w:val="auto"/>
              </w:rPr>
              <w:t>High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Low ($)</w:t>
            </w:r>
          </w:p>
        </w:tc>
      </w:tr>
      <w:tr>
        <w:trPr>
          <w:trHeight w:val="33"/>
        </w:trPr>
        <w:tc>
          <w:tcPr>
            <w:tcW w:w="5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3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16.53</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28.17</w:t>
            </w:r>
          </w:p>
        </w:tc>
        <w:tc>
          <w:tcPr>
            <w:tcW w:w="1340" w:type="dxa"/>
            <w:vAlign w:val="bottom"/>
            <w:gridSpan w:val="3"/>
          </w:tcPr>
          <w:p>
            <w:pPr>
              <w:jc w:val="right"/>
              <w:ind w:right="19"/>
              <w:spacing w:after="0"/>
              <w:rPr>
                <w:sz w:val="20"/>
                <w:szCs w:val="20"/>
                <w:color w:val="auto"/>
              </w:rPr>
            </w:pPr>
            <w:r>
              <w:rPr>
                <w:rFonts w:ascii="Arial" w:cs="Arial" w:eastAsia="Arial" w:hAnsi="Arial"/>
                <w:sz w:val="18"/>
                <w:szCs w:val="18"/>
                <w:color w:val="auto"/>
              </w:rPr>
              <w:t>16.25</w:t>
            </w:r>
          </w:p>
        </w:tc>
      </w:tr>
      <w:tr>
        <w:trPr>
          <w:trHeight w:val="27"/>
        </w:trPr>
        <w:tc>
          <w:tcPr>
            <w:tcW w:w="5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3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18.94</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22.08</w:t>
            </w:r>
          </w:p>
        </w:tc>
        <w:tc>
          <w:tcPr>
            <w:tcW w:w="1340" w:type="dxa"/>
            <w:vAlign w:val="bottom"/>
            <w:gridSpan w:val="3"/>
          </w:tcPr>
          <w:p>
            <w:pPr>
              <w:jc w:val="right"/>
              <w:ind w:right="19"/>
              <w:spacing w:after="0"/>
              <w:rPr>
                <w:sz w:val="20"/>
                <w:szCs w:val="20"/>
                <w:color w:val="auto"/>
              </w:rPr>
            </w:pPr>
            <w:r>
              <w:rPr>
                <w:rFonts w:ascii="Arial" w:cs="Arial" w:eastAsia="Arial" w:hAnsi="Arial"/>
                <w:sz w:val="18"/>
                <w:szCs w:val="18"/>
                <w:color w:val="auto"/>
              </w:rPr>
              <w:t>16.55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February 20, 2013, there were 81 holders of record of our common stock. A substantially greater number of holders of our common stock are “street name” or beneficial holders, whose shares are held by banks, brokers and other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1" w:right="29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Exchange Act, or incorporated by reference into any filing of Fortinet under the Securities Act of 1933, as amended (the “Securities Act</w:t>
      </w:r>
      <w:r>
        <w:rPr>
          <w:rFonts w:ascii="Arial" w:cs="Arial" w:eastAsia="Arial" w:hAnsi="Arial"/>
          <w:sz w:val="18"/>
          <w:szCs w:val="18"/>
          <w:color w:val="auto"/>
        </w:rPr>
        <w:t>”</w:t>
      </w:r>
      <w:r>
        <w:rPr>
          <w:rFonts w:ascii="Arial" w:cs="Arial" w:eastAsia="Arial" w:hAnsi="Arial"/>
          <w:sz w:val="18"/>
          <w:szCs w:val="18"/>
          <w:i w:val="1"/>
          <w:iCs w:val="1"/>
          <w:color w:val="auto"/>
        </w:rPr>
        <w:t>), or the Exchange Act, except as shall be expressly set forth by specific reference in such filing.</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following graph shows a comparison from November 18, 2009 through December 31, 2012, of the cumulative total return for our common stock, the NASDAQ Composite Index, and the NASDAQ Computer Index. Such returns are based on historical results and are not intended to suggest future performance. Data for The NASDAQ Composite Index and The NASDAQ Computer Index assume reinvestment of dividends. We have never declared or paid cash dividends on our capital stock nor do we anticipate paying any such cash dividends in the foreseeable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Fortinet, Inc., The NASDAQ Composite Index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2992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32"/>
              <w:spacing w:after="0"/>
              <w:rPr>
                <w:sz w:val="20"/>
                <w:szCs w:val="20"/>
                <w:color w:val="auto"/>
              </w:rPr>
            </w:pPr>
            <w:r>
              <w:rPr>
                <w:rFonts w:ascii="Arial" w:cs="Arial" w:eastAsia="Arial" w:hAnsi="Arial"/>
                <w:sz w:val="16"/>
                <w:szCs w:val="16"/>
                <w:color w:val="auto"/>
                <w:w w:val="84"/>
              </w:rPr>
              <w:t>11/09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Arial" w:cs="Arial" w:eastAsia="Arial" w:hAnsi="Arial"/>
                <w:sz w:val="16"/>
                <w:szCs w:val="16"/>
                <w:color w:val="auto"/>
                <w:w w:val="89"/>
              </w:rPr>
              <w:t>12/09</w:t>
            </w:r>
          </w:p>
        </w:tc>
        <w:tc>
          <w:tcPr>
            <w:tcW w:w="140" w:type="dxa"/>
            <w:vAlign w:val="bottom"/>
          </w:tcPr>
          <w:p>
            <w:pPr>
              <w:spacing w:after="0"/>
              <w:rPr>
                <w:sz w:val="17"/>
                <w:szCs w:val="17"/>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6"/>
                <w:szCs w:val="16"/>
                <w:color w:val="auto"/>
              </w:rPr>
              <w:t>03/10</w:t>
            </w:r>
          </w:p>
        </w:tc>
        <w:tc>
          <w:tcPr>
            <w:tcW w:w="100" w:type="dxa"/>
            <w:vAlign w:val="bottom"/>
          </w:tcPr>
          <w:p>
            <w:pPr>
              <w:spacing w:after="0"/>
              <w:rPr>
                <w:sz w:val="17"/>
                <w:szCs w:val="17"/>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6"/>
                <w:szCs w:val="16"/>
                <w:color w:val="auto"/>
              </w:rPr>
              <w:t>06/10</w:t>
            </w:r>
          </w:p>
        </w:tc>
        <w:tc>
          <w:tcPr>
            <w:tcW w:w="12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6"/>
                <w:szCs w:val="16"/>
                <w:color w:val="auto"/>
              </w:rPr>
              <w:t>09/10</w:t>
            </w:r>
          </w:p>
        </w:tc>
        <w:tc>
          <w:tcPr>
            <w:tcW w:w="12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6"/>
                <w:szCs w:val="16"/>
                <w:color w:val="auto"/>
              </w:rPr>
              <w:t>03/11</w:t>
            </w:r>
          </w:p>
        </w:tc>
        <w:tc>
          <w:tcPr>
            <w:tcW w:w="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6"/>
                <w:szCs w:val="16"/>
                <w:color w:val="auto"/>
              </w:rPr>
              <w:t>06/11</w:t>
            </w:r>
          </w:p>
        </w:tc>
        <w:tc>
          <w:tcPr>
            <w:tcW w:w="12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6"/>
                <w:szCs w:val="16"/>
                <w:color w:val="auto"/>
              </w:rPr>
              <w:t>09/11</w:t>
            </w:r>
          </w:p>
        </w:tc>
        <w:tc>
          <w:tcPr>
            <w:tcW w:w="12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6"/>
                <w:szCs w:val="16"/>
                <w:color w:val="auto"/>
              </w:rPr>
              <w:t>12/11</w:t>
            </w:r>
          </w:p>
        </w:tc>
        <w:tc>
          <w:tcPr>
            <w:tcW w:w="680" w:type="dxa"/>
            <w:vAlign w:val="bottom"/>
          </w:tcPr>
          <w:p>
            <w:pPr>
              <w:jc w:val="right"/>
              <w:ind w:right="32"/>
              <w:spacing w:after="0"/>
              <w:rPr>
                <w:sz w:val="20"/>
                <w:szCs w:val="20"/>
                <w:color w:val="auto"/>
              </w:rPr>
            </w:pPr>
            <w:r>
              <w:rPr>
                <w:rFonts w:ascii="Arial" w:cs="Arial" w:eastAsia="Arial" w:hAnsi="Arial"/>
                <w:sz w:val="16"/>
                <w:szCs w:val="16"/>
                <w:color w:val="auto"/>
              </w:rPr>
              <w:t>03/12</w:t>
            </w:r>
          </w:p>
        </w:tc>
        <w:tc>
          <w:tcPr>
            <w:tcW w:w="660" w:type="dxa"/>
            <w:vAlign w:val="bottom"/>
          </w:tcPr>
          <w:p>
            <w:pPr>
              <w:jc w:val="right"/>
              <w:ind w:right="12"/>
              <w:spacing w:after="0"/>
              <w:rPr>
                <w:sz w:val="20"/>
                <w:szCs w:val="20"/>
                <w:color w:val="auto"/>
              </w:rPr>
            </w:pPr>
            <w:r>
              <w:rPr>
                <w:rFonts w:ascii="Arial" w:cs="Arial" w:eastAsia="Arial" w:hAnsi="Arial"/>
                <w:sz w:val="16"/>
                <w:szCs w:val="16"/>
                <w:color w:val="auto"/>
              </w:rPr>
              <w:t>06/12</w:t>
            </w:r>
          </w:p>
        </w:tc>
        <w:tc>
          <w:tcPr>
            <w:tcW w:w="680" w:type="dxa"/>
            <w:vAlign w:val="bottom"/>
          </w:tcPr>
          <w:p>
            <w:pPr>
              <w:jc w:val="right"/>
              <w:ind w:right="32"/>
              <w:spacing w:after="0"/>
              <w:rPr>
                <w:sz w:val="20"/>
                <w:szCs w:val="20"/>
                <w:color w:val="auto"/>
              </w:rPr>
            </w:pPr>
            <w:r>
              <w:rPr>
                <w:rFonts w:ascii="Arial" w:cs="Arial" w:eastAsia="Arial" w:hAnsi="Arial"/>
                <w:sz w:val="16"/>
                <w:szCs w:val="16"/>
                <w:color w:val="auto"/>
              </w:rPr>
              <w:t>09/12</w:t>
            </w:r>
          </w:p>
        </w:tc>
        <w:tc>
          <w:tcPr>
            <w:tcW w:w="660" w:type="dxa"/>
            <w:vAlign w:val="bottom"/>
          </w:tcPr>
          <w:p>
            <w:pPr>
              <w:jc w:val="right"/>
              <w:ind w:right="12"/>
              <w:spacing w:after="0"/>
              <w:rPr>
                <w:sz w:val="20"/>
                <w:szCs w:val="20"/>
                <w:color w:val="auto"/>
              </w:rPr>
            </w:pPr>
            <w:r>
              <w:rPr>
                <w:rFonts w:ascii="Arial" w:cs="Arial" w:eastAsia="Arial" w:hAnsi="Arial"/>
                <w:sz w:val="16"/>
                <w:szCs w:val="16"/>
                <w:color w:val="auto"/>
              </w:rPr>
              <w:t>12/12</w:t>
            </w:r>
          </w:p>
        </w:tc>
      </w:tr>
      <w:tr>
        <w:trPr>
          <w:trHeight w:val="33"/>
        </w:trPr>
        <w:tc>
          <w:tcPr>
            <w:tcW w:w="1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2"/>
        </w:trPr>
        <w:tc>
          <w:tcPr>
            <w:tcW w:w="1920" w:type="dxa"/>
            <w:vAlign w:val="bottom"/>
          </w:tcPr>
          <w:p>
            <w:pPr>
              <w:spacing w:after="0"/>
              <w:rPr>
                <w:sz w:val="20"/>
                <w:szCs w:val="20"/>
                <w:color w:val="auto"/>
              </w:rPr>
            </w:pPr>
            <w:r>
              <w:rPr>
                <w:rFonts w:ascii="Arial" w:cs="Arial" w:eastAsia="Arial" w:hAnsi="Arial"/>
                <w:sz w:val="14"/>
                <w:szCs w:val="14"/>
                <w:color w:val="auto"/>
              </w:rPr>
              <w:t>Fortinet,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$ 150</w:t>
            </w:r>
          </w:p>
        </w:tc>
        <w:tc>
          <w:tcPr>
            <w:tcW w:w="1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$ 195</w:t>
            </w:r>
          </w:p>
        </w:tc>
        <w:tc>
          <w:tcPr>
            <w:tcW w:w="10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$ 266</w:t>
            </w:r>
          </w:p>
        </w:tc>
        <w:tc>
          <w:tcPr>
            <w:tcW w:w="10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$ 328</w:t>
            </w:r>
          </w:p>
        </w:tc>
        <w:tc>
          <w:tcPr>
            <w:tcW w:w="1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$ 202</w:t>
            </w:r>
          </w:p>
        </w:tc>
        <w:tc>
          <w:tcPr>
            <w:tcW w:w="12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$ 263</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$ 333</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$ 279</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$ 290</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$ 253</w:t>
            </w:r>
          </w:p>
        </w:tc>
      </w:tr>
      <w:tr>
        <w:trPr>
          <w:trHeight w:val="270"/>
        </w:trPr>
        <w:tc>
          <w:tcPr>
            <w:tcW w:w="1920" w:type="dxa"/>
            <w:vAlign w:val="bottom"/>
          </w:tcPr>
          <w:p>
            <w:pPr>
              <w:spacing w:after="0"/>
              <w:rPr>
                <w:sz w:val="20"/>
                <w:szCs w:val="20"/>
                <w:color w:val="auto"/>
              </w:rPr>
            </w:pPr>
            <w:r>
              <w:rPr>
                <w:rFonts w:ascii="Arial" w:cs="Arial" w:eastAsia="Arial" w:hAnsi="Arial"/>
                <w:sz w:val="14"/>
                <w:szCs w:val="14"/>
                <w:color w:val="auto"/>
              </w:rPr>
              <w:t>NASDAQ Composite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112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$ 110</w:t>
            </w:r>
          </w:p>
        </w:tc>
        <w:tc>
          <w:tcPr>
            <w:tcW w:w="12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$ 124</w:t>
            </w:r>
          </w:p>
        </w:tc>
        <w:tc>
          <w:tcPr>
            <w:tcW w:w="100" w:type="dxa"/>
            <w:vAlign w:val="bottom"/>
          </w:tcPr>
          <w:p>
            <w:pPr>
              <w:spacing w:after="0"/>
              <w:rPr>
                <w:sz w:val="23"/>
                <w:szCs w:val="23"/>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$ 130</w:t>
            </w:r>
          </w:p>
        </w:tc>
        <w:tc>
          <w:tcPr>
            <w:tcW w:w="10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$ 129</w:t>
            </w:r>
          </w:p>
        </w:tc>
        <w:tc>
          <w:tcPr>
            <w:tcW w:w="12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$ 113</w:t>
            </w:r>
          </w:p>
        </w:tc>
        <w:tc>
          <w:tcPr>
            <w:tcW w:w="120" w:type="dxa"/>
            <w:vAlign w:val="bottom"/>
          </w:tcPr>
          <w:p>
            <w:pPr>
              <w:spacing w:after="0"/>
              <w:rPr>
                <w:sz w:val="23"/>
                <w:szCs w:val="23"/>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$ 121</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$ 144</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$ 137</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$ 145</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$ 141</w:t>
            </w:r>
          </w:p>
        </w:tc>
      </w:tr>
      <w:tr>
        <w:trPr>
          <w:trHeight w:val="270"/>
        </w:trPr>
        <w:tc>
          <w:tcPr>
            <w:tcW w:w="1920" w:type="dxa"/>
            <w:vAlign w:val="bottom"/>
          </w:tcPr>
          <w:p>
            <w:pPr>
              <w:spacing w:after="0"/>
              <w:rPr>
                <w:sz w:val="20"/>
                <w:szCs w:val="20"/>
                <w:color w:val="auto"/>
              </w:rPr>
            </w:pPr>
            <w:r>
              <w:rPr>
                <w:rFonts w:ascii="Arial" w:cs="Arial" w:eastAsia="Arial" w:hAnsi="Arial"/>
                <w:sz w:val="14"/>
                <w:szCs w:val="14"/>
                <w:color w:val="auto"/>
              </w:rPr>
              <w:t>NASDAQ Computer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110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$ 111</w:t>
            </w:r>
          </w:p>
        </w:tc>
        <w:tc>
          <w:tcPr>
            <w:tcW w:w="12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$ 127</w:t>
            </w:r>
          </w:p>
        </w:tc>
        <w:tc>
          <w:tcPr>
            <w:tcW w:w="100" w:type="dxa"/>
            <w:vAlign w:val="bottom"/>
          </w:tcPr>
          <w:p>
            <w:pPr>
              <w:spacing w:after="0"/>
              <w:rPr>
                <w:sz w:val="23"/>
                <w:szCs w:val="23"/>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$ 131</w:t>
            </w:r>
          </w:p>
        </w:tc>
        <w:tc>
          <w:tcPr>
            <w:tcW w:w="10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$ 128</w:t>
            </w:r>
          </w:p>
        </w:tc>
        <w:tc>
          <w:tcPr>
            <w:tcW w:w="12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$ 118</w:t>
            </w:r>
          </w:p>
        </w:tc>
        <w:tc>
          <w:tcPr>
            <w:tcW w:w="120" w:type="dxa"/>
            <w:vAlign w:val="bottom"/>
          </w:tcPr>
          <w:p>
            <w:pPr>
              <w:spacing w:after="0"/>
              <w:rPr>
                <w:sz w:val="23"/>
                <w:szCs w:val="23"/>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$ 127</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$ 157</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$ 145</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$ 154</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$ 143</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11/18/09 in stock or index, including reinvestment of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You should read the following selected consolidated historical financial data below in conjunction with the section titled “Management’s Discussion and Analysis of Financial Condition and Results of Operations” and the consolidated financial statements, related notes and other financial information included elsewhere in this Annual Report on Form 10-K. The selected financial data in this section is not intended to replace the financial statements and is qualified in its entirety by the consolidated financial statements and related notes thereto included elsewhere in this Annual Report on Form 10-K.</w:t>
      </w:r>
    </w:p>
    <w:p>
      <w:pPr>
        <w:spacing w:after="0" w:line="15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made the decision in the first quarter of fiscal 2009 to change our financial reporting periods from a fiscal to calendar basis. This change was implemented in the third quarter of fiscal 2009 upon completion of required system changes. Accordingly, commencing in the third quarter of fiscal 2009, we began operating and reporting financial results on a calendar quarter and year basis. Our third quarter of fiscal 2009 ended on September 30, 2009, and our fiscal year 2009 ended on December 31, 2009. This transition had the effect of increasing the number of days in our twelve months ended December 31, 2009 by four days. Prior to the third quarter of fiscal 2009, our interim fiscal quarters ended on the Sunday closest to March 31, June 30 and September 30 of each year.</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12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 xml:space="preserve">Fiscal Year </w:t>
            </w:r>
            <w:r>
              <w:rPr>
                <w:rFonts w:ascii="Arial" w:cs="Arial" w:eastAsia="Arial" w:hAnsi="Arial"/>
                <w:sz w:val="17"/>
                <w:szCs w:val="17"/>
                <w:b w:val="1"/>
                <w:bCs w:val="1"/>
                <w:color w:val="auto"/>
                <w:vertAlign w:val="superscript"/>
              </w:rPr>
              <w:t>(1)</w:t>
            </w:r>
          </w:p>
        </w:tc>
        <w:tc>
          <w:tcPr>
            <w:tcW w:w="1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32"/>
        </w:trPr>
        <w:tc>
          <w:tcPr>
            <w:tcW w:w="4120" w:type="dxa"/>
            <w:vAlign w:val="bottom"/>
          </w:tcPr>
          <w:p>
            <w:pPr>
              <w:spacing w:after="0"/>
              <w:rPr>
                <w:sz w:val="20"/>
                <w:szCs w:val="20"/>
                <w:color w:val="auto"/>
              </w:rPr>
            </w:pPr>
          </w:p>
        </w:tc>
        <w:tc>
          <w:tcPr>
            <w:tcW w:w="1660" w:type="dxa"/>
            <w:vAlign w:val="bottom"/>
          </w:tcPr>
          <w:p>
            <w:pPr>
              <w:jc w:val="right"/>
              <w:ind w:right="711"/>
              <w:spacing w:after="0"/>
              <w:rPr>
                <w:sz w:val="20"/>
                <w:szCs w:val="20"/>
                <w:color w:val="auto"/>
              </w:rPr>
            </w:pPr>
            <w:r>
              <w:rPr>
                <w:rFonts w:ascii="Arial" w:cs="Arial" w:eastAsia="Arial" w:hAnsi="Arial"/>
                <w:sz w:val="16"/>
                <w:szCs w:val="16"/>
                <w:b w:val="1"/>
                <w:bCs w:val="1"/>
                <w:color w:val="auto"/>
              </w:rPr>
              <w:t>2012</w:t>
            </w:r>
          </w:p>
        </w:tc>
        <w:tc>
          <w:tcPr>
            <w:tcW w:w="13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2011</w:t>
            </w:r>
          </w:p>
        </w:tc>
        <w:tc>
          <w:tcPr>
            <w:tcW w:w="1660" w:type="dxa"/>
            <w:vAlign w:val="bottom"/>
          </w:tcPr>
          <w:p>
            <w:pPr>
              <w:jc w:val="right"/>
              <w:ind w:right="692"/>
              <w:spacing w:after="0"/>
              <w:rPr>
                <w:sz w:val="20"/>
                <w:szCs w:val="20"/>
                <w:color w:val="auto"/>
              </w:rPr>
            </w:pPr>
            <w:r>
              <w:rPr>
                <w:rFonts w:ascii="Arial" w:cs="Arial" w:eastAsia="Arial" w:hAnsi="Arial"/>
                <w:sz w:val="16"/>
                <w:szCs w:val="16"/>
                <w:b w:val="1"/>
                <w:bCs w:val="1"/>
                <w:color w:val="auto"/>
              </w:rPr>
              <w:t>2010</w:t>
            </w:r>
          </w:p>
        </w:tc>
        <w:tc>
          <w:tcPr>
            <w:tcW w:w="1460" w:type="dxa"/>
            <w:vAlign w:val="bottom"/>
          </w:tcPr>
          <w:p>
            <w:pPr>
              <w:jc w:val="right"/>
              <w:ind w:right="691"/>
              <w:spacing w:after="0"/>
              <w:rPr>
                <w:sz w:val="20"/>
                <w:szCs w:val="20"/>
                <w:color w:val="auto"/>
              </w:rPr>
            </w:pPr>
            <w:r>
              <w:rPr>
                <w:rFonts w:ascii="Arial" w:cs="Arial" w:eastAsia="Arial" w:hAnsi="Arial"/>
                <w:sz w:val="16"/>
                <w:szCs w:val="16"/>
                <w:b w:val="1"/>
                <w:bCs w:val="1"/>
                <w:color w:val="auto"/>
              </w:rPr>
              <w:t>2009</w:t>
            </w: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2008</w:t>
            </w:r>
          </w:p>
        </w:tc>
      </w:tr>
      <w:tr>
        <w:trPr>
          <w:trHeight w:val="33"/>
        </w:trPr>
        <w:tc>
          <w:tcPr>
            <w:tcW w:w="4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40" w:type="dxa"/>
            <w:vAlign w:val="bottom"/>
            <w:gridSpan w:val="3"/>
          </w:tcPr>
          <w:p>
            <w:pPr>
              <w:jc w:val="right"/>
              <w:ind w:right="731"/>
              <w:spacing w:after="0"/>
              <w:rPr>
                <w:sz w:val="20"/>
                <w:szCs w:val="20"/>
                <w:color w:val="auto"/>
              </w:rPr>
            </w:pPr>
            <w:r>
              <w:rPr>
                <w:rFonts w:ascii="Arial" w:cs="Arial" w:eastAsia="Arial" w:hAnsi="Arial"/>
                <w:sz w:val="16"/>
                <w:szCs w:val="16"/>
                <w:b w:val="1"/>
                <w:bCs w:val="1"/>
                <w:color w:val="auto"/>
                <w:w w:val="99"/>
              </w:rPr>
              <w:t>($ amounts in 000’s, except per share amounts)</w:t>
            </w:r>
          </w:p>
        </w:tc>
        <w:tc>
          <w:tcPr>
            <w:tcW w:w="120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16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533,639</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433,576</w:t>
            </w:r>
          </w:p>
        </w:tc>
        <w:tc>
          <w:tcPr>
            <w:tcW w:w="1660" w:type="dxa"/>
            <w:vAlign w:val="bottom"/>
          </w:tcPr>
          <w:p>
            <w:pPr>
              <w:jc w:val="right"/>
              <w:ind w:right="292"/>
              <w:spacing w:after="0"/>
              <w:rPr>
                <w:sz w:val="20"/>
                <w:szCs w:val="20"/>
                <w:color w:val="auto"/>
              </w:rPr>
            </w:pPr>
            <w:r>
              <w:rPr>
                <w:rFonts w:ascii="Arial" w:cs="Arial" w:eastAsia="Arial" w:hAnsi="Arial"/>
                <w:sz w:val="18"/>
                <w:szCs w:val="18"/>
                <w:color w:val="auto"/>
              </w:rPr>
              <w:t>324,696</w:t>
            </w: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252,115</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211,791</w:t>
            </w:r>
          </w:p>
        </w:tc>
      </w:tr>
      <w:tr>
        <w:trPr>
          <w:trHeight w:val="27"/>
        </w:trPr>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6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100,475</w:t>
            </w: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88,904</w:t>
            </w:r>
          </w:p>
        </w:tc>
        <w:tc>
          <w:tcPr>
            <w:tcW w:w="16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55,341</w:t>
            </w:r>
          </w:p>
        </w:tc>
        <w:tc>
          <w:tcPr>
            <w:tcW w:w="146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25,334</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66,836</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62,492</w:t>
            </w:r>
          </w:p>
        </w:tc>
        <w:tc>
          <w:tcPr>
            <w:tcW w:w="1660" w:type="dxa"/>
            <w:vAlign w:val="bottom"/>
          </w:tcPr>
          <w:p>
            <w:pPr>
              <w:jc w:val="right"/>
              <w:ind w:right="292"/>
              <w:spacing w:after="0"/>
              <w:rPr>
                <w:sz w:val="20"/>
                <w:szCs w:val="20"/>
                <w:color w:val="auto"/>
              </w:rPr>
            </w:pPr>
            <w:r>
              <w:rPr>
                <w:rFonts w:ascii="Arial" w:cs="Arial" w:eastAsia="Arial" w:hAnsi="Arial"/>
                <w:sz w:val="18"/>
                <w:szCs w:val="18"/>
                <w:color w:val="auto"/>
              </w:rPr>
              <w:t>41,245</w:t>
            </w: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60,179</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7,363</w:t>
            </w:r>
          </w:p>
        </w:tc>
      </w:tr>
      <w:tr>
        <w:trPr>
          <w:trHeight w:val="27"/>
        </w:trPr>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color w:val="auto"/>
                <w:vertAlign w:val="subscript"/>
              </w:rPr>
              <w:t>:</w:t>
            </w:r>
          </w:p>
        </w:tc>
        <w:tc>
          <w:tcPr>
            <w:tcW w:w="16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Basic</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0.42</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0.41</w:t>
            </w:r>
          </w:p>
        </w:tc>
        <w:tc>
          <w:tcPr>
            <w:tcW w:w="1660" w:type="dxa"/>
            <w:vAlign w:val="bottom"/>
          </w:tcPr>
          <w:p>
            <w:pPr>
              <w:jc w:val="right"/>
              <w:ind w:right="292"/>
              <w:spacing w:after="0"/>
              <w:rPr>
                <w:sz w:val="20"/>
                <w:szCs w:val="20"/>
                <w:color w:val="auto"/>
              </w:rPr>
            </w:pPr>
            <w:r>
              <w:rPr>
                <w:rFonts w:ascii="Arial" w:cs="Arial" w:eastAsia="Arial" w:hAnsi="Arial"/>
                <w:sz w:val="18"/>
                <w:szCs w:val="18"/>
                <w:color w:val="auto"/>
              </w:rPr>
              <w:t>0.29</w:t>
            </w: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0.97</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0.18</w:t>
            </w:r>
          </w:p>
        </w:tc>
      </w:tr>
      <w:tr>
        <w:trPr>
          <w:trHeight w:val="27"/>
        </w:trPr>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166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0.40</w:t>
            </w: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0.38</w:t>
            </w:r>
          </w:p>
        </w:tc>
        <w:tc>
          <w:tcPr>
            <w:tcW w:w="16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0.26</w:t>
            </w:r>
          </w:p>
        </w:tc>
        <w:tc>
          <w:tcPr>
            <w:tcW w:w="146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0.39</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16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166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158,074</w:t>
            </w: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152,581</w:t>
            </w:r>
          </w:p>
        </w:tc>
        <w:tc>
          <w:tcPr>
            <w:tcW w:w="16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140,726</w:t>
            </w:r>
          </w:p>
        </w:tc>
        <w:tc>
          <w:tcPr>
            <w:tcW w:w="146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52,668</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40,034</w:t>
            </w: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Diluted</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166,329</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163,781</w:t>
            </w:r>
          </w:p>
        </w:tc>
        <w:tc>
          <w:tcPr>
            <w:tcW w:w="1660" w:type="dxa"/>
            <w:vAlign w:val="bottom"/>
          </w:tcPr>
          <w:p>
            <w:pPr>
              <w:jc w:val="right"/>
              <w:ind w:right="292"/>
              <w:spacing w:after="0"/>
              <w:rPr>
                <w:sz w:val="20"/>
                <w:szCs w:val="20"/>
                <w:color w:val="auto"/>
              </w:rPr>
            </w:pPr>
            <w:r>
              <w:rPr>
                <w:rFonts w:ascii="Arial" w:cs="Arial" w:eastAsia="Arial" w:hAnsi="Arial"/>
                <w:sz w:val="18"/>
                <w:szCs w:val="18"/>
                <w:color w:val="auto"/>
              </w:rPr>
              <w:t>156,406</w:t>
            </w: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130,438</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53,284</w:t>
            </w:r>
          </w:p>
        </w:tc>
      </w:tr>
      <w:tr>
        <w:trPr>
          <w:trHeight w:val="236"/>
        </w:trPr>
        <w:tc>
          <w:tcPr>
            <w:tcW w:w="412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ind w:left="660" w:hanging="652"/>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fiscal years ended on December 31, 2012, December 31, 2011, December 31, 2010, December 31, 2009 and December 28, 2008.</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60" w:type="dxa"/>
            <w:vAlign w:val="bottom"/>
          </w:tcPr>
          <w:p>
            <w:pPr>
              <w:jc w:val="right"/>
              <w:ind w:right="194"/>
              <w:spacing w:after="0"/>
              <w:rPr>
                <w:sz w:val="20"/>
                <w:szCs w:val="20"/>
                <w:color w:val="auto"/>
              </w:rPr>
            </w:pPr>
            <w:r>
              <w:rPr>
                <w:rFonts w:ascii="Arial" w:cs="Arial" w:eastAsia="Arial" w:hAnsi="Arial"/>
                <w:sz w:val="16"/>
                <w:szCs w:val="16"/>
                <w:b w:val="1"/>
                <w:bCs w:val="1"/>
                <w:color w:val="auto"/>
                <w:w w:val="95"/>
              </w:rPr>
              <w:t>As of Fiscal Year End</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660" w:type="dxa"/>
            <w:vAlign w:val="bottom"/>
          </w:tcPr>
          <w:p>
            <w:pPr>
              <w:jc w:val="right"/>
              <w:ind w:right="712"/>
              <w:spacing w:after="0"/>
              <w:rPr>
                <w:sz w:val="20"/>
                <w:szCs w:val="20"/>
                <w:color w:val="auto"/>
              </w:rPr>
            </w:pPr>
            <w:r>
              <w:rPr>
                <w:rFonts w:ascii="Arial" w:cs="Arial" w:eastAsia="Arial" w:hAnsi="Arial"/>
                <w:sz w:val="16"/>
                <w:szCs w:val="16"/>
                <w:b w:val="1"/>
                <w:bCs w:val="1"/>
                <w:color w:val="auto"/>
              </w:rPr>
              <w:t>2012</w:t>
            </w:r>
          </w:p>
        </w:tc>
        <w:tc>
          <w:tcPr>
            <w:tcW w:w="11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2011</w:t>
            </w:r>
          </w:p>
        </w:tc>
        <w:tc>
          <w:tcPr>
            <w:tcW w:w="1860" w:type="dxa"/>
            <w:vAlign w:val="bottom"/>
          </w:tcPr>
          <w:p>
            <w:pPr>
              <w:jc w:val="right"/>
              <w:ind w:right="754"/>
              <w:spacing w:after="0"/>
              <w:rPr>
                <w:sz w:val="20"/>
                <w:szCs w:val="20"/>
                <w:color w:val="auto"/>
              </w:rPr>
            </w:pPr>
            <w:r>
              <w:rPr>
                <w:rFonts w:ascii="Arial" w:cs="Arial" w:eastAsia="Arial" w:hAnsi="Arial"/>
                <w:sz w:val="16"/>
                <w:szCs w:val="16"/>
                <w:b w:val="1"/>
                <w:bCs w:val="1"/>
                <w:color w:val="auto"/>
              </w:rPr>
              <w:t>2010</w:t>
            </w:r>
          </w:p>
        </w:tc>
        <w:tc>
          <w:tcPr>
            <w:tcW w:w="1400" w:type="dxa"/>
            <w:vAlign w:val="bottom"/>
          </w:tcPr>
          <w:p>
            <w:pPr>
              <w:jc w:val="right"/>
              <w:ind w:right="692"/>
              <w:spacing w:after="0"/>
              <w:rPr>
                <w:sz w:val="20"/>
                <w:szCs w:val="20"/>
                <w:color w:val="auto"/>
              </w:rPr>
            </w:pPr>
            <w:r>
              <w:rPr>
                <w:rFonts w:ascii="Arial" w:cs="Arial" w:eastAsia="Arial" w:hAnsi="Arial"/>
                <w:sz w:val="16"/>
                <w:szCs w:val="16"/>
                <w:b w:val="1"/>
                <w:bCs w:val="1"/>
                <w:color w:val="auto"/>
              </w:rPr>
              <w:t>2009</w:t>
            </w: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2008</w:t>
            </w:r>
          </w:p>
        </w:tc>
      </w:tr>
      <w:tr>
        <w:trPr>
          <w:trHeight w:val="33"/>
        </w:trPr>
        <w:tc>
          <w:tcPr>
            <w:tcW w:w="4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60" w:type="dxa"/>
            <w:vAlign w:val="bottom"/>
          </w:tcPr>
          <w:p>
            <w:pPr>
              <w:jc w:val="right"/>
              <w:ind w:right="254"/>
              <w:spacing w:after="0"/>
              <w:rPr>
                <w:sz w:val="20"/>
                <w:szCs w:val="20"/>
                <w:color w:val="auto"/>
              </w:rPr>
            </w:pPr>
            <w:r>
              <w:rPr>
                <w:rFonts w:ascii="Arial" w:cs="Arial" w:eastAsia="Arial" w:hAnsi="Arial"/>
                <w:sz w:val="16"/>
                <w:szCs w:val="16"/>
                <w:b w:val="1"/>
                <w:bCs w:val="1"/>
                <w:color w:val="auto"/>
                <w:w w:val="97"/>
              </w:rPr>
              <w:t>($ amounts in 000’s)</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1660" w:type="dxa"/>
            <w:vAlign w:val="bottom"/>
          </w:tcPr>
          <w:p>
            <w:pPr>
              <w:jc w:val="right"/>
              <w:ind w:right="312"/>
              <w:spacing w:after="0"/>
              <w:rPr>
                <w:sz w:val="20"/>
                <w:szCs w:val="20"/>
                <w:color w:val="auto"/>
              </w:rPr>
            </w:pPr>
            <w:r>
              <w:rPr>
                <w:rFonts w:ascii="Arial" w:cs="Arial" w:eastAsia="Arial" w:hAnsi="Arial"/>
                <w:sz w:val="18"/>
                <w:szCs w:val="18"/>
                <w:color w:val="auto"/>
              </w:rPr>
              <w:t>739,586</w:t>
            </w:r>
          </w:p>
        </w:tc>
        <w:tc>
          <w:tcPr>
            <w:tcW w:w="1180" w:type="dxa"/>
            <w:vAlign w:val="bottom"/>
          </w:tcPr>
          <w:p>
            <w:pPr>
              <w:jc w:val="right"/>
              <w:spacing w:after="0"/>
              <w:rPr>
                <w:sz w:val="20"/>
                <w:szCs w:val="20"/>
                <w:color w:val="auto"/>
              </w:rPr>
            </w:pPr>
            <w:r>
              <w:rPr>
                <w:rFonts w:ascii="Arial" w:cs="Arial" w:eastAsia="Arial" w:hAnsi="Arial"/>
                <w:sz w:val="18"/>
                <w:szCs w:val="18"/>
                <w:color w:val="auto"/>
              </w:rPr>
              <w:t>538,687</w:t>
            </w:r>
          </w:p>
        </w:tc>
        <w:tc>
          <w:tcPr>
            <w:tcW w:w="1860" w:type="dxa"/>
            <w:vAlign w:val="bottom"/>
          </w:tcPr>
          <w:p>
            <w:pPr>
              <w:jc w:val="right"/>
              <w:ind w:right="354"/>
              <w:spacing w:after="0"/>
              <w:rPr>
                <w:sz w:val="20"/>
                <w:szCs w:val="20"/>
                <w:color w:val="auto"/>
              </w:rPr>
            </w:pPr>
            <w:r>
              <w:rPr>
                <w:rFonts w:ascii="Arial" w:cs="Arial" w:eastAsia="Arial" w:hAnsi="Arial"/>
                <w:sz w:val="18"/>
                <w:szCs w:val="18"/>
                <w:color w:val="auto"/>
              </w:rPr>
              <w:t>387,460</w:t>
            </w:r>
          </w:p>
        </w:tc>
        <w:tc>
          <w:tcPr>
            <w:tcW w:w="1400" w:type="dxa"/>
            <w:vAlign w:val="bottom"/>
          </w:tcPr>
          <w:p>
            <w:pPr>
              <w:jc w:val="right"/>
              <w:ind w:right="272"/>
              <w:spacing w:after="0"/>
              <w:rPr>
                <w:sz w:val="20"/>
                <w:szCs w:val="20"/>
                <w:color w:val="auto"/>
              </w:rPr>
            </w:pPr>
            <w:r>
              <w:rPr>
                <w:rFonts w:ascii="Arial" w:cs="Arial" w:eastAsia="Arial" w:hAnsi="Arial"/>
                <w:sz w:val="18"/>
                <w:szCs w:val="18"/>
                <w:color w:val="auto"/>
              </w:rPr>
              <w:t>260,314</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124,190</w:t>
            </w:r>
          </w:p>
        </w:tc>
      </w:tr>
      <w:tr>
        <w:trPr>
          <w:trHeight w:val="27"/>
        </w:trPr>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975,497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734,747</w:t>
            </w:r>
          </w:p>
        </w:tc>
        <w:tc>
          <w:tcPr>
            <w:tcW w:w="18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545,422</w:t>
            </w:r>
          </w:p>
        </w:tc>
        <w:tc>
          <w:tcPr>
            <w:tcW w:w="14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387,213</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199,105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Convertible preferred stock</w:t>
            </w:r>
          </w:p>
        </w:tc>
        <w:tc>
          <w:tcPr>
            <w:tcW w:w="1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94,368</w:t>
            </w:r>
          </w:p>
        </w:tc>
      </w:tr>
      <w:tr>
        <w:trPr>
          <w:trHeight w:val="27"/>
        </w:trPr>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16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510,934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358,354</w:t>
            </w:r>
          </w:p>
        </w:tc>
        <w:tc>
          <w:tcPr>
            <w:tcW w:w="18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232,454</w:t>
            </w:r>
          </w:p>
        </w:tc>
        <w:tc>
          <w:tcPr>
            <w:tcW w:w="14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142,452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r>
      <w:tr>
        <w:trPr>
          <w:trHeight w:val="27"/>
        </w:trPr>
        <w:tc>
          <w:tcPr>
            <w:tcW w:w="4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6"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continued sales into large enterprises and service providers;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mix of billings between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mix of service sales containing multi-year support and subscription contracts;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significance of stock-based compensation as an expense;</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revenues and future trends with respect to services revenue as we renew existing services contracts and expand our customer base;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our effective tax rate;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sufficiency of our existing cash and investments to meet our cash needs for at least the next 12 months;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governmental entities worldwide. Since inception through December 31, 2012, we had shipped over 1,100,000 appliances via more than 10,000 channel partners to more than 150,000 end-customers worldwide, including a majority of the 2012 Fortune Global 100.</w:t>
      </w:r>
    </w:p>
    <w:p>
      <w:pPr>
        <w:spacing w:after="0" w:line="187"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Our core UTM/NGFW product line of FortiGate physical and virtual appliances ships with a set of security and networking capabilities, including firewall, VPN, application control, antivirus, intrusion prevention, Web filtering, anti-spam and WAN acceleration functionality. We derive a substantial majority of product sales from our FortiGate appliances, which range from the FortiGate-20, designed for small businesses, to the FortiGate-5000 series for large enterprises, telecommunications carriers, and service providers. Our UTM/NGFW solution also includes our FortiGuard security subscription services, which end-customers can subscribe to in order to obtain access to dynamic updates to intrusion prevention, application control, antivirus, Web filtering, vulnerability management and anti-spam functionality included in our appliances. End-customers can also choose to purchase FortiCare technical support services for our products. End-customers also often use FortiManager and FortiAnalyzer products in conjunction with a FortiGate deployment to provide centralized management, analysis and reporting capabilities. We complement our core FortiGate product line with other appliances and software that offer additional protection from security threats to other critical areas of the enterprise, such as messaging, Web application firewalls, databases, protection against denial of service attacks (DDoS) and endpoint security for employee computers and mobile devices. Sales of these complementary products have grown in recent quarters, although these products still represent less than 10% of our total revenue. During fiscal 2012, we announced our new FortiOS 5.0 operating system. FortiOS 5.0 is our fifth generation security operating system, and this release brings more than 150 new features to our FortiGate product line. In addition, we announced version 5.0 operating systems for our FortiManager, FortiAnalyzer, and FortiClient products, to address the need for increasingly sophisticated management and analysis of the network infrastructure and endpoint devices in various environments. During fiscal 2012, we also announced our new FortiASIC-SoC2 processor. FortiASIC-SoC2 is our second-generation processor that combines general purpose processing power with Fortinet’s custom technology to provide hardware-accelerated network security performance for our FortiGate appliances. It provides more than double the general processing capacity than its predecessor. During fiscal 2012, we expanded and enhanced our FortiGate UTM/NGFW and FortiAP secure wireless access product lines. We also introduced software-based virtual appliances for many</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FortiGate and FortiManager product lines, which help secure the end-customer’s cloud-based network infrastructures with the same functionality as the traditional physical appliance in their respective product lines.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Highlights</w:t>
      </w:r>
    </w:p>
    <w:p>
      <w:pPr>
        <w:spacing w:after="0" w:line="225" w:lineRule="exact"/>
        <w:rPr>
          <w:sz w:val="20"/>
          <w:szCs w:val="20"/>
          <w:color w:val="auto"/>
        </w:rPr>
      </w:pPr>
    </w:p>
    <w:p>
      <w:pPr>
        <w:ind w:left="660" w:right="14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recorded total revenue of $533.6 million in fiscal 2012. This represents an increase of 23% in fiscal 2012, compared to fiscal 2011. Revenue included $3.7 million and $2.6 million from the sales of previously-acquired patents in fiscal 2012 and 2011, respectively. Product revenue was $248.9 million, an increase of 26% in fiscal 2012, compared to fiscal 2011. Services revenue was $274.0 million in fiscal 2012, an increase of 24% in fiscal 2012, compared to fiscal 2011.</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$183.9 million in fiscal 2012, an increase of 38% compared to fiscal 2011.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cash equivalents and investments were $739.6 million as of December 31, 2012, an increase of $200.9 million from December 31, 2011.</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Deferred revenue was $363.2 million as of December 31, 2012, an increase of $68.4 million from December 31, 2011.</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Fiscal 2012 was our third full year as a public company, following our initial public offering in November 2009. We believe the greater visibility and brand recognition derived from being a public company, combined with success in selling to enterprise and service provider customers and new product introductions, served as contributors to the growth in our business during fiscal 2012.</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continue to invest in research and development to strengthen our technology leadership position and believe continued product innovation has strengthened our technology advantage and resulted in market share gains, as evidenced by the recent introduction of several noteworthy new FortiGate appliance models, such as the FG-100D, FG-800C, FG-3240C and FG-5101C. During fiscal 2012, we also made a significant investment in sales and marketing to increase brand awareness and grow our global sales force and distribution channels to grow our global presence both geographically and by industry segment. As a result, we experienced increased deal volumes driven by traction in enterprise data center deployments and large enterprise deals, with particular strength in the retail, financial and telecommunication sectors.</w:t>
      </w:r>
    </w:p>
    <w:p>
      <w:pPr>
        <w:spacing w:after="0" w:line="193"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number of deals involving sales greater than $100,000 was 718 in fiscal 2012, compared to 560 in fiscal 2011. The number of deals involving sales greater than $250,000 was 241 in fiscal 2012, compared to 167 in fiscal 2011. The number of deals of involving sales greater than $500,000 was 81 in fiscal 2012, compared to 57 in fiscal 2011. We expect some variability in this metric, and remain focused on investing in our sales and research and development resources in order to expand our reach into new high-growth verticals and emerging markets, and meet increasing customer expectations about the quality and functionality of our products, as we continue to sell to large customers, such as enterprise and service providers. While we have experienced some success selling into certain vertical customer segments, such as service providers and enterprise, we have experienced less traction selling into other verticals such as the U.S. federal government and there can be no assurance we will be successful selling into certain vertical customer segments.</w:t>
      </w:r>
    </w:p>
    <w:p>
      <w:pPr>
        <w:spacing w:after="0" w:line="16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Sales of FortiGate products have generally been balanced across entry-level (FortiGate-20 to -100 series), mid-range (FortiGate-200 to -800 series) and high-end (FortiGate-1000 to -5000 series) models with each product category representing approximately one-third of FortiGate sales, with some degree of variability from year to year and between quarters over the three-year period ended December 31, 2012. The percentage of our FortiGate related billings from the mid-range category increased from 31% in fiscal 2011 to 33% in fiscal 2012, while the high-end category decreased from 37% to 35%, while the entry-level category remained flat year over year. See “—Key Metrics” below for more information on billings and “—Other Non-GAAP Financial Measures” for a discussion of the limitations of non-GAAP financial measures.</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fiscal 2012, operating expenses increased by 24% compared to fiscal 2011. The increase was primarily driven by additional headcount to support our growth as we continued to invest in the development of new products and expand our sales coverage. We also incurred $1.3 million of litigation settlement expense in fiscal 2012. Of this amount, we recorded $1.0 million as a general and administrative expense and $0.3 million as a sales and marketing expense. These increases were partially offset by favorable foreign currency exchange rates compared to fiscal 2011. We also experienced improvements in productivity and efficiencies in our overall headcount as our annualized fiscal 2012 revenue per employee, defined as annual revenue divided by average headcount, reached $303,000, up from $297,000 for fiscal 2011. Headcount increased to 1,954 as of December 31, 2012 from 1,583 as of December 31, 2011. Our accelerated pace of hiring continued in fiscal 2012, particularly in support, sales and marketing and research and development.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sales strategy is based on a distribution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physical and virtual appliances. We invoice at the time of our sale for the total price of the products and subscription and support services, and the invoice generally becomes payable within 30 to 90 days. We generally recognize product revenue up-front based on the allocated revenue value and defer revenue for the sale of new and renewal subscription and support services contracts. We recognize the related services revenue over the service period, which is typically one year from the date the end-customer registers for these services (the date on which the services can first be used by the customer), although it can be as long as five years. Sales of new and renewal services increase our deferred revenue balance, which contributes significantly to our positive cash flow from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monitor the key financial metrics set forth below to help us evaluate growth trends, establish budgets, measure the effectiveness of our sales and marketing efforts, and assess operational efficiencies. Our total deferred revenue increased by $68.4 million from $294.8 million as of December 31, 2011 to $363.2 million as of December 31, 2012. Revenue recognized plus the change in deferred revenue from the beginning to the end of the period is a useful metric that management identifies as billings. Billings for services drive deferred revenue, which is an important indicator of the health and visibility of our business, and has historically represented a majority of the revenue that we recognize in a typical quarter. We ended fiscal 2012 with $739.6 million in cash, cash equivalents and investments and have had positive cash flow from operations every fiscal year since 2005. We discuss revenue, gross margin, and the components of operating income and margin below under “—Components of Operating Results,” and we discuss our cash, cash equivalents, and investments under “—Liquidity and Capital Resources.” Deferred revenue and cash flow from operations are discussed immediately below the following table.</w:t>
      </w:r>
    </w:p>
    <w:p>
      <w:pPr>
        <w:spacing w:after="0" w:line="302"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3780" w:type="dxa"/>
            <w:vAlign w:val="bottom"/>
            <w:gridSpan w:val="2"/>
          </w:tcPr>
          <w:p>
            <w:pPr>
              <w:jc w:val="center"/>
              <w:ind w:left="994"/>
              <w:spacing w:after="0"/>
              <w:rPr>
                <w:sz w:val="20"/>
                <w:szCs w:val="20"/>
                <w:color w:val="auto"/>
              </w:rPr>
            </w:pPr>
            <w:r>
              <w:rPr>
                <w:rFonts w:ascii="Arial" w:cs="Arial" w:eastAsia="Arial" w:hAnsi="Arial"/>
                <w:sz w:val="16"/>
                <w:szCs w:val="16"/>
                <w:b w:val="1"/>
                <w:bCs w:val="1"/>
                <w:color w:val="auto"/>
                <w:w w:val="90"/>
              </w:rPr>
              <w:t>Fiscal Year or as of Fiscal Year End</w:t>
            </w:r>
          </w:p>
        </w:tc>
        <w:tc>
          <w:tcPr>
            <w:tcW w:w="106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760" w:type="dxa"/>
            <w:vAlign w:val="bottom"/>
          </w:tcPr>
          <w:p>
            <w:pPr>
              <w:spacing w:after="0"/>
              <w:rPr>
                <w:sz w:val="20"/>
                <w:szCs w:val="20"/>
                <w:color w:val="auto"/>
              </w:rPr>
            </w:pPr>
          </w:p>
        </w:tc>
        <w:tc>
          <w:tcPr>
            <w:tcW w:w="1620" w:type="dxa"/>
            <w:vAlign w:val="bottom"/>
          </w:tcPr>
          <w:p>
            <w:pPr>
              <w:jc w:val="right"/>
              <w:ind w:right="594"/>
              <w:spacing w:after="0"/>
              <w:rPr>
                <w:sz w:val="20"/>
                <w:szCs w:val="20"/>
                <w:color w:val="auto"/>
              </w:rPr>
            </w:pPr>
            <w:r>
              <w:rPr>
                <w:rFonts w:ascii="Arial" w:cs="Arial" w:eastAsia="Arial" w:hAnsi="Arial"/>
                <w:sz w:val="16"/>
                <w:szCs w:val="16"/>
                <w:b w:val="1"/>
                <w:bCs w:val="1"/>
                <w:color w:val="auto"/>
              </w:rPr>
              <w:t>2012</w:t>
            </w:r>
          </w:p>
        </w:tc>
        <w:tc>
          <w:tcPr>
            <w:tcW w:w="2160" w:type="dxa"/>
            <w:vAlign w:val="bottom"/>
          </w:tcPr>
          <w:p>
            <w:pPr>
              <w:jc w:val="center"/>
              <w:ind w:right="474"/>
              <w:spacing w:after="0"/>
              <w:rPr>
                <w:sz w:val="20"/>
                <w:szCs w:val="20"/>
                <w:color w:val="auto"/>
              </w:rPr>
            </w:pPr>
            <w:r>
              <w:rPr>
                <w:rFonts w:ascii="Arial" w:cs="Arial" w:eastAsia="Arial" w:hAnsi="Arial"/>
                <w:sz w:val="16"/>
                <w:szCs w:val="16"/>
                <w:b w:val="1"/>
                <w:bCs w:val="1"/>
                <w:color w:val="auto"/>
                <w:w w:val="89"/>
              </w:rPr>
              <w:t>2011</w:t>
            </w:r>
          </w:p>
        </w:tc>
        <w:tc>
          <w:tcPr>
            <w:tcW w:w="1060" w:type="dxa"/>
            <w:vAlign w:val="bottom"/>
          </w:tcPr>
          <w:p>
            <w:pPr>
              <w:jc w:val="right"/>
              <w:ind w:right="534"/>
              <w:spacing w:after="0"/>
              <w:rPr>
                <w:sz w:val="20"/>
                <w:szCs w:val="20"/>
                <w:color w:val="auto"/>
              </w:rPr>
            </w:pPr>
            <w:r>
              <w:rPr>
                <w:rFonts w:ascii="Arial" w:cs="Arial" w:eastAsia="Arial" w:hAnsi="Arial"/>
                <w:sz w:val="16"/>
                <w:szCs w:val="16"/>
                <w:b w:val="1"/>
                <w:bCs w:val="1"/>
                <w:color w:val="auto"/>
              </w:rPr>
              <w:t>2010</w:t>
            </w:r>
          </w:p>
        </w:tc>
      </w:tr>
      <w:tr>
        <w:trPr>
          <w:trHeight w:val="33"/>
        </w:trPr>
        <w:tc>
          <w:tcPr>
            <w:tcW w:w="57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jc w:val="center"/>
              <w:ind w:right="454"/>
              <w:spacing w:after="0"/>
              <w:rPr>
                <w:sz w:val="20"/>
                <w:szCs w:val="20"/>
                <w:color w:val="auto"/>
              </w:rPr>
            </w:pPr>
            <w:r>
              <w:rPr>
                <w:rFonts w:ascii="Arial" w:cs="Arial" w:eastAsia="Arial" w:hAnsi="Arial"/>
                <w:sz w:val="16"/>
                <w:szCs w:val="16"/>
                <w:b w:val="1"/>
                <w:bCs w:val="1"/>
                <w:color w:val="auto"/>
                <w:w w:val="89"/>
              </w:rPr>
              <w:t>($ amounts in 000’s)</w:t>
            </w:r>
          </w:p>
        </w:tc>
        <w:tc>
          <w:tcPr>
            <w:tcW w:w="106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533,639</w:t>
            </w:r>
          </w:p>
        </w:tc>
        <w:tc>
          <w:tcPr>
            <w:tcW w:w="216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rPr>
              <w:t>433,576</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324,696</w:t>
            </w:r>
          </w:p>
        </w:tc>
      </w:tr>
      <w:tr>
        <w:trPr>
          <w:trHeight w:val="243"/>
        </w:trPr>
        <w:tc>
          <w:tcPr>
            <w:tcW w:w="576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2160" w:type="dxa"/>
            <w:vAlign w:val="bottom"/>
          </w:tcPr>
          <w:p>
            <w:pPr>
              <w:jc w:val="right"/>
              <w:ind w:right="554"/>
              <w:spacing w:after="0"/>
              <w:rPr>
                <w:sz w:val="20"/>
                <w:szCs w:val="20"/>
                <w:color w:val="auto"/>
              </w:rPr>
            </w:pPr>
            <w:r>
              <w:rPr>
                <w:rFonts w:ascii="Arial" w:cs="Arial" w:eastAsia="Arial" w:hAnsi="Arial"/>
                <w:sz w:val="18"/>
                <w:szCs w:val="18"/>
                <w:color w:val="auto"/>
              </w:rPr>
              <w:t>74%</w:t>
            </w: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8"/>
                <w:szCs w:val="18"/>
                <w:color w:val="auto"/>
                <w:vertAlign w:val="superscript"/>
              </w:rPr>
              <w:t>(1)</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100,475</w:t>
            </w:r>
          </w:p>
        </w:tc>
        <w:tc>
          <w:tcPr>
            <w:tcW w:w="216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88,904</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55,341</w:t>
            </w:r>
          </w:p>
        </w:tc>
      </w:tr>
      <w:tr>
        <w:trPr>
          <w:trHeight w:val="243"/>
        </w:trPr>
        <w:tc>
          <w:tcPr>
            <w:tcW w:w="5760" w:type="dxa"/>
            <w:vAlign w:val="bottom"/>
          </w:tcPr>
          <w:p>
            <w:pPr>
              <w:ind w:left="260"/>
              <w:spacing w:after="0"/>
              <w:rPr>
                <w:sz w:val="20"/>
                <w:szCs w:val="20"/>
                <w:color w:val="auto"/>
              </w:rPr>
            </w:pPr>
            <w:r>
              <w:rPr>
                <w:rFonts w:ascii="Arial" w:cs="Arial" w:eastAsia="Arial" w:hAnsi="Arial"/>
                <w:sz w:val="18"/>
                <w:szCs w:val="18"/>
                <w:color w:val="auto"/>
              </w:rPr>
              <w:t>Operating margin</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2160" w:type="dxa"/>
            <w:vAlign w:val="bottom"/>
          </w:tcPr>
          <w:p>
            <w:pPr>
              <w:jc w:val="right"/>
              <w:ind w:right="554"/>
              <w:spacing w:after="0"/>
              <w:rPr>
                <w:sz w:val="20"/>
                <w:szCs w:val="20"/>
                <w:color w:val="auto"/>
              </w:rPr>
            </w:pPr>
            <w:r>
              <w:rPr>
                <w:rFonts w:ascii="Arial" w:cs="Arial" w:eastAsia="Arial" w:hAnsi="Arial"/>
                <w:sz w:val="18"/>
                <w:szCs w:val="18"/>
                <w:color w:val="auto"/>
              </w:rPr>
              <w:t>21%</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revenue</w:t>
            </w:r>
          </w:p>
        </w:tc>
        <w:tc>
          <w:tcPr>
            <w:tcW w:w="16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363,185</w:t>
            </w:r>
          </w:p>
        </w:tc>
        <w:tc>
          <w:tcPr>
            <w:tcW w:w="216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rPr>
              <w:t>294,833</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252,631</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Increase in total deferred revenue</w:t>
            </w:r>
          </w:p>
        </w:tc>
        <w:tc>
          <w:tcPr>
            <w:tcW w:w="1620" w:type="dxa"/>
            <w:vAlign w:val="bottom"/>
          </w:tcPr>
          <w:p>
            <w:pPr>
              <w:jc w:val="right"/>
              <w:ind w:right="174"/>
              <w:spacing w:after="0"/>
              <w:rPr>
                <w:sz w:val="20"/>
                <w:szCs w:val="20"/>
                <w:color w:val="auto"/>
              </w:rPr>
            </w:pPr>
            <w:r>
              <w:rPr>
                <w:rFonts w:ascii="Arial" w:cs="Arial" w:eastAsia="Arial" w:hAnsi="Arial"/>
                <w:sz w:val="18"/>
                <w:szCs w:val="18"/>
                <w:color w:val="auto"/>
              </w:rPr>
              <w:t>68,352</w:t>
            </w:r>
          </w:p>
        </w:tc>
        <w:tc>
          <w:tcPr>
            <w:tcW w:w="2160" w:type="dxa"/>
            <w:vAlign w:val="bottom"/>
          </w:tcPr>
          <w:p>
            <w:pPr>
              <w:jc w:val="right"/>
              <w:ind w:right="694"/>
              <w:spacing w:after="0"/>
              <w:rPr>
                <w:sz w:val="20"/>
                <w:szCs w:val="20"/>
                <w:color w:val="auto"/>
              </w:rPr>
            </w:pPr>
            <w:r>
              <w:rPr>
                <w:rFonts w:ascii="Arial" w:cs="Arial" w:eastAsia="Arial" w:hAnsi="Arial"/>
                <w:sz w:val="18"/>
                <w:szCs w:val="18"/>
                <w:color w:val="auto"/>
              </w:rPr>
              <w:t>42,202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50,701</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16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739,586</w:t>
            </w:r>
          </w:p>
        </w:tc>
        <w:tc>
          <w:tcPr>
            <w:tcW w:w="216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rPr>
              <w:t>538,687</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387,460</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1620" w:type="dxa"/>
            <w:vAlign w:val="bottom"/>
          </w:tcPr>
          <w:p>
            <w:pPr>
              <w:jc w:val="right"/>
              <w:ind w:right="174"/>
              <w:spacing w:after="0"/>
              <w:rPr>
                <w:sz w:val="20"/>
                <w:szCs w:val="20"/>
                <w:color w:val="auto"/>
              </w:rPr>
            </w:pPr>
            <w:r>
              <w:rPr>
                <w:rFonts w:ascii="Arial" w:cs="Arial" w:eastAsia="Arial" w:hAnsi="Arial"/>
                <w:sz w:val="18"/>
                <w:szCs w:val="18"/>
                <w:color w:val="auto"/>
              </w:rPr>
              <w:t>183,866</w:t>
            </w:r>
          </w:p>
        </w:tc>
        <w:tc>
          <w:tcPr>
            <w:tcW w:w="2160" w:type="dxa"/>
            <w:vAlign w:val="bottom"/>
          </w:tcPr>
          <w:p>
            <w:pPr>
              <w:jc w:val="right"/>
              <w:ind w:right="694"/>
              <w:spacing w:after="0"/>
              <w:rPr>
                <w:sz w:val="20"/>
                <w:szCs w:val="20"/>
                <w:color w:val="auto"/>
              </w:rPr>
            </w:pPr>
            <w:r>
              <w:rPr>
                <w:rFonts w:ascii="Arial" w:cs="Arial" w:eastAsia="Arial" w:hAnsi="Arial"/>
                <w:sz w:val="18"/>
                <w:szCs w:val="18"/>
                <w:color w:val="auto"/>
              </w:rPr>
              <w:t>132,842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103,383</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18"/>
                <w:szCs w:val="18"/>
                <w:color w:val="auto"/>
                <w:vertAlign w:val="superscript"/>
              </w:rPr>
              <w:t>(2)</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161,783</w:t>
            </w:r>
          </w:p>
        </w:tc>
        <w:tc>
          <w:tcPr>
            <w:tcW w:w="216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135,218</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99,607</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___________________</w:t>
            </w:r>
          </w:p>
        </w:tc>
        <w:tc>
          <w:tcPr>
            <w:tcW w:w="1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5"/>
        </w:trPr>
        <w:tc>
          <w:tcPr>
            <w:tcW w:w="5760" w:type="dxa"/>
            <w:vAlign w:val="bottom"/>
          </w:tcPr>
          <w:p>
            <w:pPr>
              <w:ind w:left="20"/>
              <w:spacing w:after="0"/>
              <w:rPr>
                <w:sz w:val="20"/>
                <w:szCs w:val="20"/>
                <w:color w:val="auto"/>
              </w:rPr>
            </w:pPr>
            <w:r>
              <w:rPr>
                <w:rFonts w:ascii="Arial" w:cs="Arial" w:eastAsia="Arial" w:hAnsi="Arial"/>
                <w:sz w:val="14"/>
                <w:szCs w:val="14"/>
                <w:color w:val="auto"/>
              </w:rPr>
              <w:t>(1) Includes:</w:t>
            </w:r>
          </w:p>
        </w:tc>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1620" w:type="dxa"/>
            <w:vAlign w:val="bottom"/>
          </w:tcPr>
          <w:p>
            <w:pPr>
              <w:jc w:val="right"/>
              <w:ind w:right="174"/>
              <w:spacing w:after="0"/>
              <w:rPr>
                <w:sz w:val="20"/>
                <w:szCs w:val="20"/>
                <w:color w:val="auto"/>
              </w:rPr>
            </w:pPr>
            <w:r>
              <w:rPr>
                <w:rFonts w:ascii="Arial" w:cs="Arial" w:eastAsia="Arial" w:hAnsi="Arial"/>
                <w:sz w:val="14"/>
                <w:szCs w:val="14"/>
                <w:color w:val="auto"/>
              </w:rPr>
              <w:t>30,690</w:t>
            </w:r>
          </w:p>
        </w:tc>
        <w:tc>
          <w:tcPr>
            <w:tcW w:w="2160" w:type="dxa"/>
            <w:vAlign w:val="bottom"/>
          </w:tcPr>
          <w:p>
            <w:pPr>
              <w:jc w:val="right"/>
              <w:ind w:right="694"/>
              <w:spacing w:after="0"/>
              <w:rPr>
                <w:sz w:val="20"/>
                <w:szCs w:val="20"/>
                <w:color w:val="auto"/>
              </w:rPr>
            </w:pPr>
            <w:r>
              <w:rPr>
                <w:rFonts w:ascii="Arial" w:cs="Arial" w:eastAsia="Arial" w:hAnsi="Arial"/>
                <w:sz w:val="14"/>
                <w:szCs w:val="14"/>
                <w:color w:val="auto"/>
              </w:rPr>
              <w:t>19,015</w:t>
            </w:r>
          </w:p>
        </w:tc>
        <w:tc>
          <w:tcPr>
            <w:tcW w:w="1060" w:type="dxa"/>
            <w:vAlign w:val="bottom"/>
          </w:tcPr>
          <w:p>
            <w:pPr>
              <w:jc w:val="right"/>
              <w:ind w:right="114"/>
              <w:spacing w:after="0"/>
              <w:rPr>
                <w:sz w:val="20"/>
                <w:szCs w:val="20"/>
                <w:color w:val="auto"/>
              </w:rPr>
            </w:pPr>
            <w:r>
              <w:rPr>
                <w:rFonts w:ascii="Arial" w:cs="Arial" w:eastAsia="Arial" w:hAnsi="Arial"/>
                <w:sz w:val="14"/>
                <w:szCs w:val="14"/>
                <w:color w:val="auto"/>
              </w:rPr>
              <w:t>9,315</w:t>
            </w:r>
          </w:p>
        </w:tc>
      </w:tr>
      <w:tr>
        <w:trPr>
          <w:trHeight w:val="270"/>
        </w:trPr>
        <w:tc>
          <w:tcPr>
            <w:tcW w:w="5760" w:type="dxa"/>
            <w:vAlign w:val="bottom"/>
          </w:tcPr>
          <w:p>
            <w:pPr>
              <w:ind w:left="380"/>
              <w:spacing w:after="0"/>
              <w:rPr>
                <w:sz w:val="20"/>
                <w:szCs w:val="20"/>
                <w:color w:val="auto"/>
              </w:rPr>
            </w:pPr>
            <w:r>
              <w:rPr>
                <w:rFonts w:ascii="Arial" w:cs="Arial" w:eastAsia="Arial" w:hAnsi="Arial"/>
                <w:sz w:val="14"/>
                <w:szCs w:val="14"/>
                <w:color w:val="auto"/>
              </w:rPr>
              <w:t>Patent settlement income</w:t>
            </w:r>
          </w:p>
        </w:tc>
        <w:tc>
          <w:tcPr>
            <w:tcW w:w="1620" w:type="dxa"/>
            <w:vAlign w:val="bottom"/>
          </w:tcPr>
          <w:p>
            <w:pPr>
              <w:jc w:val="right"/>
              <w:ind w:right="174"/>
              <w:spacing w:after="0"/>
              <w:rPr>
                <w:sz w:val="20"/>
                <w:szCs w:val="20"/>
                <w:color w:val="auto"/>
              </w:rPr>
            </w:pPr>
            <w:r>
              <w:rPr>
                <w:rFonts w:ascii="Arial" w:cs="Arial" w:eastAsia="Arial" w:hAnsi="Arial"/>
                <w:sz w:val="14"/>
                <w:szCs w:val="14"/>
                <w:color w:val="auto"/>
              </w:rPr>
              <w:t>1,912</w:t>
            </w:r>
          </w:p>
        </w:tc>
        <w:tc>
          <w:tcPr>
            <w:tcW w:w="2160" w:type="dxa"/>
            <w:vAlign w:val="bottom"/>
          </w:tcPr>
          <w:p>
            <w:pPr>
              <w:jc w:val="right"/>
              <w:ind w:right="694"/>
              <w:spacing w:after="0"/>
              <w:rPr>
                <w:sz w:val="20"/>
                <w:szCs w:val="20"/>
                <w:color w:val="auto"/>
              </w:rPr>
            </w:pPr>
            <w:r>
              <w:rPr>
                <w:rFonts w:ascii="Arial" w:cs="Arial" w:eastAsia="Arial" w:hAnsi="Arial"/>
                <w:sz w:val="14"/>
                <w:szCs w:val="14"/>
                <w:color w:val="auto"/>
              </w:rPr>
              <w:t>1,911</w:t>
            </w:r>
          </w:p>
        </w:tc>
        <w:tc>
          <w:tcPr>
            <w:tcW w:w="1060" w:type="dxa"/>
            <w:vAlign w:val="bottom"/>
          </w:tcPr>
          <w:p>
            <w:pPr>
              <w:jc w:val="right"/>
              <w:ind w:right="114"/>
              <w:spacing w:after="0"/>
              <w:rPr>
                <w:sz w:val="20"/>
                <w:szCs w:val="20"/>
                <w:color w:val="auto"/>
              </w:rPr>
            </w:pPr>
            <w:r>
              <w:rPr>
                <w:rFonts w:ascii="Arial" w:cs="Arial" w:eastAsia="Arial" w:hAnsi="Arial"/>
                <w:sz w:val="14"/>
                <w:szCs w:val="14"/>
                <w:color w:val="auto"/>
              </w:rPr>
              <w:t>—</w:t>
            </w:r>
          </w:p>
        </w:tc>
      </w:tr>
      <w:tr>
        <w:trPr>
          <w:trHeight w:val="324"/>
        </w:trPr>
        <w:tc>
          <w:tcPr>
            <w:tcW w:w="5760" w:type="dxa"/>
            <w:vAlign w:val="bottom"/>
          </w:tcPr>
          <w:p>
            <w:pPr>
              <w:ind w:left="20"/>
              <w:spacing w:after="0"/>
              <w:rPr>
                <w:sz w:val="20"/>
                <w:szCs w:val="20"/>
                <w:color w:val="auto"/>
              </w:rPr>
            </w:pPr>
            <w:r>
              <w:rPr>
                <w:rFonts w:ascii="Arial" w:cs="Arial" w:eastAsia="Arial" w:hAnsi="Arial"/>
                <w:sz w:val="14"/>
                <w:szCs w:val="14"/>
                <w:color w:val="auto"/>
              </w:rPr>
              <w:t>(2) See “ —Cash flow from operations” below for a definition of free cash flow.</w:t>
            </w:r>
          </w:p>
        </w:tc>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1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unamortized portion of services revenue from subscription and support service contracts. We monitor our deferred revenue balance because it represents a significant portion of revenue to be recognized in future periods. We define billings as revenue recognized during a period plus the change in deferred revenue from the beginning to the end of the period. The following table reflects the calculation of billings as discussed in the paragraph above. For a discussion of the limitations of non-GAAP financial measures, see “—Other Non-GAAP Financial Measures” below.</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2" w:right="2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Fiscal Year</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720" w:type="dxa"/>
            <w:vAlign w:val="bottom"/>
          </w:tcPr>
          <w:p>
            <w:pPr>
              <w:jc w:val="right"/>
              <w:ind w:right="55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7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2010</w:t>
            </w: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 amounts in 000’s)</w:t>
            </w:r>
          </w:p>
        </w:tc>
        <w:tc>
          <w:tcPr>
            <w:tcW w:w="1700" w:type="dxa"/>
            <w:vAlign w:val="bottom"/>
          </w:tcPr>
          <w:p>
            <w:pPr>
              <w:spacing w:after="0"/>
              <w:rPr>
                <w:sz w:val="18"/>
                <w:szCs w:val="18"/>
                <w:color w:val="auto"/>
              </w:rPr>
            </w:pPr>
          </w:p>
        </w:tc>
      </w:tr>
      <w:tr>
        <w:trPr>
          <w:trHeight w:val="276"/>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Billings:</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533,639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433,576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324,696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Increase in deferred revenue</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68,352</w:t>
            </w:r>
          </w:p>
        </w:tc>
        <w:tc>
          <w:tcPr>
            <w:tcW w:w="12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42,202</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50,701</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601,991</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475,778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375,397</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i w:val="1"/>
          <w:iCs w:val="1"/>
          <w:color w:val="auto"/>
        </w:rPr>
        <w:t xml:space="preserve">Cash flow from operations. </w:t>
      </w:r>
      <w:r>
        <w:rPr>
          <w:rFonts w:ascii="Arial" w:cs="Arial" w:eastAsia="Arial" w:hAnsi="Arial"/>
          <w:sz w:val="16"/>
          <w:szCs w:val="16"/>
          <w:color w:val="auto"/>
        </w:rPr>
        <w:t>We monitor cash flow from operations as a measure of our overall business performance. Our cash flow from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is driven in large part by advance payments for both new and renewal contracts for subscription and support services, consistent with our billings for the period. Monitoring cash flow from operations and free cash flow enables us to analyze our financial performance excluding the non-cash effects of certain items such as depreciation, amortization and stock-based compensation expenses, thereby allowing us to better understand and manage the cash needs of our business. Free cash flow, an alternative non-GAAP financial measure of liquidity, is defined as net cash provided by operating activities less capital expenditures. For a discussion of the limitations of non-GAAP financial measures, see “—Other Non-GAAP Financial Measures”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Fiscal Year</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720" w:type="dxa"/>
            <w:vAlign w:val="bottom"/>
          </w:tcPr>
          <w:p>
            <w:pPr>
              <w:jc w:val="right"/>
              <w:ind w:right="55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7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2010</w:t>
            </w: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 amounts in 000’s)</w:t>
            </w:r>
          </w:p>
        </w:tc>
        <w:tc>
          <w:tcPr>
            <w:tcW w:w="1700" w:type="dxa"/>
            <w:vAlign w:val="bottom"/>
          </w:tcPr>
          <w:p>
            <w:pPr>
              <w:spacing w:after="0"/>
              <w:rPr>
                <w:sz w:val="18"/>
                <w:szCs w:val="18"/>
                <w:color w:val="auto"/>
              </w:rPr>
            </w:pPr>
          </w:p>
        </w:tc>
      </w:tr>
      <w:tr>
        <w:trPr>
          <w:trHeight w:val="276"/>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Free Cash Flow:</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183,866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132,842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103,383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1720" w:type="dxa"/>
            <w:vAlign w:val="bottom"/>
          </w:tcPr>
          <w:p>
            <w:pPr>
              <w:jc w:val="right"/>
              <w:spacing w:after="0"/>
              <w:rPr>
                <w:sz w:val="20"/>
                <w:szCs w:val="20"/>
                <w:color w:val="auto"/>
              </w:rPr>
            </w:pPr>
            <w:r>
              <w:rPr>
                <w:rFonts w:ascii="Arial" w:cs="Arial" w:eastAsia="Arial" w:hAnsi="Arial"/>
                <w:sz w:val="18"/>
                <w:szCs w:val="18"/>
                <w:color w:val="auto"/>
              </w:rPr>
              <w:t>(22,083)</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(3,776)</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161,783</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129,218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99,607</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Non-GAAP Financial Measures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 supplement our consolidated financial statements presented in accordance with U.S. generally accepted accounting principles (“U.S. GAAP”), we consider certain financial measures that are not prepared in accordance with U.S. GAAP, including billings and free cash flow discussed above as well as non-GAAP gross margin, non-GAAP operating income, non-GAAP operating margin, non-GAAP operating expenses, and non-GAAP net income. These non-GAAP financial measures are not based on any standardized methodology prescribed by GAAP and are not necessarily comparable to similar measures presented by other companies.</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offset by patent settlement income. Stock-based compensation expense has been, and will continue to be for the foreseeable future, a significant recurring expense in our business and is an important part of our employees’ overall compensation.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the section entitled “—Results of Operations” below.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Non-GAAP gross margin is gross margin as reported on our consolidated statements of operations, excluding the impact of stock-based compensation expense, which is a non-cash charge. Non-GAAP operating income is operating income, as reported on our consolidated statements of operations, excluding the impact of stock-based compensation expense and the income we received from a patent settlement. Non-GAAP operating margin is non-GAAP operating income divided by revenue. The following tables reconcile GAAP gross margin, operating income, and operating margin to non-GAAP gross margin, non-GAAP operating income, and non-GAAP operating margin for fiscal 2012, 2011 and 2010.</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Fiscal Year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w w:val="84"/>
              </w:rPr>
              <w:t>2010</w:t>
            </w: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3"/>
              <w:spacing w:after="0"/>
              <w:rPr>
                <w:sz w:val="20"/>
                <w:szCs w:val="20"/>
                <w:color w:val="auto"/>
              </w:rPr>
            </w:pPr>
            <w:r>
              <w:rPr>
                <w:rFonts w:ascii="Arial" w:cs="Arial" w:eastAsia="Arial" w:hAnsi="Arial"/>
                <w:sz w:val="16"/>
                <w:szCs w:val="16"/>
                <w:b w:val="1"/>
                <w:bCs w:val="1"/>
                <w:color w:val="auto"/>
              </w:rPr>
              <w:t>% of</w:t>
            </w:r>
          </w:p>
        </w:tc>
      </w:tr>
      <w:tr>
        <w:trPr>
          <w:trHeight w:val="210"/>
        </w:trPr>
        <w:tc>
          <w:tcPr>
            <w:tcW w:w="400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Amount ($)</w:t>
            </w: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Revenue</w:t>
            </w:r>
          </w:p>
        </w:tc>
        <w:tc>
          <w:tcPr>
            <w:tcW w:w="14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Amount ($)</w:t>
            </w: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Revenue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93"/>
              <w:spacing w:after="0"/>
              <w:rPr>
                <w:sz w:val="20"/>
                <w:szCs w:val="20"/>
                <w:color w:val="auto"/>
              </w:rPr>
            </w:pPr>
            <w:r>
              <w:rPr>
                <w:rFonts w:ascii="Arial" w:cs="Arial" w:eastAsia="Arial" w:hAnsi="Arial"/>
                <w:sz w:val="16"/>
                <w:szCs w:val="16"/>
                <w:b w:val="1"/>
                <w:bCs w:val="1"/>
                <w:color w:val="auto"/>
              </w:rPr>
              <w:t>Revenue</w:t>
            </w: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0"/>
              </w:rPr>
              <w:t>($ amounts in 000’s)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533,639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433,576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324,696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GAAP gross profit and margin</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386,219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319,978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239,490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gross profit and margin</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390,288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321,951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240,520</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operating income and margin</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100,475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88,904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55,341</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2,136</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Patent settlement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operating income and margin</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129,253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106,008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Non-GAAP operating expenses exclude the impact of stock-based compensation expense and the income from a patent settlement. The following tables reconcile GAAP operating expenses to non-GAAP operating expenses for fiscal 2012, 2011 and 2010.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Fiscal Year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Amount ($)</w:t>
            </w: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Revenue</w:t>
            </w:r>
          </w:p>
        </w:tc>
        <w:tc>
          <w:tcPr>
            <w:tcW w:w="14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Amount ($)</w:t>
            </w: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Revenue</w:t>
            </w:r>
          </w:p>
        </w:tc>
        <w:tc>
          <w:tcPr>
            <w:tcW w:w="14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Amount ($)</w:t>
            </w: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Revenue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0"/>
              </w:rPr>
              <w:t>($ amounts in 000’s)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(9,226)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Non-GAAP research and development expenses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71,852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58,886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47,462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Sales and marketing expenses: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(12,793)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166,362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136,207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108,158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 income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2"/>
              </w:rPr>
              <w:t>Non-GAAP general and administrative expenses</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22,821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20,850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20,244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285,744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231,074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184,149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Patent settlement income</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261,035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215,943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175,864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Non-GAAP net income is net income, as reported in our consolidated statements of operations, excluding the impact of stock-based compensation expense and income from a patent settlement. The following tables reconcile GAAP net income as reported on our consolidated statements of operations to non-GAAP net income for fiscal 2012, 2011 and 2010.</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60"/>
              <w:spacing w:after="0"/>
              <w:rPr>
                <w:sz w:val="20"/>
                <w:szCs w:val="20"/>
                <w:color w:val="auto"/>
              </w:rPr>
            </w:pPr>
            <w:r>
              <w:rPr>
                <w:rFonts w:ascii="Arial" w:cs="Arial" w:eastAsia="Arial" w:hAnsi="Arial"/>
                <w:sz w:val="16"/>
                <w:szCs w:val="16"/>
                <w:b w:val="1"/>
                <w:bCs w:val="1"/>
                <w:color w:val="auto"/>
              </w:rPr>
              <w:t>Fiscal Year</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7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53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5360" w:type="dxa"/>
            <w:vAlign w:val="bottom"/>
            <w:gridSpan w:val="5"/>
          </w:tcPr>
          <w:p>
            <w:pPr>
              <w:jc w:val="right"/>
              <w:ind w:right="591"/>
              <w:spacing w:after="0"/>
              <w:rPr>
                <w:sz w:val="20"/>
                <w:szCs w:val="20"/>
                <w:color w:val="auto"/>
              </w:rPr>
            </w:pPr>
            <w:r>
              <w:rPr>
                <w:rFonts w:ascii="Arial" w:cs="Arial" w:eastAsia="Arial" w:hAnsi="Arial"/>
                <w:sz w:val="16"/>
                <w:szCs w:val="16"/>
                <w:b w:val="1"/>
                <w:bCs w:val="1"/>
                <w:color w:val="auto"/>
              </w:rPr>
              <w:t>($ and share amounts in 000’s, except per share amounts)</w:t>
            </w:r>
          </w:p>
        </w:tc>
        <w:tc>
          <w:tcPr>
            <w:tcW w:w="0" w:type="dxa"/>
            <w:vAlign w:val="bottom"/>
          </w:tcPr>
          <w:p>
            <w:pPr>
              <w:spacing w:after="0"/>
              <w:rPr>
                <w:sz w:val="1"/>
                <w:szCs w:val="1"/>
                <w:color w:val="auto"/>
              </w:rPr>
            </w:pPr>
          </w:p>
        </w:tc>
      </w:tr>
      <w:tr>
        <w:trPr>
          <w:trHeight w:val="276"/>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net income</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66,836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62,492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41,245</w:t>
            </w:r>
          </w:p>
        </w:tc>
        <w:tc>
          <w:tcPr>
            <w:tcW w:w="0" w:type="dxa"/>
            <w:vAlign w:val="bottom"/>
          </w:tcPr>
          <w:p>
            <w:pPr>
              <w:spacing w:after="0"/>
              <w:rPr>
                <w:sz w:val="1"/>
                <w:szCs w:val="1"/>
                <w:color w:val="auto"/>
              </w:rPr>
            </w:pPr>
          </w:p>
        </w:tc>
      </w:tr>
      <w:tr>
        <w:trPr>
          <w:trHeight w:val="262"/>
        </w:trPr>
        <w:tc>
          <w:tcPr>
            <w:tcW w:w="6060" w:type="dxa"/>
            <w:vAlign w:val="bottom"/>
          </w:tcPr>
          <w:p>
            <w:pPr>
              <w:ind w:left="38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18"/>
                <w:szCs w:val="18"/>
                <w:color w:val="auto"/>
                <w:vertAlign w:val="superscript"/>
              </w:rPr>
              <w:t>(1)</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30,690</w:t>
            </w:r>
          </w:p>
        </w:tc>
        <w:tc>
          <w:tcPr>
            <w:tcW w:w="120" w:type="dxa"/>
            <w:vAlign w:val="bottom"/>
          </w:tcPr>
          <w:p>
            <w:pPr>
              <w:spacing w:after="0"/>
              <w:rPr>
                <w:sz w:val="22"/>
                <w:szCs w:val="22"/>
                <w:color w:val="auto"/>
              </w:rPr>
            </w:pP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19,015</w:t>
            </w:r>
          </w:p>
        </w:tc>
        <w:tc>
          <w:tcPr>
            <w:tcW w:w="10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Patent settlement income </w:t>
            </w:r>
            <w:r>
              <w:rPr>
                <w:rFonts w:ascii="Arial" w:cs="Arial" w:eastAsia="Arial" w:hAnsi="Arial"/>
                <w:sz w:val="18"/>
                <w:szCs w:val="18"/>
                <w:color w:val="auto"/>
                <w:vertAlign w:val="superscript"/>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8"/>
                <w:szCs w:val="18"/>
                <w:color w:val="auto"/>
                <w:vertAlign w:val="superscript"/>
              </w:rPr>
              <w:t>(3)</w:t>
            </w: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38,160</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29,581</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15,096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133,774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109,177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65,656</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Tax adjustment </w:t>
            </w:r>
            <w:r>
              <w:rPr>
                <w:rFonts w:ascii="Arial" w:cs="Arial" w:eastAsia="Arial" w:hAnsi="Arial"/>
                <w:sz w:val="18"/>
                <w:szCs w:val="18"/>
                <w:color w:val="auto"/>
                <w:vertAlign w:val="superscript"/>
              </w:rPr>
              <w:t>(4)</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(45,483)</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(36,028)</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net income</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88,291</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73,149</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44,646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income per share—diluted</w:t>
            </w: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used in per share calculation—diluted</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166,329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163,781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156,406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80" w:hanging="572"/>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Stock-based compensation expense is added back to GAAP net income to reconcile to non-GAAP income before taxes.</w:t>
      </w:r>
    </w:p>
    <w:p>
      <w:pPr>
        <w:spacing w:after="0" w:line="1" w:lineRule="exact"/>
        <w:rPr>
          <w:rFonts w:ascii="Arial" w:cs="Arial" w:eastAsia="Arial" w:hAnsi="Arial"/>
          <w:sz w:val="14"/>
          <w:szCs w:val="14"/>
          <w:color w:val="auto"/>
        </w:rPr>
      </w:pPr>
    </w:p>
    <w:p>
      <w:pPr>
        <w:ind w:left="580" w:hanging="572"/>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patent settlement income is removed from GAAP net income to reconcile to non-GAAP income before taxes.</w:t>
      </w:r>
    </w:p>
    <w:p>
      <w:pPr>
        <w:spacing w:after="0" w:line="1" w:lineRule="exact"/>
        <w:rPr>
          <w:rFonts w:ascii="Arial" w:cs="Arial" w:eastAsia="Arial" w:hAnsi="Arial"/>
          <w:sz w:val="14"/>
          <w:szCs w:val="14"/>
          <w:color w:val="auto"/>
        </w:rPr>
      </w:pPr>
    </w:p>
    <w:p>
      <w:pPr>
        <w:ind w:left="580" w:hanging="572"/>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Provision for income taxes is our GAAP provision that must be added to GAAP net income to reconcile to non-GAAP income before taxes.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580" w:right="160" w:hanging="572"/>
        <w:spacing w:after="0" w:line="273"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Non-GAAP financial information is adjusted to achieve the overall effective tax rates of 34%, 33%, and 32%, on a pro forma basis, which could differ from the GAAP tax rate, for fiscal 2012, 2011, and 2010,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derive our revenue from sales of our products and subscription and support services. In fiscal 2011, we recognized our revenue in accordance with the new revenue recognition accounting guidance which is discussed in further detail in “—Critical Accounting Policies and Estimates—Revenue Recognition” below. According to the new accounting standards, revenue is recognized when persuasive evidence of an arrangement exists, delivery has occurred, the price is fixed or determinable and collection is probable.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 is comprised of the following:</w:t>
      </w:r>
    </w:p>
    <w:p>
      <w:pPr>
        <w:spacing w:after="0" w:line="117" w:lineRule="exact"/>
        <w:rPr>
          <w:sz w:val="20"/>
          <w:szCs w:val="20"/>
          <w:color w:val="auto"/>
        </w:rPr>
      </w:pPr>
    </w:p>
    <w:p>
      <w:pPr>
        <w:ind w:left="1300" w:hanging="644"/>
        <w:spacing w:after="0" w:line="287"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Product revenue</w:t>
      </w:r>
      <w:r>
        <w:rPr>
          <w:rFonts w:ascii="Arial" w:cs="Arial" w:eastAsia="Arial" w:hAnsi="Arial"/>
          <w:sz w:val="16"/>
          <w:szCs w:val="16"/>
          <w:color w:val="auto"/>
        </w:rPr>
        <w:t>. Product revenue is generated from sales of our appliances. The substantial majority of our product revenue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our FortiGate line of appliances, and we do not expect this to change in the foreseeable future. Product revenue also includes revenue derived from sales of FortiManager, FortiAnalyzer, FortiSwitch, FortiMail, FortiDB, FortiWeb, FortiAP, FortiScan, FortiCarrier, FortiBalancer, FortiCache, FortiVoice, FortiBridge, FortiDDoS, FortiDNS, and FortiAuthenticator appliances, and our FortiClient and virtual domain, or VDOM, software. 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Certain distributors that stock our products are granted stock rotation rights as well as rebates for sales of our products. The arrangement fee for this group of distributors is not fixed and determinable when products are shipped and revenue is therefore deferred and recognized upon sell-through. As a percentage of total revenue, we expect our product revenue may vary from quarter-to-quarter based on seasonal and cyclical factors discussed below under “—Quarterly Results of Operations” but generally may remain at relatively comparable levels or decline modestly over time, as services revenue becomes a larger portion of our business as our customers renew existing services contracts and we expand our customer base.</w:t>
      </w:r>
    </w:p>
    <w:p>
      <w:pPr>
        <w:spacing w:after="0" w:line="168" w:lineRule="exact"/>
        <w:rPr>
          <w:rFonts w:ascii="Arial" w:cs="Arial" w:eastAsia="Arial" w:hAnsi="Arial"/>
          <w:sz w:val="16"/>
          <w:szCs w:val="16"/>
          <w:color w:val="auto"/>
        </w:rPr>
      </w:pPr>
    </w:p>
    <w:p>
      <w:pPr>
        <w:ind w:left="1300" w:right="20" w:hanging="644"/>
        <w:spacing w:after="0" w:line="289"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Services revenue</w:t>
      </w:r>
      <w:r>
        <w:rPr>
          <w:rFonts w:ascii="Arial" w:cs="Arial" w:eastAsia="Arial" w:hAnsi="Arial"/>
          <w:sz w:val="16"/>
          <w:szCs w:val="16"/>
          <w:color w:val="auto"/>
        </w:rPr>
        <w:t>. Services revenue is generated primarily from FortiCare technical support services for software updates,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releases and patches, Internet access to technical content, telephone and Internet access to technical support personnel and hardware support, and FortiGuard security subscription services related to application control, antivirus, intrusion prevention, Web filtering, anti-spam and vulnerability management updates. We recognize revenue from subscription and support services over the service performance period. Our typical contractual support and subscription term is one year from the date of registration, although we do offer multi-year support and subscription contracts. We also generate a small portion of our revenue from professional services and training services, and we recognize this revenue as the services are provided. As a percentage of total revenue, we expect our services revenue to remain at comparable levels or increase as our customers renew existing service contracts and we expand our customer base. Our services revenue growth rate depends significantly on the growth of our customer base and the renewal of service contracts by our current customers.</w:t>
      </w:r>
    </w:p>
    <w:p>
      <w:pPr>
        <w:spacing w:after="0" w:line="58" w:lineRule="exact"/>
        <w:rPr>
          <w:rFonts w:ascii="Arial" w:cs="Arial" w:eastAsia="Arial" w:hAnsi="Arial"/>
          <w:sz w:val="16"/>
          <w:szCs w:val="16"/>
          <w:color w:val="auto"/>
        </w:rPr>
      </w:pPr>
    </w:p>
    <w:p>
      <w:pPr>
        <w:ind w:left="1300" w:right="40" w:hanging="644"/>
        <w:spacing w:after="0" w:line="271"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Ratable and other revenue</w:t>
      </w:r>
      <w:r>
        <w:rPr>
          <w:rFonts w:ascii="Arial" w:cs="Arial" w:eastAsia="Arial" w:hAnsi="Arial"/>
          <w:sz w:val="17"/>
          <w:szCs w:val="17"/>
          <w:color w:val="auto"/>
        </w:rPr>
        <w:t>. Ratable and other revenue is generated from sales of our products and services in cases where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services being provided cannot be separated from the value of the entire sale. In these cases, the value of the entire sale is deferred and recognized ratably over the service performance period. See “—Critical Accounting Policies and Estimates—Revenue Recognition.” Ratable and other revenue was formerly referred to as Ratable product and services revenue. In fiscal 2012 and 2011, this category includes a $3.7 million and a $2.6 million sale of previously-acquired patents, respectively. In fiscal 2012 and 2011, ratable and other revenue represented 2% and 4% of total revenue, respectively. Over time we expect this category to continue to decline due to the current revenue recognition rules, which allow us to use best estimate of selling price (“BESP”) in our allocation of arrangement consideration when vendor-specific objective evidence (“VSOE”) is not available.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25" w:lineRule="exact"/>
        <w:rPr>
          <w:sz w:val="20"/>
          <w:szCs w:val="20"/>
          <w:color w:val="auto"/>
        </w:rPr>
      </w:pPr>
    </w:p>
    <w:p>
      <w:pPr>
        <w:ind w:left="1300" w:right="46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Cost of product revenue</w:t>
      </w:r>
      <w:r>
        <w:rPr>
          <w:rFonts w:ascii="Arial" w:cs="Arial" w:eastAsia="Arial" w:hAnsi="Arial"/>
          <w:sz w:val="18"/>
          <w:szCs w:val="18"/>
          <w:color w:val="auto"/>
        </w:rPr>
        <w:t>. A substantial majority of the cost of product revenue consists of third-party manufacturing costs. Our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revenue also includes product testing costs, write-offs for excess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75" w:lineRule="exact"/>
        <w:rPr>
          <w:sz w:val="20"/>
          <w:szCs w:val="20"/>
          <w:color w:val="auto"/>
        </w:rPr>
      </w:pPr>
    </w:p>
    <w:p>
      <w:pPr>
        <w:ind w:left="1300" w:right="80"/>
        <w:spacing w:after="0" w:line="306" w:lineRule="auto"/>
        <w:rPr>
          <w:sz w:val="20"/>
          <w:szCs w:val="20"/>
          <w:color w:val="auto"/>
        </w:rPr>
      </w:pPr>
      <w:r>
        <w:rPr>
          <w:rFonts w:ascii="Arial" w:cs="Arial" w:eastAsia="Arial" w:hAnsi="Arial"/>
          <w:sz w:val="18"/>
          <w:szCs w:val="18"/>
          <w:color w:val="auto"/>
        </w:rPr>
        <w:t>and obsolete inventory, royalty payments, amortization and any impairment of applicable acquired intangible assets, warranty costs, shipping and allocated facilities costs, stock-based compensation expense, and personnel costs associated with logistics and quality control. Personnel costs include cash-based personnel costs such as salaries, benefits and bonuses. Royalties reflect amounts related to the litigation with Trend Micro Incorporated, which was settled in December 2011.</w:t>
      </w:r>
    </w:p>
    <w:p>
      <w:pPr>
        <w:spacing w:after="0" w:line="160" w:lineRule="exact"/>
        <w:rPr>
          <w:sz w:val="20"/>
          <w:szCs w:val="20"/>
          <w:color w:val="auto"/>
        </w:rPr>
      </w:pPr>
    </w:p>
    <w:p>
      <w:pPr>
        <w:ind w:left="1300" w:right="80" w:hanging="644"/>
        <w:spacing w:after="0" w:line="276"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Cost of services revenue</w:t>
      </w:r>
      <w:r>
        <w:rPr>
          <w:rFonts w:ascii="Arial" w:cs="Arial" w:eastAsia="Arial" w:hAnsi="Arial"/>
          <w:sz w:val="17"/>
          <w:szCs w:val="17"/>
          <w:color w:val="auto"/>
        </w:rPr>
        <w:t>. Cost of services revenue is primarily comprised of cash-based personnel costs associated with our FortiGuard</w:t>
      </w:r>
      <w:r>
        <w:rPr>
          <w:rFonts w:ascii="Arial" w:cs="Arial" w:eastAsia="Arial" w:hAnsi="Arial"/>
          <w:sz w:val="17"/>
          <w:szCs w:val="17"/>
          <w:i w:val="1"/>
          <w:iCs w:val="1"/>
          <w:color w:val="auto"/>
        </w:rPr>
        <w:t xml:space="preserve"> </w:t>
      </w:r>
      <w:r>
        <w:rPr>
          <w:rFonts w:ascii="Arial" w:cs="Arial" w:eastAsia="Arial" w:hAnsi="Arial"/>
          <w:sz w:val="17"/>
          <w:szCs w:val="17"/>
          <w:color w:val="auto"/>
        </w:rPr>
        <w:t>Labs team and our technical support, professional services and training teams, as well as depreciation, supplies, data center, data communications, facility-related costs and stock-based compensation expense. We expect our cost of services revenue will increase in absolute dollars but remain comparable as a percentage of revenue as we continue to invest in subscription and support services to meet the needs of our growing customer base and service levels expected by our enterprise customers.</w:t>
      </w:r>
    </w:p>
    <w:p>
      <w:pPr>
        <w:spacing w:after="0" w:line="172" w:lineRule="exact"/>
        <w:rPr>
          <w:rFonts w:ascii="Arial" w:cs="Arial" w:eastAsia="Arial" w:hAnsi="Arial"/>
          <w:sz w:val="17"/>
          <w:szCs w:val="17"/>
          <w:color w:val="auto"/>
        </w:rPr>
      </w:pPr>
    </w:p>
    <w:p>
      <w:pPr>
        <w:ind w:left="1300" w:right="22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Cost of ratable and other revenue</w:t>
      </w:r>
      <w:r>
        <w:rPr>
          <w:rFonts w:ascii="Arial" w:cs="Arial" w:eastAsia="Arial" w:hAnsi="Arial"/>
          <w:sz w:val="18"/>
          <w:szCs w:val="18"/>
          <w:color w:val="auto"/>
        </w:rPr>
        <w:t>. Cost of ratable and other revenue is comprised primarily of deferred product costs and services-related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Gross profit as a percentage of revenue, or gross margin, has been and will continue to be affected by a variety of factors,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sales price of our products, any excess inventory write-offs, product costs, the mix of products sold and the mix of revenue between products and services. We believe our overall gross margin for the near term will remain at levels comparable to that achieved in fiscal 2012.</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Services revenue has historically increased as a percentage of total revenue since inception, and this trend has had a positive effect on our total gross margin given the higher services gross margins compared to product gross margins. During fiscal 2012 service margins decreased slightly from fiscal 2011 as we made the decision to invest in support services infrastructure that will allow us to both expand our base of enterprise customers and to support future growth and higher service levels to our existing enterprise customers.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Our operating expenses consist of research and development, sales and marketing and general and administrative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are the most significant component of operating expenses and consist of cash-based personnel costs such as salaries, benefits, bonuses, and sales commissions. They also include non-cash charges, specifically, stock-based compensation expense. We expect personnel costs to continue to increase in absolute dollars as we hire new employees.</w:t>
      </w:r>
    </w:p>
    <w:p>
      <w:pPr>
        <w:spacing w:after="0" w:line="187" w:lineRule="exact"/>
        <w:rPr>
          <w:sz w:val="20"/>
          <w:szCs w:val="20"/>
          <w:color w:val="auto"/>
        </w:rPr>
      </w:pPr>
    </w:p>
    <w:p>
      <w:pPr>
        <w:ind w:left="1300" w:hanging="644"/>
        <w:spacing w:after="0" w:line="297"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consists primarily of cash-based personnel costs. Additional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expenses include ASIC and system prototypes 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the United States.</w:t>
      </w:r>
    </w:p>
    <w:p>
      <w:pPr>
        <w:spacing w:after="0" w:line="158" w:lineRule="exact"/>
        <w:rPr>
          <w:rFonts w:ascii="Arial" w:cs="Arial" w:eastAsia="Arial" w:hAnsi="Arial"/>
          <w:sz w:val="16"/>
          <w:szCs w:val="16"/>
          <w:color w:val="auto"/>
        </w:rPr>
      </w:pPr>
    </w:p>
    <w:p>
      <w:pPr>
        <w:ind w:left="1300" w:right="120" w:hanging="644"/>
        <w:spacing w:after="0" w:line="25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is the largest component of our operating expenses and primarily consists of cash-based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salary, benefits and commissions. Additional sales and marketing expenses include stock-based compensation expense, promotional and other marketing expenses, travel, depreciation of capital equipment and facility-related expenses. We intend to hire additional personnel focused on sales and marketing and expand our sales and marketing efforts worldwide in order to increase our presence in new geographic markets and enterprise verticals, add new customers and increase penetration within our existing customer base.</w:t>
      </w:r>
    </w:p>
    <w:p>
      <w:pPr>
        <w:spacing w:after="0" w:line="193" w:lineRule="exact"/>
        <w:rPr>
          <w:rFonts w:ascii="Arial" w:cs="Arial" w:eastAsia="Arial" w:hAnsi="Arial"/>
          <w:sz w:val="18"/>
          <w:szCs w:val="18"/>
          <w:color w:val="auto"/>
        </w:rPr>
      </w:pPr>
    </w:p>
    <w:p>
      <w:pPr>
        <w:ind w:left="1300" w:right="140" w:hanging="644"/>
        <w:spacing w:after="0" w:line="279"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 consists of cash-based personnel costs as well as professional fees, stock-based compensation expense,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income earned on our cash, cash equivalents and investments. We have historically invested our cash in</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commercial paper, corporate debt securities, municipal bonds, certificates of deposit and term deposits, and U.S. government and agency debt securities.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i w:val="1"/>
          <w:iCs w:val="1"/>
          <w:color w:val="auto"/>
        </w:rPr>
        <w:t>Other expense, net</w:t>
      </w:r>
      <w:r>
        <w:rPr>
          <w:rFonts w:ascii="Arial" w:cs="Arial" w:eastAsia="Arial" w:hAnsi="Arial"/>
          <w:sz w:val="16"/>
          <w:szCs w:val="16"/>
          <w:color w:val="auto"/>
        </w:rPr>
        <w:t>. Other expense, net consists primarily of foreign exchange and related hedging gains and losses. Foreign exchange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relate to foreign currency exchange re-measurement. The hedging gains and losses are related to our settled balance sheet hedges.</w:t>
      </w:r>
    </w:p>
    <w:p>
      <w:pPr>
        <w:spacing w:after="0" w:line="124"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We are subject to tax in the United States as well as other tax jurisdictions or countries in which we conduct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from our non-U.S. activities are subject to income taxes in the local country which are generally lower than U.S. tax rates, and may be subject to U.S. income taxes. Our effective tax rate differs from the U.S. statutory rate primarily due to foreign income subject to different tax rates than the U.S., research and development tax credits, withholding taxes, nondeductible stock-based compensation expense and adjustments related to our intercompany transfer pricing.</w:t>
      </w:r>
    </w:p>
    <w:p>
      <w:pPr>
        <w:spacing w:after="0" w:line="188"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income tax provision for fiscal 2012 was comprised primarily of domestic income taxes, foreign income taxes and withholding taxes. Our effective tax rate approximates the U.S. federal statutory tax rates plus the impact of state taxes, research and development tax credits (when applicable), withholding tax, nondeductible stock-based compensation expense, foreign income subject to lower tax than the U.S., and adjustments related to intercompany transfer pricing.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expense,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of our significant accounting policies, which are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October 2009, the FASB amended the accounting standards for multiple deliverable revenue arrangements to provide guidance on how the deliverables in an arrangement should be separated and eliminates the use of the residual method. The new accounting standards also require an entity to allocate revenue using the relative selling price method. The new accounting standards establish a hierarchy of evidence to determine the stand-alone selling price of a deliverable based on VSOE, third party evidence (“TPE”), and the BESP. If VSOE is available, it would be used to determine the selling price of a deliverable. If VSOE is not available, the entity would determine whether TPE is available. If so, TPE must be used to determine the selling price. If TPE is not available, then the BESP would be used. The new accounting standards amended industry specific revenue accounting guidance for software and software related transactions to exclude from its scope tangible products containing software components and non-software components that function together to deliver the product’s essential functionality.</w:t>
      </w:r>
    </w:p>
    <w:p>
      <w:pPr>
        <w:spacing w:after="0" w:line="179"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This guidance did not generally change the units of accounting for our revenue transactions. Most non-software products and services qualify as separate units of accounting because they have value to the customer on a standalone basis and our revenue arrangements generally do not include a right of return relative to delivered products.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majority of our products are hardware appliances containing software components that function together to provide the essential functionality of the product. Therefore, our hardware appliances are considered non-software deliverables and are no longer within the scope of industry-specific software revenue recognition guidance.</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product revenue also includes software products that may operate on the hardware appliances, but are not considered essential to the functionality of the hardware and continue to be subject to the industry-specific software revenue recognition guidance. Certain of our software, when sold with our appliances, is considered essential to its functionality and as a result is no longer accounted for under industry-specific software revenue recognition guidance. However, this same software, if sold separately, is accounted for under industry-specific software revenue recognition guidance.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 all transactions originating or materially modified after December 31, 2010, we recognize revenue in accordance with the new accounting standards. Certain arrangements with multiple deliverables may continue to have software deliverables that are subject to industry-specific software revenue recognition guidance, along with non-software deliverables that are subject to the new accounting standards. When a sales arrangement contains multiple elements, such as hardware appliances, software, customer support services, and/or professional services, we allocate 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the new revenue recognition accounting guidance.</w:t>
      </w:r>
    </w:p>
    <w:p>
      <w:pPr>
        <w:spacing w:after="0" w:line="178"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VSOE of fair value for elements of an arrangement is based upon the normal pricing and discounting practices for those services when sold separately. In determining VSOE, we require that a substantial majority of the selling prices for a 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 Furthermore, we are unable to reliably determine what similar competitor products’ selling prices are on a stand-alone basis.</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For our hardware appliances, we use BESP as our selling price. For our support and other services, we generally use VSOE as our selling price. When we are unable to establish a selling price using VSOE for our support and other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 We review our BESP estimates on a quarterly basis to coincide with our VSOE review process.</w:t>
      </w:r>
    </w:p>
    <w:p>
      <w:pPr>
        <w:spacing w:after="0" w:line="15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recognize revenue for our software sales based on industry-specific software revenue recognition guidance. Under industry-specific software revenue recognition guidance,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the new revenue recognition accounting guidance and all related interpretations.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42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Persuasive evidence of an arrangement exists. Binding contracts or purchase orders are generally used to determine the existence of an arrangement.</w:t>
      </w:r>
    </w:p>
    <w:p>
      <w:pPr>
        <w:spacing w:after="0" w:line="17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170" w:lineRule="exact"/>
        <w:rPr>
          <w:rFonts w:ascii="Arial" w:cs="Arial" w:eastAsia="Arial" w:hAnsi="Arial"/>
          <w:sz w:val="18"/>
          <w:szCs w:val="18"/>
          <w:color w:val="auto"/>
        </w:rPr>
      </w:pPr>
    </w:p>
    <w:p>
      <w:pPr>
        <w:ind w:left="1300" w:right="80" w:hanging="644"/>
        <w:spacing w:after="0" w:line="31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46"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Certain distributors that stock our products are granted stock rotation rights as well as rebates for sales of our products. The arrangement fee for this group of distributors is not fixed and determinable when products are shipped and revenue is therefore deferred and recognized upon sell-through.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6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17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December 31, 2012, our allowance for sales returns was $2.3 million compared to $2.4 million as of December 31, 2011. If our allowance for sales returns had increased by 10%, or $0.2 million, our net revenue would have decreased by $0.2 million in fiscal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Employees Stock Options. </w:t>
      </w:r>
      <w:r>
        <w:rPr>
          <w:rFonts w:ascii="Arial" w:cs="Arial" w:eastAsia="Arial" w:hAnsi="Arial"/>
          <w:sz w:val="18"/>
          <w:szCs w:val="18"/>
          <w:color w:val="auto"/>
        </w:rPr>
        <w:t>We estimate the fair value of employee stock options using the Black-Scholes-Merton (“Black-Scholes”) pricing model.</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employee stock options, we recognize expense over the requisite service period using the straight-line method. Our option pricing model requires the input of highly subjective assumptions, including the expected stock price volatility, expected term, and forfeiture rate. Any changes in these highly subjective assumptions could significantly impact stock-based compensation expense.</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We estimate the fair value of the rights to acquire stock under our employee stock purchase plan (“ESPP”)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Black-Scholes pricing model. Our ESPP provides for consecutive six-month offering periods and we use our own historical volatility data in the valuation of ESPP shares.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We account for the fair value of restricted stock units (“RSUs”) awarded to employees and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closing market price of our common stock on the date of grant. RSUs are payable in shares of our common stock as the periodic vesting requirements are satisfied. RSUs will vest over a four-year period from the date of grant if the employees, non-employees, or directors, as applicable, remain with us for the duration of the vesting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of Inventory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Inventory is recorded at the lower of cost (using the first-in, first-out method) or market, after we give appropriate consideration to 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would be charged to cost of product revenue. Any write-downs could have an adverse impact on our gross margins and profitability.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Warranty Liabilities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generally provide a one-year warranty on hardware products and a 90-day warranty on software. A provision for estimated future costs related to warranty activities is charged to cost of product revenue based upon historical product failure rates and historical costs incurred in correcting product failures. If we experience an increase in warranty claims compared with our historical experience, or if the cost of servicing warranty claims is greater than expected, our gross margin could be adversely affected.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Income Taxes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account for uncertain tax positions in accordance with U.S. GAAP, which defines the confidence level that a tax position must meet in order to be recognized in the financial statements. The tax effects of a position are recognized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w:t>
      </w:r>
    </w:p>
    <w:p>
      <w:pPr>
        <w:spacing w:after="0" w:line="187"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operations become deductible expenses under applicable income tax laws, or loss or credit carryforwards are utilized.</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net deferred tax asset valuation allowance would be recorded in the income statement for the period that the adjustment is determined to be required.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Should the actual amounts differ from our estimates, the amount of our tax expense and liabilities could be materially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Fiscal Year</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3240" w:type="dxa"/>
            <w:vAlign w:val="bottom"/>
            <w:gridSpan w:val="2"/>
          </w:tcPr>
          <w:p>
            <w:pPr>
              <w:jc w:val="right"/>
              <w:ind w:right="61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 amounts in 000’s)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1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Revenue:</w:t>
            </w: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248,948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197,408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135,140</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Services</w:t>
            </w:r>
          </w:p>
        </w:tc>
        <w:tc>
          <w:tcPr>
            <w:tcW w:w="3240" w:type="dxa"/>
            <w:vAlign w:val="bottom"/>
            <w:gridSpan w:val="2"/>
          </w:tcPr>
          <w:p>
            <w:pPr>
              <w:jc w:val="right"/>
              <w:ind w:right="30"/>
              <w:spacing w:after="0"/>
              <w:rPr>
                <w:sz w:val="20"/>
                <w:szCs w:val="20"/>
                <w:color w:val="auto"/>
              </w:rPr>
            </w:pPr>
            <w:r>
              <w:rPr>
                <w:rFonts w:ascii="Arial" w:cs="Arial" w:eastAsia="Arial" w:hAnsi="Arial"/>
                <w:sz w:val="18"/>
                <w:szCs w:val="18"/>
                <w:color w:val="auto"/>
              </w:rPr>
              <w:t>274,043</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220,268</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172,046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5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10,648</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15,900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5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533,639</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433,576</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324,696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Product</w:t>
            </w:r>
          </w:p>
        </w:tc>
        <w:tc>
          <w:tcPr>
            <w:tcW w:w="3240" w:type="dxa"/>
            <w:vAlign w:val="bottom"/>
            <w:gridSpan w:val="2"/>
          </w:tcPr>
          <w:p>
            <w:pPr>
              <w:jc w:val="right"/>
              <w:ind w:right="30"/>
              <w:spacing w:after="0"/>
              <w:rPr>
                <w:sz w:val="20"/>
                <w:szCs w:val="20"/>
                <w:color w:val="auto"/>
              </w:rPr>
            </w:pPr>
            <w:r>
              <w:rPr>
                <w:rFonts w:ascii="Arial" w:cs="Arial" w:eastAsia="Arial" w:hAnsi="Arial"/>
                <w:sz w:val="18"/>
                <w:szCs w:val="18"/>
                <w:color w:val="auto"/>
              </w:rPr>
              <w:t>93,971</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73,201</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51,944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50,682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35,486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26,967</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3240" w:type="dxa"/>
            <w:vAlign w:val="bottom"/>
            <w:gridSpan w:val="2"/>
          </w:tcPr>
          <w:p>
            <w:pPr>
              <w:jc w:val="right"/>
              <w:ind w:right="30"/>
              <w:spacing w:after="0"/>
              <w:rPr>
                <w:sz w:val="20"/>
                <w:szCs w:val="20"/>
                <w:color w:val="auto"/>
              </w:rPr>
            </w:pPr>
            <w:r>
              <w:rPr>
                <w:rFonts w:ascii="Arial" w:cs="Arial" w:eastAsia="Arial" w:hAnsi="Arial"/>
                <w:sz w:val="18"/>
                <w:szCs w:val="18"/>
                <w:color w:val="auto"/>
              </w:rPr>
              <w:t>2,767</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147,420</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113,598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85,206</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154,977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124,207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83,196</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Services</w:t>
            </w:r>
          </w:p>
        </w:tc>
        <w:tc>
          <w:tcPr>
            <w:tcW w:w="3240" w:type="dxa"/>
            <w:vAlign w:val="bottom"/>
            <w:gridSpan w:val="2"/>
          </w:tcPr>
          <w:p>
            <w:pPr>
              <w:jc w:val="right"/>
              <w:ind w:right="30"/>
              <w:spacing w:after="0"/>
              <w:rPr>
                <w:sz w:val="20"/>
                <w:szCs w:val="20"/>
                <w:color w:val="auto"/>
              </w:rPr>
            </w:pPr>
            <w:r>
              <w:rPr>
                <w:rFonts w:ascii="Arial" w:cs="Arial" w:eastAsia="Arial" w:hAnsi="Arial"/>
                <w:sz w:val="18"/>
                <w:szCs w:val="18"/>
                <w:color w:val="auto"/>
              </w:rPr>
              <w:t>223,361</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184,782</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145,079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5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7,881</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15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386,219</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319,978</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239,490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3240" w:type="dxa"/>
            <w:vAlign w:val="bottom"/>
            <w:gridSpan w:val="2"/>
          </w:tcPr>
          <w:p>
            <w:pPr>
              <w:jc w:val="right"/>
              <w:ind w:right="30"/>
              <w:spacing w:after="0"/>
              <w:rPr>
                <w:sz w:val="20"/>
                <w:szCs w:val="20"/>
                <w:color w:val="auto"/>
              </w:rPr>
            </w:pPr>
            <w:r>
              <w:rPr>
                <w:rFonts w:ascii="Arial" w:cs="Arial" w:eastAsia="Arial" w:hAnsi="Arial"/>
                <w:sz w:val="18"/>
                <w:szCs w:val="18"/>
                <w:color w:val="auto"/>
              </w:rPr>
              <w:t>81,078</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63,577</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49,801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179,155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145,532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111,968</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3240" w:type="dxa"/>
            <w:vAlign w:val="bottom"/>
            <w:gridSpan w:val="2"/>
          </w:tcPr>
          <w:p>
            <w:pPr>
              <w:jc w:val="right"/>
              <w:ind w:right="30"/>
              <w:spacing w:after="0"/>
              <w:rPr>
                <w:sz w:val="20"/>
                <w:szCs w:val="20"/>
                <w:color w:val="auto"/>
              </w:rPr>
            </w:pPr>
            <w:r>
              <w:rPr>
                <w:rFonts w:ascii="Arial" w:cs="Arial" w:eastAsia="Arial" w:hAnsi="Arial"/>
                <w:sz w:val="18"/>
                <w:szCs w:val="18"/>
                <w:color w:val="auto"/>
              </w:rPr>
              <w:t>25,511</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21,965</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22,380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285,744</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231,074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184,149</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100,475</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88,904</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55,341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5,006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104,996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92,073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56,341</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40" w:type="dxa"/>
            <w:vAlign w:val="bottom"/>
            <w:gridSpan w:val="2"/>
          </w:tcPr>
          <w:p>
            <w:pPr>
              <w:jc w:val="right"/>
              <w:ind w:right="30"/>
              <w:spacing w:after="0"/>
              <w:rPr>
                <w:sz w:val="20"/>
                <w:szCs w:val="20"/>
                <w:color w:val="auto"/>
              </w:rPr>
            </w:pPr>
            <w:r>
              <w:rPr>
                <w:rFonts w:ascii="Arial" w:cs="Arial" w:eastAsia="Arial" w:hAnsi="Arial"/>
                <w:sz w:val="18"/>
                <w:szCs w:val="18"/>
                <w:color w:val="auto"/>
              </w:rPr>
              <w:t>38,160</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29,581</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15,096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66,836</w:t>
            </w: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62,492</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41,245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45</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Fiscal Year</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7240" w:type="dxa"/>
            <w:vAlign w:val="bottom"/>
            <w:gridSpan w:val="2"/>
          </w:tcPr>
          <w:p>
            <w:pPr>
              <w:ind w:left="6760"/>
              <w:spacing w:after="0"/>
              <w:rPr>
                <w:sz w:val="20"/>
                <w:szCs w:val="20"/>
                <w:color w:val="auto"/>
              </w:rPr>
            </w:pPr>
            <w:r>
              <w:rPr>
                <w:rFonts w:ascii="Arial" w:cs="Arial" w:eastAsia="Arial" w:hAnsi="Arial"/>
                <w:sz w:val="16"/>
                <w:szCs w:val="16"/>
                <w:b w:val="1"/>
                <w:bCs w:val="1"/>
                <w:color w:val="auto"/>
              </w:rPr>
              <w:t>2012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20"/>
                <w:szCs w:val="20"/>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2010</w:t>
            </w:r>
          </w:p>
        </w:tc>
      </w:tr>
      <w:tr>
        <w:trPr>
          <w:trHeight w:val="33"/>
        </w:trPr>
        <w:tc>
          <w:tcPr>
            <w:tcW w:w="60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(as % of revenue)</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724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Total cost of revenue</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7240" w:type="dxa"/>
            <w:vAlign w:val="bottom"/>
            <w:gridSpan w:val="2"/>
          </w:tcPr>
          <w:p>
            <w:pPr>
              <w:ind w:left="5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r>
      <w:tr>
        <w:trPr>
          <w:trHeight w:val="20"/>
        </w:trPr>
        <w:tc>
          <w:tcPr>
            <w:tcW w:w="6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Fiscal Years 2012 and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752"/>
              <w:spacing w:after="0"/>
              <w:rPr>
                <w:sz w:val="20"/>
                <w:szCs w:val="20"/>
                <w:color w:val="auto"/>
              </w:rPr>
            </w:pPr>
            <w:r>
              <w:rPr>
                <w:rFonts w:ascii="Arial" w:cs="Arial" w:eastAsia="Arial" w:hAnsi="Arial"/>
                <w:sz w:val="16"/>
                <w:szCs w:val="16"/>
                <w:b w:val="1"/>
                <w:bCs w:val="1"/>
                <w:color w:val="auto"/>
                <w:w w:val="89"/>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w w:val="84"/>
              </w:rPr>
              <w:t>2012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w w:val="84"/>
              </w:rPr>
              <w:t>2011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Arial" w:cs="Arial" w:eastAsia="Arial" w:hAnsi="Arial"/>
                <w:sz w:val="16"/>
                <w:szCs w:val="16"/>
                <w:b w:val="1"/>
                <w:bCs w:val="1"/>
                <w:color w:val="auto"/>
              </w:rPr>
              <w:t>%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19"/>
              <w:spacing w:after="0"/>
              <w:rPr>
                <w:sz w:val="20"/>
                <w:szCs w:val="20"/>
                <w:color w:val="auto"/>
              </w:rPr>
            </w:pPr>
            <w:r>
              <w:rPr>
                <w:rFonts w:ascii="Arial" w:cs="Arial" w:eastAsia="Arial" w:hAnsi="Arial"/>
                <w:sz w:val="16"/>
                <w:szCs w:val="16"/>
                <w:b w:val="1"/>
                <w:bCs w:val="1"/>
                <w:color w:val="auto"/>
              </w:rPr>
              <w:t>%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Arial" w:cs="Arial" w:eastAsia="Arial" w:hAnsi="Arial"/>
                <w:sz w:val="16"/>
                <w:szCs w:val="16"/>
                <w:b w:val="1"/>
                <w:bCs w:val="1"/>
                <w:color w:val="auto"/>
                <w:w w:val="86"/>
              </w:rPr>
              <w:t>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39"/>
              <w:spacing w:after="0"/>
              <w:rPr>
                <w:sz w:val="20"/>
                <w:szCs w:val="20"/>
                <w:color w:val="auto"/>
              </w:rPr>
            </w:pPr>
            <w:r>
              <w:rPr>
                <w:rFonts w:ascii="Arial" w:cs="Arial" w:eastAsia="Arial" w:hAnsi="Arial"/>
                <w:sz w:val="16"/>
                <w:szCs w:val="16"/>
                <w:b w:val="1"/>
                <w:bCs w:val="1"/>
                <w:color w:val="auto"/>
                <w:w w:val="89"/>
              </w:rPr>
              <w:t>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 amounts in 000’s)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248,948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197,408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51,540</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53,775</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(5,252)</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533,639</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433,576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100,063</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44,562</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340" w:type="dxa"/>
            <w:vAlign w:val="bottom"/>
          </w:tcPr>
          <w:p>
            <w:pPr>
              <w:ind w:left="500"/>
              <w:spacing w:after="0"/>
              <w:rPr>
                <w:sz w:val="20"/>
                <w:szCs w:val="20"/>
                <w:color w:val="auto"/>
              </w:rPr>
            </w:pPr>
            <w:r>
              <w:rPr>
                <w:rFonts w:ascii="Arial" w:cs="Arial" w:eastAsia="Arial" w:hAnsi="Arial"/>
                <w:sz w:val="18"/>
                <w:szCs w:val="18"/>
                <w:color w:val="auto"/>
              </w:rPr>
              <w:t>Europe, Middle East and Africa</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184,175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152,385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31,790</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Asia Pacific and Japan (“APAC”)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23,711</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533,639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433,576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100,063</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Total revenue increased by $100.1 million, or 23%, in fiscal 2012 compared to fiscal 2011. The Americas region contributed the largest portion of our revenue growth on a percentage basis, while the EMEA and APAC regions both demonstrated growth of over 20%. Product revenue increased by $51.5 million, or 26%, compared to fiscal 2011. The increase in product revenue was primarily driven by greater sales volume in our FortiGate product family due to increased demand across all product categories from our entry-level and mid-range products for smaller enterprises and branch deployments to our high-end products for large enterprise and service provider customers. Services revenue increased by $53.8 million, or 24%, in fiscal 2012 compared to fiscal 2011 due to the recognition of revenue from our growing deferred revenue balance consisting of subscription and support contracts sold to a larger customer base. The decrease in ratable and other revenue of $5.3 million was primarily due to the continuing decline in amortization of ratable revenue. Ratable and other revenue for fiscal</w:t>
      </w:r>
    </w:p>
    <w:p>
      <w:pPr>
        <w:sectPr>
          <w:pgSz w:w="11900" w:h="16838" w:orient="portrait"/>
          <w:cols w:equalWidth="0" w:num="1">
            <w:col w:w="11420"/>
          </w:cols>
          <w:pgMar w:left="240" w:top="122"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2012 included a $3.7 million sale of previously-acquired patents, which was an increase from a $2.6 million sale of previously-acquired patents in fiscal 2011.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Excluding the decline in ratable and other revenue, product and services revenue combined together increased by 25% compared to fiscal 2011.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gridSpan w:val="3"/>
          </w:tcPr>
          <w:p>
            <w:pPr>
              <w:ind w:left="420"/>
              <w:spacing w:after="0"/>
              <w:rPr>
                <w:sz w:val="20"/>
                <w:szCs w:val="20"/>
                <w:color w:val="auto"/>
              </w:rPr>
            </w:pPr>
            <w:r>
              <w:rPr>
                <w:rFonts w:ascii="Arial" w:cs="Arial" w:eastAsia="Arial" w:hAnsi="Arial"/>
                <w:sz w:val="16"/>
                <w:szCs w:val="16"/>
                <w:b w:val="1"/>
                <w:bCs w:val="1"/>
                <w:color w:val="auto"/>
              </w:rPr>
              <w:t>Fiscal Year</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1"/>
        </w:trPr>
        <w:tc>
          <w:tcPr>
            <w:tcW w:w="4880" w:type="dxa"/>
            <w:vAlign w:val="bottom"/>
            <w:gridSpan w:val="2"/>
          </w:tcPr>
          <w:p>
            <w:pPr>
              <w:ind w:left="4540"/>
              <w:spacing w:after="0"/>
              <w:rPr>
                <w:sz w:val="20"/>
                <w:szCs w:val="20"/>
                <w:color w:val="auto"/>
              </w:rPr>
            </w:pPr>
            <w:r>
              <w:rPr>
                <w:rFonts w:ascii="Arial" w:cs="Arial" w:eastAsia="Arial" w:hAnsi="Arial"/>
                <w:sz w:val="16"/>
                <w:szCs w:val="16"/>
                <w:b w:val="1"/>
                <w:bCs w:val="1"/>
                <w:color w:val="auto"/>
                <w:w w:val="89"/>
              </w:rPr>
              <w:t>2012</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551"/>
              <w:spacing w:after="0"/>
              <w:rPr>
                <w:sz w:val="20"/>
                <w:szCs w:val="20"/>
                <w:color w:val="auto"/>
              </w:rPr>
            </w:pPr>
            <w:r>
              <w:rPr>
                <w:rFonts w:ascii="Arial" w:cs="Arial" w:eastAsia="Arial" w:hAnsi="Arial"/>
                <w:sz w:val="16"/>
                <w:szCs w:val="16"/>
                <w:b w:val="1"/>
                <w:bCs w:val="1"/>
                <w:color w:val="auto"/>
                <w:w w:val="88"/>
              </w:rPr>
              <w:t>Change</w:t>
            </w:r>
          </w:p>
        </w:tc>
        <w:tc>
          <w:tcPr>
            <w:tcW w:w="19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gridSpan w:val="3"/>
          </w:tcPr>
          <w:p>
            <w:pPr>
              <w:ind w:left="640"/>
              <w:spacing w:after="0"/>
              <w:rPr>
                <w:sz w:val="20"/>
                <w:szCs w:val="20"/>
                <w:color w:val="auto"/>
              </w:rPr>
            </w:pPr>
            <w:r>
              <w:rPr>
                <w:rFonts w:ascii="Arial" w:cs="Arial" w:eastAsia="Arial" w:hAnsi="Arial"/>
                <w:sz w:val="16"/>
                <w:szCs w:val="16"/>
                <w:b w:val="1"/>
                <w:bCs w:val="1"/>
                <w:color w:val="auto"/>
                <w:w w:val="89"/>
              </w:rPr>
              <w:t>($ amounts in 000’s)</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93,971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73,201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20,770</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50,682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35,486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15,196</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43"/>
        </w:trPr>
        <w:tc>
          <w:tcPr>
            <w:tcW w:w="488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2,767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(2,144)</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7"/>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2"/>
              </w:rPr>
              <w:t>147,420</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113,598</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33,822</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r>
        <w:trPr>
          <w:trHeight w:val="230"/>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Gross margin (%):</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Total gross margin</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920" w:type="dxa"/>
            <w:vAlign w:val="bottom"/>
          </w:tcPr>
          <w:p>
            <w:pPr>
              <w:spacing w:after="0"/>
              <w:rPr>
                <w:sz w:val="21"/>
                <w:szCs w:val="21"/>
                <w:color w:val="auto"/>
              </w:rPr>
            </w:pPr>
          </w:p>
        </w:tc>
      </w:tr>
    </w:tbl>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Total gross margin decreased by 1.4 percentage points in fiscal 2012 compared to fiscal 2011, as both product and services gross margins declined. Product gross margin decreased by 0.6 percentage points in fiscal 2012 compared to fiscal 2011 primarily related to a higher quantity of mid-range products purchased by a large retail customer with lower than average gross margins. We also experienced the impact from cost increases related to higher material costs incurred to support higher density storage requirements for our recent release of FortioOS 5.0, our next generation operating system. From time to time, we have experienced sales of previously reserved inventory. During fiscal 2012, we experienced a positive impact to gross margin of 0.2 percentage points due to the sale of fully reserved inventory compared to a positive impact to gross margin of 0.4 percentage points in the prior year. Services gross margin decreased by 2.4 percentage points during fiscal 2012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revenue increased by $15.2 million primarily due to an $8.6 million increase in cash-based personnel costs related to headcount increases, a $1.9 million increase in stock-based compensation expense, a $1.8 million increase in costs associated with extended support contracts, a $0.7 million increase in occupancy-related costs, a $0.5 million increase in professional services expenses, a $0.5 million increase in travel expenses, and a $1.1 million increase in depreciation and other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753"/>
              <w:spacing w:after="0"/>
              <w:rPr>
                <w:sz w:val="20"/>
                <w:szCs w:val="20"/>
                <w:color w:val="auto"/>
              </w:rPr>
            </w:pPr>
            <w:r>
              <w:rPr>
                <w:rFonts w:ascii="Arial" w:cs="Arial" w:eastAsia="Arial" w:hAnsi="Arial"/>
                <w:sz w:val="16"/>
                <w:szCs w:val="16"/>
                <w:b w:val="1"/>
                <w:bCs w:val="1"/>
                <w:color w:val="auto"/>
                <w:w w:val="89"/>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w w:val="84"/>
              </w:rPr>
              <w:t>2012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w w:val="84"/>
              </w:rPr>
              <w:t>2011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Arial" w:cs="Arial" w:eastAsia="Arial" w:hAnsi="Arial"/>
                <w:sz w:val="16"/>
                <w:szCs w:val="16"/>
                <w:b w:val="1"/>
                <w:bCs w:val="1"/>
                <w:color w:val="auto"/>
              </w:rPr>
              <w:t>%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159"/>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Arial" w:cs="Arial" w:eastAsia="Arial" w:hAnsi="Arial"/>
                <w:sz w:val="16"/>
                <w:szCs w:val="16"/>
                <w:b w:val="1"/>
                <w:bCs w:val="1"/>
                <w:color w:val="auto"/>
                <w:w w:val="86"/>
              </w:rPr>
              <w:t>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auto"/>
                <w:w w:val="89"/>
              </w:rPr>
              <w:t>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 amounts in 000’s)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81,078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17,501</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3,546</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285,744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231,074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54,670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Research and development expense increased by $17.5 million, or 28%, in fiscal 2012 compared to fiscal 2011 primarily due to an increase of $9.3 million in cash-based personnel costs as a result of increased headcount to support the development of new products and continued enhancements of our existing products. In addition, we incurred higher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based compensation expense of $4.5 million, product development expenses of $1.2 million, depreciation expense of $0.9 million, supplies expense of $0.6 million, occupancy-related costs of $0.4 million, and other expenses of $0.5 million. The increase in research and development expense was partially offset by a 2% year-over-year increase in the U.S. dollar exchange rate against the CAD, as a majority of our research and development personnel are located in Canada. We intend to continue to invest in our research and development organization but expect research and development expense as a percentage of revenue to remain at comparable levels in fiscal 2013.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Sales and marketing expense increased by $33.6 million, or 23%, in fiscal 2012 compared to fiscal 2011, primarily due to an increase of $21.6 million in cash-based personnel costs as we continued to increase our sales headcount in order to expand our global footprint. In addition, we incurred increases in stock-based compensation expense of $3.5 million, marketing-related expenses of $3.2 million, depreciation expenses of $1.6 million, occupancy-related costs of $0.7 million, travel expenses of $1.0 million, supplies expense of $0.4 million, and other expenses of $1.2 million. As a percentage of revenue, sales and marketing expenses remained flat as we accelerated the investment in our sales force during the past year to support future growth. The increase in sales and marketing expense was partially offset by a 9% year-over-year increase in the U.S. dollar exchange rate against the Euro. We intend to continue to make investments in our sales resources and infrastructure, which are critical to support sustainable growth but expect sales and marketing expense as a percentage of revenue to remain at comparable levels in fiscal 2013.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General and administrative expense increased by $3.5 million, or 16%, in fiscal 2012 compared to fiscal 2011. Stock-based compensation expense increased by $1.6 million and cash-based personnel costs increased by $0.7 million. In addition, we incurred $1.0 million of litigation settlement expense. We expect general and administrative expense as a percentage of revenue to remain at comparable levels in fiscal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jc w:val="right"/>
              <w:ind w:right="694"/>
              <w:spacing w:after="0"/>
              <w:rPr>
                <w:sz w:val="20"/>
                <w:szCs w:val="20"/>
                <w:color w:val="auto"/>
              </w:rPr>
            </w:pPr>
            <w:r>
              <w:rPr>
                <w:rFonts w:ascii="Arial" w:cs="Arial" w:eastAsia="Arial" w:hAnsi="Arial"/>
                <w:sz w:val="16"/>
                <w:szCs w:val="16"/>
                <w:b w:val="1"/>
                <w:bCs w:val="1"/>
                <w:color w:val="auto"/>
              </w:rPr>
              <w:t>Fiscal Year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1"/>
        </w:trPr>
        <w:tc>
          <w:tcPr>
            <w:tcW w:w="4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2012</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jc w:val="right"/>
              <w:ind w:right="873"/>
              <w:spacing w:after="0"/>
              <w:rPr>
                <w:sz w:val="20"/>
                <w:szCs w:val="20"/>
                <w:color w:val="auto"/>
              </w:rPr>
            </w:pPr>
            <w:r>
              <w:rPr>
                <w:rFonts w:ascii="Arial" w:cs="Arial" w:eastAsia="Arial" w:hAnsi="Arial"/>
                <w:sz w:val="16"/>
                <w:szCs w:val="16"/>
                <w:b w:val="1"/>
                <w:bCs w:val="1"/>
                <w:color w:val="auto"/>
                <w:w w:val="85"/>
              </w:rPr>
              <w:t>Change</w:t>
            </w:r>
          </w:p>
        </w:tc>
        <w:tc>
          <w:tcPr>
            <w:tcW w:w="162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80" w:type="dxa"/>
            <w:vAlign w:val="bottom"/>
            <w:tcBorders>
              <w:bottom w:val="single" w:sz="8" w:color="CCEEFF"/>
            </w:tcBorders>
            <w:shd w:val="clear" w:color="auto" w:fill="CCEEFF"/>
          </w:tcPr>
          <w:p>
            <w:pPr>
              <w:jc w:val="right"/>
              <w:ind w:right="1274"/>
              <w:spacing w:after="0"/>
              <w:rPr>
                <w:sz w:val="20"/>
                <w:szCs w:val="20"/>
                <w:color w:val="auto"/>
              </w:rPr>
            </w:pPr>
            <w:r>
              <w:rPr>
                <w:rFonts w:ascii="Arial" w:cs="Arial" w:eastAsia="Arial" w:hAnsi="Arial"/>
                <w:sz w:val="18"/>
                <w:szCs w:val="18"/>
                <w:color w:val="auto"/>
              </w:rPr>
              <w:t>5,006</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3,523</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1,483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1880" w:type="dxa"/>
            <w:vAlign w:val="bottom"/>
          </w:tcPr>
          <w:p>
            <w:pPr>
              <w:jc w:val="right"/>
              <w:ind w:right="1214"/>
              <w:spacing w:after="0"/>
              <w:rPr>
                <w:sz w:val="20"/>
                <w:szCs w:val="20"/>
                <w:color w:val="auto"/>
              </w:rPr>
            </w:pPr>
            <w:r>
              <w:rPr>
                <w:rFonts w:ascii="Arial" w:cs="Arial" w:eastAsia="Arial" w:hAnsi="Arial"/>
                <w:sz w:val="18"/>
                <w:szCs w:val="18"/>
                <w:color w:val="auto"/>
              </w:rPr>
              <w:t>(485)</w:t>
            </w:r>
          </w:p>
        </w:tc>
        <w:tc>
          <w:tcPr>
            <w:tcW w:w="720" w:type="dxa"/>
            <w:vAlign w:val="bottom"/>
          </w:tcPr>
          <w:p>
            <w:pPr>
              <w:jc w:val="right"/>
              <w:spacing w:after="0"/>
              <w:rPr>
                <w:sz w:val="20"/>
                <w:szCs w:val="20"/>
                <w:color w:val="auto"/>
              </w:rPr>
            </w:pPr>
            <w:r>
              <w:rPr>
                <w:rFonts w:ascii="Arial" w:cs="Arial" w:eastAsia="Arial" w:hAnsi="Arial"/>
                <w:sz w:val="18"/>
                <w:szCs w:val="18"/>
                <w:color w:val="auto"/>
              </w:rPr>
              <w:t>(354)</w:t>
            </w:r>
          </w:p>
        </w:tc>
        <w:tc>
          <w:tcPr>
            <w:tcW w:w="740" w:type="dxa"/>
            <w:vAlign w:val="bottom"/>
          </w:tcPr>
          <w:p>
            <w:pPr>
              <w:spacing w:after="0"/>
              <w:rPr>
                <w:sz w:val="21"/>
                <w:szCs w:val="21"/>
                <w:color w:val="auto"/>
              </w:rPr>
            </w:pP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(131)</w:t>
            </w:r>
          </w:p>
        </w:tc>
        <w:tc>
          <w:tcPr>
            <w:tcW w:w="162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$1.5 million increase in interest income in fiscal 2012 compared to fiscal 2011 was primarily due to interest earned on higher invested balances of cash, cash equivalents and investments. The change in other expense, net, for fiscal 2012 when compared to fiscal 2011, was the result of higher foreign exchange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jc w:val="right"/>
              <w:ind w:right="694"/>
              <w:spacing w:after="0"/>
              <w:rPr>
                <w:sz w:val="20"/>
                <w:szCs w:val="20"/>
                <w:color w:val="auto"/>
              </w:rPr>
            </w:pPr>
            <w:r>
              <w:rPr>
                <w:rFonts w:ascii="Arial" w:cs="Arial" w:eastAsia="Arial" w:hAnsi="Arial"/>
                <w:sz w:val="16"/>
                <w:szCs w:val="16"/>
                <w:b w:val="1"/>
                <w:bCs w:val="1"/>
                <w:color w:val="auto"/>
              </w:rPr>
              <w:t>Fiscal Year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1"/>
        </w:trPr>
        <w:tc>
          <w:tcPr>
            <w:tcW w:w="4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2012</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jc w:val="right"/>
              <w:ind w:right="833"/>
              <w:spacing w:after="0"/>
              <w:rPr>
                <w:sz w:val="20"/>
                <w:szCs w:val="20"/>
                <w:color w:val="auto"/>
              </w:rPr>
            </w:pPr>
            <w:r>
              <w:rPr>
                <w:rFonts w:ascii="Arial" w:cs="Arial" w:eastAsia="Arial" w:hAnsi="Arial"/>
                <w:sz w:val="16"/>
                <w:szCs w:val="16"/>
                <w:b w:val="1"/>
                <w:bCs w:val="1"/>
                <w:color w:val="auto"/>
                <w:w w:val="85"/>
              </w:rPr>
              <w:t>Change</w:t>
            </w:r>
          </w:p>
        </w:tc>
        <w:tc>
          <w:tcPr>
            <w:tcW w:w="166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w w:val="89"/>
              </w:rPr>
              <w:t>($ amounts in 000’s)</w:t>
            </w: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940" w:type="dxa"/>
            <w:vAlign w:val="bottom"/>
            <w:tcBorders>
              <w:bottom w:val="single" w:sz="8" w:color="CCEEFF"/>
            </w:tcBorders>
            <w:shd w:val="clear" w:color="auto" w:fill="CCEEFF"/>
          </w:tcPr>
          <w:p>
            <w:pPr>
              <w:jc w:val="right"/>
              <w:ind w:right="1274"/>
              <w:spacing w:after="0"/>
              <w:rPr>
                <w:sz w:val="20"/>
                <w:szCs w:val="20"/>
                <w:color w:val="auto"/>
              </w:rPr>
            </w:pPr>
            <w:r>
              <w:rPr>
                <w:rFonts w:ascii="Arial" w:cs="Arial" w:eastAsia="Arial" w:hAnsi="Arial"/>
                <w:sz w:val="18"/>
                <w:szCs w:val="18"/>
                <w:color w:val="auto"/>
              </w:rPr>
              <w:t>38,160</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29,581</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8,579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Effective tax rate (%)</w:t>
            </w:r>
          </w:p>
        </w:tc>
        <w:tc>
          <w:tcPr>
            <w:tcW w:w="1940" w:type="dxa"/>
            <w:vAlign w:val="bottom"/>
          </w:tcPr>
          <w:p>
            <w:pPr>
              <w:jc w:val="right"/>
              <w:ind w:right="1274"/>
              <w:spacing w:after="0"/>
              <w:rPr>
                <w:sz w:val="20"/>
                <w:szCs w:val="20"/>
                <w:color w:val="auto"/>
              </w:rPr>
            </w:pPr>
            <w:r>
              <w:rPr>
                <w:rFonts w:ascii="Arial" w:cs="Arial" w:eastAsia="Arial" w:hAnsi="Arial"/>
                <w:sz w:val="18"/>
                <w:szCs w:val="18"/>
                <w:color w:val="auto"/>
              </w:rPr>
              <w:t>36</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1"/>
                <w:szCs w:val="21"/>
                <w:color w:val="auto"/>
              </w:rPr>
            </w:pPr>
          </w:p>
        </w:tc>
        <w:tc>
          <w:tcPr>
            <w:tcW w:w="1440" w:type="dxa"/>
            <w:vAlign w:val="bottom"/>
          </w:tcPr>
          <w:p>
            <w:pPr>
              <w:jc w:val="right"/>
              <w:ind w:right="293"/>
              <w:spacing w:after="0"/>
              <w:rPr>
                <w:sz w:val="20"/>
                <w:szCs w:val="20"/>
                <w:color w:val="auto"/>
              </w:rPr>
            </w:pPr>
            <w:r>
              <w:rPr>
                <w:rFonts w:ascii="Arial" w:cs="Arial" w:eastAsia="Arial" w:hAnsi="Arial"/>
                <w:sz w:val="18"/>
                <w:szCs w:val="18"/>
                <w:color w:val="auto"/>
              </w:rPr>
              <w:t>4</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effective tax rate was 36% for fiscal 2012, compared with an effective tax rate of 32% for fiscal 2011. The provision for income taxes for fiscal 2012 was comprised primarily of federal, state and foreign income taxes as well as the inclusion of stock option benefits, which affected the transfer pricing calculations between some of our foreign subsidiaries. The 2011 effective tax rate was impacted by the inclusion of stock option benefits, which affected the transfer pricing calculations between some of our foreign subsidiaries, as well as research and development tax credit. The increase in the provision for income taxes for fiscal 2012 compared to fiscal 2011 was primarily due to an increase in profits subject to U.S. tax, a decrease in stock option benefits, and their corresponding impact on the transfer pricing calculations between some of our foreign subsidiaries, and the reduction in U.S. Federal Research and Development Tax Credit that was reinstated in fiscal 2013, but not recognized in fiscal 2012.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January 2013, the U.S. Federal Research and Development Tax Credit was reinstated retroactively to fiscal 2012. The U.S. Federal Research and Development Tax Credit benefit will be recorded in the first quarter of fiscal 2013, which is the period of enactment. The State of California will be conducting an audit of our income tax returns for fiscal 2010 and fiscal 2011. We do not currently expect a material impact on our results of operations to arise from this audit that would have a detrimental impact on our income tax liability.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Fiscal Years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752"/>
              <w:spacing w:after="0"/>
              <w:rPr>
                <w:sz w:val="20"/>
                <w:szCs w:val="20"/>
                <w:color w:val="auto"/>
              </w:rPr>
            </w:pPr>
            <w:r>
              <w:rPr>
                <w:rFonts w:ascii="Arial" w:cs="Arial" w:eastAsia="Arial" w:hAnsi="Arial"/>
                <w:sz w:val="16"/>
                <w:szCs w:val="16"/>
                <w:b w:val="1"/>
                <w:bCs w:val="1"/>
                <w:color w:val="auto"/>
                <w:w w:val="89"/>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w w:val="84"/>
              </w:rPr>
              <w:t>2011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w w:val="84"/>
              </w:rPr>
              <w:t>2010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Arial" w:cs="Arial" w:eastAsia="Arial" w:hAnsi="Arial"/>
                <w:sz w:val="16"/>
                <w:szCs w:val="16"/>
                <w:b w:val="1"/>
                <w:bCs w:val="1"/>
                <w:color w:val="auto"/>
              </w:rPr>
              <w:t>%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19"/>
              <w:spacing w:after="0"/>
              <w:rPr>
                <w:sz w:val="20"/>
                <w:szCs w:val="20"/>
                <w:color w:val="auto"/>
              </w:rPr>
            </w:pPr>
            <w:r>
              <w:rPr>
                <w:rFonts w:ascii="Arial" w:cs="Arial" w:eastAsia="Arial" w:hAnsi="Arial"/>
                <w:sz w:val="16"/>
                <w:szCs w:val="16"/>
                <w:b w:val="1"/>
                <w:bCs w:val="1"/>
                <w:color w:val="auto"/>
              </w:rPr>
              <w:t>%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Arial" w:cs="Arial" w:eastAsia="Arial" w:hAnsi="Arial"/>
                <w:sz w:val="16"/>
                <w:szCs w:val="16"/>
                <w:b w:val="1"/>
                <w:bCs w:val="1"/>
                <w:color w:val="auto"/>
                <w:w w:val="86"/>
              </w:rPr>
              <w:t>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39"/>
              <w:spacing w:after="0"/>
              <w:rPr>
                <w:sz w:val="20"/>
                <w:szCs w:val="20"/>
                <w:color w:val="auto"/>
              </w:rPr>
            </w:pPr>
            <w:r>
              <w:rPr>
                <w:rFonts w:ascii="Arial" w:cs="Arial" w:eastAsia="Arial" w:hAnsi="Arial"/>
                <w:sz w:val="16"/>
                <w:szCs w:val="16"/>
                <w:b w:val="1"/>
                <w:bCs w:val="1"/>
                <w:color w:val="auto"/>
                <w:w w:val="89"/>
              </w:rPr>
              <w:t>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 amounts in 000’s)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197,408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62,268</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48,222</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(1,610)</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433,576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324,696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108,880</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48,533</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152,385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30,781</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29,566</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433,576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324,696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108,880</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Total revenue increased by $108.9 million, or 34%, in fiscal 2011 compared to fiscal 2010. The adoption of the new revenue recognition rules, described in Note 1of our consolidated financial statements in Part II, Item 8 of this Annual Report on Form 10-K, contributed to $20.0 million of the increase, primarily with respect to product revenue. The Americas and APAC regions contributed the largest portion of our revenue growth on a percentage basis. Product revenue increased by $62.3 million, or 46%, compared to fiscal 2010. The increase in product revenue was primarily driven by greater sales volume and higher average sales prices in our FortiGate product family due to increased demand for our high-end products from enterprise and service provider customers. The impact of adopting the new revenue recognition rules referenced above also contributed to the increase in product revenue. Services revenue increased by $48.2 million, or 28%, in fiscal 2011 compared to fiscal 2010 due to the recognition of revenue from our increased focus on contract renewals and our growing deferred revenue balance consisting of subscription and support contracts sold to a larger customer base. Ratable and other revenue was $4.2 million lower due to the impact of no longer deferring ratable revenue as a result of the above-mentioned adoption of new revenue recognition rules, offset by a $2.6 million sale of previously-acquired patents.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gridSpan w:val="3"/>
          </w:tcPr>
          <w:p>
            <w:pPr>
              <w:ind w:left="420"/>
              <w:spacing w:after="0"/>
              <w:rPr>
                <w:sz w:val="20"/>
                <w:szCs w:val="20"/>
                <w:color w:val="auto"/>
              </w:rPr>
            </w:pPr>
            <w:r>
              <w:rPr>
                <w:rFonts w:ascii="Arial" w:cs="Arial" w:eastAsia="Arial" w:hAnsi="Arial"/>
                <w:sz w:val="16"/>
                <w:szCs w:val="16"/>
                <w:b w:val="1"/>
                <w:bCs w:val="1"/>
                <w:color w:val="auto"/>
              </w:rPr>
              <w:t>Fiscal Year</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1"/>
        </w:trPr>
        <w:tc>
          <w:tcPr>
            <w:tcW w:w="4880" w:type="dxa"/>
            <w:vAlign w:val="bottom"/>
            <w:gridSpan w:val="2"/>
          </w:tcPr>
          <w:p>
            <w:pPr>
              <w:ind w:left="4540"/>
              <w:spacing w:after="0"/>
              <w:rPr>
                <w:sz w:val="20"/>
                <w:szCs w:val="20"/>
                <w:color w:val="auto"/>
              </w:rPr>
            </w:pPr>
            <w:r>
              <w:rPr>
                <w:rFonts w:ascii="Arial" w:cs="Arial" w:eastAsia="Arial" w:hAnsi="Arial"/>
                <w:sz w:val="16"/>
                <w:szCs w:val="16"/>
                <w:b w:val="1"/>
                <w:bCs w:val="1"/>
                <w:color w:val="auto"/>
                <w:w w:val="89"/>
              </w:rPr>
              <w:t>2011</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551"/>
              <w:spacing w:after="0"/>
              <w:rPr>
                <w:sz w:val="20"/>
                <w:szCs w:val="20"/>
                <w:color w:val="auto"/>
              </w:rPr>
            </w:pPr>
            <w:r>
              <w:rPr>
                <w:rFonts w:ascii="Arial" w:cs="Arial" w:eastAsia="Arial" w:hAnsi="Arial"/>
                <w:sz w:val="16"/>
                <w:szCs w:val="16"/>
                <w:b w:val="1"/>
                <w:bCs w:val="1"/>
                <w:color w:val="auto"/>
                <w:w w:val="88"/>
              </w:rPr>
              <w:t>Change</w:t>
            </w:r>
          </w:p>
        </w:tc>
        <w:tc>
          <w:tcPr>
            <w:tcW w:w="19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gridSpan w:val="3"/>
          </w:tcPr>
          <w:p>
            <w:pPr>
              <w:ind w:left="640"/>
              <w:spacing w:after="0"/>
              <w:rPr>
                <w:sz w:val="20"/>
                <w:szCs w:val="20"/>
                <w:color w:val="auto"/>
              </w:rPr>
            </w:pPr>
            <w:r>
              <w:rPr>
                <w:rFonts w:ascii="Arial" w:cs="Arial" w:eastAsia="Arial" w:hAnsi="Arial"/>
                <w:sz w:val="16"/>
                <w:szCs w:val="16"/>
                <w:b w:val="1"/>
                <w:bCs w:val="1"/>
                <w:color w:val="auto"/>
                <w:w w:val="89"/>
              </w:rPr>
              <w:t>($ amounts in 000’s)</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73,201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51,944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21,257</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35,486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26,967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8,519</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43"/>
        </w:trPr>
        <w:tc>
          <w:tcPr>
            <w:tcW w:w="488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6,295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(1,384)</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7"/>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2"/>
              </w:rPr>
              <w:t>113,598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85,206</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28,392</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r>
        <w:trPr>
          <w:trHeight w:val="230"/>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Gross margin (%):</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Total gross margin</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1"/>
                <w:szCs w:val="21"/>
                <w:color w:val="auto"/>
              </w:rPr>
            </w:pPr>
          </w:p>
        </w:tc>
      </w:tr>
    </w:tbl>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Total gross margin remained consistent in fiscal 2011 compared to fiscal 2010. Product gross margin increased by 1.3 percentage points in fiscal 2011 compared to fiscal 2010 primarily due to a greater mix of our high-end products. From time to time, we have experienced sales of previously reserved inventory. During fiscal 2011, we experienced a positive impact of 0.4 percentage points in our product gross margin due to the sale of fully reserved inventory compared to a positive impact of 0.7 percentage points in fiscal 2010. Services gross margin was relatively flat as we continued to make investments in our support, professional services and FortiGuard global security organizations at a rate slightly greater than the increase in revenue in order to improve service capabilities. Cost of services revenue increased by $8.5 million primarily due to a $6.1 million increase in cash-based personnel costs related to headcount increases, a $0.9 million increase in stock-based compensation expense, a $0.8 million increase in warranty and other expenses and a $0.7 million increase in professional services costs. Ratable and other revenue gross margin increased by 5.1 percentage points as a result of a $2.6 million sale of previously-acquired patents during fiscal 2011, which had a direct positive impact to gross margins.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753"/>
              <w:spacing w:after="0"/>
              <w:rPr>
                <w:sz w:val="20"/>
                <w:szCs w:val="20"/>
                <w:color w:val="auto"/>
              </w:rPr>
            </w:pPr>
            <w:r>
              <w:rPr>
                <w:rFonts w:ascii="Arial" w:cs="Arial" w:eastAsia="Arial" w:hAnsi="Arial"/>
                <w:sz w:val="16"/>
                <w:szCs w:val="16"/>
                <w:b w:val="1"/>
                <w:bCs w:val="1"/>
                <w:color w:val="auto"/>
                <w:w w:val="89"/>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w w:val="84"/>
              </w:rPr>
              <w:t>2011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w w:val="84"/>
              </w:rPr>
              <w:t>2010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Arial" w:cs="Arial" w:eastAsia="Arial" w:hAnsi="Arial"/>
                <w:sz w:val="16"/>
                <w:szCs w:val="16"/>
                <w:b w:val="1"/>
                <w:bCs w:val="1"/>
                <w:color w:val="auto"/>
              </w:rPr>
              <w:t>%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159"/>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Arial" w:cs="Arial" w:eastAsia="Arial" w:hAnsi="Arial"/>
                <w:sz w:val="16"/>
                <w:szCs w:val="16"/>
                <w:b w:val="1"/>
                <w:bCs w:val="1"/>
                <w:color w:val="auto"/>
                <w:w w:val="86"/>
              </w:rPr>
              <w:t>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auto"/>
                <w:w w:val="89"/>
              </w:rPr>
              <w:t>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 amounts in 000’s)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63,577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13,776</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33,564</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21,965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231,074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184,149</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46,925</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Research and development expense increased by $13.8 million, or 28%, in fiscal 2011 compared to fiscal 2010 primarily due to an increase in cash-based personnel costs and stock-based compensation expense. Cash-based personnel costs increased by $9.7 million as a result of increased headcount to support continued enhancements of our existing products. Stock-based compensation expense increased by $2.4 million primarily due to the increase in headcount and stock price, and the introduction of the ESPP in fiscal 2011. In addition, we incurred increases in product development expenses, such as non-recurring engineering, testing and certifications of $0.8 million, depreciation expense of $0.6 million, occupancy-related costs of $0.2 million and other expenses of $0.1 million. The increase in the CAD exchange rate against the U.S. dollar also significantly contributed to the increase in research and development expenses by $2.0 million.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Sales and marketing expense increased by $33.6 million, or 30%, in fiscal 2011 compared to fiscal 2010 as we continued to increase our sales headcount in order to expand our global footprint. Cash-based personnel costs increased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$21.3 million primarily as a result of increased headcount. Stock-based compensation expense increased by $5.5 million primarily due to the increase in headcount and stock price, and the introduction of the ESPP in fiscal 2011. In addition, we incurred increases in marketing-related expenses of $2.9 million and travel of $1.5 million to support our overall revenue growth of 34%. We also had a combined $1.6 million increase in depreciation and other expenses and a $0.8 million increase in occupancy-related costs. As a percentage of revenue, sales and marketing expenses decreased by 0.9 percentage points due to the leverage achieved from the investment in our sales force in fiscal 2011, as evidenced by revenue growth of 34% exceeding sales and marketing expenses growth of 30%.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In fiscal 2011, general and administrative expense decreased by $0.4 million, or 2%, compared to fiscal 2010. Cash-based personnel costs increased by $1.5 million, stock-based compensation expense increased by $0.9 million and occupancy-related costs and other expenses increased by a combined $0.1 million, partially offset by $2.0 million in royalties received from a patent settlement and a $1.0 million decrease in legal expenses compared to fiscal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00" w:type="dxa"/>
            <w:vAlign w:val="bottom"/>
          </w:tcPr>
          <w:p>
            <w:pPr>
              <w:jc w:val="right"/>
              <w:ind w:right="694"/>
              <w:spacing w:after="0"/>
              <w:rPr>
                <w:sz w:val="20"/>
                <w:szCs w:val="20"/>
                <w:color w:val="auto"/>
              </w:rPr>
            </w:pPr>
            <w:r>
              <w:rPr>
                <w:rFonts w:ascii="Arial" w:cs="Arial" w:eastAsia="Arial" w:hAnsi="Arial"/>
                <w:sz w:val="16"/>
                <w:szCs w:val="16"/>
                <w:b w:val="1"/>
                <w:bCs w:val="1"/>
                <w:color w:val="auto"/>
              </w:rPr>
              <w:t>Fiscal Year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1"/>
        </w:trPr>
        <w:tc>
          <w:tcPr>
            <w:tcW w:w="4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2011</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jc w:val="right"/>
              <w:ind w:right="833"/>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w w:val="89"/>
              </w:rPr>
              <w:t>($ amounts in 000’s)</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900" w:type="dxa"/>
            <w:vAlign w:val="bottom"/>
            <w:tcBorders>
              <w:bottom w:val="single" w:sz="8" w:color="CCEEFF"/>
            </w:tcBorders>
            <w:shd w:val="clear" w:color="auto" w:fill="CCEEFF"/>
          </w:tcPr>
          <w:p>
            <w:pPr>
              <w:jc w:val="right"/>
              <w:ind w:right="1274"/>
              <w:spacing w:after="0"/>
              <w:rPr>
                <w:sz w:val="20"/>
                <w:szCs w:val="20"/>
                <w:color w:val="auto"/>
              </w:rPr>
            </w:pPr>
            <w:r>
              <w:rPr>
                <w:rFonts w:ascii="Arial" w:cs="Arial" w:eastAsia="Arial" w:hAnsi="Arial"/>
                <w:sz w:val="18"/>
                <w:szCs w:val="18"/>
                <w:color w:val="auto"/>
              </w:rPr>
              <w:t>3,523</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1,815</w:t>
            </w:r>
          </w:p>
        </w:tc>
        <w:tc>
          <w:tcPr>
            <w:tcW w:w="7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1,708</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1900" w:type="dxa"/>
            <w:vAlign w:val="bottom"/>
          </w:tcPr>
          <w:p>
            <w:pPr>
              <w:jc w:val="right"/>
              <w:ind w:right="1214"/>
              <w:spacing w:after="0"/>
              <w:rPr>
                <w:sz w:val="20"/>
                <w:szCs w:val="20"/>
                <w:color w:val="auto"/>
              </w:rPr>
            </w:pPr>
            <w:r>
              <w:rPr>
                <w:rFonts w:ascii="Arial" w:cs="Arial" w:eastAsia="Arial" w:hAnsi="Arial"/>
                <w:sz w:val="18"/>
                <w:szCs w:val="18"/>
                <w:color w:val="auto"/>
              </w:rPr>
              <w:t>(354)</w:t>
            </w:r>
          </w:p>
        </w:tc>
        <w:tc>
          <w:tcPr>
            <w:tcW w:w="720" w:type="dxa"/>
            <w:vAlign w:val="bottom"/>
          </w:tcPr>
          <w:p>
            <w:pPr>
              <w:jc w:val="right"/>
              <w:spacing w:after="0"/>
              <w:rPr>
                <w:sz w:val="20"/>
                <w:szCs w:val="20"/>
                <w:color w:val="auto"/>
              </w:rPr>
            </w:pPr>
            <w:r>
              <w:rPr>
                <w:rFonts w:ascii="Arial" w:cs="Arial" w:eastAsia="Arial" w:hAnsi="Arial"/>
                <w:sz w:val="18"/>
                <w:szCs w:val="18"/>
                <w:color w:val="auto"/>
              </w:rPr>
              <w:t>(815)</w:t>
            </w:r>
          </w:p>
        </w:tc>
        <w:tc>
          <w:tcPr>
            <w:tcW w:w="740" w:type="dxa"/>
            <w:vAlign w:val="bottom"/>
          </w:tcPr>
          <w:p>
            <w:pPr>
              <w:spacing w:after="0"/>
              <w:rPr>
                <w:sz w:val="21"/>
                <w:szCs w:val="21"/>
                <w:color w:val="auto"/>
              </w:rPr>
            </w:pPr>
          </w:p>
        </w:tc>
        <w:tc>
          <w:tcPr>
            <w:tcW w:w="1460" w:type="dxa"/>
            <w:vAlign w:val="bottom"/>
          </w:tcPr>
          <w:p>
            <w:pPr>
              <w:jc w:val="right"/>
              <w:ind w:right="293"/>
              <w:spacing w:after="0"/>
              <w:rPr>
                <w:sz w:val="20"/>
                <w:szCs w:val="20"/>
                <w:color w:val="auto"/>
              </w:rPr>
            </w:pPr>
            <w:r>
              <w:rPr>
                <w:rFonts w:ascii="Arial" w:cs="Arial" w:eastAsia="Arial" w:hAnsi="Arial"/>
                <w:sz w:val="18"/>
                <w:szCs w:val="18"/>
                <w:color w:val="auto"/>
              </w:rPr>
              <w:t>461</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$1.7 million increase in interest income in fiscal 2011 compared to fiscal 2010 was primarily due to interest earned on higher invested balances of cash, cash equivalents and investments. The change in other expense, net, for fiscal 2011 when compared to fiscal 2010 was the result of lower foreign exchange losses in fiscal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jc w:val="right"/>
              <w:ind w:right="694"/>
              <w:spacing w:after="0"/>
              <w:rPr>
                <w:sz w:val="20"/>
                <w:szCs w:val="20"/>
                <w:color w:val="auto"/>
              </w:rPr>
            </w:pPr>
            <w:r>
              <w:rPr>
                <w:rFonts w:ascii="Arial" w:cs="Arial" w:eastAsia="Arial" w:hAnsi="Arial"/>
                <w:sz w:val="16"/>
                <w:szCs w:val="16"/>
                <w:b w:val="1"/>
                <w:bCs w:val="1"/>
                <w:color w:val="auto"/>
              </w:rPr>
              <w:t>Fiscal Year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1"/>
        </w:trPr>
        <w:tc>
          <w:tcPr>
            <w:tcW w:w="4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2011</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jc w:val="right"/>
              <w:ind w:right="833"/>
              <w:spacing w:after="0"/>
              <w:rPr>
                <w:sz w:val="20"/>
                <w:szCs w:val="20"/>
                <w:color w:val="auto"/>
              </w:rPr>
            </w:pPr>
            <w:r>
              <w:rPr>
                <w:rFonts w:ascii="Arial" w:cs="Arial" w:eastAsia="Arial" w:hAnsi="Arial"/>
                <w:sz w:val="16"/>
                <w:szCs w:val="16"/>
                <w:b w:val="1"/>
                <w:bCs w:val="1"/>
                <w:color w:val="auto"/>
                <w:w w:val="85"/>
              </w:rPr>
              <w:t>Change</w:t>
            </w:r>
          </w:p>
        </w:tc>
        <w:tc>
          <w:tcPr>
            <w:tcW w:w="166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w w:val="89"/>
              </w:rPr>
              <w:t>($ amounts in 000’s)</w:t>
            </w: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940" w:type="dxa"/>
            <w:vAlign w:val="bottom"/>
            <w:tcBorders>
              <w:bottom w:val="single" w:sz="8" w:color="CCEEFF"/>
            </w:tcBorders>
            <w:shd w:val="clear" w:color="auto" w:fill="CCEEFF"/>
          </w:tcPr>
          <w:p>
            <w:pPr>
              <w:jc w:val="right"/>
              <w:ind w:right="1274"/>
              <w:spacing w:after="0"/>
              <w:rPr>
                <w:sz w:val="20"/>
                <w:szCs w:val="20"/>
                <w:color w:val="auto"/>
              </w:rPr>
            </w:pPr>
            <w:r>
              <w:rPr>
                <w:rFonts w:ascii="Arial" w:cs="Arial" w:eastAsia="Arial" w:hAnsi="Arial"/>
                <w:sz w:val="18"/>
                <w:szCs w:val="18"/>
                <w:color w:val="auto"/>
              </w:rPr>
              <w:t>29,581</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15,096</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14,485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Effective tax rate (%)</w:t>
            </w:r>
          </w:p>
        </w:tc>
        <w:tc>
          <w:tcPr>
            <w:tcW w:w="1940" w:type="dxa"/>
            <w:vAlign w:val="bottom"/>
          </w:tcPr>
          <w:p>
            <w:pPr>
              <w:jc w:val="right"/>
              <w:ind w:right="1274"/>
              <w:spacing w:after="0"/>
              <w:rPr>
                <w:sz w:val="20"/>
                <w:szCs w:val="20"/>
                <w:color w:val="auto"/>
              </w:rPr>
            </w:pPr>
            <w:r>
              <w:rPr>
                <w:rFonts w:ascii="Arial" w:cs="Arial" w:eastAsia="Arial" w:hAnsi="Arial"/>
                <w:sz w:val="18"/>
                <w:szCs w:val="18"/>
                <w:color w:val="auto"/>
              </w:rPr>
              <w:t>32</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21"/>
                <w:szCs w:val="21"/>
                <w:color w:val="auto"/>
              </w:rPr>
            </w:pPr>
          </w:p>
        </w:tc>
        <w:tc>
          <w:tcPr>
            <w:tcW w:w="1440" w:type="dxa"/>
            <w:vAlign w:val="bottom"/>
          </w:tcPr>
          <w:p>
            <w:pPr>
              <w:jc w:val="right"/>
              <w:ind w:right="293"/>
              <w:spacing w:after="0"/>
              <w:rPr>
                <w:sz w:val="20"/>
                <w:szCs w:val="20"/>
                <w:color w:val="auto"/>
              </w:rPr>
            </w:pPr>
            <w:r>
              <w:rPr>
                <w:rFonts w:ascii="Arial" w:cs="Arial" w:eastAsia="Arial" w:hAnsi="Arial"/>
                <w:sz w:val="18"/>
                <w:szCs w:val="18"/>
                <w:color w:val="auto"/>
              </w:rPr>
              <w:t>5</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effective tax rate was 32% for fiscal 2011, compared with an effective tax rate of 27% for fiscal 2010. The provision for income taxes for fiscal 2011 was comprised primarily of federal, state and foreign income taxes. The 2010 effective tax rate was impacted by the inclusion of stock option benefits, which affected the transfer pricing calculations between some of our foreign subsidiaries, as well as the reinstated U.S. Federal Research and Development Tax Credit. The increase in the provision for income taxes for fiscal 2011 compared to fiscal 2010 was primarily due to an increase in profits subject to U.S. tax.</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following table sets forth our unaudited quarterly statements of operations data for the last eight fiscal quarters. 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 31,</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020" w:type="dxa"/>
            <w:vAlign w:val="bottom"/>
          </w:tcPr>
          <w:p>
            <w:pPr>
              <w:jc w:val="right"/>
              <w:ind w:right="171"/>
              <w:spacing w:after="0"/>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0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gridSpan w:val="8"/>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8"/>
          </w:tcPr>
          <w:p>
            <w:pPr>
              <w:jc w:val="center"/>
              <w:ind w:right="160"/>
              <w:spacing w:after="0"/>
              <w:rPr>
                <w:sz w:val="20"/>
                <w:szCs w:val="20"/>
                <w:color w:val="auto"/>
              </w:rPr>
            </w:pPr>
            <w:r>
              <w:rPr>
                <w:rFonts w:ascii="Arial" w:cs="Arial" w:eastAsia="Arial" w:hAnsi="Arial"/>
                <w:sz w:val="16"/>
                <w:szCs w:val="16"/>
                <w:b w:val="1"/>
                <w:bCs w:val="1"/>
                <w:color w:val="auto"/>
                <w:w w:val="90"/>
              </w:rPr>
              <w:t>($ amounts in 000’s, except per share amounts)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Consolidated Statements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Operations Data:</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40,165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46,687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53,093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61,692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71,025</w:t>
            </w:r>
          </w:p>
        </w:tc>
        <w:tc>
          <w:tcPr>
            <w:tcW w:w="0" w:type="dxa"/>
            <w:vAlign w:val="bottom"/>
          </w:tcPr>
          <w:p>
            <w:pPr>
              <w:spacing w:after="0"/>
              <w:rPr>
                <w:sz w:val="1"/>
                <w:szCs w:val="1"/>
                <w:color w:val="auto"/>
              </w:rPr>
            </w:pPr>
          </w:p>
        </w:tc>
      </w:tr>
      <w:tr>
        <w:trPr>
          <w:trHeight w:val="243"/>
        </w:trPr>
        <w:tc>
          <w:tcPr>
            <w:tcW w:w="24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48,686</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52,671</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57,835</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61,076</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62,138</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65,412</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69,782</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76,711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4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9"/>
              </w:rPr>
              <w:t>Ratable and other revenue</w:t>
            </w: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4,415</w:t>
            </w: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3,665</w:t>
            </w: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5,498</w:t>
            </w: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3,459</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9"/>
                <w:szCs w:val="9"/>
                <w:color w:val="auto"/>
              </w:rPr>
              <w:t>(1)</w:t>
            </w: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93,266</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103,023</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116,426</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120,861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117,247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128,962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136,268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151,162</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500"/>
              <w:spacing w:after="0"/>
              <w:rPr>
                <w:sz w:val="20"/>
                <w:szCs w:val="20"/>
                <w:color w:val="auto"/>
              </w:rPr>
            </w:pPr>
            <w:r>
              <w:rPr>
                <w:rFonts w:ascii="Arial" w:cs="Arial" w:eastAsia="Arial" w:hAnsi="Arial"/>
                <w:sz w:val="18"/>
                <w:szCs w:val="18"/>
                <w:color w:val="auto"/>
              </w:rPr>
              <w:t xml:space="preserve">Product </w:t>
            </w:r>
            <w:r>
              <w:rPr>
                <w:rFonts w:ascii="Arial" w:cs="Arial" w:eastAsia="Arial" w:hAnsi="Arial"/>
                <w:sz w:val="18"/>
                <w:szCs w:val="18"/>
                <w:color w:val="auto"/>
                <w:vertAlign w:val="superscript"/>
              </w:rPr>
              <w:t>(2)</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14,075</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16,591</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20,606</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21,929</w:t>
            </w:r>
          </w:p>
        </w:tc>
        <w:tc>
          <w:tcPr>
            <w:tcW w:w="1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19,067</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23,935</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23,995</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26,974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Services </w:t>
            </w:r>
            <w:r>
              <w:rPr>
                <w:rFonts w:ascii="Arial" w:cs="Arial" w:eastAsia="Arial" w:hAnsi="Arial"/>
                <w:sz w:val="18"/>
                <w:szCs w:val="18"/>
                <w:color w:val="auto"/>
                <w:vertAlign w:val="superscript"/>
              </w:rPr>
              <w:t>(2)</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7,781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8,596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9,438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9,671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12,467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13,166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13,836</w:t>
            </w:r>
          </w:p>
        </w:tc>
        <w:tc>
          <w:tcPr>
            <w:tcW w:w="0" w:type="dxa"/>
            <w:vAlign w:val="bottom"/>
          </w:tcPr>
          <w:p>
            <w:pPr>
              <w:spacing w:after="0"/>
              <w:rPr>
                <w:sz w:val="1"/>
                <w:szCs w:val="1"/>
                <w:color w:val="auto"/>
              </w:rPr>
            </w:pPr>
          </w:p>
        </w:tc>
      </w:tr>
      <w:tr>
        <w:trPr>
          <w:trHeight w:val="243"/>
        </w:trPr>
        <w:tc>
          <w:tcPr>
            <w:tcW w:w="2420" w:type="dxa"/>
            <w:vAlign w:val="bottom"/>
          </w:tcPr>
          <w:p>
            <w:pPr>
              <w:ind w:left="500"/>
              <w:spacing w:after="0"/>
              <w:rPr>
                <w:sz w:val="20"/>
                <w:szCs w:val="20"/>
                <w:color w:val="auto"/>
              </w:rPr>
            </w:pPr>
            <w:r>
              <w:rPr>
                <w:rFonts w:ascii="Arial" w:cs="Arial" w:eastAsia="Arial" w:hAnsi="Arial"/>
                <w:sz w:val="18"/>
                <w:szCs w:val="18"/>
                <w:color w:val="auto"/>
                <w:w w:val="89"/>
              </w:rPr>
              <w:t>Ratable and other revenue</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23,416</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26,558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31,139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32,486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31,043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37,127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41,442</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69,850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76,465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85,287</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88,375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86,204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91,835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98,460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109,720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500"/>
              <w:spacing w:after="0"/>
              <w:rPr>
                <w:sz w:val="20"/>
                <w:szCs w:val="20"/>
                <w:color w:val="auto"/>
              </w:rPr>
            </w:pPr>
            <w:r>
              <w:rPr>
                <w:rFonts w:ascii="Arial" w:cs="Arial" w:eastAsia="Arial" w:hAnsi="Arial"/>
                <w:sz w:val="18"/>
                <w:szCs w:val="18"/>
                <w:color w:val="auto"/>
              </w:rPr>
              <w:t>Research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500"/>
              <w:spacing w:after="0"/>
              <w:rPr>
                <w:sz w:val="20"/>
                <w:szCs w:val="20"/>
                <w:color w:val="auto"/>
              </w:rPr>
            </w:pPr>
            <w:r>
              <w:rPr>
                <w:rFonts w:ascii="Arial" w:cs="Arial" w:eastAsia="Arial" w:hAnsi="Arial"/>
                <w:sz w:val="18"/>
                <w:szCs w:val="18"/>
                <w:color w:val="auto"/>
              </w:rPr>
              <w:t xml:space="preserve">development </w:t>
            </w:r>
            <w:r>
              <w:rPr>
                <w:rFonts w:ascii="Arial" w:cs="Arial" w:eastAsia="Arial" w:hAnsi="Arial"/>
                <w:sz w:val="18"/>
                <w:szCs w:val="18"/>
                <w:color w:val="auto"/>
                <w:vertAlign w:val="superscript"/>
              </w:rPr>
              <w:t>(2)</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14,421</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15,942</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16,834</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16,379</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19,667</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20,388</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20,498</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20,525</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8"/>
                <w:szCs w:val="18"/>
                <w:color w:val="auto"/>
                <w:vertAlign w:val="superscript"/>
              </w:rPr>
              <w:t>(2)</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32,718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35,896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36,934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39,984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42,036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44,259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44,743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48,117</w:t>
            </w:r>
          </w:p>
        </w:tc>
        <w:tc>
          <w:tcPr>
            <w:tcW w:w="0" w:type="dxa"/>
            <w:vAlign w:val="bottom"/>
          </w:tcPr>
          <w:p>
            <w:pPr>
              <w:spacing w:after="0"/>
              <w:rPr>
                <w:sz w:val="1"/>
                <w:szCs w:val="1"/>
                <w:color w:val="auto"/>
              </w:rPr>
            </w:pPr>
          </w:p>
        </w:tc>
      </w:tr>
      <w:tr>
        <w:trPr>
          <w:trHeight w:val="229"/>
        </w:trPr>
        <w:tc>
          <w:tcPr>
            <w:tcW w:w="2420" w:type="dxa"/>
            <w:vAlign w:val="bottom"/>
          </w:tcPr>
          <w:p>
            <w:pPr>
              <w:ind w:left="500"/>
              <w:spacing w:after="0"/>
              <w:rPr>
                <w:sz w:val="20"/>
                <w:szCs w:val="20"/>
                <w:color w:val="auto"/>
              </w:rPr>
            </w:pPr>
            <w:r>
              <w:rPr>
                <w:rFonts w:ascii="Arial" w:cs="Arial" w:eastAsia="Arial" w:hAnsi="Arial"/>
                <w:sz w:val="18"/>
                <w:szCs w:val="18"/>
                <w:color w:val="auto"/>
              </w:rPr>
              <w:t>General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4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 xml:space="preserve">administrative </w:t>
            </w:r>
            <w:r>
              <w:rPr>
                <w:rFonts w:ascii="Arial" w:cs="Arial" w:eastAsia="Arial" w:hAnsi="Arial"/>
                <w:sz w:val="18"/>
                <w:szCs w:val="18"/>
                <w:color w:val="auto"/>
                <w:vertAlign w:val="superscript"/>
              </w:rPr>
              <w:t>(2)</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5,266</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5,359</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5,786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6,238</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7,449</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52,405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57,686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59,127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61,855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67,489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70,885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72,690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74,680</w:t>
            </w:r>
          </w:p>
        </w:tc>
        <w:tc>
          <w:tcPr>
            <w:tcW w:w="0" w:type="dxa"/>
            <w:vAlign w:val="bottom"/>
          </w:tcPr>
          <w:p>
            <w:pPr>
              <w:spacing w:after="0"/>
              <w:rPr>
                <w:sz w:val="1"/>
                <w:szCs w:val="1"/>
                <w:color w:val="auto"/>
              </w:rPr>
            </w:pPr>
          </w:p>
        </w:tc>
      </w:tr>
      <w:tr>
        <w:trPr>
          <w:trHeight w:val="256"/>
        </w:trPr>
        <w:tc>
          <w:tcPr>
            <w:tcW w:w="2420" w:type="dxa"/>
            <w:vAlign w:val="bottom"/>
          </w:tcPr>
          <w:p>
            <w:pPr>
              <w:ind w:left="40"/>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8"/>
                <w:szCs w:val="18"/>
                <w:color w:val="auto"/>
                <w:vertAlign w:val="superscript"/>
              </w:rPr>
              <w:t>(3)</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17,445</w:t>
            </w:r>
          </w:p>
        </w:tc>
        <w:tc>
          <w:tcPr>
            <w:tcW w:w="120" w:type="dxa"/>
            <w:vAlign w:val="bottom"/>
          </w:tcPr>
          <w:p>
            <w:pPr>
              <w:spacing w:after="0"/>
              <w:rPr>
                <w:sz w:val="22"/>
                <w:szCs w:val="22"/>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18,779</w:t>
            </w:r>
          </w:p>
        </w:tc>
        <w:tc>
          <w:tcPr>
            <w:tcW w:w="120" w:type="dxa"/>
            <w:vAlign w:val="bottom"/>
          </w:tcPr>
          <w:p>
            <w:pPr>
              <w:spacing w:after="0"/>
              <w:rPr>
                <w:sz w:val="22"/>
                <w:szCs w:val="22"/>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26,160</w:t>
            </w:r>
          </w:p>
        </w:tc>
        <w:tc>
          <w:tcPr>
            <w:tcW w:w="120" w:type="dxa"/>
            <w:vAlign w:val="bottom"/>
          </w:tcPr>
          <w:p>
            <w:pPr>
              <w:spacing w:after="0"/>
              <w:rPr>
                <w:sz w:val="22"/>
                <w:szCs w:val="22"/>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26,520</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18,715</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20,950</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25,770</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35,040</w:t>
            </w:r>
          </w:p>
        </w:tc>
        <w:tc>
          <w:tcPr>
            <w:tcW w:w="0" w:type="dxa"/>
            <w:vAlign w:val="bottom"/>
          </w:tcPr>
          <w:p>
            <w:pPr>
              <w:spacing w:after="0"/>
              <w:rPr>
                <w:sz w:val="1"/>
                <w:szCs w:val="1"/>
                <w:color w:val="auto"/>
              </w:rPr>
            </w:pPr>
          </w:p>
        </w:tc>
      </w:tr>
      <w:tr>
        <w:trPr>
          <w:trHeight w:val="258"/>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19,435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36,270</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4,556</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4,941</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9,207</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14,763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8"/>
                <w:szCs w:val="18"/>
                <w:color w:val="auto"/>
                <w:vertAlign w:val="superscript"/>
              </w:rPr>
              <w:t>(3)</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13,587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14,494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17,917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16,494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14,173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13,950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17,206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21,507</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attributable to common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4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18"/>
                <w:szCs w:val="18"/>
                <w:color w:val="auto"/>
                <w:vertAlign w:val="superscript"/>
              </w:rPr>
              <w:t>(4)</w:t>
            </w:r>
            <w:r>
              <w:rPr>
                <w:rFonts w:ascii="Arial" w:cs="Arial" w:eastAsia="Arial" w:hAnsi="Arial"/>
                <w:sz w:val="14"/>
                <w:szCs w:val="14"/>
                <w:color w:val="auto"/>
              </w:rPr>
              <w: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9"/>
                <w:szCs w:val="9"/>
                <w:color w:val="auto"/>
              </w:rPr>
              <w:t>_______________________________________________</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60" w:right="80" w:hanging="652"/>
        <w:spacing w:after="0" w:line="255"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Ratable and other revenue included the sales of previously-acquired patents of $2.6 million, $1.8 million and $1.9 million for the three months ended September 30, 2011, September 30, 2012 and December 31, 2012,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stock-based compensation expense and patent settlement income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 31,</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2012 </w:t>
            </w:r>
            <w:r>
              <w:rPr>
                <w:rFonts w:ascii="Arial" w:cs="Arial" w:eastAsia="Arial" w:hAnsi="Arial"/>
                <w:sz w:val="17"/>
                <w:szCs w:val="17"/>
                <w:b w:val="1"/>
                <w:bCs w:val="1"/>
                <w:color w:val="auto"/>
                <w:vertAlign w:val="superscript"/>
              </w:rPr>
              <w:t>(3)</w:t>
            </w: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9"/>
              </w:rPr>
              <w:t>($ amounts in 000’s)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Cost of product revenue</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7"/>
        </w:trPr>
        <w:tc>
          <w:tcPr>
            <w:tcW w:w="2420" w:type="dxa"/>
            <w:vAlign w:val="bottom"/>
          </w:tcPr>
          <w:p>
            <w:pPr>
              <w:ind w:left="500"/>
              <w:spacing w:after="0"/>
              <w:rPr>
                <w:sz w:val="20"/>
                <w:szCs w:val="20"/>
                <w:color w:val="auto"/>
              </w:rPr>
            </w:pPr>
            <w:r>
              <w:rPr>
                <w:rFonts w:ascii="Arial" w:cs="Arial" w:eastAsia="Arial" w:hAnsi="Arial"/>
                <w:sz w:val="16"/>
                <w:szCs w:val="16"/>
                <w:color w:val="auto"/>
              </w:rPr>
              <w:t>Cost of services revenue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7"/>
              </w:rPr>
              <w:t>Research and development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237"/>
        </w:trPr>
        <w:tc>
          <w:tcPr>
            <w:tcW w:w="2420" w:type="dxa"/>
            <w:vAlign w:val="bottom"/>
          </w:tcPr>
          <w:p>
            <w:pPr>
              <w:ind w:left="500"/>
              <w:spacing w:after="0"/>
              <w:rPr>
                <w:sz w:val="20"/>
                <w:szCs w:val="20"/>
                <w:color w:val="auto"/>
              </w:rPr>
            </w:pPr>
            <w:r>
              <w:rPr>
                <w:rFonts w:ascii="Arial" w:cs="Arial" w:eastAsia="Arial" w:hAnsi="Arial"/>
                <w:sz w:val="16"/>
                <w:szCs w:val="16"/>
                <w:color w:val="auto"/>
              </w:rPr>
              <w:t>Sales and marketing</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2,708</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3,036</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3,475</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3,879</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9"/>
              </w:rPr>
              <w:t>General and administrative</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rPr>
              <w:t>Total stock-based compensation</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40"/>
              <w:spacing w:after="0"/>
              <w:rPr>
                <w:sz w:val="20"/>
                <w:szCs w:val="20"/>
                <w:color w:val="auto"/>
              </w:rPr>
            </w:pPr>
            <w:r>
              <w:rPr>
                <w:rFonts w:ascii="Arial" w:cs="Arial" w:eastAsia="Arial" w:hAnsi="Arial"/>
                <w:sz w:val="16"/>
                <w:szCs w:val="16"/>
                <w:color w:val="auto"/>
              </w:rPr>
              <w:t>expense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3,070</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3,870</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5,734</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6,341</w:t>
            </w: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7,246</w:t>
            </w: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7,852</w:t>
            </w: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8,830</w:t>
            </w: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6,762</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Patent settlement income</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rPr>
              <w:t>Total stock based compensation</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40"/>
              <w:spacing w:after="0"/>
              <w:rPr>
                <w:sz w:val="20"/>
                <w:szCs w:val="20"/>
                <w:color w:val="auto"/>
              </w:rPr>
            </w:pPr>
            <w:r>
              <w:rPr>
                <w:rFonts w:ascii="Arial" w:cs="Arial" w:eastAsia="Arial" w:hAnsi="Arial"/>
                <w:sz w:val="16"/>
                <w:szCs w:val="16"/>
                <w:color w:val="auto"/>
              </w:rPr>
              <w:t>expense and patent settlement</w:t>
            </w: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17"/>
                <w:szCs w:val="17"/>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4,348</w:t>
            </w:r>
          </w:p>
        </w:tc>
        <w:tc>
          <w:tcPr>
            <w:tcW w:w="120" w:type="dxa"/>
            <w:vAlign w:val="bottom"/>
          </w:tcPr>
          <w:p>
            <w:pPr>
              <w:spacing w:after="0"/>
              <w:rPr>
                <w:sz w:val="17"/>
                <w:szCs w:val="17"/>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6,212</w:t>
            </w:r>
          </w:p>
        </w:tc>
        <w:tc>
          <w:tcPr>
            <w:tcW w:w="120" w:type="dxa"/>
            <w:vAlign w:val="bottom"/>
          </w:tcPr>
          <w:p>
            <w:pPr>
              <w:spacing w:after="0"/>
              <w:rPr>
                <w:sz w:val="17"/>
                <w:szCs w:val="17"/>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6,819</w:t>
            </w:r>
          </w:p>
        </w:tc>
        <w:tc>
          <w:tcPr>
            <w:tcW w:w="100" w:type="dxa"/>
            <w:vAlign w:val="bottom"/>
          </w:tcPr>
          <w:p>
            <w:pPr>
              <w:spacing w:after="0"/>
              <w:rPr>
                <w:sz w:val="17"/>
                <w:szCs w:val="17"/>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color w:val="auto"/>
              </w:rPr>
              <w:t>7,724</w:t>
            </w:r>
          </w:p>
        </w:tc>
        <w:tc>
          <w:tcPr>
            <w:tcW w:w="100" w:type="dxa"/>
            <w:vAlign w:val="bottom"/>
          </w:tcPr>
          <w:p>
            <w:pPr>
              <w:spacing w:after="0"/>
              <w:rPr>
                <w:sz w:val="17"/>
                <w:szCs w:val="17"/>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8,330</w:t>
            </w:r>
          </w:p>
        </w:tc>
        <w:tc>
          <w:tcPr>
            <w:tcW w:w="100" w:type="dxa"/>
            <w:vAlign w:val="bottom"/>
          </w:tcPr>
          <w:p>
            <w:pPr>
              <w:spacing w:after="0"/>
              <w:rPr>
                <w:sz w:val="17"/>
                <w:szCs w:val="17"/>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9,308</w:t>
            </w:r>
          </w:p>
        </w:tc>
        <w:tc>
          <w:tcPr>
            <w:tcW w:w="100" w:type="dxa"/>
            <w:vAlign w:val="bottom"/>
          </w:tcPr>
          <w:p>
            <w:pPr>
              <w:spacing w:after="0"/>
              <w:rPr>
                <w:sz w:val="17"/>
                <w:szCs w:val="17"/>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7,240</w:t>
            </w:r>
          </w:p>
        </w:tc>
        <w:tc>
          <w:tcPr>
            <w:tcW w:w="0" w:type="dxa"/>
            <w:vAlign w:val="bottom"/>
          </w:tcPr>
          <w:p>
            <w:pPr>
              <w:spacing w:after="0"/>
              <w:rPr>
                <w:sz w:val="1"/>
                <w:szCs w:val="1"/>
                <w:color w:val="auto"/>
              </w:rPr>
            </w:pP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income</w:t>
            </w: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w:t>
      </w:r>
    </w:p>
    <w:p>
      <w:pPr>
        <w:spacing w:after="0" w:line="5" w:lineRule="exact"/>
        <w:rPr>
          <w:sz w:val="20"/>
          <w:szCs w:val="20"/>
          <w:color w:val="auto"/>
        </w:rPr>
      </w:pPr>
    </w:p>
    <w:p>
      <w:pPr>
        <w:ind w:left="660" w:right="100" w:hanging="652"/>
        <w:spacing w:after="0" w:line="246"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During the three months ended December 31, 2012, we recorded a $1.5 million non-recurring cumulative out-of-period adjustment to reflect a true-up related to forfeitures of stock awards granted to employees. Of this amount, $0.9 million and $0.6 million were related to fiscal 2011 and the first three quarters of fiscal 2012, respectively. The adjustment resulted in lower stock-based compensation expense and higher operating income and net income during the three months ended December 31, 2012. We believe the impact of the adjustment is not material to the current or prior fiscal periods.</w:t>
      </w:r>
    </w:p>
    <w:p>
      <w:pPr>
        <w:spacing w:after="0" w:line="138" w:lineRule="exact"/>
        <w:rPr>
          <w:rFonts w:ascii="Arial" w:cs="Arial" w:eastAsia="Arial" w:hAnsi="Arial"/>
          <w:sz w:val="14"/>
          <w:szCs w:val="14"/>
          <w:color w:val="auto"/>
        </w:rPr>
      </w:pPr>
    </w:p>
    <w:p>
      <w:pPr>
        <w:ind w:left="660" w:hanging="652"/>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Note 7 to our consolidated financial statements in Part II, Item 8 of this Annual Report on Form 10-K.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Cyclicality and Quarterly Revenue Trends</w:t>
      </w:r>
    </w:p>
    <w:p>
      <w:pPr>
        <w:spacing w:after="0" w:line="22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Our quarterly results reflect seasonality in the sale of our products, subscriptions and services. In general, a pattern of increased customer buying at year-end has positively impacted sales activity in the fourth quarter. In the first quarter we generally experience lower sequential billings and product revenues, which results in lower product revenue. In the third quarter, we generally experience lower revenue in Europe compared to the second quarter due to reduced economic activity in Europe during the summer months, but this may not always be the case. Similarly, our gross margins and operating income have been affected by these historical trends because expenses are relatively fixed in the near-term. Although these seasonal factors are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a quarter. We believe this is due to customer buying patterns typical in this industry.</w:t>
      </w:r>
    </w:p>
    <w:p>
      <w:pPr>
        <w:spacing w:after="0" w:line="17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Our total quarterly revenue over the past eight quarters has increased sequentially in each quarter except the first quarter of fiscal 2012 which was down slightly. Product revenue in all of the quarters of fiscal 2012 was higher as compared to the same periods in fiscal 2011, which we believe was due in part to the investments made in our sales organization, continued product innovation and improvements in overall corporate IT spending.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4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 31,</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020" w:type="dxa"/>
            <w:vAlign w:val="bottom"/>
          </w:tcPr>
          <w:p>
            <w:pPr>
              <w:jc w:val="right"/>
              <w:ind w:right="172"/>
              <w:spacing w:after="0"/>
              <w:rPr>
                <w:sz w:val="20"/>
                <w:szCs w:val="20"/>
                <w:color w:val="auto"/>
              </w:rPr>
            </w:pPr>
            <w:r>
              <w:rPr>
                <w:rFonts w:ascii="Arial" w:cs="Arial" w:eastAsia="Arial" w:hAnsi="Arial"/>
                <w:sz w:val="16"/>
                <w:szCs w:val="16"/>
                <w:b w:val="1"/>
                <w:bCs w:val="1"/>
                <w:color w:val="auto"/>
              </w:rPr>
              <w:t>Dec 31,</w:t>
            </w:r>
          </w:p>
        </w:tc>
      </w:tr>
      <w:tr>
        <w:trPr>
          <w:trHeight w:val="210"/>
        </w:trPr>
        <w:tc>
          <w:tcPr>
            <w:tcW w:w="242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2012</w:t>
            </w:r>
          </w:p>
        </w:tc>
      </w:tr>
      <w:tr>
        <w:trPr>
          <w:trHeight w:val="33"/>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9"/>
              </w:rPr>
              <w:t>($ amounts in 000’s)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Consolidated Statements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Operations Data:</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40,165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46,687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53,093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57,463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61,692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71,025</w:t>
            </w:r>
          </w:p>
        </w:tc>
      </w:tr>
      <w:tr>
        <w:trPr>
          <w:trHeight w:val="243"/>
        </w:trPr>
        <w:tc>
          <w:tcPr>
            <w:tcW w:w="24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48,686</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52,671</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57,835</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61,076</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62,138</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65,412</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69,782</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76,711</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9"/>
              </w:rPr>
              <w:t>Ratable and other revenue</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3,426</w:t>
            </w:r>
          </w:p>
        </w:tc>
      </w:tr>
      <w:tr>
        <w:trPr>
          <w:trHeight w:val="297"/>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93,266</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103,023</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116,426</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120,861</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117,247</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128,962</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136,268</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151,162</w:t>
            </w: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As a percentage of revenue:</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Revenue (%):</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43"/>
        </w:trPr>
        <w:tc>
          <w:tcPr>
            <w:tcW w:w="24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9"/>
              </w:rPr>
              <w:t>Ratable and other revenue</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Gross Margin Trend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Total gross margin has fluctuated on a quarterly basis primarily due to shifts in the mix of sales between products and services. Product gross margin varies based on the types of products sold and the average selling prices of our products. Services gross margins were lower in each quarter of fiscal 2012 compared to the same quarter of fiscal 2011 as we made investments in our support organizations at a rate slightly greater than the increase in services revenue.</w:t>
      </w:r>
    </w:p>
    <w:p>
      <w:pPr>
        <w:spacing w:after="0" w:line="133"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37465</wp:posOffset>
            </wp:positionV>
            <wp:extent cx="5651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800" w:type="dxa"/>
            <w:vAlign w:val="bottom"/>
          </w:tcPr>
          <w:p>
            <w:pPr>
              <w:jc w:val="center"/>
              <w:ind w:left="159"/>
              <w:spacing w:after="0"/>
              <w:rPr>
                <w:sz w:val="20"/>
                <w:szCs w:val="20"/>
                <w:color w:val="auto"/>
              </w:rPr>
            </w:pPr>
            <w:r>
              <w:rPr>
                <w:rFonts w:ascii="Arial" w:cs="Arial" w:eastAsia="Arial" w:hAnsi="Arial"/>
                <w:sz w:val="16"/>
                <w:szCs w:val="16"/>
                <w:b w:val="1"/>
                <w:bCs w:val="1"/>
                <w:color w:val="auto"/>
              </w:rPr>
              <w:t>Mar 31,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 30,</w:t>
            </w:r>
          </w:p>
        </w:tc>
        <w:tc>
          <w:tcPr>
            <w:tcW w:w="2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Sept 30,</w:t>
            </w:r>
          </w:p>
        </w:tc>
        <w:tc>
          <w:tcPr>
            <w:tcW w:w="40" w:type="dxa"/>
            <w:vAlign w:val="bottom"/>
          </w:tcPr>
          <w:p>
            <w:pPr>
              <w:spacing w:after="0"/>
              <w:rPr>
                <w:sz w:val="17"/>
                <w:szCs w:val="17"/>
                <w:color w:val="auto"/>
              </w:rPr>
            </w:pPr>
          </w:p>
        </w:tc>
        <w:tc>
          <w:tcPr>
            <w:tcW w:w="1080" w:type="dxa"/>
            <w:vAlign w:val="bottom"/>
            <w:gridSpan w:val="3"/>
          </w:tcPr>
          <w:p>
            <w:pPr>
              <w:ind w:left="220"/>
              <w:spacing w:after="0"/>
              <w:rPr>
                <w:sz w:val="20"/>
                <w:szCs w:val="20"/>
                <w:color w:val="auto"/>
              </w:rPr>
            </w:pPr>
            <w:r>
              <w:rPr>
                <w:rFonts w:ascii="Arial" w:cs="Arial" w:eastAsia="Arial" w:hAnsi="Arial"/>
                <w:sz w:val="16"/>
                <w:szCs w:val="16"/>
                <w:b w:val="1"/>
                <w:bCs w:val="1"/>
                <w:color w:val="auto"/>
              </w:rPr>
              <w:t>Dec 31,</w:t>
            </w:r>
          </w:p>
        </w:tc>
        <w:tc>
          <w:tcPr>
            <w:tcW w:w="4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7"/>
              </w:rPr>
              <w:t>Mar 31,</w:t>
            </w:r>
          </w:p>
        </w:tc>
        <w:tc>
          <w:tcPr>
            <w:tcW w:w="1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Jun 30,</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 30,</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Dec 31,</w:t>
            </w:r>
          </w:p>
        </w:tc>
      </w:tr>
      <w:tr>
        <w:trPr>
          <w:trHeight w:val="210"/>
        </w:trPr>
        <w:tc>
          <w:tcPr>
            <w:tcW w:w="3180" w:type="dxa"/>
            <w:vAlign w:val="bottom"/>
            <w:gridSpan w:val="2"/>
          </w:tcPr>
          <w:p>
            <w:pPr>
              <w:jc w:val="center"/>
              <w:ind w:left="2531"/>
              <w:spacing w:after="0"/>
              <w:rPr>
                <w:sz w:val="20"/>
                <w:szCs w:val="20"/>
                <w:color w:val="auto"/>
              </w:rPr>
            </w:pPr>
            <w:r>
              <w:rPr>
                <w:rFonts w:ascii="Arial" w:cs="Arial" w:eastAsia="Arial" w:hAnsi="Arial"/>
                <w:sz w:val="16"/>
                <w:szCs w:val="16"/>
                <w:b w:val="1"/>
                <w:bCs w:val="1"/>
                <w:color w:val="auto"/>
                <w:w w:val="89"/>
              </w:rPr>
              <w:t>2011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57"/>
              <w:spacing w:after="0"/>
              <w:rPr>
                <w:sz w:val="20"/>
                <w:szCs w:val="20"/>
                <w:color w:val="auto"/>
              </w:rPr>
            </w:pPr>
            <w:r>
              <w:rPr>
                <w:rFonts w:ascii="Arial" w:cs="Arial" w:eastAsia="Arial" w:hAnsi="Arial"/>
                <w:sz w:val="16"/>
                <w:szCs w:val="16"/>
                <w:b w:val="1"/>
                <w:bCs w:val="1"/>
                <w:color w:val="auto"/>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5"/>
        </w:trPr>
        <w:tc>
          <w:tcPr>
            <w:tcW w:w="23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3"/>
              </w:rPr>
              <w:t>Gross Margin by Component</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1"/>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of Revenue:</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Gross margin (%):</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318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84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Ratable and other</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Total gross margin</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575"/>
        </w:trPr>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7"/>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
        </w:trPr>
        <w:tc>
          <w:tcPr>
            <w:tcW w:w="2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380" w:type="dxa"/>
            <w:vAlign w:val="bottom"/>
          </w:tcPr>
          <w:p>
            <w:pPr>
              <w:spacing w:after="0"/>
              <w:rPr>
                <w:sz w:val="18"/>
                <w:szCs w:val="18"/>
                <w:color w:val="auto"/>
              </w:rPr>
            </w:pPr>
          </w:p>
        </w:tc>
        <w:tc>
          <w:tcPr>
            <w:tcW w:w="800" w:type="dxa"/>
            <w:vAlign w:val="bottom"/>
          </w:tcPr>
          <w:p>
            <w:pPr>
              <w:jc w:val="center"/>
              <w:ind w:left="159"/>
              <w:spacing w:after="0"/>
              <w:rPr>
                <w:sz w:val="20"/>
                <w:szCs w:val="20"/>
                <w:color w:val="auto"/>
              </w:rPr>
            </w:pPr>
            <w:r>
              <w:rPr>
                <w:rFonts w:ascii="Arial" w:cs="Arial" w:eastAsia="Arial" w:hAnsi="Arial"/>
                <w:sz w:val="16"/>
                <w:szCs w:val="16"/>
                <w:b w:val="1"/>
                <w:bCs w:val="1"/>
                <w:color w:val="auto"/>
              </w:rPr>
              <w:t>Mar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 30,</w:t>
            </w:r>
          </w:p>
        </w:tc>
        <w:tc>
          <w:tcPr>
            <w:tcW w:w="20" w:type="dxa"/>
            <w:vAlign w:val="bottom"/>
          </w:tcPr>
          <w:p>
            <w:pPr>
              <w:spacing w:after="0"/>
              <w:rPr>
                <w:sz w:val="18"/>
                <w:szCs w:val="18"/>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7"/>
              </w:rPr>
              <w:t>Sept 30,</w:t>
            </w:r>
          </w:p>
        </w:tc>
        <w:tc>
          <w:tcPr>
            <w:tcW w:w="40" w:type="dxa"/>
            <w:vAlign w:val="bottom"/>
          </w:tcPr>
          <w:p>
            <w:pPr>
              <w:spacing w:after="0"/>
              <w:rPr>
                <w:sz w:val="18"/>
                <w:szCs w:val="18"/>
                <w:color w:val="auto"/>
              </w:rPr>
            </w:pPr>
          </w:p>
        </w:tc>
        <w:tc>
          <w:tcPr>
            <w:tcW w:w="1080" w:type="dxa"/>
            <w:vAlign w:val="bottom"/>
            <w:gridSpan w:val="3"/>
          </w:tcPr>
          <w:p>
            <w:pPr>
              <w:ind w:left="240"/>
              <w:spacing w:after="0"/>
              <w:rPr>
                <w:sz w:val="20"/>
                <w:szCs w:val="20"/>
                <w:color w:val="auto"/>
              </w:rPr>
            </w:pPr>
            <w:r>
              <w:rPr>
                <w:rFonts w:ascii="Arial" w:cs="Arial" w:eastAsia="Arial" w:hAnsi="Arial"/>
                <w:sz w:val="16"/>
                <w:szCs w:val="16"/>
                <w:b w:val="1"/>
                <w:bCs w:val="1"/>
                <w:color w:val="auto"/>
              </w:rPr>
              <w:t>Dec 31,</w:t>
            </w:r>
          </w:p>
        </w:tc>
        <w:tc>
          <w:tcPr>
            <w:tcW w:w="4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Mar 31,</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Jun 30,</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Sept 30,</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Dec 31,</w:t>
            </w:r>
          </w:p>
        </w:tc>
      </w:tr>
      <w:tr>
        <w:trPr>
          <w:trHeight w:val="210"/>
        </w:trPr>
        <w:tc>
          <w:tcPr>
            <w:tcW w:w="3180" w:type="dxa"/>
            <w:vAlign w:val="bottom"/>
            <w:gridSpan w:val="2"/>
          </w:tcPr>
          <w:p>
            <w:pPr>
              <w:jc w:val="center"/>
              <w:ind w:left="2531"/>
              <w:spacing w:after="0"/>
              <w:rPr>
                <w:sz w:val="20"/>
                <w:szCs w:val="20"/>
                <w:color w:val="auto"/>
              </w:rPr>
            </w:pPr>
            <w:r>
              <w:rPr>
                <w:rFonts w:ascii="Arial" w:cs="Arial" w:eastAsia="Arial" w:hAnsi="Arial"/>
                <w:sz w:val="16"/>
                <w:szCs w:val="16"/>
                <w:b w:val="1"/>
                <w:bCs w:val="1"/>
                <w:color w:val="auto"/>
                <w:w w:val="89"/>
              </w:rPr>
              <w:t>2011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3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5"/>
        </w:trPr>
        <w:tc>
          <w:tcPr>
            <w:tcW w:w="2380" w:type="dxa"/>
            <w:vAlign w:val="bottom"/>
            <w:tcBorders>
              <w:top w:val="single" w:sz="8" w:color="CCEEFF"/>
            </w:tcBorders>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Reconciliation of GAAP to</w:t>
            </w: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41"/>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non-GAAP gross margin:</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GAAP gross margin (%)</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1"/>
                <w:szCs w:val="21"/>
                <w:color w:val="auto"/>
              </w:rPr>
            </w:pPr>
          </w:p>
        </w:tc>
        <w:tc>
          <w:tcPr>
            <w:tcW w:w="1020" w:type="dxa"/>
            <w:vAlign w:val="bottom"/>
            <w:gridSpan w:val="2"/>
          </w:tcPr>
          <w:p>
            <w:pPr>
              <w:jc w:val="right"/>
              <w:ind w:right="14"/>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73</w:t>
            </w:r>
          </w:p>
        </w:tc>
      </w:tr>
      <w:tr>
        <w:trPr>
          <w:trHeight w:val="27"/>
        </w:trPr>
        <w:tc>
          <w:tcPr>
            <w:tcW w:w="3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Stock-based</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7"/>
        </w:trPr>
        <w:tc>
          <w:tcPr>
            <w:tcW w:w="2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compensation expense</w:t>
            </w:r>
          </w:p>
        </w:tc>
        <w:tc>
          <w:tcPr>
            <w:tcW w:w="8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2380" w:type="dxa"/>
            <w:vAlign w:val="bottom"/>
          </w:tcPr>
          <w:p>
            <w:pPr>
              <w:ind w:left="40"/>
              <w:spacing w:after="0"/>
              <w:rPr>
                <w:sz w:val="20"/>
                <w:szCs w:val="20"/>
                <w:color w:val="auto"/>
              </w:rPr>
            </w:pPr>
            <w:r>
              <w:rPr>
                <w:rFonts w:ascii="Arial" w:cs="Arial" w:eastAsia="Arial" w:hAnsi="Arial"/>
                <w:sz w:val="18"/>
                <w:szCs w:val="18"/>
                <w:color w:val="auto"/>
              </w:rPr>
              <w:t>Non-GAAP gross margin</w:t>
            </w:r>
          </w:p>
        </w:tc>
        <w:tc>
          <w:tcPr>
            <w:tcW w:w="8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w:t>
            </w:r>
          </w:p>
        </w:tc>
      </w:tr>
      <w:tr>
        <w:trPr>
          <w:trHeight w:val="20"/>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As of Fiscal Year End</w:t>
            </w:r>
          </w:p>
        </w:tc>
        <w:tc>
          <w:tcPr>
            <w:tcW w:w="14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c>
          <w:tcPr>
            <w:tcW w:w="1600" w:type="dxa"/>
            <w:vAlign w:val="bottom"/>
            <w:gridSpan w:val="2"/>
          </w:tcPr>
          <w:p>
            <w:pPr>
              <w:jc w:val="center"/>
              <w:ind w:left="33"/>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2010</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amounts in 000’s)</w:t>
            </w:r>
          </w:p>
        </w:tc>
        <w:tc>
          <w:tcPr>
            <w:tcW w:w="14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122,975</w:t>
            </w:r>
          </w:p>
        </w:tc>
        <w:tc>
          <w:tcPr>
            <w:tcW w:w="16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71,990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66,859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616,611</w:t>
            </w:r>
          </w:p>
        </w:tc>
        <w:tc>
          <w:tcPr>
            <w:tcW w:w="1600" w:type="dxa"/>
            <w:vAlign w:val="bottom"/>
            <w:gridSpan w:val="2"/>
          </w:tcPr>
          <w:p>
            <w:pPr>
              <w:jc w:val="right"/>
              <w:ind w:right="15"/>
              <w:spacing w:after="0"/>
              <w:rPr>
                <w:sz w:val="20"/>
                <w:szCs w:val="20"/>
                <w:color w:val="auto"/>
              </w:rPr>
            </w:pPr>
            <w:r>
              <w:rPr>
                <w:rFonts w:ascii="Arial" w:cs="Arial" w:eastAsia="Arial" w:hAnsi="Arial"/>
                <w:sz w:val="18"/>
                <w:szCs w:val="18"/>
                <w:color w:val="auto"/>
              </w:rPr>
              <w:t>466,697</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320,601</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739,586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538,687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387,460</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249,970</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256,706</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201,776</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10"/>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Fiscal Year</w:t>
            </w:r>
          </w:p>
        </w:tc>
        <w:tc>
          <w:tcPr>
            <w:tcW w:w="14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c>
          <w:tcPr>
            <w:tcW w:w="1600" w:type="dxa"/>
            <w:vAlign w:val="bottom"/>
            <w:gridSpan w:val="2"/>
          </w:tcPr>
          <w:p>
            <w:pPr>
              <w:jc w:val="center"/>
              <w:ind w:left="33"/>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2010</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amounts in 000’s)</w:t>
            </w:r>
          </w:p>
        </w:tc>
        <w:tc>
          <w:tcPr>
            <w:tcW w:w="14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183,866</w:t>
            </w:r>
          </w:p>
        </w:tc>
        <w:tc>
          <w:tcPr>
            <w:tcW w:w="16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132,842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(182,711)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(166,826)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(283,710)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50,156</w:t>
            </w:r>
          </w:p>
        </w:tc>
        <w:tc>
          <w:tcPr>
            <w:tcW w:w="16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39,797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500" w:type="dxa"/>
            <w:vAlign w:val="bottom"/>
          </w:tcPr>
          <w:p>
            <w:pPr>
              <w:jc w:val="right"/>
              <w:spacing w:after="0"/>
              <w:rPr>
                <w:sz w:val="20"/>
                <w:szCs w:val="20"/>
                <w:color w:val="auto"/>
              </w:rPr>
            </w:pPr>
            <w:r>
              <w:rPr>
                <w:rFonts w:ascii="Arial" w:cs="Arial" w:eastAsia="Arial" w:hAnsi="Arial"/>
                <w:sz w:val="18"/>
                <w:szCs w:val="18"/>
                <w:color w:val="auto"/>
              </w:rPr>
              <w:t>(326)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709</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50,985</w:t>
            </w:r>
          </w:p>
        </w:tc>
        <w:tc>
          <w:tcPr>
            <w:tcW w:w="16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of December 31, 2012, our cash, cash equivalents, and investments of $739.6 million were held for working-capital purposes and were invested primarily in money market funds, commercial paper, corporate debt securities, municipal bonds, certificates of deposit and term deposits and U.S. government and agency debt securities. As of December 31, 2012, $26.6 million of our cash was held by our international subsidiaries and is therefore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Fiscal Year</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20"/>
                <w:szCs w:val="20"/>
                <w:color w:val="auto"/>
              </w:rPr>
            </w:pPr>
          </w:p>
        </w:tc>
        <w:tc>
          <w:tcPr>
            <w:tcW w:w="14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amounts in 000’s)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66,836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41,245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Adjustments for non-cash charges </w:t>
            </w:r>
            <w:r>
              <w:rPr>
                <w:rFonts w:ascii="Arial" w:cs="Arial" w:eastAsia="Arial" w:hAnsi="Arial"/>
                <w:sz w:val="18"/>
                <w:szCs w:val="18"/>
                <w:color w:val="auto"/>
                <w:vertAlign w:val="superscript"/>
              </w:rPr>
              <w:t>(1)</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44,028</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18,712</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16,593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non-cash charges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110,864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deferred revenue</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68,292</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42,177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50,701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income taxes payable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28,265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accrued payroll and compensation</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accounts payable and accrued liabilities, net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Decrease in other assets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prepaid expenses and other current assets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accounts receivable—net</w:t>
            </w:r>
          </w:p>
        </w:tc>
        <w:tc>
          <w:tcPr>
            <w:tcW w:w="1500" w:type="dxa"/>
            <w:vAlign w:val="bottom"/>
          </w:tcPr>
          <w:p>
            <w:pPr>
              <w:jc w:val="right"/>
              <w:spacing w:after="0"/>
              <w:rPr>
                <w:sz w:val="20"/>
                <w:szCs w:val="20"/>
                <w:color w:val="auto"/>
              </w:rPr>
            </w:pPr>
            <w:r>
              <w:rPr>
                <w:rFonts w:ascii="Arial" w:cs="Arial" w:eastAsia="Arial" w:hAnsi="Arial"/>
                <w:sz w:val="18"/>
                <w:szCs w:val="18"/>
                <w:color w:val="auto"/>
              </w:rPr>
              <w:t>(12,120)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(23,246)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(17,784)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inventory</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deferred tax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(9,254)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183,866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132,842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103,383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2" w:right="2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660" w:right="240" w:hanging="652"/>
        <w:spacing w:after="0" w:line="257"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Non-cash charges consist of stock-based compensation expense, depreciation and amortization, amortization of investment premiums, an excess tax benefit from our employee stock option plans, and other non-cash items, net. For additional information regarding such non-cash charges, see our consolidated statements of cash flows in Part II, Item 8 of 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fiscal 2012, operating activities provided $183.9 million in cash as a result of our billings growth, profitability, and the ability to successfully manage our working capital. Net income was $66.8 million, increased by non-cash adjustments of $44.0 million and sources of cash of $105.7 million partially offset by uses of cash of $32.7 million from changes in operating assets and liabilities. Non-cash adjustments consist of stock-based compensation expense of $30.7 million, amortization of investment premiums of $13.0 million, depreciation and amortization of $11.6 million, and other non-cash items, net, of $0.9 million, partially offset by an excess tax benefit from employee stock option plans of $12.1 million. Sources of cash were related to a $68.3 million increase in deferred revenue which was attributable primarily to increased sales of our subscription and support services, which have yet to be recognized in income, a $28.3 million increase in income tax payable, due to our continued profitability and timing of tax payments, a $4.6 million increase in accrued payroll and compensation primarily related to increased headcount and employer taxes related to the exercise of stock options, a $2.5 million decrease in other assets, a $1.3 million increase in accounts payable and accrued liabilities related to timing of payments, and a $0.8 million decrease in prepaid expenses and other current assets. Uses of cash were related to a $12.1 million increase in accounts receivable due to the overall growth of our business and a six day decrease (from 79 to 73 days) in days sales outstanding due to stronger collections experience, a $11.3 million increase in inventory primarily to support new product releases combined with the overall growth of our business, and a $9.3 million increase in deferred tax assets. Days sales outstanding is calculated as the ratio of ending accounts receivable, net of allowances, divided by average daily sales.</w:t>
      </w:r>
    </w:p>
    <w:p>
      <w:pPr>
        <w:spacing w:after="0" w:line="17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fiscal 2011, operating activities provided $132.8 million in cash as a result of our strong performance primarily driven by billings growth, profitability, and the ability to successfully manage our working capital. Net income was $62.5 million, increased by non-cash adjustments of $18.7 million and sources of cash of $91.5 million partially offset by uses of cash of $39.8 million from changes in operating assets and liabilities. Non-cash adjustments consist of stock-based compensation expense of $19.0 million, amortization of investment premiums of $12.5 million, and depreciation and amortization of $7.0 million, partially offset by an excess tax benefit from employee stock option plans of $19.8 million. Sources of cash were related to a $42.2 million increase in deferred revenue which was attributable primarily to increased sales of our subscription and support services, which have yet to be recognized in income, a $36.0 million increase in income tax payable, due to our continued profitability and timing of tax payments, an $8.6 million increase in accrued liabilities and accounts payable related to timing of payments, a $4.7 million increase in accrued payroll and compensation primarily related to increased headcount and employer taxes related to the exercise of stock options, and a $0.2 million decrease in other assets. Uses of cash were related to a $23.2 million increase in accounts receivable due to the overall growth of our business with days sales outstanding remaining relatively flat (from 80 to 79 days), a $7.9 million increase in deferred tax assets, a $6.0 million increase in inventory primarily to support new product releases combined with the overall growth of our business, and a $2.9 million increase in prepaid expenses and current other assets.</w:t>
      </w:r>
    </w:p>
    <w:p>
      <w:pPr>
        <w:spacing w:after="0" w:line="18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fiscal 2010, operating activities provided $103.4 million in cash as a result of our strong performance primarily driven by billings growth, profitability, and the ability to successfully manage our working capital. Net income was $41.2 million, increased by non-cash adjustments of $16.6 million and sources of cash of $77.0 million, partially offset by uses of cash of $31.4 million from changes in operating assets and liabilities. Non-cash adjustments consist of stock-based compensation expense of $9.3 million, amortization of investment premiums of $7.3 million, and depreciation and amortization of $5.7 million, partially offset by an excess tax benefit from employee stock option plans of $5.7 million. Sources of cash were related to a $50.7 million increase in deferred revenue which was attributable primarily to increased sales of our subscription and support services, which have yet to be recognized in income, an $16.0 million increase in income tax payable, due to our continued profitability and timing of tax payments, a $5.5 million increase in accrued payroll and compensation primarily related to increased headcount and employer taxes related to the exercise of stock options, a $4.8 million increase in accrued liabilities and accounts payable related to timing of payments, and a $0.3 million decrease in other assets. Uses of cash were related to a $17.8 million increase in accounts receivable due to the overall growth of our business with days sales outstanding remaining relatively flat (from 78 to 80 days), a $5.9 million increase in inventory primarily to support new product releases in the latter part of the year combined with the overall growth of our business, a $4.2 million increase in deferred tax assets, and a $3.7 million increase in prepaid expenses and other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fiscal 2012, our investing activities consisted primarily of purchases and sales of investments, and to a much lesser extent, capital expenditures. The $182.7 million of cash used by investing activities was due to net purchases of investments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$159.4 million, purchases of property and equipment of $22.1 million (including $14.5 million to purchase land and building to support the growth in our business operations) and acquisitions for $1.2 million.</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fiscal 2011, our investing activities consisted primarily of purchases and sales of investments, and to a much lesser extent, capital expenditures. The $166.8 million of cash used by investing activities was due to net purchases of investments of $160.6 million, purchases of property and equipment of $3.6 million, and an acquisition for $2.6 million.</w:t>
      </w:r>
    </w:p>
    <w:p>
      <w:pPr>
        <w:spacing w:after="0" w:line="18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In fiscal 2010, our investing activities consisted primarily of purchases and sales of investments, and to a much lesser extent, capital expenditures. The $283.7 million of cash used by investing activities was due to net purchases of investments of $280.0 million reflecting primarily the transfer of funds from money market to corporate bonds, agency notes and commercial paper. We also purchased property and equipment of $3.8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fiscal 2012, our financing activities resulted in net cash provided of $50.2 million as a result of receiving proceeds of $27.2 million and $10.9 million from the issuance of common stock under our stock option plans and ESPP, respectively, and an excess tax benefit from employee stock option exercises of $12.1 million.</w:t>
      </w:r>
    </w:p>
    <w:p>
      <w:pPr>
        <w:spacing w:after="0" w:line="181"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In fiscal 2011, our financing activities resulted in net cash provided of $39.8 million as a result of receiving proceeds of $20.0 million from the issuance of common stock under our stock option plans and an excess tax benefit from employee stock exercises of $19.8 million.</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fiscal 2010, our financing activities resulted in net cash provided of $34.0 million as a result of receiving proceeds of $29.1 million from the issuance of common stock under our stock option plans and warrants to purchase our common stock and an excess tax benefit from employee stock option exercises of $5.8 million, partially offset by $0.9 million of issuance costs paid in connection with our initial public offering, which had been accrued as of December 31,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2012:</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jc w:val="center"/>
              <w:ind w:left="933"/>
              <w:spacing w:after="0"/>
              <w:rPr>
                <w:sz w:val="20"/>
                <w:szCs w:val="20"/>
                <w:color w:val="auto"/>
              </w:rPr>
            </w:pPr>
            <w:r>
              <w:rPr>
                <w:rFonts w:ascii="Arial" w:cs="Arial" w:eastAsia="Arial" w:hAnsi="Arial"/>
                <w:sz w:val="16"/>
                <w:szCs w:val="16"/>
                <w:b w:val="1"/>
                <w:bCs w:val="1"/>
                <w:color w:val="auto"/>
                <w:w w:val="90"/>
              </w:rPr>
              <w:t>Payments Due by Period</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w w:val="94"/>
              </w:rPr>
              <w:t>Less than 1 year</w:t>
            </w:r>
          </w:p>
        </w:tc>
        <w:tc>
          <w:tcPr>
            <w:tcW w:w="100" w:type="dxa"/>
            <w:vAlign w:val="bottom"/>
          </w:tcPr>
          <w:p>
            <w:pPr>
              <w:spacing w:after="0"/>
              <w:rPr>
                <w:sz w:val="18"/>
                <w:szCs w:val="18"/>
                <w:color w:val="auto"/>
              </w:rPr>
            </w:pPr>
          </w:p>
        </w:tc>
        <w:tc>
          <w:tcPr>
            <w:tcW w:w="15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9"/>
              </w:rPr>
              <w:t>1 - 3 years</w:t>
            </w:r>
          </w:p>
        </w:tc>
        <w:tc>
          <w:tcPr>
            <w:tcW w:w="114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3 - 5 years</w:t>
            </w:r>
          </w:p>
        </w:tc>
        <w:tc>
          <w:tcPr>
            <w:tcW w:w="1240" w:type="dxa"/>
            <w:vAlign w:val="bottom"/>
          </w:tcPr>
          <w:p>
            <w:pPr>
              <w:ind w:left="440"/>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 amounts in 000’s)</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8"/>
                <w:szCs w:val="18"/>
                <w:color w:val="auto"/>
                <w:vertAlign w:val="superscript"/>
              </w:rPr>
              <w:t>(1)</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16,833</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8,775</w:t>
            </w:r>
          </w:p>
        </w:tc>
        <w:tc>
          <w:tcPr>
            <w:tcW w:w="134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7,481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577</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Capital leases </w:t>
            </w:r>
            <w:r>
              <w:rPr>
                <w:rFonts w:ascii="Arial" w:cs="Arial" w:eastAsia="Arial" w:hAnsi="Arial"/>
                <w:sz w:val="25"/>
                <w:szCs w:val="25"/>
                <w:color w:val="auto"/>
                <w:vertAlign w:val="superscript"/>
              </w:rPr>
              <w:t>(2)</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340" w:type="dxa"/>
            <w:vAlign w:val="bottom"/>
            <w:gridSpan w:val="2"/>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8"/>
                <w:szCs w:val="18"/>
                <w:color w:val="auto"/>
                <w:vertAlign w:val="superscript"/>
              </w:rPr>
              <w:t>(3)</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30,040</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30,040</w:t>
            </w:r>
          </w:p>
        </w:tc>
        <w:tc>
          <w:tcPr>
            <w:tcW w:w="10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contracts </w:t>
            </w:r>
            <w:r>
              <w:rPr>
                <w:rFonts w:ascii="Arial" w:cs="Arial" w:eastAsia="Arial" w:hAnsi="Arial"/>
                <w:sz w:val="25"/>
                <w:szCs w:val="25"/>
                <w:color w:val="auto"/>
                <w:vertAlign w:val="superscript"/>
              </w:rPr>
              <w:t>(4)</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8,107</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8,107</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color w:val="auto"/>
                <w:vertAlign w:val="superscript"/>
              </w:rPr>
              <w:t>(5)</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55,085</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46,947</w:t>
            </w:r>
          </w:p>
        </w:tc>
        <w:tc>
          <w:tcPr>
            <w:tcW w:w="134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606</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4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contractual obligations from non-cancelable office space under operating leases.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contractual obligations, including principal and imputed interest, from non-cancelable equipment financed under capital leases.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minimum purchase commitments with independent contract manufacturers.</w:t>
      </w:r>
    </w:p>
    <w:p>
      <w:pPr>
        <w:spacing w:after="0" w:line="1" w:lineRule="exact"/>
        <w:rPr>
          <w:rFonts w:ascii="Arial" w:cs="Arial" w:eastAsia="Arial" w:hAnsi="Arial"/>
          <w:sz w:val="14"/>
          <w:szCs w:val="14"/>
          <w:color w:val="auto"/>
        </w:rPr>
      </w:pPr>
    </w:p>
    <w:p>
      <w:pPr>
        <w:ind w:left="660" w:right="20" w:hanging="652"/>
        <w:spacing w:after="0" w:line="241"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an estimate of all open purchase orders and contractual obligations in the ordinary course of business, other than commitments with contract manufacturers and suppliers, for which we have not received the goods or services. Purchase obligations do not include contracts that may be cancelled without penalty.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 w:lineRule="exact"/>
        <w:rPr>
          <w:rFonts w:ascii="Arial" w:cs="Arial" w:eastAsia="Arial" w:hAnsi="Arial"/>
          <w:sz w:val="14"/>
          <w:szCs w:val="14"/>
          <w:color w:val="auto"/>
        </w:rPr>
      </w:pPr>
    </w:p>
    <w:p>
      <w:pPr>
        <w:ind w:left="660" w:right="60" w:hanging="652"/>
        <w:spacing w:after="0" w:line="248"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 tax liabilities related to uncertain tax positions have been included in the table. As of December 31, 2012, we had $28.8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fiscal 2012, 2011 and 2010,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22"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 of the notes to our consolidated financial statements in Part II, Item 8 of this Annual Report on Form 10-K for a full description of recently adopted accounting pronouncements.</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short-term investments in a variety of securities, including commercial paper, money market funds, government and corporate debt securities and certificates of deposit. The risk associated with fluctuating interest rates is limited to our investment portfolio. A 10% decrease in interest rates in 2012, 2011 and 2010 would have resulted in a decrease in our interest income of $0.5 million, $0.4 million and $0.2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CAD.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We record changes in the fair value of forward exchange contracts related to balance sheet accounts as other expense, net in the consolidated statement of operations. We recognized an expense of $0.5 million in other expense, net in fiscal 2012 due to foreign currency transaction losses.</w:t>
      </w:r>
    </w:p>
    <w:p>
      <w:pPr>
        <w:spacing w:after="0" w:line="16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hedging activities are intended to reduce, but not eliminate, the impact of currency exchange rate movements. As our hedging activities are relatively short-term in nature, long-term material changes in the value of the U.S. dollar versus the CAD, Euro (EUR), British pound (GBP), and Japanese yen (JPY) could adversely impact our operating expenses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760" w:type="dxa"/>
            <w:vAlign w:val="bottom"/>
            <w:gridSpan w:val="8"/>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gridSpan w:val="4"/>
          </w:tcPr>
          <w:p>
            <w:pPr>
              <w:ind w:left="200"/>
              <w:spacing w:after="0"/>
              <w:rPr>
                <w:sz w:val="20"/>
                <w:szCs w:val="20"/>
                <w:color w:val="auto"/>
              </w:rPr>
            </w:pPr>
            <w:r>
              <w:rPr>
                <w:rFonts w:ascii="Arial" w:cs="Arial" w:eastAsia="Arial" w:hAnsi="Arial"/>
                <w:sz w:val="18"/>
                <w:szCs w:val="18"/>
                <w:b w:val="1"/>
                <w:bCs w:val="1"/>
                <w:color w:val="auto"/>
              </w:rPr>
              <w:t>INDEX TO CONSOLIDATED FINANCIAL STATEMENTS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8"/>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680" w:type="dxa"/>
            <w:vAlign w:val="bottom"/>
            <w:gridSpan w:val="3"/>
          </w:tcPr>
          <w:p>
            <w:pPr>
              <w:ind w:left="180"/>
              <w:spacing w:after="0"/>
              <w:rPr>
                <w:sz w:val="20"/>
                <w:szCs w:val="20"/>
                <w:color w:val="auto"/>
              </w:rPr>
            </w:pPr>
            <w:r>
              <w:rPr>
                <w:rFonts w:ascii="Arial" w:cs="Arial" w:eastAsia="Arial" w:hAnsi="Arial"/>
                <w:sz w:val="16"/>
                <w:szCs w:val="16"/>
                <w:b w:val="1"/>
                <w:bCs w:val="1"/>
                <w:color w:val="auto"/>
              </w:rPr>
              <w:t>Page</w:t>
            </w:r>
          </w:p>
        </w:tc>
      </w:tr>
      <w:tr>
        <w:trPr>
          <w:trHeight w:val="33"/>
        </w:trPr>
        <w:tc>
          <w:tcPr>
            <w:tcW w:w="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40" w:type="dxa"/>
            <w:vAlign w:val="bottom"/>
          </w:tcPr>
          <w:p>
            <w:pPr>
              <w:spacing w:after="0"/>
              <w:rPr>
                <w:sz w:val="24"/>
                <w:szCs w:val="24"/>
                <w:color w:val="auto"/>
              </w:rPr>
            </w:pPr>
          </w:p>
        </w:tc>
        <w:tc>
          <w:tcPr>
            <w:tcW w:w="4220" w:type="dxa"/>
            <w:vAlign w:val="bottom"/>
            <w:gridSpan w:val="8"/>
          </w:tcPr>
          <w:p>
            <w:pPr>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Report of Independent Registered Public Accounting Firm</w:t>
              </w:r>
            </w:hyperlink>
          </w:p>
        </w:tc>
        <w:tc>
          <w:tcPr>
            <w:tcW w:w="6480" w:type="dxa"/>
            <w:vAlign w:val="bottom"/>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20" w:type="dxa"/>
            <w:vAlign w:val="bottom"/>
            <w:gridSpan w:val="8"/>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Balance Sheets</w:t>
              </w:r>
            </w:hyperlink>
          </w:p>
        </w:tc>
        <w:tc>
          <w:tcPr>
            <w:tcW w:w="648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61</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9"/>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Consolidated Statements of Operations</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62</w:t>
              </w:r>
            </w:hyperlink>
          </w:p>
        </w:tc>
      </w:tr>
      <w:tr>
        <w:trPr>
          <w:trHeight w:val="20"/>
        </w:trPr>
        <w:tc>
          <w:tcPr>
            <w:tcW w:w="4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40" w:type="dxa"/>
            <w:vAlign w:val="bottom"/>
            <w:gridSpan w:val="7"/>
          </w:tcPr>
          <w:p>
            <w:pPr>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Consolidated Statements of Comprehensive Income</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40" w:type="dxa"/>
            <w:vAlign w:val="bottom"/>
            <w:gridSpan w:val="7"/>
          </w:tcPr>
          <w:p>
            <w:pPr>
              <w:spacing w:after="0"/>
              <w:rPr>
                <w:rFonts w:ascii="Arial" w:cs="Arial" w:eastAsia="Arial" w:hAnsi="Arial"/>
                <w:sz w:val="18"/>
                <w:szCs w:val="18"/>
                <w:color w:val="0000FF"/>
                <w:w w:val="95"/>
              </w:rPr>
            </w:pPr>
            <w:hyperlink w:anchor="page66">
              <w:r>
                <w:rPr>
                  <w:rFonts w:ascii="Arial" w:cs="Arial" w:eastAsia="Arial" w:hAnsi="Arial"/>
                  <w:sz w:val="18"/>
                  <w:szCs w:val="18"/>
                  <w:color w:val="0000FF"/>
                  <w:w w:val="95"/>
                </w:rPr>
                <w:t>Consolidated Statements of Stockholders’ Equity</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40" w:type="dxa"/>
            <w:vAlign w:val="bottom"/>
            <w:gridSpan w:val="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Consolidated Statements of Cash Flows</w:t>
              </w:r>
            </w:hyperlink>
          </w:p>
        </w:tc>
        <w:tc>
          <w:tcPr>
            <w:tcW w:w="716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9"/>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Notes to Consolidated Financial Statements</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r>
      <w:tr>
        <w:trPr>
          <w:trHeight w:val="20"/>
        </w:trPr>
        <w:tc>
          <w:tcPr>
            <w:tcW w:w="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supplementary financial information required by this Item 8 is included in Part II, Item 7 of this Annual Report on Form 10-K under the caption “Quarterly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audited the accompanying consolidated balance sheets of Fortinet, Inc. and subsidiaries (“Company”) as of December 31, 2012 and 2011, and the related consolidated statements of operations, comprehensive income, stockholders’ equity, and cash flows for each of the three years in the period ended December 31, 2012.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Fortinet, Inc. and subsidiaries as of December 31, 2012 and 2011, and the results of their operations and their cash flows for each of the three years in the period ended December 31, 2012,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As discussed in Note 1 to the consolidated financial statements, in the year ended December 31, 2011, the Company changed its method of recognizing revenue for multiple element arrangements in accordance with the Financial Accounting Standards Board’s Accounting Standards Update (ASU)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and ASU 2009-14, </w:t>
      </w:r>
      <w:r>
        <w:rPr>
          <w:rFonts w:ascii="Arial" w:cs="Arial" w:eastAsia="Arial" w:hAnsi="Arial"/>
          <w:sz w:val="17"/>
          <w:szCs w:val="17"/>
          <w:i w:val="1"/>
          <w:iCs w:val="1"/>
          <w:color w:val="auto"/>
        </w:rPr>
        <w:t>Certain Revenue Arrangements that include Software Elements.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27, 2013 expressed an unqualified opinion on the Company’s internal control over financial reporting.</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2" w:right="2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66"/>
        </w:trPr>
        <w:tc>
          <w:tcPr>
            <w:tcW w:w="1020" w:type="dxa"/>
            <w:vAlign w:val="bottom"/>
            <w:tcBorders>
              <w:top w:val="single" w:sz="8" w:color="0000FF"/>
            </w:tcBorders>
          </w:tcPr>
          <w:p>
            <w:pPr>
              <w:spacing w:after="0"/>
              <w:rPr>
                <w:sz w:val="24"/>
                <w:szCs w:val="24"/>
                <w:color w:val="auto"/>
              </w:rPr>
            </w:pPr>
          </w:p>
        </w:tc>
        <w:tc>
          <w:tcPr>
            <w:tcW w:w="7320" w:type="dxa"/>
            <w:vAlign w:val="bottom"/>
          </w:tcPr>
          <w:p>
            <w:pPr>
              <w:ind w:left="3120"/>
              <w:spacing w:after="0"/>
              <w:rPr>
                <w:sz w:val="20"/>
                <w:szCs w:val="20"/>
                <w:color w:val="auto"/>
              </w:rPr>
            </w:pPr>
            <w:r>
              <w:rPr>
                <w:rFonts w:ascii="Arial" w:cs="Arial" w:eastAsia="Arial" w:hAnsi="Arial"/>
                <w:sz w:val="18"/>
                <w:szCs w:val="18"/>
                <w:b w:val="1"/>
                <w:bCs w:val="1"/>
                <w:color w:val="auto"/>
              </w:rPr>
              <w:t>FORTINET, INC. AND SUBSIDIARIES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9"/>
        </w:trPr>
        <w:tc>
          <w:tcPr>
            <w:tcW w:w="1020" w:type="dxa"/>
            <w:vAlign w:val="bottom"/>
          </w:tcPr>
          <w:p>
            <w:pPr>
              <w:spacing w:after="0"/>
              <w:rPr>
                <w:sz w:val="24"/>
                <w:szCs w:val="24"/>
                <w:color w:val="auto"/>
              </w:rPr>
            </w:pPr>
          </w:p>
        </w:tc>
        <w:tc>
          <w:tcPr>
            <w:tcW w:w="7320" w:type="dxa"/>
            <w:vAlign w:val="bottom"/>
          </w:tcPr>
          <w:p>
            <w:pPr>
              <w:ind w:left="3140"/>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320" w:type="dxa"/>
            <w:vAlign w:val="bottom"/>
          </w:tcPr>
          <w:p>
            <w:pPr>
              <w:ind w:left="3120"/>
              <w:spacing w:after="0"/>
              <w:rPr>
                <w:sz w:val="20"/>
                <w:szCs w:val="20"/>
                <w:color w:val="auto"/>
              </w:rPr>
            </w:pPr>
            <w:r>
              <w:rPr>
                <w:rFonts w:ascii="Arial" w:cs="Arial" w:eastAsia="Arial" w:hAnsi="Arial"/>
                <w:sz w:val="18"/>
                <w:szCs w:val="18"/>
                <w:b w:val="1"/>
                <w:bCs w:val="1"/>
                <w:color w:val="auto"/>
              </w:rPr>
              <w:t>(in thousands, except per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71,990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290,719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318,283</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Accounts receivable, net of allowance for doubtful accounts of $115 and $336 as of December 31, 2012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December 31, 2011,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95,522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16,249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tax asset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13,948</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523,570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7,966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46,523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325,892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148,414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8,274</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975,497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734,747</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15,971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24,197</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247,268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206,928</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266,864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REVENUE—Non-current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115,917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87,905</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21,624</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464,563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376,393</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Common stock, $0.001 par value — 300,000 shares authorized; 161,757 and 156,401 shares issued and 160,348</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 154,992 shares outstanding as of December 31, 2012 and December 31, 2011,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400,075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317,026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Treasury stock</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43,765</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510,934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358,354</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975,497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734,747</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4" w:right="2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960" w:type="dxa"/>
            <w:vAlign w:val="bottom"/>
            <w:gridSpan w:val="6"/>
          </w:tcPr>
          <w:p>
            <w:pPr>
              <w:jc w:val="center"/>
              <w:ind w:left="411"/>
              <w:spacing w:after="0"/>
              <w:rPr>
                <w:sz w:val="20"/>
                <w:szCs w:val="20"/>
                <w:color w:val="auto"/>
              </w:rPr>
            </w:pPr>
            <w:r>
              <w:rPr>
                <w:rFonts w:ascii="Arial" w:cs="Arial" w:eastAsia="Arial" w:hAnsi="Arial"/>
                <w:sz w:val="18"/>
                <w:szCs w:val="18"/>
                <w:b w:val="1"/>
                <w:bCs w:val="1"/>
                <w:color w:val="auto"/>
              </w:rPr>
              <w:t>FORTINET, INC. AND SUBSIDIARIES</w:t>
            </w: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480" w:type="dxa"/>
            <w:vAlign w:val="bottom"/>
          </w:tcPr>
          <w:p>
            <w:pPr>
              <w:spacing w:after="0"/>
              <w:rPr>
                <w:sz w:val="24"/>
                <w:szCs w:val="24"/>
                <w:color w:val="auto"/>
              </w:rPr>
            </w:pPr>
          </w:p>
        </w:tc>
        <w:tc>
          <w:tcPr>
            <w:tcW w:w="45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960" w:type="dxa"/>
            <w:vAlign w:val="bottom"/>
            <w:gridSpan w:val="6"/>
          </w:tcPr>
          <w:p>
            <w:pPr>
              <w:jc w:val="center"/>
              <w:ind w:left="411"/>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8"/>
        </w:trPr>
        <w:tc>
          <w:tcPr>
            <w:tcW w:w="3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2"/>
          </w:tcPr>
          <w:p>
            <w:pPr>
              <w:ind w:left="220"/>
              <w:spacing w:after="0"/>
              <w:rPr>
                <w:sz w:val="20"/>
                <w:szCs w:val="20"/>
                <w:color w:val="auto"/>
              </w:rPr>
            </w:pPr>
            <w:r>
              <w:rPr>
                <w:rFonts w:ascii="Arial" w:cs="Arial" w:eastAsia="Arial" w:hAnsi="Arial"/>
                <w:sz w:val="16"/>
                <w:szCs w:val="16"/>
                <w:b w:val="1"/>
                <w:bCs w:val="1"/>
                <w:color w:val="auto"/>
              </w:rPr>
              <w:t>Fiscal Year</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ind w:right="69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34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40" w:type="dxa"/>
            <w:vAlign w:val="bottom"/>
          </w:tcPr>
          <w:p>
            <w:pPr>
              <w:jc w:val="right"/>
              <w:ind w:right="931"/>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248,948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197,408</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135,140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274,043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220,268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172,046</w:t>
            </w:r>
          </w:p>
        </w:tc>
        <w:tc>
          <w:tcPr>
            <w:tcW w:w="0" w:type="dxa"/>
            <w:vAlign w:val="bottom"/>
          </w:tcPr>
          <w:p>
            <w:pPr>
              <w:spacing w:after="0"/>
              <w:rPr>
                <w:sz w:val="1"/>
                <w:szCs w:val="1"/>
                <w:color w:val="auto"/>
              </w:rPr>
            </w:pPr>
          </w:p>
        </w:tc>
      </w:tr>
      <w:tr>
        <w:trPr>
          <w:trHeight w:val="243"/>
        </w:trPr>
        <w:tc>
          <w:tcPr>
            <w:tcW w:w="348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10,648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15,900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533,639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433,576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324,696</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73,201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51,944</w:t>
            </w:r>
          </w:p>
        </w:tc>
        <w:tc>
          <w:tcPr>
            <w:tcW w:w="0" w:type="dxa"/>
            <w:vAlign w:val="bottom"/>
          </w:tcPr>
          <w:p>
            <w:pPr>
              <w:spacing w:after="0"/>
              <w:rPr>
                <w:sz w:val="1"/>
                <w:szCs w:val="1"/>
                <w:color w:val="auto"/>
              </w:rPr>
            </w:pPr>
          </w:p>
        </w:tc>
      </w:tr>
      <w:tr>
        <w:trPr>
          <w:trHeight w:val="243"/>
        </w:trPr>
        <w:tc>
          <w:tcPr>
            <w:tcW w:w="348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50,682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35,486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26,967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37"/>
        </w:trPr>
        <w:tc>
          <w:tcPr>
            <w:tcW w:w="348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147,420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113,598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85,206</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154,977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124,207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83,196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223,361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184,782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145,079</w:t>
            </w:r>
          </w:p>
        </w:tc>
        <w:tc>
          <w:tcPr>
            <w:tcW w:w="0" w:type="dxa"/>
            <w:vAlign w:val="bottom"/>
          </w:tcPr>
          <w:p>
            <w:pPr>
              <w:spacing w:after="0"/>
              <w:rPr>
                <w:sz w:val="1"/>
                <w:szCs w:val="1"/>
                <w:color w:val="auto"/>
              </w:rPr>
            </w:pPr>
          </w:p>
        </w:tc>
      </w:tr>
      <w:tr>
        <w:trPr>
          <w:trHeight w:val="243"/>
        </w:trPr>
        <w:tc>
          <w:tcPr>
            <w:tcW w:w="348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7,881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10,989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gross profit</w:t>
            </w:r>
          </w:p>
        </w:tc>
        <w:tc>
          <w:tcPr>
            <w:tcW w:w="1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386,219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319,978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239,490</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49,801</w:t>
            </w:r>
          </w:p>
        </w:tc>
        <w:tc>
          <w:tcPr>
            <w:tcW w:w="0" w:type="dxa"/>
            <w:vAlign w:val="bottom"/>
          </w:tcPr>
          <w:p>
            <w:pPr>
              <w:spacing w:after="0"/>
              <w:rPr>
                <w:sz w:val="1"/>
                <w:szCs w:val="1"/>
                <w:color w:val="auto"/>
              </w:rPr>
            </w:pPr>
          </w:p>
        </w:tc>
      </w:tr>
      <w:tr>
        <w:trPr>
          <w:trHeight w:val="243"/>
        </w:trPr>
        <w:tc>
          <w:tcPr>
            <w:tcW w:w="348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179,155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145,532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111,968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22,380</w:t>
            </w:r>
          </w:p>
        </w:tc>
        <w:tc>
          <w:tcPr>
            <w:tcW w:w="0" w:type="dxa"/>
            <w:vAlign w:val="bottom"/>
          </w:tcPr>
          <w:p>
            <w:pPr>
              <w:spacing w:after="0"/>
              <w:rPr>
                <w:sz w:val="1"/>
                <w:szCs w:val="1"/>
                <w:color w:val="auto"/>
              </w:rPr>
            </w:pPr>
          </w:p>
        </w:tc>
      </w:tr>
      <w:tr>
        <w:trPr>
          <w:trHeight w:val="237"/>
        </w:trPr>
        <w:tc>
          <w:tcPr>
            <w:tcW w:w="348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285,744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231,074</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184,149</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100,475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88,904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55,341</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1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104,996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92,073</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56,341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29,581</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15,096</w:t>
            </w:r>
          </w:p>
        </w:tc>
        <w:tc>
          <w:tcPr>
            <w:tcW w:w="0" w:type="dxa"/>
            <w:vAlign w:val="bottom"/>
          </w:tcPr>
          <w:p>
            <w:pPr>
              <w:spacing w:after="0"/>
              <w:rPr>
                <w:sz w:val="1"/>
                <w:szCs w:val="1"/>
                <w:color w:val="auto"/>
              </w:rPr>
            </w:pPr>
          </w:p>
        </w:tc>
      </w:tr>
      <w:tr>
        <w:trPr>
          <w:trHeight w:val="297"/>
        </w:trPr>
        <w:tc>
          <w:tcPr>
            <w:tcW w:w="3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bottom w:val="single" w:sz="8" w:color="auto"/>
            </w:tcBorders>
          </w:tcPr>
          <w:p>
            <w:pPr>
              <w:jc w:val="right"/>
              <w:ind w:right="931"/>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66,836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62,492</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41,245</w:t>
            </w: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Net income per share attributable to common</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(Note 7):</w:t>
            </w:r>
          </w:p>
        </w:tc>
        <w:tc>
          <w:tcPr>
            <w:tcW w:w="1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tcPr>
          <w:p>
            <w:pPr>
              <w:jc w:val="right"/>
              <w:ind w:right="93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51"/>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jc w:val="right"/>
              <w:ind w:right="93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8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158,074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152,581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140,726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80" w:type="dxa"/>
            <w:vAlign w:val="bottom"/>
          </w:tcPr>
          <w:p>
            <w:pPr>
              <w:ind w:left="50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166,329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163,781</w:t>
            </w:r>
          </w:p>
        </w:tc>
        <w:tc>
          <w:tcPr>
            <w:tcW w:w="1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156,406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122" w:right="1440"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Fiscal Year</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5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2010</w:t>
            </w:r>
          </w:p>
        </w:tc>
      </w:tr>
      <w:tr>
        <w:trPr>
          <w:trHeight w:val="33"/>
        </w:trPr>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gains (losses)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Unrealized gains (losses) on investments</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(losses) on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w w:val="94"/>
              </w:rPr>
              <w:t>Tax provision related to items of other comprehensive income or loss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accumulated other comprehensive income</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50"/>
        </w:trPr>
        <w:tc>
          <w:tcPr>
            <w:tcW w:w="56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69,525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60,713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8890</wp:posOffset>
            </wp:positionV>
            <wp:extent cx="2838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-130175</wp:posOffset>
            </wp:positionV>
            <wp:extent cx="2838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740"/>
          </w:cols>
          <w:pgMar w:left="240" w:top="122" w:right="91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28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24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4"/>
                <w:szCs w:val="14"/>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020" w:type="dxa"/>
            <w:vAlign w:val="bottom"/>
          </w:tcPr>
          <w:p>
            <w:pPr>
              <w:spacing w:after="0"/>
              <w:rPr>
                <w:sz w:val="13"/>
                <w:szCs w:val="13"/>
                <w:color w:val="auto"/>
              </w:rPr>
            </w:pPr>
          </w:p>
        </w:tc>
        <w:tc>
          <w:tcPr>
            <w:tcW w:w="12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(Accumulated</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8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2009</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135,034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 (2,995)</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$ 204,200</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(59,972)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142,452</w:t>
            </w:r>
          </w:p>
        </w:tc>
        <w:tc>
          <w:tcPr>
            <w:tcW w:w="0" w:type="dxa"/>
            <w:vAlign w:val="bottom"/>
          </w:tcPr>
          <w:p>
            <w:pPr>
              <w:spacing w:after="0"/>
              <w:rPr>
                <w:sz w:val="1"/>
                <w:szCs w:val="1"/>
                <w:color w:val="auto"/>
              </w:rPr>
            </w:pPr>
          </w:p>
        </w:tc>
      </w:tr>
      <w:tr>
        <w:trPr>
          <w:trHeight w:val="264"/>
        </w:trPr>
        <w:tc>
          <w:tcPr>
            <w:tcW w:w="3020" w:type="dxa"/>
            <w:vAlign w:val="bottom"/>
          </w:tcPr>
          <w:p>
            <w:pPr>
              <w:ind w:left="280"/>
              <w:spacing w:after="0"/>
              <w:rPr>
                <w:sz w:val="20"/>
                <w:szCs w:val="20"/>
                <w:color w:val="auto"/>
              </w:rPr>
            </w:pPr>
            <w:r>
              <w:rPr>
                <w:rFonts w:ascii="Arial" w:cs="Arial" w:eastAsia="Arial" w:hAnsi="Arial"/>
                <w:sz w:val="14"/>
                <w:szCs w:val="14"/>
                <w:color w:val="auto"/>
              </w:rPr>
              <w:t>Exercise of stock options and warrants</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15,138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29,094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29,109</w:t>
            </w:r>
          </w:p>
        </w:tc>
        <w:tc>
          <w:tcPr>
            <w:tcW w:w="0" w:type="dxa"/>
            <w:vAlign w:val="bottom"/>
          </w:tcPr>
          <w:p>
            <w:pPr>
              <w:spacing w:after="0"/>
              <w:rPr>
                <w:sz w:val="1"/>
                <w:szCs w:val="1"/>
                <w:color w:val="auto"/>
              </w:rPr>
            </w:pPr>
          </w:p>
        </w:tc>
      </w:tr>
      <w:tr>
        <w:trPr>
          <w:trHeight w:val="276"/>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9,315</w:t>
            </w:r>
          </w:p>
        </w:tc>
        <w:tc>
          <w:tcPr>
            <w:tcW w:w="0" w:type="dxa"/>
            <w:vAlign w:val="bottom"/>
          </w:tcPr>
          <w:p>
            <w:pPr>
              <w:spacing w:after="0"/>
              <w:rPr>
                <w:sz w:val="1"/>
                <w:szCs w:val="1"/>
                <w:color w:val="auto"/>
              </w:rPr>
            </w:pPr>
          </w:p>
        </w:tc>
      </w:tr>
      <w:tr>
        <w:trPr>
          <w:trHeight w:val="157"/>
        </w:trPr>
        <w:tc>
          <w:tcPr>
            <w:tcW w:w="3020" w:type="dxa"/>
            <w:vAlign w:val="bottom"/>
          </w:tcPr>
          <w:p>
            <w:pPr>
              <w:ind w:left="280"/>
              <w:spacing w:after="0" w:line="157" w:lineRule="exact"/>
              <w:rPr>
                <w:sz w:val="20"/>
                <w:szCs w:val="20"/>
                <w:color w:val="auto"/>
              </w:rPr>
            </w:pPr>
            <w:r>
              <w:rPr>
                <w:rFonts w:ascii="Arial" w:cs="Arial" w:eastAsia="Arial" w:hAnsi="Arial"/>
                <w:sz w:val="14"/>
                <w:szCs w:val="14"/>
                <w:color w:val="auto"/>
              </w:rPr>
              <w:t>Income tax benefit from employee stock</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80"/>
              <w:spacing w:after="0"/>
              <w:rPr>
                <w:sz w:val="20"/>
                <w:szCs w:val="20"/>
                <w:color w:val="auto"/>
              </w:rPr>
            </w:pPr>
            <w:r>
              <w:rPr>
                <w:rFonts w:ascii="Arial" w:cs="Arial" w:eastAsia="Arial" w:hAnsi="Arial"/>
                <w:sz w:val="14"/>
                <w:szCs w:val="14"/>
                <w:color w:val="auto"/>
              </w:rPr>
              <w:t>option plans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9,235</w:t>
            </w: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unrealized gain on investments—net of</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7"/>
        </w:trPr>
        <w:tc>
          <w:tcPr>
            <w:tcW w:w="3020" w:type="dxa"/>
            <w:vAlign w:val="bottom"/>
          </w:tcPr>
          <w:p>
            <w:pPr>
              <w:ind w:left="280"/>
              <w:spacing w:after="0" w:line="157" w:lineRule="exact"/>
              <w:rPr>
                <w:sz w:val="20"/>
                <w:szCs w:val="20"/>
                <w:color w:val="auto"/>
              </w:rPr>
            </w:pPr>
            <w:r>
              <w:rPr>
                <w:rFonts w:ascii="Arial" w:cs="Arial" w:eastAsia="Arial" w:hAnsi="Arial"/>
                <w:sz w:val="14"/>
                <w:szCs w:val="14"/>
                <w:color w:val="auto"/>
                <w:w w:val="99"/>
              </w:rPr>
              <w:t>Net unrealized gain on derivatives qualifying</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80"/>
              <w:spacing w:after="0"/>
              <w:rPr>
                <w:sz w:val="20"/>
                <w:szCs w:val="20"/>
                <w:color w:val="auto"/>
              </w:rPr>
            </w:pPr>
            <w:r>
              <w:rPr>
                <w:rFonts w:ascii="Arial" w:cs="Arial" w:eastAsia="Arial" w:hAnsi="Arial"/>
                <w:sz w:val="14"/>
                <w:szCs w:val="14"/>
                <w:color w:val="auto"/>
              </w:rPr>
              <w:t>as cash flow hedges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cumulative translation</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64"/>
        </w:trPr>
        <w:tc>
          <w:tcPr>
            <w:tcW w:w="302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41,245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41,245</w:t>
            </w:r>
          </w:p>
        </w:tc>
        <w:tc>
          <w:tcPr>
            <w:tcW w:w="0" w:type="dxa"/>
            <w:vAlign w:val="bottom"/>
          </w:tcPr>
          <w:p>
            <w:pPr>
              <w:spacing w:after="0"/>
              <w:rPr>
                <w:sz w:val="1"/>
                <w:szCs w:val="1"/>
                <w:color w:val="auto"/>
              </w:rPr>
            </w:pPr>
          </w:p>
        </w:tc>
      </w:tr>
      <w:tr>
        <w:trPr>
          <w:trHeight w:val="256"/>
        </w:trPr>
        <w:tc>
          <w:tcPr>
            <w:tcW w:w="3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2010</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150,172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251,844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(18,727)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232,453</w:t>
            </w:r>
          </w:p>
        </w:tc>
        <w:tc>
          <w:tcPr>
            <w:tcW w:w="0" w:type="dxa"/>
            <w:vAlign w:val="bottom"/>
          </w:tcPr>
          <w:p>
            <w:pPr>
              <w:spacing w:after="0"/>
              <w:rPr>
                <w:sz w:val="1"/>
                <w:szCs w:val="1"/>
                <w:color w:val="auto"/>
              </w:rPr>
            </w:pPr>
          </w:p>
        </w:tc>
      </w:tr>
      <w:tr>
        <w:trPr>
          <w:trHeight w:val="264"/>
        </w:trPr>
        <w:tc>
          <w:tcPr>
            <w:tcW w:w="302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6,229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19,962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19,968</w:t>
            </w:r>
          </w:p>
        </w:tc>
        <w:tc>
          <w:tcPr>
            <w:tcW w:w="0" w:type="dxa"/>
            <w:vAlign w:val="bottom"/>
          </w:tcPr>
          <w:p>
            <w:pPr>
              <w:spacing w:after="0"/>
              <w:rPr>
                <w:sz w:val="1"/>
                <w:szCs w:val="1"/>
                <w:color w:val="auto"/>
              </w:rPr>
            </w:pPr>
          </w:p>
        </w:tc>
      </w:tr>
      <w:tr>
        <w:trPr>
          <w:trHeight w:val="276"/>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19,015</w:t>
            </w:r>
          </w:p>
        </w:tc>
        <w:tc>
          <w:tcPr>
            <w:tcW w:w="0" w:type="dxa"/>
            <w:vAlign w:val="bottom"/>
          </w:tcPr>
          <w:p>
            <w:pPr>
              <w:spacing w:after="0"/>
              <w:rPr>
                <w:sz w:val="1"/>
                <w:szCs w:val="1"/>
                <w:color w:val="auto"/>
              </w:rPr>
            </w:pPr>
          </w:p>
        </w:tc>
      </w:tr>
      <w:tr>
        <w:trPr>
          <w:trHeight w:val="157"/>
        </w:trPr>
        <w:tc>
          <w:tcPr>
            <w:tcW w:w="3020" w:type="dxa"/>
            <w:vAlign w:val="bottom"/>
          </w:tcPr>
          <w:p>
            <w:pPr>
              <w:ind w:left="280"/>
              <w:spacing w:after="0" w:line="157" w:lineRule="exact"/>
              <w:rPr>
                <w:sz w:val="20"/>
                <w:szCs w:val="20"/>
                <w:color w:val="auto"/>
              </w:rPr>
            </w:pPr>
            <w:r>
              <w:rPr>
                <w:rFonts w:ascii="Arial" w:cs="Arial" w:eastAsia="Arial" w:hAnsi="Arial"/>
                <w:sz w:val="14"/>
                <w:szCs w:val="14"/>
                <w:color w:val="auto"/>
              </w:rPr>
              <w:t>Income tax benefit from employee stock</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80"/>
              <w:spacing w:after="0"/>
              <w:rPr>
                <w:sz w:val="20"/>
                <w:szCs w:val="20"/>
                <w:color w:val="auto"/>
              </w:rPr>
            </w:pPr>
            <w:r>
              <w:rPr>
                <w:rFonts w:ascii="Arial" w:cs="Arial" w:eastAsia="Arial" w:hAnsi="Arial"/>
                <w:sz w:val="14"/>
                <w:szCs w:val="14"/>
                <w:color w:val="auto"/>
              </w:rPr>
              <w:t>option plans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26,205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26,205</w:t>
            </w: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unrealized loss on investments - net of</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57"/>
        </w:trPr>
        <w:tc>
          <w:tcPr>
            <w:tcW w:w="3020" w:type="dxa"/>
            <w:vAlign w:val="bottom"/>
          </w:tcPr>
          <w:p>
            <w:pPr>
              <w:ind w:left="280"/>
              <w:spacing w:after="0" w:line="157" w:lineRule="exact"/>
              <w:rPr>
                <w:sz w:val="20"/>
                <w:szCs w:val="20"/>
                <w:color w:val="auto"/>
              </w:rPr>
            </w:pPr>
            <w:r>
              <w:rPr>
                <w:rFonts w:ascii="Arial" w:cs="Arial" w:eastAsia="Arial" w:hAnsi="Arial"/>
                <w:sz w:val="14"/>
                <w:szCs w:val="14"/>
                <w:color w:val="auto"/>
                <w:w w:val="99"/>
              </w:rPr>
              <w:t>Net unrealized loss on derivatives qualifying</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80"/>
              <w:spacing w:after="0"/>
              <w:rPr>
                <w:sz w:val="20"/>
                <w:szCs w:val="20"/>
                <w:color w:val="auto"/>
              </w:rPr>
            </w:pPr>
            <w:r>
              <w:rPr>
                <w:rFonts w:ascii="Arial" w:cs="Arial" w:eastAsia="Arial" w:hAnsi="Arial"/>
                <w:sz w:val="14"/>
                <w:szCs w:val="14"/>
                <w:color w:val="auto"/>
              </w:rPr>
              <w:t>as cash flow hedges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cumulative translation</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64"/>
        </w:trPr>
        <w:tc>
          <w:tcPr>
            <w:tcW w:w="302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62,492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62,492</w:t>
            </w:r>
          </w:p>
        </w:tc>
        <w:tc>
          <w:tcPr>
            <w:tcW w:w="0" w:type="dxa"/>
            <w:vAlign w:val="bottom"/>
          </w:tcPr>
          <w:p>
            <w:pPr>
              <w:spacing w:after="0"/>
              <w:rPr>
                <w:sz w:val="1"/>
                <w:szCs w:val="1"/>
                <w:color w:val="auto"/>
              </w:rPr>
            </w:pPr>
          </w:p>
        </w:tc>
      </w:tr>
      <w:tr>
        <w:trPr>
          <w:trHeight w:val="256"/>
        </w:trPr>
        <w:tc>
          <w:tcPr>
            <w:tcW w:w="3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2011</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156,401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317,026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43,765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358,354</w:t>
            </w:r>
          </w:p>
        </w:tc>
        <w:tc>
          <w:tcPr>
            <w:tcW w:w="0" w:type="dxa"/>
            <w:vAlign w:val="bottom"/>
          </w:tcPr>
          <w:p>
            <w:pPr>
              <w:spacing w:after="0"/>
              <w:rPr>
                <w:sz w:val="1"/>
                <w:szCs w:val="1"/>
                <w:color w:val="auto"/>
              </w:rPr>
            </w:pPr>
          </w:p>
        </w:tc>
      </w:tr>
      <w:tr>
        <w:trPr>
          <w:trHeight w:val="157"/>
        </w:trPr>
        <w:tc>
          <w:tcPr>
            <w:tcW w:w="3020" w:type="dxa"/>
            <w:vAlign w:val="bottom"/>
          </w:tcPr>
          <w:p>
            <w:pPr>
              <w:ind w:left="280"/>
              <w:spacing w:after="0" w:line="157" w:lineRule="exact"/>
              <w:rPr>
                <w:sz w:val="20"/>
                <w:szCs w:val="20"/>
                <w:color w:val="auto"/>
              </w:rPr>
            </w:pPr>
            <w:r>
              <w:rPr>
                <w:rFonts w:ascii="Arial" w:cs="Arial" w:eastAsia="Arial" w:hAnsi="Arial"/>
                <w:sz w:val="14"/>
                <w:szCs w:val="14"/>
                <w:color w:val="auto"/>
                <w:w w:val="99"/>
              </w:rPr>
              <w:t>Issuance of common stock upon exercise of</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80"/>
              <w:spacing w:after="0"/>
              <w:rPr>
                <w:sz w:val="20"/>
                <w:szCs w:val="20"/>
                <w:color w:val="auto"/>
              </w:rPr>
            </w:pPr>
            <w:r>
              <w:rPr>
                <w:rFonts w:ascii="Arial" w:cs="Arial" w:eastAsia="Arial" w:hAnsi="Arial"/>
                <w:sz w:val="14"/>
                <w:szCs w:val="14"/>
                <w:color w:val="auto"/>
              </w:rPr>
              <w:t>stock options</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4,779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27,178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27,183</w:t>
            </w: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6"/>
              </w:rPr>
              <w:t>Issuance of common stock in connection with</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employee stock purchase plan</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10,904</w:t>
            </w:r>
          </w:p>
        </w:tc>
        <w:tc>
          <w:tcPr>
            <w:tcW w:w="0" w:type="dxa"/>
            <w:vAlign w:val="bottom"/>
          </w:tcPr>
          <w:p>
            <w:pPr>
              <w:spacing w:after="0"/>
              <w:rPr>
                <w:sz w:val="1"/>
                <w:szCs w:val="1"/>
                <w:color w:val="auto"/>
              </w:rPr>
            </w:pPr>
          </w:p>
        </w:tc>
      </w:tr>
      <w:tr>
        <w:trPr>
          <w:trHeight w:val="264"/>
        </w:trPr>
        <w:tc>
          <w:tcPr>
            <w:tcW w:w="302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30,690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30,690</w:t>
            </w: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benefit from employee stock</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option plans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14,278</w:t>
            </w:r>
          </w:p>
        </w:tc>
        <w:tc>
          <w:tcPr>
            <w:tcW w:w="0" w:type="dxa"/>
            <w:vAlign w:val="bottom"/>
          </w:tcPr>
          <w:p>
            <w:pPr>
              <w:spacing w:after="0"/>
              <w:rPr>
                <w:sz w:val="1"/>
                <w:szCs w:val="1"/>
                <w:color w:val="auto"/>
              </w:rPr>
            </w:pPr>
          </w:p>
        </w:tc>
      </w:tr>
      <w:tr>
        <w:trPr>
          <w:trHeight w:val="157"/>
        </w:trPr>
        <w:tc>
          <w:tcPr>
            <w:tcW w:w="3020" w:type="dxa"/>
            <w:vAlign w:val="bottom"/>
          </w:tcPr>
          <w:p>
            <w:pPr>
              <w:ind w:left="280"/>
              <w:spacing w:after="0" w:line="157" w:lineRule="exact"/>
              <w:rPr>
                <w:sz w:val="20"/>
                <w:szCs w:val="20"/>
                <w:color w:val="auto"/>
              </w:rPr>
            </w:pPr>
            <w:r>
              <w:rPr>
                <w:rFonts w:ascii="Arial" w:cs="Arial" w:eastAsia="Arial" w:hAnsi="Arial"/>
                <w:sz w:val="14"/>
                <w:szCs w:val="14"/>
                <w:color w:val="auto"/>
              </w:rPr>
              <w:t>Net unrealized gain on investments - net of</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80"/>
              <w:spacing w:after="0"/>
              <w:rPr>
                <w:sz w:val="20"/>
                <w:szCs w:val="20"/>
                <w:color w:val="auto"/>
              </w:rPr>
            </w:pPr>
            <w:r>
              <w:rPr>
                <w:rFonts w:ascii="Arial" w:cs="Arial" w:eastAsia="Arial" w:hAnsi="Arial"/>
                <w:sz w:val="14"/>
                <w:szCs w:val="14"/>
                <w:color w:val="auto"/>
              </w:rPr>
              <w:t>taxes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cumulative translation</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264"/>
        </w:trPr>
        <w:tc>
          <w:tcPr>
            <w:tcW w:w="302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66,836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66,836</w:t>
            </w:r>
          </w:p>
        </w:tc>
        <w:tc>
          <w:tcPr>
            <w:tcW w:w="0" w:type="dxa"/>
            <w:vAlign w:val="bottom"/>
          </w:tcPr>
          <w:p>
            <w:pPr>
              <w:spacing w:after="0"/>
              <w:rPr>
                <w:sz w:val="1"/>
                <w:szCs w:val="1"/>
                <w:color w:val="auto"/>
              </w:rPr>
            </w:pPr>
          </w:p>
        </w:tc>
      </w:tr>
      <w:tr>
        <w:trPr>
          <w:trHeight w:val="243"/>
        </w:trPr>
        <w:tc>
          <w:tcPr>
            <w:tcW w:w="3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2012</w:t>
            </w:r>
          </w:p>
        </w:tc>
        <w:tc>
          <w:tcPr>
            <w:tcW w:w="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161,757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 (2,995)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$ 400,075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510,934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122" w:right="1440"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0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66,836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62,492</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41,245</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0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11,564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6,989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5,696</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7,349</w:t>
            </w:r>
          </w:p>
        </w:tc>
        <w:tc>
          <w:tcPr>
            <w:tcW w:w="0" w:type="dxa"/>
            <w:vAlign w:val="bottom"/>
          </w:tcPr>
          <w:p>
            <w:pPr>
              <w:spacing w:after="0"/>
              <w:rPr>
                <w:sz w:val="1"/>
                <w:szCs w:val="1"/>
                <w:color w:val="auto"/>
              </w:rPr>
            </w:pPr>
          </w:p>
        </w:tc>
      </w:tr>
      <w:tr>
        <w:trPr>
          <w:trHeight w:val="264"/>
        </w:trPr>
        <w:tc>
          <w:tcPr>
            <w:tcW w:w="7000" w:type="dxa"/>
            <w:vAlign w:val="bottom"/>
          </w:tcPr>
          <w:p>
            <w:pPr>
              <w:ind w:left="92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30,690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19,015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9,315</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employee stock option plans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0" w:type="dxa"/>
            <w:vAlign w:val="bottom"/>
          </w:tcPr>
          <w:p>
            <w:pPr>
              <w:spacing w:after="0"/>
              <w:rPr>
                <w:sz w:val="1"/>
                <w:szCs w:val="1"/>
                <w:color w:val="auto"/>
              </w:rPr>
            </w:pPr>
          </w:p>
        </w:tc>
      </w:tr>
      <w:tr>
        <w:trPr>
          <w:trHeight w:val="264"/>
        </w:trPr>
        <w:tc>
          <w:tcPr>
            <w:tcW w:w="7000" w:type="dxa"/>
            <w:vAlign w:val="bottom"/>
          </w:tcPr>
          <w:p>
            <w:pPr>
              <w:ind w:left="920"/>
              <w:spacing w:after="0"/>
              <w:rPr>
                <w:sz w:val="20"/>
                <w:szCs w:val="20"/>
                <w:color w:val="auto"/>
              </w:rPr>
            </w:pPr>
            <w:r>
              <w:rPr>
                <w:rFonts w:ascii="Arial" w:cs="Arial" w:eastAsia="Arial" w:hAnsi="Arial"/>
                <w:sz w:val="14"/>
                <w:szCs w:val="14"/>
                <w:color w:val="auto"/>
              </w:rPr>
              <w:t>Other non-cash items, net</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0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(12,120)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(23,246)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(17,784)</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(5,946)</w:t>
            </w:r>
          </w:p>
        </w:tc>
        <w:tc>
          <w:tcPr>
            <w:tcW w:w="0" w:type="dxa"/>
            <w:vAlign w:val="bottom"/>
          </w:tcPr>
          <w:p>
            <w:pPr>
              <w:spacing w:after="0"/>
              <w:rPr>
                <w:sz w:val="1"/>
                <w:szCs w:val="1"/>
                <w:color w:val="auto"/>
              </w:rPr>
            </w:pPr>
          </w:p>
        </w:tc>
      </w:tr>
      <w:tr>
        <w:trPr>
          <w:trHeight w:val="264"/>
        </w:trPr>
        <w:tc>
          <w:tcPr>
            <w:tcW w:w="700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(9,254)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(4,278)</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264"/>
        </w:trPr>
        <w:tc>
          <w:tcPr>
            <w:tcW w:w="7000" w:type="dxa"/>
            <w:vAlign w:val="bottom"/>
          </w:tcPr>
          <w:p>
            <w:pPr>
              <w:ind w:left="146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264"/>
        </w:trPr>
        <w:tc>
          <w:tcPr>
            <w:tcW w:w="7000" w:type="dxa"/>
            <w:vAlign w:val="bottom"/>
          </w:tcPr>
          <w:p>
            <w:pPr>
              <w:ind w:left="1460"/>
              <w:spacing w:after="0"/>
              <w:rPr>
                <w:sz w:val="20"/>
                <w:szCs w:val="20"/>
                <w:color w:val="auto"/>
              </w:rPr>
            </w:pPr>
            <w:r>
              <w:rPr>
                <w:rFonts w:ascii="Arial" w:cs="Arial" w:eastAsia="Arial" w:hAnsi="Arial"/>
                <w:sz w:val="14"/>
                <w:szCs w:val="14"/>
                <w:color w:val="auto"/>
              </w:rPr>
              <w:t>Accrued liabilities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2,363</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payroll and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5,465</w:t>
            </w:r>
          </w:p>
        </w:tc>
        <w:tc>
          <w:tcPr>
            <w:tcW w:w="0" w:type="dxa"/>
            <w:vAlign w:val="bottom"/>
          </w:tcPr>
          <w:p>
            <w:pPr>
              <w:spacing w:after="0"/>
              <w:rPr>
                <w:sz w:val="1"/>
                <w:szCs w:val="1"/>
                <w:color w:val="auto"/>
              </w:rPr>
            </w:pPr>
          </w:p>
        </w:tc>
      </w:tr>
      <w:tr>
        <w:trPr>
          <w:trHeight w:val="264"/>
        </w:trPr>
        <w:tc>
          <w:tcPr>
            <w:tcW w:w="700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68,292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42,177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50,701</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28,265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35,964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16,017</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183,866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132,842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103,383</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00" w:type="dxa"/>
            <w:vAlign w:val="bottom"/>
          </w:tcPr>
          <w:p>
            <w:pPr>
              <w:ind w:left="500"/>
              <w:spacing w:after="0"/>
              <w:rPr>
                <w:sz w:val="20"/>
                <w:szCs w:val="20"/>
                <w:color w:val="auto"/>
              </w:rPr>
            </w:pPr>
            <w:r>
              <w:rPr>
                <w:rFonts w:ascii="Arial" w:cs="Arial" w:eastAsia="Arial" w:hAnsi="Arial"/>
                <w:sz w:val="14"/>
                <w:szCs w:val="14"/>
                <w:color w:val="auto"/>
              </w:rPr>
              <w:t>Purchase of investments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(601,087)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(516,906)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(416,376)</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10,451</w:t>
            </w:r>
          </w:p>
        </w:tc>
        <w:tc>
          <w:tcPr>
            <w:tcW w:w="0" w:type="dxa"/>
            <w:vAlign w:val="bottom"/>
          </w:tcPr>
          <w:p>
            <w:pPr>
              <w:spacing w:after="0"/>
              <w:rPr>
                <w:sz w:val="1"/>
                <w:szCs w:val="1"/>
                <w:color w:val="auto"/>
              </w:rPr>
            </w:pPr>
          </w:p>
        </w:tc>
      </w:tr>
      <w:tr>
        <w:trPr>
          <w:trHeight w:val="264"/>
        </w:trPr>
        <w:tc>
          <w:tcPr>
            <w:tcW w:w="700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415,440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311,824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125,929</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 of property and equipment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(3,776)</w:t>
            </w:r>
          </w:p>
        </w:tc>
        <w:tc>
          <w:tcPr>
            <w:tcW w:w="0" w:type="dxa"/>
            <w:vAlign w:val="bottom"/>
          </w:tcPr>
          <w:p>
            <w:pPr>
              <w:spacing w:after="0"/>
              <w:rPr>
                <w:sz w:val="1"/>
                <w:szCs w:val="1"/>
                <w:color w:val="auto"/>
              </w:rPr>
            </w:pPr>
          </w:p>
        </w:tc>
      </w:tr>
      <w:tr>
        <w:trPr>
          <w:trHeight w:val="264"/>
        </w:trPr>
        <w:tc>
          <w:tcPr>
            <w:tcW w:w="7000" w:type="dxa"/>
            <w:vAlign w:val="bottom"/>
          </w:tcPr>
          <w:p>
            <w:pPr>
              <w:ind w:left="500"/>
              <w:spacing w:after="0"/>
              <w:rPr>
                <w:sz w:val="20"/>
                <w:szCs w:val="20"/>
                <w:color w:val="auto"/>
              </w:rPr>
            </w:pPr>
            <w:r>
              <w:rPr>
                <w:rFonts w:ascii="Arial" w:cs="Arial" w:eastAsia="Arial" w:hAnsi="Arial"/>
                <w:sz w:val="14"/>
                <w:szCs w:val="14"/>
                <w:color w:val="auto"/>
              </w:rPr>
              <w:t>Payments made in connection with acquisitions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restricted cash</w:t>
            </w: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(182,711)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(166,826)</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(283,710)</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0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38,087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19,968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29,110</w:t>
            </w:r>
          </w:p>
        </w:tc>
        <w:tc>
          <w:tcPr>
            <w:tcW w:w="0" w:type="dxa"/>
            <w:vAlign w:val="bottom"/>
          </w:tcPr>
          <w:p>
            <w:pPr>
              <w:spacing w:after="0"/>
              <w:rPr>
                <w:sz w:val="1"/>
                <w:szCs w:val="1"/>
                <w:color w:val="auto"/>
              </w:rPr>
            </w:pPr>
          </w:p>
        </w:tc>
      </w:tr>
      <w:tr>
        <w:trPr>
          <w:trHeight w:val="276"/>
        </w:trPr>
        <w:tc>
          <w:tcPr>
            <w:tcW w:w="70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Offering costs paid in connection with initial public offering</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Excess tax benefit from employee stock option plans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12,069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19,829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5,781</w:t>
            </w:r>
          </w:p>
        </w:tc>
        <w:tc>
          <w:tcPr>
            <w:tcW w:w="0" w:type="dxa"/>
            <w:vAlign w:val="bottom"/>
          </w:tcPr>
          <w:p>
            <w:pPr>
              <w:spacing w:after="0"/>
              <w:rPr>
                <w:sz w:val="1"/>
                <w:szCs w:val="1"/>
                <w:color w:val="auto"/>
              </w:rPr>
            </w:pPr>
          </w:p>
        </w:tc>
      </w:tr>
      <w:tr>
        <w:trPr>
          <w:trHeight w:val="250"/>
        </w:trPr>
        <w:tc>
          <w:tcPr>
            <w:tcW w:w="700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50,156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39,797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34,019</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56"/>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50,985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(145,599)</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EQUIVALENTS—Beginning of year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71,990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66,859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212,458</w:t>
            </w: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EQUIVALENTS—End of year</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71,990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66,859</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Cash paid (refunded) for taxes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2,483</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Purchase of property and equipment not yet paid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ind w:left="500"/>
              <w:spacing w:after="0"/>
              <w:rPr>
                <w:sz w:val="20"/>
                <w:szCs w:val="20"/>
                <w:color w:val="auto"/>
              </w:rPr>
            </w:pPr>
            <w:r>
              <w:rPr>
                <w:rFonts w:ascii="Arial" w:cs="Arial" w:eastAsia="Arial" w:hAnsi="Arial"/>
                <w:sz w:val="14"/>
                <w:szCs w:val="14"/>
                <w:color w:val="auto"/>
              </w:rPr>
              <w:t>Liability incurred in connection with business acquisition</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80"/>
          </w:cols>
          <w:pgMar w:left="240" w:top="122" w:right="379" w:bottom="1440" w:gutter="0" w:footer="0" w:header="0"/>
        </w:sect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80"/>
          </w:cols>
          <w:pgMar w:left="240" w:top="122" w:right="37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2012, 2011 AND 2010</w:t>
      </w:r>
    </w:p>
    <w:p>
      <w:pPr>
        <w:spacing w:after="0" w:line="20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November 2000 and is a leading provider of network security appliances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UTM network security solutions to enterprises, service providers and governmental entities worldwide. Fortinet’s solutions are designed to integrate multiple levels of security protection, including firewall, virtual private networking, application control, antivirus, intrusion prevention, web filtering, anti-spam and WAN acceleration.</w:t>
      </w:r>
    </w:p>
    <w:p>
      <w:pPr>
        <w:spacing w:after="0" w:line="180"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consolidated financial statements of Fortinet and its wholly owned subsidiaries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“us” or “our”) have been prepared in accordance with U.S. GAAP. All intercompany transactions and balances have been eliminated in consolidation.</w:t>
      </w:r>
    </w:p>
    <w:p>
      <w:pPr>
        <w:spacing w:after="0" w:line="18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During fiscal 2012, we recorded a $0.9 million non-recurring cumulative out-of-period adjustment, relating to fiscal 2011, to reflect a true-up related to forfeitures of stock awards granted to employees. The adjustment resulted in lower stock-based compensation expense and higher operating income and net income during fiscal 2012. We believe the impact of the adjustment is not material to the current or prior fiscal periods.</w:t>
      </w:r>
    </w:p>
    <w:p>
      <w:pPr>
        <w:spacing w:after="0" w:line="162"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consolidated financial statements in accordance with U.S.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consolidated financial statements and accompanying notes. Such management estimates include implicit service periods for revenue recognition, litigation and settlement costs and other loss contingencies, sales returns and allowances, reserve for bad debt, inventory valuation, warranty reserve, the accounting for income taxes, including the determination of the timing of the establishment or release of our valuation allowance related to deferred tax asset balances and reserves for uncertain tax positions and the accounting for business combinations. We base our estimates on historical experience and also on assumptions that we believe are reasonable. Actual results could differ from those estimates.</w:t>
      </w:r>
    </w:p>
    <w:p>
      <w:pPr>
        <w:spacing w:after="0" w:line="15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b w:val="1"/>
          <w:bCs w:val="1"/>
          <w:color w:val="auto"/>
        </w:rPr>
        <w:t>Certain Significant Risks and Uncertainties</w:t>
      </w:r>
      <w:r>
        <w:rPr>
          <w:rFonts w:ascii="Arial" w:cs="Arial" w:eastAsia="Arial" w:hAnsi="Arial"/>
          <w:sz w:val="16"/>
          <w:szCs w:val="16"/>
          <w:color w:val="auto"/>
        </w:rPr>
        <w:t>—We are subject to certain risks and uncertainties that could have a material adverse effect on our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financial position or results of operations, such as the following: changes in level of demand for our products and services, the timing and success of new product and service introductions by us or our competitors, price and sales competition and our ability to adapt to changing market conditions and dynamics such as changes in end-customer, distributor or reseller requirements or market needs, changes in expenses caused, for example, by fluctuations in foreign currency exchange rates, management of inventory, internal control over financial reporting, market acceptance of our new products and services, demand for UTM products and services in general, seasonality, failure of our channel partners to perform or other disruption in our channel, the quality of our products and services and the market perception of our response to new viruses or security breaches, general economic conditions, challenges in doing business outside of the United States, changes in customer relationships, litigation, or claims against us based on intellectual property, patent, product regulatory or other factors (Note 9), product obsolescence, and our ability to attract and retain qualified employees.</w:t>
      </w:r>
    </w:p>
    <w:p>
      <w:pPr>
        <w:spacing w:after="0" w:line="16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rely on sole suppliers and independent contract manufacturers for certain of our components and one third-party logistics company for distribution of certain of our products. The inability of any of these parties to fulfill our supply and logistics requirements could negatively impact our future operating results.</w:t>
      </w:r>
    </w:p>
    <w:p>
      <w:pPr>
        <w:spacing w:after="0" w:line="177"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concentrations of credit risk consist primarily of cash,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and long-term investments, and accounts receivable. We maintain our cash and cash equivalents in fixed income securities with major financial institutions, which our management assesses to be of high credit quality, in order to limit the exposure of each investment. Deposits held with banks may exceed the amount of insurance provided on such deposits.</w:t>
      </w:r>
    </w:p>
    <w:p>
      <w:pPr>
        <w:spacing w:after="0" w:line="18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2012 and December 31, 2011, no single customer accounted for more than 10% of net accounts receivable.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fiscal 2012, one customer accounted for 11% of total net revenues. During fiscal 2011 and 2010, no single customer accounted for more than 10% of total net revenues.</w:t>
      </w:r>
    </w:p>
    <w:p>
      <w:pPr>
        <w:spacing w:after="0" w:line="166"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Financial Instruments and Fair Value</w:t>
      </w:r>
      <w:r>
        <w:rPr>
          <w:rFonts w:ascii="Arial" w:cs="Arial" w:eastAsia="Arial" w:hAnsi="Arial"/>
          <w:sz w:val="16"/>
          <w:szCs w:val="16"/>
          <w:color w:val="auto"/>
        </w:rPr>
        <w:t>—We apply fair value accounting for all financial assets and liabilities and non-financial assets and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recognized or disclosed at fair value in the financial statements on a recurring basis. Due to their short-term nature, the carrying amounts reported in the consolidated financial statements approximate the fair value for accounts receivable, accounts payable, accrued compensation, and other current liabilities.</w:t>
      </w:r>
    </w:p>
    <w:p>
      <w:pPr>
        <w:spacing w:after="0" w:line="14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—Comprehensive income includes certain changes in equity from non-owner sources that are excluded from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cumulative foreign currency translation adjustments, unrealized gains and losses on available-for-sale investments, and unrealized gains and losses on derivatives are included in comprehensive income.</w:t>
      </w:r>
    </w:p>
    <w:p>
      <w:pPr>
        <w:spacing w:after="0" w:line="176"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b w:val="1"/>
          <w:bCs w:val="1"/>
          <w:color w:val="auto"/>
        </w:rPr>
        <w:t>Foreign Currency Translation and Transaction Gains and Losses</w:t>
      </w:r>
      <w:r>
        <w:rPr>
          <w:rFonts w:ascii="Arial" w:cs="Arial" w:eastAsia="Arial" w:hAnsi="Arial"/>
          <w:sz w:val="17"/>
          <w:szCs w:val="17"/>
          <w:color w:val="auto"/>
        </w:rPr>
        <w:t>—Assets and liabilities of foreign subsidiaries are translated into U.S.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using the exchange rates in effect at the balance sheet dates and revenue and expenses are translated using average exchange rates during the period. The resulting foreign translation adjustments are recorded in accumulated other comprehensive income. Foreign currency transaction losses of $0.5 million, $0.4 million and $0.8 million, are included in other expense, net for fiscal 2012, 2011 and 2010, respectively.</w:t>
      </w:r>
    </w:p>
    <w:p>
      <w:pPr>
        <w:spacing w:after="0" w:line="16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Cash, Cash Equivalents and Available-for-sale Investments</w:t>
      </w:r>
      <w:r>
        <w:rPr>
          <w:rFonts w:ascii="Arial" w:cs="Arial" w:eastAsia="Arial" w:hAnsi="Arial"/>
          <w:sz w:val="18"/>
          <w:szCs w:val="18"/>
          <w:color w:val="auto"/>
        </w:rPr>
        <w:t>—We consider all highly liquid investments, purchased with original maturities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to be cash equivalents. Cash and cash equivalents consist of balances with banks, and highly liquid investments in money market funds, commercial paper, and certificates of deposit and term deposits.</w:t>
      </w:r>
    </w:p>
    <w:p>
      <w:pPr>
        <w:spacing w:after="0" w:line="18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classify our investments as available-for-sale at the time of purchase since it is our intent that these investments are available for current operations, and include these investments on our balance sheet as either short-term or long-term investments depending on their maturity at the time of purchase.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debt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183"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(using the first-in, first-out method) or market, after we give appropriate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184"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—Property and equipment are stated at cost. Depreciation is computed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the assets, generally one to three years. Evaluation units are transferred from inventory at cost and are amortized over one year from the date of transfer. Leasehold improvements are amortized over the shorter of the estimated useful lives of the improvements or the lease term.</w:t>
      </w:r>
    </w:p>
    <w:p>
      <w:pPr>
        <w:spacing w:after="0" w:line="14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—We evaluate events and changes in circumstances that could indicate carrying amounts of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intangible assets, may not be recoverable. When such events or changes in circumstances occur, we assess the recoverability of long-lived assets by determining whether the carrying value of such assets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Deferred Revenue</w:t>
      </w:r>
      <w:r>
        <w:rPr>
          <w:rFonts w:ascii="Arial" w:cs="Arial" w:eastAsia="Arial" w:hAnsi="Arial"/>
          <w:sz w:val="17"/>
          <w:szCs w:val="17"/>
          <w:color w:val="auto"/>
        </w:rPr>
        <w:t>—Deferred revenue consists of amounts that have been invoiced but that have not yet been recognized as revenue.</w:t>
      </w:r>
    </w:p>
    <w:p>
      <w:pPr>
        <w:spacing w:after="0" w:line="23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—We record income taxes using the asset and liability method, which requires the recognition of deferred tax assets and liabilities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expected future tax consequences of events that have been recognized in our financial statements or tax returns. In estimating future tax consequences, generally all expected future events other than enactments or changes in the tax law or rates are considered. 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w:t>
      </w:r>
    </w:p>
    <w:p>
      <w:pPr>
        <w:spacing w:after="0" w:line="15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account for uncertain tax positions in accordance with U.S. GAAP, which defines the confidence level that a tax position must meet in order to be recognized in the financial statements. The tax effects of a position are recognized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83"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b w:val="1"/>
          <w:bCs w:val="1"/>
          <w:color w:val="auto"/>
        </w:rPr>
        <w:t>Stock-Based Compensation Expense</w:t>
      </w:r>
      <w:r>
        <w:rPr>
          <w:rFonts w:ascii="Arial" w:cs="Arial" w:eastAsia="Arial" w:hAnsi="Arial"/>
          <w:sz w:val="17"/>
          <w:szCs w:val="17"/>
          <w:color w:val="auto"/>
        </w:rPr>
        <w:t>—We have elected to use the Black-Scholes option pricing model to determine the fair value of our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options and ESPP. The fair value of RSUs is based on the closing market price of our common stock on the date of grant.</w:t>
      </w:r>
    </w:p>
    <w:p>
      <w:pPr>
        <w:spacing w:after="0" w:line="138"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Advertising Expense</w:t>
      </w:r>
      <w:r>
        <w:rPr>
          <w:rFonts w:ascii="Arial" w:cs="Arial" w:eastAsia="Arial" w:hAnsi="Arial"/>
          <w:sz w:val="18"/>
          <w:szCs w:val="18"/>
          <w:color w:val="auto"/>
        </w:rPr>
        <w:t>—Advertising costs are expensed when incurred and is included in operating expenses in the accompanying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operations. Our advertising expenses were not significant for any periods presented.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have not been capitalized as we believe our current software development process is</w:t>
      </w:r>
      <w:r>
        <w:rPr>
          <w:rFonts w:ascii="Arial" w:cs="Arial" w:eastAsia="Arial" w:hAnsi="Arial"/>
          <w:sz w:val="18"/>
          <w:szCs w:val="18"/>
          <w:b w:val="1"/>
          <w:bCs w:val="1"/>
          <w:color w:val="auto"/>
        </w:rPr>
        <w:t xml:space="preserve"> </w:t>
      </w:r>
      <w:r>
        <w:rPr>
          <w:rFonts w:ascii="Arial" w:cs="Arial" w:eastAsia="Arial" w:hAnsi="Arial"/>
          <w:sz w:val="18"/>
          <w:szCs w:val="18"/>
          <w:color w:val="auto"/>
        </w:rPr>
        <w:t>essentially completed concurrent with the establishment of technological feasibility.</w:t>
      </w:r>
    </w:p>
    <w:p>
      <w:pPr>
        <w:spacing w:after="0" w:line="16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—In October 2009, the FASB amended the accounting standards for multiple deliverable revenue arrangements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guidance on how the deliverables in an arrangement should be separated and eliminates the use of the residual method. The new accounting standards also require an entity to allocate revenue using the relative selling price method. The new accounting standards establish a hierarchy of evidence to determine the stand-alone selling price of a deliverable based on VSOE, TPE, and the BESP. If VSOE is available, it would be used to determine the selling price of a deliverable. If VSOE is not available, the entity would determine whether TPE is available. If so, TPE must be used to determine the selling price. If TPE is not available, then the BESP would be used. The new accounting standards amended industry specific revenue accounting guidance for software and software related transactions to exclude from its scope tangible products containing software components and non-software components that function together to deliver the product’s essential functionality.</w:t>
      </w:r>
    </w:p>
    <w:p>
      <w:pPr>
        <w:spacing w:after="0" w:line="17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This guidance did not generally change the units of accounting for our revenue transactions. Most non-software products and services qualify as separate units of accounting because they have value to the customer on a standalone basis and our revenue arrangements generally do not include a right of return relative to delivered products.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right="20" w:firstLine="690"/>
        <w:spacing w:after="0" w:line="264" w:lineRule="auto"/>
        <w:rPr>
          <w:sz w:val="20"/>
          <w:szCs w:val="20"/>
          <w:color w:val="auto"/>
        </w:rPr>
      </w:pPr>
      <w:r>
        <w:rPr>
          <w:rFonts w:ascii="Arial" w:cs="Arial" w:eastAsia="Arial" w:hAnsi="Arial"/>
          <w:sz w:val="18"/>
          <w:szCs w:val="18"/>
          <w:color w:val="auto"/>
        </w:rPr>
        <w:t>The majority of our products are hardware appliances containing software components that function together to provide the essential functionality of the product, therefore, our hardware appliances are considered non-software deliverables and are no longer within the scope of industry-specific software revenue recognition guidance.</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product revenue also includes software products that may operate on the hardware appliances, but are not considered essential to the functionality of the hardware and continue to be subject to industry-specific software revenue recognition guidance, which remains unchanged. Certain of our software, when sold with our appliances, is considered essential to its functionality and as a result is no longer accounted for under industry-specific software revenue recognition guidance. However, this same software, if sold separately, is accounted for under industry-specific software revenue recognition guidance.</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 all transactions originating or materially modified after December 31, 2010, we recognize revenue in accordance with the new accounting standards. Certain arrangements with multiple deliverables may continue to have software deliverables that are subject to industry-specific software revenue recognition guidance along with non-software deliverables that are subject to the new accounting standards. When a sales arrangement contains multiple elements, such as hardware appliances, software, customer support services, and/or professional services, we allocate 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the new revenue recognition accounting guidance.</w:t>
      </w:r>
    </w:p>
    <w:p>
      <w:pPr>
        <w:spacing w:after="0" w:line="178"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VSOE of fair value for elements of an arrangement is based upon the normal pricing and discounting practices for those services when sold separately. In determining VSOE, we require that a substantial majority of the selling prices for a 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 Furthermore, we are unable to reliably determine what similar competitor products’ selling prices are on a stand-alone basis.</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For our hardware appliances, we use BESP as our selling price. For our support and other services, we generally use VSOE as our selling price. When we are unable to establish a selling price using VSOE for our support and other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 We review our BESP estimates on a quarterly basis to coincide with our VSOE review process.</w:t>
      </w:r>
    </w:p>
    <w:p>
      <w:pPr>
        <w:spacing w:after="0" w:line="15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recognize revenue for our software sales based on industry-specific software revenue recognition guidance. Under industry-specific software revenue recognition guidance,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the new revenue recognition accounting guidance and all related interpretations.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left="1300" w:right="4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Persuasive evidence of an arrangement exists. Binding contracts or purchase orders are generally used to determine the existence of an arrangement.</w:t>
      </w:r>
    </w:p>
    <w:p>
      <w:pPr>
        <w:spacing w:after="0" w:line="17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170" w:lineRule="exact"/>
        <w:rPr>
          <w:rFonts w:ascii="Arial" w:cs="Arial" w:eastAsia="Arial" w:hAnsi="Arial"/>
          <w:sz w:val="18"/>
          <w:szCs w:val="18"/>
          <w:color w:val="auto"/>
        </w:rPr>
      </w:pPr>
    </w:p>
    <w:p>
      <w:pPr>
        <w:ind w:left="1300" w:right="80" w:hanging="644"/>
        <w:spacing w:after="0" w:line="312"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46"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Certain distributors that stock our products are granted stock rotation rights as well as rebates for sales of our products. The arrangement fee for this group of distributors is not fixed and determinable when products are shipped and revenue is therefore deferred and recognized upon sell-through.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6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17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43" w:lineRule="exact"/>
        <w:rPr>
          <w:sz w:val="20"/>
          <w:szCs w:val="20"/>
          <w:color w:val="auto"/>
        </w:rPr>
      </w:pPr>
    </w:p>
    <w:p>
      <w:pPr>
        <w:ind w:right="100" w:firstLine="648"/>
        <w:spacing w:after="0" w:line="295"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—Trade accounts receivable are recorded at the invoiced amount, net of allowances for doubtful accounts and reserves for</w:t>
      </w:r>
      <w:r>
        <w:rPr>
          <w:rFonts w:ascii="Arial" w:cs="Arial" w:eastAsia="Arial" w:hAnsi="Arial"/>
          <w:sz w:val="16"/>
          <w:szCs w:val="16"/>
          <w:b w:val="1"/>
          <w:bCs w:val="1"/>
          <w:color w:val="auto"/>
        </w:rPr>
        <w:t xml:space="preserve"> </w:t>
      </w:r>
      <w:r>
        <w:rPr>
          <w:rFonts w:ascii="Arial" w:cs="Arial" w:eastAsia="Arial" w:hAnsi="Arial"/>
          <w:sz w:val="16"/>
          <w:szCs w:val="16"/>
          <w:color w:val="auto"/>
        </w:rPr>
        <w:t>sales returns and allowances. The allowance for doubtful accounts is based on our assessment of the collectability of customer accounts. We regularly review the allowance by considering factors such as historical experience, credit quality, age of the accounts receivable balances and current economic conditions that may affect a customer’s ability to pay. The reserve for sales returns and allowances is based on specific criteria including agreements to provide rebates and other factors known at the time, as well as estimates of the amount of goods shipped that will be returned. To determine the adequacy of the reserves for sales returns and allowances, we analyze historical experience of actual rebates and returns as well as current product return information.</w:t>
      </w:r>
    </w:p>
    <w:p>
      <w:pPr>
        <w:spacing w:after="0" w:line="156" w:lineRule="exact"/>
        <w:rPr>
          <w:sz w:val="20"/>
          <w:szCs w:val="20"/>
          <w:color w:val="auto"/>
        </w:rPr>
      </w:pPr>
    </w:p>
    <w:p>
      <w:pPr>
        <w:jc w:val="both"/>
        <w:ind w:right="240" w:firstLine="648"/>
        <w:spacing w:after="0" w:line="303" w:lineRule="auto"/>
        <w:rPr>
          <w:sz w:val="20"/>
          <w:szCs w:val="20"/>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—We generally provide a 1-year warranty on hardware products and a 90-day warranty on software. A provision for estimated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costs related to warranty activities is recorded as a component of cost of product revenues when the product revenues are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warranty activities are summarized as follows ($ amounts in 000’s):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20" w:right="272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340"/>
              <w:spacing w:after="0"/>
              <w:rPr>
                <w:sz w:val="20"/>
                <w:szCs w:val="20"/>
                <w:color w:val="auto"/>
              </w:rPr>
            </w:pPr>
            <w:r>
              <w:rPr>
                <w:rFonts w:ascii="Arial" w:cs="Arial" w:eastAsia="Arial" w:hAnsi="Arial"/>
                <w:sz w:val="16"/>
                <w:szCs w:val="16"/>
                <w:b w:val="1"/>
                <w:bCs w:val="1"/>
                <w:color w:val="auto"/>
              </w:rPr>
              <w:t>Fiscal Year</w:t>
            </w:r>
          </w:p>
        </w:tc>
        <w:tc>
          <w:tcPr>
            <w:tcW w:w="1440" w:type="dxa"/>
            <w:vAlign w:val="bottom"/>
          </w:tcPr>
          <w:p>
            <w:pPr>
              <w:spacing w:after="0"/>
              <w:rPr>
                <w:sz w:val="18"/>
                <w:szCs w:val="18"/>
                <w:color w:val="auto"/>
              </w:rPr>
            </w:pPr>
          </w:p>
        </w:tc>
      </w:tr>
      <w:tr>
        <w:trPr>
          <w:trHeight w:val="33"/>
        </w:trPr>
        <w:tc>
          <w:tcPr>
            <w:tcW w:w="65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580" w:type="dxa"/>
            <w:vAlign w:val="bottom"/>
          </w:tcPr>
          <w:p>
            <w:pPr>
              <w:spacing w:after="0"/>
              <w:rPr>
                <w:sz w:val="20"/>
                <w:szCs w:val="20"/>
                <w:color w:val="auto"/>
              </w:rPr>
            </w:pPr>
          </w:p>
        </w:tc>
        <w:tc>
          <w:tcPr>
            <w:tcW w:w="14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440" w:type="dxa"/>
            <w:vAlign w:val="bottom"/>
          </w:tcPr>
          <w:p>
            <w:pPr>
              <w:jc w:val="right"/>
              <w:ind w:right="473"/>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4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2010</w:t>
            </w:r>
          </w:p>
        </w:tc>
      </w:tr>
      <w:tr>
        <w:trPr>
          <w:trHeight w:val="33"/>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146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 for the year</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Changes in prior period estimates</w:t>
            </w:r>
          </w:p>
        </w:tc>
        <w:tc>
          <w:tcPr>
            <w:tcW w:w="146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1,878</w:t>
            </w:r>
          </w:p>
        </w:tc>
      </w:tr>
      <w:tr>
        <w:trPr>
          <w:trHeight w:val="20"/>
        </w:trPr>
        <w:tc>
          <w:tcPr>
            <w:tcW w:w="6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b w:val="1"/>
          <w:bCs w:val="1"/>
          <w:color w:val="auto"/>
        </w:rPr>
        <w:t>Foreign Currency Derivatives</w:t>
      </w:r>
      <w:r>
        <w:rPr>
          <w:rFonts w:ascii="Arial" w:cs="Arial" w:eastAsia="Arial" w:hAnsi="Arial"/>
          <w:sz w:val="17"/>
          <w:szCs w:val="17"/>
          <w:color w:val="auto"/>
        </w:rPr>
        <w:t>—Our sales contracts are primarily denominated in U.S. dollars and therefore substantially all of our revenue is not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foreign currency translation risk. However, a substantial portion of our operating expenses incurred outside the U.S. are denominated in foreign currencies and are subject to fluctuations due to changes in foreign currency exchange rates, particularly changes in the CAD.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We record changes in the fair value of forward exchange contracts related to balance sheet accounts as other expense, net in the consolidated statement of operations.</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Additionally, independent of any hedging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long-term material changes in the value of the U.S. dollar versus the CAD, EUR, GBP or JPY could adversely impact our operating expenses in the future.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notional amount of forward exchange contracts to hedge balance sheet accounts as of December 31, 2012 was (amounts in 000’s):</w:t>
      </w:r>
    </w:p>
    <w:p>
      <w:pPr>
        <w:spacing w:after="0" w:line="395" w:lineRule="exact"/>
        <w:rPr>
          <w:sz w:val="20"/>
          <w:szCs w:val="20"/>
          <w:color w:val="auto"/>
        </w:rPr>
      </w:pPr>
    </w:p>
    <w:p>
      <w:pPr>
        <w:ind w:left="7920"/>
        <w:spacing w:after="0"/>
        <w:tabs>
          <w:tab w:leader="none" w:pos="9440" w:val="left"/>
        </w:tabs>
        <w:rPr>
          <w:sz w:val="20"/>
          <w:szCs w:val="20"/>
          <w:color w:val="auto"/>
        </w:rPr>
      </w:pPr>
      <w:r>
        <w:rPr>
          <w:rFonts w:ascii="Arial" w:cs="Arial" w:eastAsia="Arial" w:hAnsi="Arial"/>
          <w:sz w:val="18"/>
          <w:szCs w:val="18"/>
          <w:b w:val="1"/>
          <w:bCs w:val="1"/>
          <w:color w:val="auto"/>
        </w:rPr>
        <w:t>Buy/Sell</w:t>
      </w:r>
      <w:r>
        <w:rPr>
          <w:sz w:val="20"/>
          <w:szCs w:val="20"/>
          <w:color w:val="auto"/>
        </w:rPr>
        <w:tab/>
      </w:r>
      <w:r>
        <w:rPr>
          <w:rFonts w:ascii="Arial" w:cs="Arial" w:eastAsia="Arial" w:hAnsi="Arial"/>
          <w:sz w:val="18"/>
          <w:szCs w:val="18"/>
          <w:b w:val="1"/>
          <w:bCs w:val="1"/>
          <w:color w:val="auto"/>
        </w:rPr>
        <w:t>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34290</wp:posOffset>
            </wp:positionV>
            <wp:extent cx="608012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0125" cy="180340"/>
                    </a:xfrm>
                    <a:prstGeom prst="rect">
                      <a:avLst/>
                    </a:prstGeom>
                    <a:noFill/>
                  </pic:spPr>
                </pic:pic>
              </a:graphicData>
            </a:graphic>
          </wp:anchor>
        </w:drawing>
      </w:r>
    </w:p>
    <w:p>
      <w:pPr>
        <w:spacing w:after="0" w:line="5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To hedge balance sheet accounts: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b w:val="1"/>
          <w:bCs w:val="1"/>
          <w:u w:val="single" w:color="auto"/>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34290</wp:posOffset>
            </wp:positionV>
            <wp:extent cx="608012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0125" cy="171450"/>
                    </a:xfrm>
                    <a:prstGeom prst="rect">
                      <a:avLst/>
                    </a:prstGeom>
                    <a:noFill/>
                  </pic:spPr>
                </pic:pic>
              </a:graphicData>
            </a:graphic>
          </wp:anchor>
        </w:drawing>
      </w:r>
    </w:p>
    <w:p>
      <w:pPr>
        <w:spacing w:after="0" w:line="47" w:lineRule="exact"/>
        <w:rPr>
          <w:sz w:val="20"/>
          <w:szCs w:val="20"/>
          <w:color w:val="auto"/>
        </w:rPr>
      </w:pPr>
    </w:p>
    <w:p>
      <w:pPr>
        <w:ind w:left="960"/>
        <w:spacing w:after="0"/>
        <w:tabs>
          <w:tab w:leader="none" w:pos="8620" w:val="left"/>
          <w:tab w:leader="none" w:pos="9900" w:val="left"/>
        </w:tabs>
        <w:rPr>
          <w:sz w:val="20"/>
          <w:szCs w:val="20"/>
          <w:color w:val="auto"/>
        </w:rPr>
      </w:pPr>
      <w:r>
        <w:rPr>
          <w:rFonts w:ascii="Arial" w:cs="Arial" w:eastAsia="Arial" w:hAnsi="Arial"/>
          <w:sz w:val="18"/>
          <w:szCs w:val="18"/>
          <w:color w:val="auto"/>
        </w:rPr>
        <w:t>CAD</w:t>
      </w:r>
      <w:r>
        <w:rPr>
          <w:sz w:val="20"/>
          <w:szCs w:val="20"/>
          <w:color w:val="auto"/>
        </w:rPr>
        <w:tab/>
      </w:r>
      <w:r>
        <w:rPr>
          <w:rFonts w:ascii="Arial" w:cs="Arial" w:eastAsia="Arial" w:hAnsi="Arial"/>
          <w:sz w:val="18"/>
          <w:szCs w:val="18"/>
          <w:color w:val="auto"/>
        </w:rPr>
        <w:t>Buy</w:t>
      </w:r>
      <w:r>
        <w:rPr>
          <w:sz w:val="20"/>
          <w:szCs w:val="20"/>
          <w:color w:val="auto"/>
        </w:rPr>
        <w:tab/>
      </w:r>
      <w:r>
        <w:rPr>
          <w:rFonts w:ascii="Arial" w:cs="Arial" w:eastAsia="Arial" w:hAnsi="Arial"/>
          <w:sz w:val="15"/>
          <w:szCs w:val="15"/>
          <w:color w:val="auto"/>
        </w:rPr>
        <w:t>17,968</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In May 2011, the FASB issued ASU No. 2011-04, </w:t>
      </w:r>
      <w:r>
        <w:rPr>
          <w:rFonts w:ascii="Arial" w:cs="Arial" w:eastAsia="Arial" w:hAnsi="Arial"/>
          <w:sz w:val="17"/>
          <w:szCs w:val="17"/>
          <w:i w:val="1"/>
          <w:iCs w:val="1"/>
          <w:color w:val="auto"/>
        </w:rPr>
        <w:t>Amendments to Achieve Common Fair Value Measurement and Disclosure Requirements in 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GAAP and IFRS (Topic 820) - Fair Value Measurement </w:t>
      </w:r>
      <w:r>
        <w:rPr>
          <w:rFonts w:ascii="Arial" w:cs="Arial" w:eastAsia="Arial" w:hAnsi="Arial"/>
          <w:sz w:val="17"/>
          <w:szCs w:val="17"/>
          <w:color w:val="auto"/>
        </w:rPr>
        <w:t>(“ASU 2011-04”), to provide a consistent definition of fair value and ensure that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and disclosure requirements are similar between U.S. GAAP and IFRS. ASU 2011-04 changes certain fair value measurement principles and enhances the disclosure requirements particularly for Level 3 fair value measurements. We adopted ASU 2011-04 in the first quarter of fiscal 2012. The measurement provisions of this guidance did not impact our consolidated financial statements.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(Topic 220)-Presentation of Comprehensive Income</w:t>
      </w:r>
      <w:r>
        <w:rPr>
          <w:rFonts w:ascii="Arial" w:cs="Arial" w:eastAsia="Arial" w:hAnsi="Arial"/>
          <w:sz w:val="18"/>
          <w:szCs w:val="18"/>
          <w:color w:val="auto"/>
        </w:rPr>
        <w:t xml:space="preserve"> (“ASU 2011-05”), to require an entity to present the total of comprehensive income, the components of net income, and the components of other comprehensive income either in a single continuous statement of comprehensive income or in two separate but consecutive statements. ASU 2011-05 eliminates the option to present the components of other comprehensive income as part of the statement of stockholders’ equity. We adopted ASU 2011-05 in the first quarter of fiscal 2012 and applied it retrospectively. We elected to present the comprehensive income in two separate but consecutive statements within our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125" w:right="31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280" w:right="276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 amounts in 000’s):</w:t>
      </w:r>
    </w:p>
    <w:p>
      <w:pPr>
        <w:spacing w:after="0" w:line="361"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4"/>
          </w:tcPr>
          <w:p>
            <w:pPr>
              <w:ind w:left="840"/>
              <w:spacing w:after="0"/>
              <w:rPr>
                <w:sz w:val="20"/>
                <w:szCs w:val="20"/>
                <w:color w:val="auto"/>
              </w:rPr>
            </w:pPr>
            <w:r>
              <w:rPr>
                <w:rFonts w:ascii="Arial" w:cs="Arial" w:eastAsia="Arial" w:hAnsi="Arial"/>
                <w:sz w:val="16"/>
                <w:szCs w:val="16"/>
                <w:b w:val="1"/>
                <w:bCs w:val="1"/>
                <w:color w:val="auto"/>
              </w:rPr>
              <w:t>December 31, 2012</w:t>
            </w:r>
          </w:p>
        </w:tc>
        <w:tc>
          <w:tcPr>
            <w:tcW w:w="146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28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Amortized</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42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Cost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Gains</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Losses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529,738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531,391</w:t>
            </w:r>
          </w:p>
        </w:tc>
      </w:tr>
      <w:tr>
        <w:trPr>
          <w:trHeight w:val="243"/>
        </w:trPr>
        <w:tc>
          <w:tcPr>
            <w:tcW w:w="4280" w:type="dxa"/>
            <w:vAlign w:val="bottom"/>
          </w:tcPr>
          <w:p>
            <w:pPr>
              <w:ind w:left="480"/>
              <w:spacing w:after="0"/>
              <w:rPr>
                <w:sz w:val="20"/>
                <w:szCs w:val="20"/>
                <w:color w:val="auto"/>
              </w:rPr>
            </w:pPr>
            <w:r>
              <w:rPr>
                <w:rFonts w:ascii="Arial" w:cs="Arial" w:eastAsia="Arial" w:hAnsi="Arial"/>
                <w:sz w:val="18"/>
                <w:szCs w:val="18"/>
                <w:color w:val="auto"/>
              </w:rPr>
              <w:t>Commercial paper</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39,229</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39,245</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Municipal bonds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36,787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36,870</w:t>
            </w:r>
          </w:p>
        </w:tc>
      </w:tr>
      <w:tr>
        <w:trPr>
          <w:trHeight w:val="243"/>
        </w:trPr>
        <w:tc>
          <w:tcPr>
            <w:tcW w:w="4280" w:type="dxa"/>
            <w:vAlign w:val="bottom"/>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9,099</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9,105</w:t>
            </w:r>
          </w:p>
        </w:tc>
      </w:tr>
      <w:tr>
        <w:trPr>
          <w:trHeight w:val="27"/>
        </w:trPr>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2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614,853</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616,611</w:t>
            </w: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97"/>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4"/>
          </w:tcPr>
          <w:p>
            <w:pPr>
              <w:ind w:left="840"/>
              <w:spacing w:after="0"/>
              <w:rPr>
                <w:sz w:val="20"/>
                <w:szCs w:val="20"/>
                <w:color w:val="auto"/>
              </w:rPr>
            </w:pPr>
            <w:r>
              <w:rPr>
                <w:rFonts w:ascii="Arial" w:cs="Arial" w:eastAsia="Arial" w:hAnsi="Arial"/>
                <w:sz w:val="16"/>
                <w:szCs w:val="16"/>
                <w:b w:val="1"/>
                <w:bCs w:val="1"/>
                <w:color w:val="auto"/>
              </w:rPr>
              <w:t>December 31, 2011</w:t>
            </w:r>
          </w:p>
        </w:tc>
        <w:tc>
          <w:tcPr>
            <w:tcW w:w="1460" w:type="dxa"/>
            <w:vAlign w:val="bottom"/>
          </w:tcPr>
          <w:p>
            <w:pPr>
              <w:spacing w:after="0"/>
              <w:rPr>
                <w:sz w:val="24"/>
                <w:szCs w:val="24"/>
                <w:color w:val="auto"/>
              </w:rPr>
            </w:pPr>
          </w:p>
        </w:tc>
      </w:tr>
      <w:tr>
        <w:trPr>
          <w:trHeight w:val="33"/>
        </w:trPr>
        <w:tc>
          <w:tcPr>
            <w:tcW w:w="42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28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Amortized</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42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Cost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Gains</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Losses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U.S. government and agency securities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38,908</w:t>
            </w:r>
          </w:p>
        </w:tc>
      </w:tr>
      <w:tr>
        <w:trPr>
          <w:trHeight w:val="243"/>
        </w:trPr>
        <w:tc>
          <w:tcPr>
            <w:tcW w:w="428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339,110</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337,497</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51,025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51,027</w:t>
            </w:r>
          </w:p>
        </w:tc>
      </w:tr>
      <w:tr>
        <w:trPr>
          <w:trHeight w:val="243"/>
        </w:trPr>
        <w:tc>
          <w:tcPr>
            <w:tcW w:w="4280" w:type="dxa"/>
            <w:vAlign w:val="bottom"/>
          </w:tcPr>
          <w:p>
            <w:pPr>
              <w:ind w:left="480"/>
              <w:spacing w:after="0"/>
              <w:rPr>
                <w:sz w:val="20"/>
                <w:szCs w:val="20"/>
                <w:color w:val="auto"/>
              </w:rPr>
            </w:pPr>
            <w:r>
              <w:rPr>
                <w:rFonts w:ascii="Arial" w:cs="Arial" w:eastAsia="Arial" w:hAnsi="Arial"/>
                <w:sz w:val="18"/>
                <w:szCs w:val="18"/>
                <w:color w:val="auto"/>
              </w:rPr>
              <w:t>Municipal bonds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20,473</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20,504</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18,762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18,761</w:t>
            </w:r>
          </w:p>
        </w:tc>
      </w:tr>
      <w:tr>
        <w:trPr>
          <w:trHeight w:val="257"/>
        </w:trPr>
        <w:tc>
          <w:tcPr>
            <w:tcW w:w="428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468,270</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466,697</w:t>
            </w: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December 31, 2012 ($ amounts in 000’s):</w:t>
      </w: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2460" w:type="dxa"/>
            <w:vAlign w:val="bottom"/>
            <w:gridSpan w:val="4"/>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2360" w:type="dxa"/>
            <w:vAlign w:val="bottom"/>
            <w:gridSpan w:val="4"/>
          </w:tcPr>
          <w:p>
            <w:pPr>
              <w:ind w:left="380"/>
              <w:spacing w:after="0"/>
              <w:rPr>
                <w:sz w:val="20"/>
                <w:szCs w:val="20"/>
                <w:color w:val="auto"/>
              </w:rPr>
            </w:pPr>
            <w:r>
              <w:rPr>
                <w:rFonts w:ascii="Arial" w:cs="Arial" w:eastAsia="Arial" w:hAnsi="Arial"/>
                <w:sz w:val="16"/>
                <w:szCs w:val="16"/>
                <w:b w:val="1"/>
                <w:bCs w:val="1"/>
                <w:color w:val="auto"/>
              </w:rPr>
              <w:t>12 Months or Greater</w:t>
            </w:r>
          </w:p>
        </w:tc>
        <w:tc>
          <w:tcPr>
            <w:tcW w:w="980" w:type="dxa"/>
            <w:vAlign w:val="bottom"/>
          </w:tcPr>
          <w:p>
            <w:pPr>
              <w:spacing w:after="0"/>
              <w:rPr>
                <w:sz w:val="18"/>
                <w:szCs w:val="18"/>
                <w:color w:val="auto"/>
              </w:rPr>
            </w:pPr>
          </w:p>
        </w:tc>
        <w:tc>
          <w:tcPr>
            <w:tcW w:w="130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w w:val="83"/>
              </w:rPr>
              <w:t>Total</w:t>
            </w:r>
          </w:p>
        </w:tc>
      </w:tr>
      <w:tr>
        <w:trPr>
          <w:trHeight w:val="33"/>
        </w:trPr>
        <w:tc>
          <w:tcPr>
            <w:tcW w:w="38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8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Fair</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Unrealized</w:t>
            </w:r>
          </w:p>
        </w:tc>
        <w:tc>
          <w:tcPr>
            <w:tcW w:w="1180" w:type="dxa"/>
            <w:vAlign w:val="bottom"/>
            <w:gridSpan w:val="2"/>
          </w:tcPr>
          <w:p>
            <w:pPr>
              <w:ind w:left="380"/>
              <w:spacing w:after="0"/>
              <w:rPr>
                <w:sz w:val="20"/>
                <w:szCs w:val="20"/>
                <w:color w:val="auto"/>
              </w:rPr>
            </w:pPr>
            <w:r>
              <w:rPr>
                <w:rFonts w:ascii="Arial" w:cs="Arial" w:eastAsia="Arial" w:hAnsi="Arial"/>
                <w:sz w:val="16"/>
                <w:szCs w:val="16"/>
                <w:b w:val="1"/>
                <w:bCs w:val="1"/>
                <w:color w:val="auto"/>
              </w:rPr>
              <w:t>Fair</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980" w:type="dxa"/>
            <w:vAlign w:val="bottom"/>
          </w:tcPr>
          <w:p>
            <w:pPr>
              <w:jc w:val="right"/>
              <w:ind w:right="194"/>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38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Value</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79"/>
              </w:rPr>
              <w:t>Losses</w:t>
            </w:r>
          </w:p>
        </w:tc>
        <w:tc>
          <w:tcPr>
            <w:tcW w:w="1180" w:type="dxa"/>
            <w:vAlign w:val="bottom"/>
            <w:gridSpan w:val="2"/>
          </w:tcPr>
          <w:p>
            <w:pPr>
              <w:ind w:left="320"/>
              <w:spacing w:after="0"/>
              <w:rPr>
                <w:sz w:val="20"/>
                <w:szCs w:val="20"/>
                <w:color w:val="auto"/>
              </w:rPr>
            </w:pPr>
            <w:r>
              <w:rPr>
                <w:rFonts w:ascii="Arial" w:cs="Arial" w:eastAsia="Arial" w:hAnsi="Arial"/>
                <w:sz w:val="16"/>
                <w:szCs w:val="16"/>
                <w:b w:val="1"/>
                <w:bCs w:val="1"/>
                <w:color w:val="auto"/>
              </w:rPr>
              <w:t>Value</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Losses</w:t>
            </w:r>
          </w:p>
        </w:tc>
        <w:tc>
          <w:tcPr>
            <w:tcW w:w="980" w:type="dxa"/>
            <w:vAlign w:val="bottom"/>
          </w:tcPr>
          <w:p>
            <w:pPr>
              <w:jc w:val="right"/>
              <w:ind w:right="154"/>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b w:val="1"/>
                <w:bCs w:val="1"/>
                <w:color w:val="auto"/>
              </w:rPr>
              <w:t>Losses</w:t>
            </w:r>
          </w:p>
        </w:tc>
      </w:tr>
      <w:tr>
        <w:trPr>
          <w:trHeight w:val="33"/>
        </w:trPr>
        <w:tc>
          <w:tcPr>
            <w:tcW w:w="3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133,006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138,016</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3820" w:type="dxa"/>
            <w:vAlign w:val="bottom"/>
          </w:tcPr>
          <w:p>
            <w:pPr>
              <w:ind w:left="480"/>
              <w:spacing w:after="0"/>
              <w:rPr>
                <w:sz w:val="20"/>
                <w:szCs w:val="20"/>
                <w:color w:val="auto"/>
              </w:rPr>
            </w:pPr>
            <w:r>
              <w:rPr>
                <w:rFonts w:ascii="Arial" w:cs="Arial" w:eastAsia="Arial" w:hAnsi="Arial"/>
                <w:sz w:val="18"/>
                <w:szCs w:val="18"/>
                <w:color w:val="auto"/>
              </w:rPr>
              <w:t>Commercial paper</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8,464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8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141,470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December 31, 2011 ($ amounts in 000’s):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5" w:right="2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280" w:right="276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60" w:type="dxa"/>
            <w:vAlign w:val="bottom"/>
            <w:gridSpan w:val="4"/>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8"/>
                <w:szCs w:val="18"/>
                <w:color w:val="auto"/>
              </w:rPr>
            </w:pPr>
          </w:p>
        </w:tc>
        <w:tc>
          <w:tcPr>
            <w:tcW w:w="2240" w:type="dxa"/>
            <w:vAlign w:val="bottom"/>
            <w:gridSpan w:val="7"/>
          </w:tcPr>
          <w:p>
            <w:pPr>
              <w:ind w:left="260"/>
              <w:spacing w:after="0"/>
              <w:rPr>
                <w:sz w:val="20"/>
                <w:szCs w:val="20"/>
                <w:color w:val="auto"/>
              </w:rPr>
            </w:pPr>
            <w:r>
              <w:rPr>
                <w:rFonts w:ascii="Arial" w:cs="Arial" w:eastAsia="Arial" w:hAnsi="Arial"/>
                <w:sz w:val="16"/>
                <w:szCs w:val="16"/>
                <w:b w:val="1"/>
                <w:bCs w:val="1"/>
                <w:color w:val="auto"/>
              </w:rPr>
              <w:t>12 Months or Greater</w:t>
            </w:r>
          </w:p>
        </w:tc>
        <w:tc>
          <w:tcPr>
            <w:tcW w:w="1340" w:type="dxa"/>
            <w:vAlign w:val="bottom"/>
            <w:gridSpan w:val="3"/>
          </w:tcPr>
          <w:p>
            <w:pPr>
              <w:jc w:val="center"/>
              <w:ind w:left="873"/>
              <w:spacing w:after="0"/>
              <w:rPr>
                <w:sz w:val="20"/>
                <w:szCs w:val="20"/>
                <w:color w:val="auto"/>
              </w:rPr>
            </w:pPr>
            <w:r>
              <w:rPr>
                <w:rFonts w:ascii="Arial" w:cs="Arial" w:eastAsia="Arial" w:hAnsi="Arial"/>
                <w:sz w:val="16"/>
                <w:szCs w:val="16"/>
                <w:b w:val="1"/>
                <w:bCs w:val="1"/>
                <w:color w:val="auto"/>
                <w:w w:val="88"/>
              </w:rPr>
              <w:t>Total</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9"/>
        </w:trPr>
        <w:tc>
          <w:tcPr>
            <w:tcW w:w="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Fair</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8"/>
                <w:szCs w:val="18"/>
                <w:color w:val="auto"/>
              </w:rPr>
            </w:pPr>
          </w:p>
        </w:tc>
        <w:tc>
          <w:tcPr>
            <w:tcW w:w="1160" w:type="dxa"/>
            <w:vAlign w:val="bottom"/>
            <w:gridSpan w:val="3"/>
          </w:tcPr>
          <w:p>
            <w:pPr>
              <w:ind w:left="260"/>
              <w:spacing w:after="0"/>
              <w:rPr>
                <w:sz w:val="20"/>
                <w:szCs w:val="20"/>
                <w:color w:val="auto"/>
              </w:rPr>
            </w:pPr>
            <w:r>
              <w:rPr>
                <w:rFonts w:ascii="Arial" w:cs="Arial" w:eastAsia="Arial" w:hAnsi="Arial"/>
                <w:sz w:val="16"/>
                <w:szCs w:val="16"/>
                <w:b w:val="1"/>
                <w:bCs w:val="1"/>
                <w:color w:val="auto"/>
              </w:rPr>
              <w:t>Fair</w:t>
            </w:r>
          </w:p>
        </w:tc>
        <w:tc>
          <w:tcPr>
            <w:tcW w:w="1080" w:type="dxa"/>
            <w:vAlign w:val="bottom"/>
            <w:gridSpan w:val="4"/>
          </w:tcPr>
          <w:p>
            <w:pPr>
              <w:ind w:left="60"/>
              <w:spacing w:after="0"/>
              <w:rPr>
                <w:sz w:val="20"/>
                <w:szCs w:val="20"/>
                <w:color w:val="auto"/>
              </w:rPr>
            </w:pPr>
            <w:r>
              <w:rPr>
                <w:rFonts w:ascii="Arial" w:cs="Arial" w:eastAsia="Arial" w:hAnsi="Arial"/>
                <w:sz w:val="16"/>
                <w:szCs w:val="16"/>
                <w:b w:val="1"/>
                <w:bCs w:val="1"/>
                <w:color w:val="auto"/>
              </w:rPr>
              <w:t>Unrealized</w:t>
            </w: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Fair</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Value</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79"/>
              </w:rPr>
              <w:t>Losses</w:t>
            </w:r>
          </w:p>
        </w:tc>
        <w:tc>
          <w:tcPr>
            <w:tcW w:w="120" w:type="dxa"/>
            <w:vAlign w:val="bottom"/>
          </w:tcPr>
          <w:p>
            <w:pPr>
              <w:spacing w:after="0"/>
              <w:rPr>
                <w:sz w:val="18"/>
                <w:szCs w:val="18"/>
                <w:color w:val="auto"/>
              </w:rPr>
            </w:pPr>
          </w:p>
        </w:tc>
        <w:tc>
          <w:tcPr>
            <w:tcW w:w="1160" w:type="dxa"/>
            <w:vAlign w:val="bottom"/>
            <w:gridSpan w:val="3"/>
          </w:tcPr>
          <w:p>
            <w:pPr>
              <w:ind w:left="200"/>
              <w:spacing w:after="0"/>
              <w:rPr>
                <w:sz w:val="20"/>
                <w:szCs w:val="20"/>
                <w:color w:val="auto"/>
              </w:rPr>
            </w:pPr>
            <w:r>
              <w:rPr>
                <w:rFonts w:ascii="Arial" w:cs="Arial" w:eastAsia="Arial" w:hAnsi="Arial"/>
                <w:sz w:val="16"/>
                <w:szCs w:val="16"/>
                <w:b w:val="1"/>
                <w:bCs w:val="1"/>
                <w:color w:val="auto"/>
              </w:rPr>
              <w:t>Value</w:t>
            </w:r>
          </w:p>
        </w:tc>
        <w:tc>
          <w:tcPr>
            <w:tcW w:w="1080" w:type="dxa"/>
            <w:vAlign w:val="bottom"/>
            <w:gridSpan w:val="4"/>
          </w:tcPr>
          <w:p>
            <w:pPr>
              <w:ind w:left="200"/>
              <w:spacing w:after="0"/>
              <w:rPr>
                <w:sz w:val="20"/>
                <w:szCs w:val="20"/>
                <w:color w:val="auto"/>
              </w:rPr>
            </w:pPr>
            <w:r>
              <w:rPr>
                <w:rFonts w:ascii="Arial" w:cs="Arial" w:eastAsia="Arial" w:hAnsi="Arial"/>
                <w:sz w:val="16"/>
                <w:szCs w:val="16"/>
                <w:b w:val="1"/>
                <w:bCs w:val="1"/>
                <w:color w:val="auto"/>
              </w:rPr>
              <w:t>Losses</w:t>
            </w: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Losses</w:t>
            </w:r>
          </w:p>
        </w:tc>
      </w:tr>
      <w:tr>
        <w:trPr>
          <w:trHeight w:val="33"/>
        </w:trPr>
        <w:tc>
          <w:tcPr>
            <w:tcW w:w="7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U.S. government and agency securities</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10,996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43"/>
        </w:trPr>
        <w:tc>
          <w:tcPr>
            <w:tcW w:w="3820" w:type="dxa"/>
            <w:vAlign w:val="bottom"/>
            <w:gridSpan w:val="2"/>
          </w:tcPr>
          <w:p>
            <w:pPr>
              <w:ind w:left="480"/>
              <w:spacing w:after="0"/>
              <w:rPr>
                <w:sz w:val="20"/>
                <w:szCs w:val="20"/>
                <w:color w:val="auto"/>
              </w:rPr>
            </w:pPr>
            <w:r>
              <w:rPr>
                <w:rFonts w:ascii="Arial" w:cs="Arial" w:eastAsia="Arial" w:hAnsi="Arial"/>
                <w:sz w:val="18"/>
                <w:szCs w:val="18"/>
                <w:color w:val="auto"/>
              </w:rPr>
              <w:t>Corporate debt securities</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258,159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80" w:type="dxa"/>
            <w:vAlign w:val="bottom"/>
            <w:gridSpan w:val="4"/>
          </w:tcPr>
          <w:p>
            <w:pPr>
              <w:ind w:left="6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258,159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(1,832)</w:t>
            </w:r>
          </w:p>
        </w:tc>
      </w:tr>
      <w:tr>
        <w:trPr>
          <w:trHeight w:val="27"/>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9,279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43"/>
        </w:trPr>
        <w:tc>
          <w:tcPr>
            <w:tcW w:w="3820" w:type="dxa"/>
            <w:vAlign w:val="bottom"/>
            <w:gridSpan w:val="2"/>
          </w:tcPr>
          <w:p>
            <w:pPr>
              <w:ind w:left="480"/>
              <w:spacing w:after="0"/>
              <w:rPr>
                <w:sz w:val="20"/>
                <w:szCs w:val="20"/>
                <w:color w:val="auto"/>
              </w:rPr>
            </w:pPr>
            <w:r>
              <w:rPr>
                <w:rFonts w:ascii="Arial" w:cs="Arial" w:eastAsia="Arial" w:hAnsi="Arial"/>
                <w:sz w:val="18"/>
                <w:szCs w:val="18"/>
                <w:color w:val="auto"/>
              </w:rPr>
              <w:t>Municipal bonds</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8,067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80" w:type="dxa"/>
            <w:vAlign w:val="bottom"/>
            <w:gridSpan w:val="4"/>
          </w:tcPr>
          <w:p>
            <w:pPr>
              <w:ind w:left="6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8,067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7"/>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8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7,499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57"/>
        </w:trPr>
        <w:tc>
          <w:tcPr>
            <w:tcW w:w="720" w:type="dxa"/>
            <w:vAlign w:val="bottom"/>
          </w:tcPr>
          <w:p>
            <w:pPr>
              <w:spacing w:after="0"/>
              <w:rPr>
                <w:sz w:val="22"/>
                <w:szCs w:val="22"/>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Total available-for-sale securities</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294,000</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gridSpan w:val="3"/>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294,000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(1,846)</w:t>
            </w:r>
          </w:p>
        </w:tc>
      </w:tr>
      <w:tr>
        <w:trPr>
          <w:trHeight w:val="20"/>
        </w:trPr>
        <w:tc>
          <w:tcPr>
            <w:tcW w:w="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19"/>
        </w:trPr>
        <w:tc>
          <w:tcPr>
            <w:tcW w:w="6280" w:type="dxa"/>
            <w:vAlign w:val="bottom"/>
            <w:gridSpan w:val="6"/>
          </w:tcPr>
          <w:p>
            <w:pPr>
              <w:ind w:left="400"/>
              <w:spacing w:after="0"/>
              <w:rPr>
                <w:sz w:val="20"/>
                <w:szCs w:val="20"/>
                <w:color w:val="auto"/>
              </w:rPr>
            </w:pPr>
            <w:r>
              <w:rPr>
                <w:rFonts w:ascii="Arial" w:cs="Arial" w:eastAsia="Arial" w:hAnsi="Arial"/>
                <w:sz w:val="18"/>
                <w:szCs w:val="18"/>
                <w:color w:val="auto"/>
                <w:w w:val="91"/>
              </w:rPr>
              <w:t>The contractual maturities of our investments are as follows ($ amounts in 000’s)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0"/>
        </w:trPr>
        <w:tc>
          <w:tcPr>
            <w:tcW w:w="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7"/>
          </w:tcPr>
          <w:p>
            <w:pPr>
              <w:jc w:val="center"/>
              <w:ind w:right="420"/>
              <w:spacing w:after="0"/>
              <w:rPr>
                <w:sz w:val="20"/>
                <w:szCs w:val="20"/>
                <w:color w:val="auto"/>
              </w:rPr>
            </w:pPr>
            <w:r>
              <w:rPr>
                <w:rFonts w:ascii="Arial" w:cs="Arial" w:eastAsia="Arial" w:hAnsi="Arial"/>
                <w:sz w:val="16"/>
                <w:szCs w:val="16"/>
                <w:b w:val="1"/>
                <w:bCs w:val="1"/>
                <w:color w:val="auto"/>
                <w:w w:val="90"/>
              </w:rPr>
              <w:t>December 31,</w:t>
            </w:r>
          </w:p>
        </w:tc>
        <w:tc>
          <w:tcPr>
            <w:tcW w:w="1340" w:type="dxa"/>
            <w:vAlign w:val="bottom"/>
            <w:gridSpan w:val="3"/>
          </w:tcPr>
          <w:p>
            <w:pPr>
              <w:ind w:left="16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0"/>
        </w:trPr>
        <w:tc>
          <w:tcPr>
            <w:tcW w:w="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2012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7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740" w:type="dxa"/>
            <w:vAlign w:val="bottom"/>
          </w:tcPr>
          <w:p>
            <w:pPr>
              <w:spacing w:after="0"/>
              <w:rPr>
                <w:sz w:val="2"/>
                <w:szCs w:val="2"/>
                <w:color w:val="auto"/>
              </w:rPr>
            </w:pPr>
          </w:p>
        </w:tc>
      </w:tr>
      <w:tr>
        <w:trPr>
          <w:trHeight w:val="244"/>
        </w:trPr>
        <w:tc>
          <w:tcPr>
            <w:tcW w:w="7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290,719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4"/>
            <w:shd w:val="clear" w:color="auto" w:fill="CCEEFF"/>
          </w:tcPr>
          <w:p>
            <w:pPr>
              <w:jc w:val="center"/>
              <w:ind w:left="693"/>
              <w:spacing w:after="0"/>
              <w:rPr>
                <w:sz w:val="20"/>
                <w:szCs w:val="20"/>
                <w:color w:val="auto"/>
              </w:rPr>
            </w:pPr>
            <w:r>
              <w:rPr>
                <w:rFonts w:ascii="Arial" w:cs="Arial" w:eastAsia="Arial" w:hAnsi="Arial"/>
                <w:sz w:val="18"/>
                <w:szCs w:val="18"/>
                <w:color w:val="auto"/>
                <w:w w:val="92"/>
              </w:rPr>
              <w:t>318,283</w:t>
            </w:r>
          </w:p>
        </w:tc>
        <w:tc>
          <w:tcPr>
            <w:tcW w:w="740" w:type="dxa"/>
            <w:vAlign w:val="bottom"/>
          </w:tcPr>
          <w:p>
            <w:pPr>
              <w:spacing w:after="0"/>
              <w:rPr>
                <w:sz w:val="21"/>
                <w:szCs w:val="21"/>
                <w:color w:val="auto"/>
              </w:rPr>
            </w:pPr>
          </w:p>
        </w:tc>
      </w:tr>
      <w:tr>
        <w:trPr>
          <w:trHeight w:val="243"/>
        </w:trPr>
        <w:tc>
          <w:tcPr>
            <w:tcW w:w="7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Due within one to three years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325,892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4"/>
          </w:tcPr>
          <w:p>
            <w:pPr>
              <w:jc w:val="center"/>
              <w:ind w:left="693"/>
              <w:spacing w:after="0"/>
              <w:rPr>
                <w:sz w:val="20"/>
                <w:szCs w:val="20"/>
                <w:color w:val="auto"/>
              </w:rPr>
            </w:pPr>
            <w:r>
              <w:rPr>
                <w:rFonts w:ascii="Arial" w:cs="Arial" w:eastAsia="Arial" w:hAnsi="Arial"/>
                <w:sz w:val="18"/>
                <w:szCs w:val="18"/>
                <w:color w:val="auto"/>
                <w:w w:val="92"/>
              </w:rPr>
              <w:t>148,414</w:t>
            </w:r>
          </w:p>
        </w:tc>
        <w:tc>
          <w:tcPr>
            <w:tcW w:w="7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720" w:type="dxa"/>
            <w:vAlign w:val="bottom"/>
          </w:tcPr>
          <w:p>
            <w:pPr>
              <w:spacing w:after="0"/>
              <w:rPr>
                <w:sz w:val="22"/>
                <w:szCs w:val="22"/>
                <w:color w:val="auto"/>
              </w:rPr>
            </w:pPr>
          </w:p>
        </w:tc>
        <w:tc>
          <w:tcPr>
            <w:tcW w:w="3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616,611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gridSpan w:val="4"/>
            <w:shd w:val="clear" w:color="auto" w:fill="CCEEFF"/>
          </w:tcPr>
          <w:p>
            <w:pPr>
              <w:jc w:val="center"/>
              <w:ind w:left="693"/>
              <w:spacing w:after="0"/>
              <w:rPr>
                <w:sz w:val="20"/>
                <w:szCs w:val="20"/>
                <w:color w:val="auto"/>
              </w:rPr>
            </w:pPr>
            <w:r>
              <w:rPr>
                <w:rFonts w:ascii="Arial" w:cs="Arial" w:eastAsia="Arial" w:hAnsi="Arial"/>
                <w:sz w:val="18"/>
                <w:szCs w:val="18"/>
                <w:color w:val="auto"/>
                <w:w w:val="92"/>
              </w:rPr>
              <w:t>466,697</w:t>
            </w:r>
          </w:p>
        </w:tc>
        <w:tc>
          <w:tcPr>
            <w:tcW w:w="740" w:type="dxa"/>
            <w:vAlign w:val="bottom"/>
          </w:tcPr>
          <w:p>
            <w:pPr>
              <w:spacing w:after="0"/>
              <w:rPr>
                <w:sz w:val="22"/>
                <w:szCs w:val="22"/>
                <w:color w:val="auto"/>
              </w:rPr>
            </w:pPr>
          </w:p>
        </w:tc>
      </w:tr>
      <w:tr>
        <w:trPr>
          <w:trHeight w:val="20"/>
        </w:trPr>
        <w:tc>
          <w:tcPr>
            <w:tcW w:w="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expense, net in our consolidated statements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from the sale of available-for-sale securities were not significant in any period presented.</w:t>
      </w:r>
    </w:p>
    <w:p>
      <w:pPr>
        <w:spacing w:after="0" w:line="194"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Fair Value Accounting</w:t>
      </w:r>
      <w:r>
        <w:rPr>
          <w:rFonts w:ascii="Arial" w:cs="Arial" w:eastAsia="Arial" w:hAnsi="Arial"/>
          <w:sz w:val="18"/>
          <w:szCs w:val="18"/>
          <w:color w:val="auto"/>
        </w:rPr>
        <w:t>—We apply the following fair value hierarchy for disclosure of the inputs used to measure fair value. This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prioritizes the inputs into three broad levels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4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46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measure the fair value of money market funds using quoted prices in active markets for identical assets. The fair value of all other financial instruments was based on quoted prices for similar asserts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 of our financial assets measured at fair value on a recurring basis as of December 31,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 amounts in 000’s):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December 31, 2012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2011</w:t>
            </w:r>
          </w:p>
        </w:tc>
        <w:tc>
          <w:tcPr>
            <w:tcW w:w="11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7"/>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Quoted</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3"/>
              </w:rPr>
              <w:t>Quoted</w:t>
            </w:r>
          </w:p>
        </w:tc>
        <w:tc>
          <w:tcPr>
            <w:tcW w:w="1140" w:type="dxa"/>
            <w:vAlign w:val="bottom"/>
          </w:tcPr>
          <w:p>
            <w:pPr>
              <w:spacing w:after="0"/>
              <w:rPr>
                <w:sz w:val="11"/>
                <w:szCs w:val="1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Prices in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Prices in</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Active</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Active</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40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Observable</w:t>
            </w:r>
          </w:p>
        </w:tc>
      </w:tr>
      <w:tr>
        <w:trPr>
          <w:trHeight w:val="135"/>
        </w:trPr>
        <w:tc>
          <w:tcPr>
            <w:tcW w:w="40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Identical</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Remaining</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Identical</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40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Inputs</w:t>
            </w:r>
          </w:p>
        </w:tc>
      </w:tr>
      <w:tr>
        <w:trPr>
          <w:trHeight w:val="224"/>
        </w:trPr>
        <w:tc>
          <w:tcPr>
            <w:tcW w:w="4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1)</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(Level 2)</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1)</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(Level 2)</w:t>
            </w: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38,908</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38,908</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531,391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531,391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337,497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337,497</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41,994</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41,994</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64,890</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64,890</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36,870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36,870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20,504</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9,105</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9,105</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18,761</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18,761</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Money market funds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39,871</w:t>
            </w:r>
          </w:p>
        </w:tc>
        <w:tc>
          <w:tcPr>
            <w:tcW w:w="1300" w:type="dxa"/>
            <w:vAlign w:val="bottom"/>
            <w:tcBorders>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39,871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31,438</w:t>
            </w:r>
          </w:p>
        </w:tc>
        <w:tc>
          <w:tcPr>
            <w:tcW w:w="12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31,438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659,231</w:t>
            </w:r>
          </w:p>
        </w:tc>
        <w:tc>
          <w:tcPr>
            <w:tcW w:w="12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8"/>
                <w:szCs w:val="18"/>
                <w:color w:val="auto"/>
              </w:rPr>
              <w:t>39,871</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619,360</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511,998</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8"/>
                <w:szCs w:val="18"/>
                <w:color w:val="auto"/>
              </w:rPr>
              <w:t>31,438</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480,560</w:t>
            </w: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42,620</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45,301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290,719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318,283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325,892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148,414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659,231</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511,998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did not hold financial assets or liabilities which were recorded at fair value using inputs in the Level 3 category as of December 31, 2012 or December 31, 2011. There were no transfers between Level 1 and Level 2 of the fair value hierarchy during the year ended December 31, 2012 or December 31, 2011.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400" w:right="264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4"/>
              </w:rPr>
              <w:t>2011</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16,102</w:t>
            </w:r>
          </w:p>
        </w:tc>
        <w:tc>
          <w:tcPr>
            <w:tcW w:w="10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12,802</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21,060</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58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8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consisted of the following ($ amounts in 000’s):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4"/>
              </w:rPr>
              <w:t>2011</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18,322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13,912</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17,176</w:t>
            </w:r>
          </w:p>
        </w:tc>
        <w:tc>
          <w:tcPr>
            <w:tcW w:w="10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Leasehold improvements and tooling</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property and equipment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56,858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31,819</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900" w:type="dxa"/>
            <w:vAlign w:val="bottom"/>
          </w:tcPr>
          <w:p>
            <w:pPr>
              <w:jc w:val="right"/>
              <w:spacing w:after="0"/>
              <w:rPr>
                <w:sz w:val="20"/>
                <w:szCs w:val="20"/>
                <w:color w:val="auto"/>
              </w:rPr>
            </w:pPr>
            <w:r>
              <w:rPr>
                <w:rFonts w:ascii="Arial" w:cs="Arial" w:eastAsia="Arial" w:hAnsi="Arial"/>
                <w:sz w:val="18"/>
                <w:szCs w:val="18"/>
                <w:color w:val="auto"/>
              </w:rPr>
              <w:t>(31,220)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(23,853)</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equipment—net</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25,638</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August 2012, we purchased certain real property, including land and buildings in Sunnyvale, California, for cash of $14.5 million, to support the growth in our business operations. Of the total cost, we allocated $13.9 million to land and $0.6 million to building and building improvements.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$10.5 million, $7.0 million and $5.7 million in 2012, 2011 and 2010,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60"/>
          </w:cols>
          <w:pgMar w:left="240" w:top="125" w:right="39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280" w:right="276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 xml:space="preserve">On December 7, 2012, we completed the acquisition of XDN, Inc. (“XDN”), </w:t>
      </w:r>
      <w:r>
        <w:rPr>
          <w:rFonts w:ascii="Arial" w:cs="Arial" w:eastAsia="Arial" w:hAnsi="Arial"/>
          <w:sz w:val="17"/>
          <w:szCs w:val="17"/>
          <w:color w:val="333333"/>
        </w:rPr>
        <w:t>a privately held company that provides cloud-based content delivery</w:t>
      </w:r>
      <w:r>
        <w:rPr>
          <w:rFonts w:ascii="Arial" w:cs="Arial" w:eastAsia="Arial" w:hAnsi="Arial"/>
          <w:sz w:val="17"/>
          <w:szCs w:val="17"/>
          <w:color w:val="auto"/>
        </w:rPr>
        <w:t xml:space="preserve"> </w:t>
      </w:r>
      <w:r>
        <w:rPr>
          <w:rFonts w:ascii="Arial" w:cs="Arial" w:eastAsia="Arial" w:hAnsi="Arial"/>
          <w:sz w:val="17"/>
          <w:szCs w:val="17"/>
          <w:color w:val="333333"/>
        </w:rPr>
        <w:t xml:space="preserve">solutions, for a total consideration of </w:t>
      </w:r>
      <w:r>
        <w:rPr>
          <w:rFonts w:ascii="Arial" w:cs="Arial" w:eastAsia="Arial" w:hAnsi="Arial"/>
          <w:sz w:val="17"/>
          <w:szCs w:val="17"/>
          <w:color w:val="000000"/>
        </w:rPr>
        <w:t>$0.5 million</w:t>
      </w:r>
      <w:r>
        <w:rPr>
          <w:rFonts w:ascii="Arial" w:cs="Arial" w:eastAsia="Arial" w:hAnsi="Arial"/>
          <w:sz w:val="17"/>
          <w:szCs w:val="17"/>
          <w:color w:val="333333"/>
        </w:rPr>
        <w:t xml:space="preserve">. We accounted for this acquisition as a purchase of a business and, accordingly, </w:t>
      </w:r>
      <w:r>
        <w:rPr>
          <w:rFonts w:ascii="Arial" w:cs="Arial" w:eastAsia="Arial" w:hAnsi="Arial"/>
          <w:sz w:val="17"/>
          <w:szCs w:val="17"/>
          <w:color w:val="000000"/>
        </w:rPr>
        <w:t>the total purchase price was</w:t>
      </w:r>
      <w:r>
        <w:rPr>
          <w:rFonts w:ascii="Arial" w:cs="Arial" w:eastAsia="Arial" w:hAnsi="Arial"/>
          <w:sz w:val="17"/>
          <w:szCs w:val="17"/>
          <w:color w:val="333333"/>
        </w:rPr>
        <w:t xml:space="preserve"> </w:t>
      </w:r>
      <w:r>
        <w:rPr>
          <w:rFonts w:ascii="Arial" w:cs="Arial" w:eastAsia="Arial" w:hAnsi="Arial"/>
          <w:sz w:val="17"/>
          <w:szCs w:val="17"/>
          <w:color w:val="000000"/>
        </w:rPr>
        <w:t>allocated to identifiable intangible assets acquired based on their estimated fair market value as of the acquisition date. The purchase price allocation resulted in purchased identifiable intangible assets of $0.5 million. Identifiable intangible assets consist of purchased technology. The fair value assigned to identifiable intangible assets acquired was determined using the market approach, which compares the value of the purchased assets to similar assets in similar lines of business. Purchased identifiable intangible assets are being amortized as cost of revenue on a straight-line basis over three years. The financial results of this acquisition are considered immaterial for purposes of pro forma financial disclosures.</w:t>
      </w:r>
    </w:p>
    <w:p>
      <w:pPr>
        <w:spacing w:after="0" w:line="178"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On March 8, 2012, we completed the acquisition of IntruGuard Devices, Inc. (“IntruGuard”), a supplier of Intelligent Availability Protection Systems, for a total consideration of $1.0 million. Of the total consideration, $0.4 million was withheld in escrow as security for IntruGuard’s indemnification obligations. We accounted for this acquisition as a purchase of a business and, accordingly, the total purchase price was allocated to tangible and identifiable intangible assets acquired and liabilities assumed based on their estimated fair market values as of the acquisition date. The purchase price allocation resulted in purchased tangible assets of $53,000 and liabilities of $43,000, and purchased identifiable intangible assets of $0.9 million. Identifiable intangible assets consist of purchased technology. The fair value assigned to identifiable intangible assets acquired was determined using the income approach, which discounts expected future cash flows to present value using estimates and assumptions determined by us. Purchased identifiable intangible assets are being amortized as cost of revenue on a straight-line basis over three years. Of the $0.4 million previously withheld in escrow, $0.2 million was released to the selling shareholders during the third quarter of fiscal 2012. The financial results of this acquisition are considered immaterial for purposes of pro forma financial disclosures.</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April 6, 2011, we completed the acquisition of TalkSwitch Corp. (“TalkSwitch”), a privately held company that provides voice over IP phone system technology, for a cash payment of $2.6 million. We accounted for this acquisition as a purchase of a business and, accordingly, the total purchase price was allocated to TalkSwitch tangible and identifiable intangible assets acquired and liabilities assumed based on their estimated fair market values as of the acquisition date. The purchase price allocation resulted in purchased tangible assets of $0.9 million and liabilities of $0.1 million and purchased identifiable intangible assets of $1.8 million. Identifiable intangible assets consist of purchased technology. The fair value assigned to identifiable intangible assets acquired is determined using the income approach, which discounts expected future cash flows to present value using estimates and assumptions determined by us. Purchased identifiable intangible assets are being amortized on a straight-line basis over three years. The financial results of this acquisition are considered immaterial for purposes of pro forma financial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our existing intangible assets with definite lives included in other assets ($ amounts in 000’s):</w:t>
      </w:r>
    </w:p>
    <w:p>
      <w:pPr>
        <w:spacing w:after="0" w:line="388"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jc w:val="center"/>
              <w:ind w:right="237"/>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tcPr>
          <w:p>
            <w:pPr>
              <w:spacing w:after="0"/>
              <w:rPr>
                <w:sz w:val="17"/>
                <w:szCs w:val="17"/>
                <w:color w:val="auto"/>
              </w:rPr>
            </w:pPr>
          </w:p>
        </w:tc>
      </w:tr>
      <w:tr>
        <w:trPr>
          <w:trHeight w:val="210"/>
        </w:trPr>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jc w:val="center"/>
              <w:ind w:right="197"/>
              <w:spacing w:after="0"/>
              <w:rPr>
                <w:sz w:val="20"/>
                <w:szCs w:val="20"/>
                <w:color w:val="auto"/>
              </w:rPr>
            </w:pPr>
            <w:r>
              <w:rPr>
                <w:rFonts w:ascii="Arial" w:cs="Arial" w:eastAsia="Arial" w:hAnsi="Arial"/>
                <w:sz w:val="16"/>
                <w:szCs w:val="16"/>
                <w:b w:val="1"/>
                <w:bCs w:val="1"/>
                <w:color w:val="auto"/>
                <w:w w:val="84"/>
              </w:rPr>
              <w:t>2011</w:t>
            </w:r>
          </w:p>
        </w:tc>
        <w:tc>
          <w:tcPr>
            <w:tcW w:w="1240" w:type="dxa"/>
            <w:vAlign w:val="bottom"/>
          </w:tcPr>
          <w:p>
            <w:pPr>
              <w:spacing w:after="0"/>
              <w:rPr>
                <w:sz w:val="18"/>
                <w:szCs w:val="18"/>
                <w:color w:val="auto"/>
              </w:rPr>
            </w:pPr>
          </w:p>
        </w:tc>
      </w:tr>
      <w:tr>
        <w:trPr>
          <w:trHeight w:val="33"/>
        </w:trPr>
        <w:tc>
          <w:tcPr>
            <w:tcW w:w="18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jc w:val="center"/>
              <w:ind w:right="217"/>
              <w:spacing w:after="0"/>
              <w:rPr>
                <w:sz w:val="20"/>
                <w:szCs w:val="20"/>
                <w:color w:val="auto"/>
              </w:rPr>
            </w:pPr>
            <w:r>
              <w:rPr>
                <w:rFonts w:ascii="Arial" w:cs="Arial" w:eastAsia="Arial" w:hAnsi="Arial"/>
                <w:sz w:val="16"/>
                <w:szCs w:val="16"/>
                <w:b w:val="1"/>
                <w:bCs w:val="1"/>
                <w:color w:val="auto"/>
                <w:w w:val="91"/>
              </w:rPr>
              <w:t>Accumulated</w:t>
            </w:r>
          </w:p>
        </w:tc>
        <w:tc>
          <w:tcPr>
            <w:tcW w:w="1240" w:type="dxa"/>
            <w:vAlign w:val="bottom"/>
          </w:tcPr>
          <w:p>
            <w:pPr>
              <w:spacing w:after="0"/>
              <w:rPr>
                <w:sz w:val="18"/>
                <w:szCs w:val="18"/>
                <w:color w:val="auto"/>
              </w:rPr>
            </w:pPr>
          </w:p>
        </w:tc>
      </w:tr>
      <w:tr>
        <w:trPr>
          <w:trHeight w:val="210"/>
        </w:trPr>
        <w:tc>
          <w:tcPr>
            <w:tcW w:w="1860" w:type="dxa"/>
            <w:vAlign w:val="bottom"/>
          </w:tcPr>
          <w:p>
            <w:pPr>
              <w:spacing w:after="0"/>
              <w:rPr>
                <w:sz w:val="18"/>
                <w:szCs w:val="18"/>
                <w:color w:val="auto"/>
              </w:rPr>
            </w:pPr>
          </w:p>
        </w:tc>
        <w:tc>
          <w:tcPr>
            <w:tcW w:w="1560" w:type="dxa"/>
            <w:vAlign w:val="bottom"/>
            <w:gridSpan w:val="2"/>
          </w:tcPr>
          <w:p>
            <w:pPr>
              <w:ind w:left="520"/>
              <w:spacing w:after="0"/>
              <w:rPr>
                <w:sz w:val="20"/>
                <w:szCs w:val="20"/>
                <w:color w:val="auto"/>
              </w:rPr>
            </w:pPr>
            <w:r>
              <w:rPr>
                <w:rFonts w:ascii="Arial" w:cs="Arial" w:eastAsia="Arial" w:hAnsi="Arial"/>
                <w:sz w:val="16"/>
                <w:szCs w:val="16"/>
                <w:b w:val="1"/>
                <w:bCs w:val="1"/>
                <w:color w:val="auto"/>
              </w:rPr>
              <w:t>Gross</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Amortization</w:t>
            </w:r>
          </w:p>
        </w:tc>
        <w:tc>
          <w:tcPr>
            <w:tcW w:w="860" w:type="dxa"/>
            <w:vAlign w:val="bottom"/>
          </w:tcPr>
          <w:p>
            <w:pPr>
              <w:ind w:left="580"/>
              <w:spacing w:after="0"/>
              <w:rPr>
                <w:sz w:val="20"/>
                <w:szCs w:val="20"/>
                <w:color w:val="auto"/>
              </w:rPr>
            </w:pPr>
            <w:r>
              <w:rPr>
                <w:rFonts w:ascii="Arial" w:cs="Arial" w:eastAsia="Arial" w:hAnsi="Arial"/>
                <w:sz w:val="16"/>
                <w:szCs w:val="16"/>
                <w:b w:val="1"/>
                <w:bCs w:val="1"/>
                <w:color w:val="auto"/>
              </w:rPr>
              <w:t>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Gross</w:t>
            </w:r>
          </w:p>
        </w:tc>
        <w:tc>
          <w:tcPr>
            <w:tcW w:w="1700" w:type="dxa"/>
            <w:vAlign w:val="bottom"/>
          </w:tcPr>
          <w:p>
            <w:pPr>
              <w:jc w:val="center"/>
              <w:ind w:right="217"/>
              <w:spacing w:after="0"/>
              <w:rPr>
                <w:sz w:val="20"/>
                <w:szCs w:val="20"/>
                <w:color w:val="auto"/>
              </w:rPr>
            </w:pPr>
            <w:r>
              <w:rPr>
                <w:rFonts w:ascii="Arial" w:cs="Arial" w:eastAsia="Arial" w:hAnsi="Arial"/>
                <w:sz w:val="16"/>
                <w:szCs w:val="16"/>
                <w:b w:val="1"/>
                <w:bCs w:val="1"/>
                <w:color w:val="auto"/>
                <w:w w:val="94"/>
              </w:rPr>
              <w:t>Amortization</w:t>
            </w:r>
          </w:p>
        </w:tc>
        <w:tc>
          <w:tcPr>
            <w:tcW w:w="1240" w:type="dxa"/>
            <w:vAlign w:val="bottom"/>
          </w:tcPr>
          <w:p>
            <w:pPr>
              <w:jc w:val="right"/>
              <w:ind w:right="514"/>
              <w:spacing w:after="0"/>
              <w:rPr>
                <w:sz w:val="20"/>
                <w:szCs w:val="20"/>
                <w:color w:val="auto"/>
              </w:rPr>
            </w:pPr>
            <w:r>
              <w:rPr>
                <w:rFonts w:ascii="Arial" w:cs="Arial" w:eastAsia="Arial" w:hAnsi="Arial"/>
                <w:sz w:val="16"/>
                <w:szCs w:val="16"/>
                <w:b w:val="1"/>
                <w:bCs w:val="1"/>
                <w:color w:val="auto"/>
              </w:rPr>
              <w:t>Net</w:t>
            </w:r>
          </w:p>
        </w:tc>
      </w:tr>
      <w:tr>
        <w:trPr>
          <w:trHeight w:val="33"/>
        </w:trPr>
        <w:tc>
          <w:tcPr>
            <w:tcW w:w="18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technology</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3,541</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2,117</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1,772</w:t>
            </w:r>
          </w:p>
        </w:tc>
        <w:tc>
          <w:tcPr>
            <w:tcW w:w="17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394</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1,378</w:t>
            </w:r>
          </w:p>
        </w:tc>
      </w:tr>
      <w:tr>
        <w:trPr>
          <w:trHeight w:val="27"/>
        </w:trPr>
        <w:tc>
          <w:tcPr>
            <w:tcW w:w="18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Amortization expense was $1.0 million and $0.4 million in fiscal 2012 and 2011, respectively. There was no amortization expense incurred in fiscal 2010. The following table summarizes estimated future amortization expense of purchased intangible assets with definite lives for future fiscal years ($ amounts in 000’s):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80" w:right="266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396" w:lineRule="exact"/>
        <w:rPr>
          <w:sz w:val="20"/>
          <w:szCs w:val="20"/>
          <w:color w:val="auto"/>
        </w:rPr>
      </w:pPr>
    </w:p>
    <w:tbl>
      <w:tblPr>
        <w:tblLayout w:type="fixed"/>
        <w:tblInd w:w="238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2200" w:type="dxa"/>
            <w:vAlign w:val="bottom"/>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33"/>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Years:</w:t>
            </w: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jc w:val="right"/>
              <w:ind w:right="3670"/>
              <w:spacing w:after="0"/>
              <w:rPr>
                <w:sz w:val="20"/>
                <w:szCs w:val="20"/>
                <w:color w:val="auto"/>
              </w:rPr>
            </w:pPr>
            <w:r>
              <w:rPr>
                <w:rFonts w:ascii="Arial" w:cs="Arial" w:eastAsia="Arial" w:hAnsi="Arial"/>
                <w:sz w:val="18"/>
                <w:szCs w:val="18"/>
                <w:color w:val="auto"/>
              </w:rPr>
              <w:t>2013</w:t>
            </w:r>
          </w:p>
        </w:tc>
        <w:tc>
          <w:tcPr>
            <w:tcW w:w="220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jc w:val="right"/>
              <w:ind w:right="3670"/>
              <w:spacing w:after="0"/>
              <w:rPr>
                <w:sz w:val="20"/>
                <w:szCs w:val="20"/>
                <w:color w:val="auto"/>
              </w:rPr>
            </w:pPr>
            <w:r>
              <w:rPr>
                <w:rFonts w:ascii="Arial" w:cs="Arial" w:eastAsia="Arial" w:hAnsi="Arial"/>
                <w:sz w:val="18"/>
                <w:szCs w:val="18"/>
                <w:color w:val="auto"/>
              </w:rPr>
              <w:t>2014</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43"/>
        </w:trPr>
        <w:tc>
          <w:tcPr>
            <w:tcW w:w="4480" w:type="dxa"/>
            <w:vAlign w:val="bottom"/>
          </w:tcPr>
          <w:p>
            <w:pPr>
              <w:jc w:val="right"/>
              <w:ind w:right="3670"/>
              <w:spacing w:after="0"/>
              <w:rPr>
                <w:sz w:val="20"/>
                <w:szCs w:val="20"/>
                <w:color w:val="auto"/>
              </w:rPr>
            </w:pPr>
            <w:r>
              <w:rPr>
                <w:rFonts w:ascii="Arial" w:cs="Arial" w:eastAsia="Arial" w:hAnsi="Arial"/>
                <w:sz w:val="18"/>
                <w:szCs w:val="18"/>
                <w:color w:val="auto"/>
              </w:rPr>
              <w:t>2015</w:t>
            </w:r>
          </w:p>
        </w:tc>
        <w:tc>
          <w:tcPr>
            <w:tcW w:w="22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jc w:val="right"/>
              <w:ind w:right="3670"/>
              <w:spacing w:after="0"/>
              <w:rPr>
                <w:sz w:val="20"/>
                <w:szCs w:val="20"/>
                <w:color w:val="auto"/>
              </w:rPr>
            </w:pPr>
            <w:r>
              <w:rPr>
                <w:rFonts w:ascii="Arial" w:cs="Arial" w:eastAsia="Arial" w:hAnsi="Arial"/>
                <w:sz w:val="18"/>
                <w:szCs w:val="18"/>
                <w:color w:val="auto"/>
              </w:rPr>
              <w:t>2016</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w:t>
            </w:r>
          </w:p>
        </w:tc>
      </w:tr>
      <w:tr>
        <w:trPr>
          <w:trHeight w:val="20"/>
        </w:trPr>
        <w:tc>
          <w:tcPr>
            <w:tcW w:w="44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PER SHARE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warrants, RSUs, and ESPP. Potentially dilutive shares of common stock are determined by applying the treasury stock method.</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 and share amounts in 000’s, except per share amounts):</w:t>
      </w:r>
    </w:p>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320"/>
              <w:spacing w:after="0"/>
              <w:rPr>
                <w:sz w:val="20"/>
                <w:szCs w:val="20"/>
                <w:color w:val="auto"/>
              </w:rPr>
            </w:pPr>
            <w:r>
              <w:rPr>
                <w:rFonts w:ascii="Arial" w:cs="Arial" w:eastAsia="Arial" w:hAnsi="Arial"/>
                <w:sz w:val="16"/>
                <w:szCs w:val="16"/>
                <w:b w:val="1"/>
                <w:bCs w:val="1"/>
                <w:color w:val="auto"/>
              </w:rPr>
              <w:t>Fiscal Year</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60" w:type="dxa"/>
            <w:vAlign w:val="bottom"/>
          </w:tcPr>
          <w:p>
            <w:pPr>
              <w:spacing w:after="0"/>
              <w:rPr>
                <w:sz w:val="20"/>
                <w:szCs w:val="20"/>
                <w:color w:val="auto"/>
              </w:rPr>
            </w:pPr>
          </w:p>
        </w:tc>
        <w:tc>
          <w:tcPr>
            <w:tcW w:w="2680" w:type="dxa"/>
            <w:vAlign w:val="bottom"/>
            <w:gridSpan w:val="2"/>
          </w:tcPr>
          <w:p>
            <w:pPr>
              <w:jc w:val="right"/>
              <w:ind w:right="47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4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4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80" w:type="dxa"/>
            <w:vAlign w:val="bottom"/>
            <w:gridSpan w:val="2"/>
          </w:tcPr>
          <w:p>
            <w:pPr>
              <w:jc w:val="right"/>
              <w:ind w:right="30"/>
              <w:spacing w:after="0"/>
              <w:rPr>
                <w:sz w:val="20"/>
                <w:szCs w:val="20"/>
                <w:color w:val="auto"/>
              </w:rPr>
            </w:pPr>
            <w:r>
              <w:rPr>
                <w:rFonts w:ascii="Arial" w:cs="Arial" w:eastAsia="Arial" w:hAnsi="Arial"/>
                <w:sz w:val="18"/>
                <w:szCs w:val="18"/>
                <w:color w:val="auto"/>
              </w:rPr>
              <w:t>66,836</w:t>
            </w:r>
          </w:p>
        </w:tc>
        <w:tc>
          <w:tcPr>
            <w:tcW w:w="120" w:type="dxa"/>
            <w:vAlign w:val="bottom"/>
          </w:tcPr>
          <w:p>
            <w:pPr>
              <w:spacing w:after="0"/>
              <w:rPr>
                <w:sz w:val="22"/>
                <w:szCs w:val="22"/>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62,492</w:t>
            </w:r>
          </w:p>
        </w:tc>
        <w:tc>
          <w:tcPr>
            <w:tcW w:w="1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41,245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158,074</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152,581</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140,726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shares:</w:t>
            </w:r>
          </w:p>
        </w:tc>
        <w:tc>
          <w:tcPr>
            <w:tcW w:w="1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158,074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152,581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140,726</w:t>
            </w: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Stock options</w:t>
            </w:r>
          </w:p>
        </w:tc>
        <w:tc>
          <w:tcPr>
            <w:tcW w:w="2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15,524</w:t>
            </w:r>
          </w:p>
        </w:tc>
        <w:tc>
          <w:tcPr>
            <w:tcW w:w="0" w:type="dxa"/>
            <w:vAlign w:val="bottom"/>
          </w:tcPr>
          <w:p>
            <w:pPr>
              <w:spacing w:after="0"/>
              <w:rPr>
                <w:sz w:val="1"/>
                <w:szCs w:val="1"/>
                <w:color w:val="auto"/>
              </w:rPr>
            </w:pPr>
          </w:p>
        </w:tc>
      </w:tr>
      <w:tr>
        <w:trPr>
          <w:trHeight w:val="243"/>
        </w:trPr>
        <w:tc>
          <w:tcPr>
            <w:tcW w:w="5260" w:type="dxa"/>
            <w:vAlign w:val="bottom"/>
          </w:tcPr>
          <w:p>
            <w:pPr>
              <w:ind w:left="900"/>
              <w:spacing w:after="0"/>
              <w:rPr>
                <w:sz w:val="20"/>
                <w:szCs w:val="20"/>
                <w:color w:val="auto"/>
              </w:rPr>
            </w:pPr>
            <w:r>
              <w:rPr>
                <w:rFonts w:ascii="Arial" w:cs="Arial" w:eastAsia="Arial" w:hAnsi="Arial"/>
                <w:sz w:val="18"/>
                <w:szCs w:val="18"/>
                <w:color w:val="auto"/>
              </w:rPr>
              <w:t>ESPP</w:t>
            </w:r>
          </w:p>
        </w:tc>
        <w:tc>
          <w:tcPr>
            <w:tcW w:w="2680" w:type="dxa"/>
            <w:vAlign w:val="bottom"/>
            <w:gridSpan w:val="2"/>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Warrants to purchase common stock</w:t>
            </w:r>
          </w:p>
        </w:tc>
        <w:tc>
          <w:tcPr>
            <w:tcW w:w="1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Weighted-average shares used to compute diluted net income per share</w:t>
            </w:r>
          </w:p>
        </w:tc>
        <w:tc>
          <w:tcPr>
            <w:tcW w:w="1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166,329</w:t>
            </w:r>
          </w:p>
        </w:tc>
        <w:tc>
          <w:tcPr>
            <w:tcW w:w="1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163,781</w:t>
            </w:r>
          </w:p>
        </w:tc>
        <w:tc>
          <w:tcPr>
            <w:tcW w:w="1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156,406</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51"/>
        </w:trPr>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811"/>
              <w:spacing w:after="0"/>
              <w:rPr>
                <w:sz w:val="20"/>
                <w:szCs w:val="20"/>
                <w:color w:val="auto"/>
              </w:rPr>
            </w:pPr>
            <w:r>
              <w:rPr>
                <w:rFonts w:ascii="Arial" w:cs="Arial" w:eastAsia="Arial" w:hAnsi="Arial"/>
                <w:sz w:val="18"/>
                <w:szCs w:val="18"/>
                <w:color w:val="auto"/>
              </w:rPr>
              <w:t>77</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25" w:right="37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260" w:right="278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000’s):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Fiscal Year</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right"/>
              <w:ind w:right="572"/>
              <w:spacing w:after="0"/>
              <w:rPr>
                <w:sz w:val="20"/>
                <w:szCs w:val="20"/>
                <w:color w:val="auto"/>
              </w:rPr>
            </w:pPr>
            <w:r>
              <w:rPr>
                <w:rFonts w:ascii="Arial" w:cs="Arial" w:eastAsia="Arial" w:hAnsi="Arial"/>
                <w:sz w:val="16"/>
                <w:szCs w:val="16"/>
                <w:b w:val="1"/>
                <w:bCs w:val="1"/>
                <w:color w:val="auto"/>
              </w:rPr>
              <w:t>2012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right"/>
              <w:ind w:right="55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552"/>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5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640" w:type="dxa"/>
            <w:vAlign w:val="bottom"/>
            <w:gridSpan w:val="3"/>
          </w:tcPr>
          <w:p>
            <w:pPr>
              <w:ind w:left="20"/>
              <w:spacing w:after="0"/>
              <w:rPr>
                <w:sz w:val="20"/>
                <w:szCs w:val="20"/>
                <w:color w:val="auto"/>
              </w:rPr>
            </w:pPr>
            <w:r>
              <w:rPr>
                <w:rFonts w:ascii="Arial" w:cs="Arial" w:eastAsia="Arial" w:hAnsi="Arial"/>
                <w:sz w:val="18"/>
                <w:szCs w:val="18"/>
                <w:color w:val="auto"/>
              </w:rPr>
              <w:t>RSUs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Pr>
          <w:p>
            <w:pPr>
              <w:spacing w:after="0"/>
              <w:rPr>
                <w:sz w:val="23"/>
                <w:szCs w:val="23"/>
                <w:color w:val="auto"/>
              </w:rPr>
            </w:pPr>
          </w:p>
        </w:tc>
        <w:tc>
          <w:tcPr>
            <w:tcW w:w="5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7,795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top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7"/>
        </w:trPr>
        <w:tc>
          <w:tcPr>
            <w:tcW w:w="6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8. DEFERRED REVENUE</w:t>
            </w: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gridSpan w:val="4"/>
            <w:vMerge w:val="continue"/>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40" w:type="dxa"/>
            <w:vAlign w:val="bottom"/>
            <w:gridSpan w:val="4"/>
            <w:vMerge w:val="continue"/>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5640" w:type="dxa"/>
            <w:vAlign w:val="bottom"/>
            <w:gridSpan w:val="3"/>
          </w:tcPr>
          <w:p>
            <w:pPr>
              <w:ind w:left="260"/>
              <w:spacing w:after="0"/>
              <w:rPr>
                <w:sz w:val="20"/>
                <w:szCs w:val="20"/>
                <w:color w:val="auto"/>
              </w:rPr>
            </w:pPr>
            <w:r>
              <w:rPr>
                <w:rFonts w:ascii="Arial" w:cs="Arial" w:eastAsia="Arial" w:hAnsi="Arial"/>
                <w:sz w:val="18"/>
                <w:szCs w:val="18"/>
                <w:color w:val="auto"/>
              </w:rPr>
              <w:t>Deferred revenue consisted of the following ($ amounts in 000’s):</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24"/>
                <w:szCs w:val="24"/>
                <w:color w:val="auto"/>
              </w:rPr>
            </w:pPr>
          </w:p>
        </w:tc>
        <w:tc>
          <w:tcPr>
            <w:tcW w:w="174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December 31,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592"/>
              <w:spacing w:after="0"/>
              <w:rPr>
                <w:sz w:val="20"/>
                <w:szCs w:val="20"/>
                <w:color w:val="auto"/>
              </w:rPr>
            </w:pPr>
            <w:r>
              <w:rPr>
                <w:rFonts w:ascii="Arial" w:cs="Arial" w:eastAsia="Arial" w:hAnsi="Arial"/>
                <w:sz w:val="16"/>
                <w:szCs w:val="16"/>
                <w:b w:val="1"/>
                <w:bCs w:val="1"/>
                <w:color w:val="auto"/>
              </w:rPr>
              <w:t>2012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45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5,817</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Services</w:t>
            </w:r>
          </w:p>
        </w:tc>
        <w:tc>
          <w:tcPr>
            <w:tcW w:w="1620" w:type="dxa"/>
            <w:vAlign w:val="bottom"/>
          </w:tcPr>
          <w:p>
            <w:pPr>
              <w:jc w:val="right"/>
              <w:spacing w:after="0"/>
              <w:rPr>
                <w:sz w:val="20"/>
                <w:szCs w:val="20"/>
                <w:color w:val="auto"/>
              </w:rPr>
            </w:pPr>
            <w:r>
              <w:rPr>
                <w:rFonts w:ascii="Arial" w:cs="Arial" w:eastAsia="Arial" w:hAnsi="Arial"/>
                <w:sz w:val="18"/>
                <w:szCs w:val="18"/>
                <w:color w:val="auto"/>
              </w:rPr>
              <w:t>348,548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8"/>
                <w:szCs w:val="18"/>
                <w:color w:val="auto"/>
              </w:rPr>
              <w:t>272,843</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3"/>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Ratable and other revenue</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16,173</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revenue</w:t>
            </w:r>
          </w:p>
        </w:tc>
        <w:tc>
          <w:tcPr>
            <w:tcW w:w="8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363,185</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7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294,833</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60" w:type="dxa"/>
            <w:vAlign w:val="bottom"/>
            <w:gridSpan w:val="2"/>
          </w:tcPr>
          <w:p>
            <w:pPr>
              <w:ind w:left="500"/>
              <w:spacing w:after="0"/>
              <w:rPr>
                <w:sz w:val="20"/>
                <w:szCs w:val="20"/>
                <w:color w:val="auto"/>
              </w:rPr>
            </w:pPr>
            <w:r>
              <w:rPr>
                <w:rFonts w:ascii="Arial" w:cs="Arial" w:eastAsia="Arial" w:hAnsi="Arial"/>
                <w:sz w:val="18"/>
                <w:szCs w:val="18"/>
                <w:color w:val="auto"/>
              </w:rPr>
              <w:t>Short-term</w:t>
            </w:r>
          </w:p>
        </w:tc>
        <w:tc>
          <w:tcPr>
            <w:tcW w:w="1620" w:type="dxa"/>
            <w:vAlign w:val="bottom"/>
          </w:tcPr>
          <w:p>
            <w:pPr>
              <w:jc w:val="right"/>
              <w:spacing w:after="0"/>
              <w:rPr>
                <w:sz w:val="20"/>
                <w:szCs w:val="20"/>
                <w:color w:val="auto"/>
              </w:rPr>
            </w:pPr>
            <w:r>
              <w:rPr>
                <w:rFonts w:ascii="Arial" w:cs="Arial" w:eastAsia="Arial" w:hAnsi="Arial"/>
                <w:sz w:val="18"/>
                <w:szCs w:val="18"/>
                <w:color w:val="auto"/>
              </w:rPr>
              <w:t>247,268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8"/>
                <w:szCs w:val="18"/>
                <w:color w:val="auto"/>
              </w:rPr>
              <w:t>206,928</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3"/>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115,917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87,905</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Total deferred revenue</w:t>
            </w:r>
          </w:p>
        </w:tc>
        <w:tc>
          <w:tcPr>
            <w:tcW w:w="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363,185</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294,833</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Leases and Minimum Royalties</w:t>
      </w:r>
      <w:r>
        <w:rPr>
          <w:rFonts w:ascii="Arial" w:cs="Arial" w:eastAsia="Arial" w:hAnsi="Arial"/>
          <w:sz w:val="18"/>
          <w:szCs w:val="18"/>
          <w:color w:val="auto"/>
        </w:rPr>
        <w:t>—We lease certain facilities under various non-cancelable operating leases, which expire through 2017. Rent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was $8.7 million, $8.2 million and $7.0 million for fiscal 2012, 2011, and 2010, respectively. Rent expense is recognized using the straight-line method over the term of the lease. The aggregate future non-cancelable minimum rental payments on operating leases as of December 31, 2012 are as follows ($ amounts in 000’s):</w:t>
      </w:r>
    </w:p>
    <w:p>
      <w:pPr>
        <w:spacing w:after="0" w:line="320" w:lineRule="exact"/>
        <w:rPr>
          <w:sz w:val="20"/>
          <w:szCs w:val="20"/>
          <w:color w:val="auto"/>
        </w:rPr>
      </w:pPr>
    </w:p>
    <w:tbl>
      <w:tblPr>
        <w:tblLayout w:type="fixed"/>
        <w:tblInd w:w="238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0" w:type="dxa"/>
            <w:vAlign w:val="bottom"/>
          </w:tcPr>
          <w:p>
            <w:pPr>
              <w:jc w:val="right"/>
              <w:ind w:right="792"/>
              <w:spacing w:after="0"/>
              <w:rPr>
                <w:sz w:val="20"/>
                <w:szCs w:val="20"/>
                <w:color w:val="auto"/>
              </w:rPr>
            </w:pPr>
            <w:r>
              <w:rPr>
                <w:rFonts w:ascii="Arial" w:cs="Arial" w:eastAsia="Arial" w:hAnsi="Arial"/>
                <w:sz w:val="16"/>
                <w:szCs w:val="16"/>
                <w:b w:val="1"/>
                <w:bCs w:val="1"/>
                <w:color w:val="auto"/>
              </w:rPr>
              <w:t>Rental</w:t>
            </w:r>
          </w:p>
        </w:tc>
      </w:tr>
      <w:tr>
        <w:trPr>
          <w:trHeight w:val="210"/>
        </w:trPr>
        <w:tc>
          <w:tcPr>
            <w:tcW w:w="4480" w:type="dxa"/>
            <w:vAlign w:val="bottom"/>
          </w:tcPr>
          <w:p>
            <w:pPr>
              <w:spacing w:after="0"/>
              <w:rPr>
                <w:sz w:val="18"/>
                <w:szCs w:val="18"/>
                <w:color w:val="auto"/>
              </w:rPr>
            </w:pPr>
          </w:p>
        </w:tc>
        <w:tc>
          <w:tcPr>
            <w:tcW w:w="2200" w:type="dxa"/>
            <w:vAlign w:val="bottom"/>
          </w:tcPr>
          <w:p>
            <w:pPr>
              <w:jc w:val="right"/>
              <w:ind w:right="712"/>
              <w:spacing w:after="0"/>
              <w:rPr>
                <w:sz w:val="20"/>
                <w:szCs w:val="20"/>
                <w:color w:val="auto"/>
              </w:rPr>
            </w:pPr>
            <w:r>
              <w:rPr>
                <w:rFonts w:ascii="Arial" w:cs="Arial" w:eastAsia="Arial" w:hAnsi="Arial"/>
                <w:sz w:val="16"/>
                <w:szCs w:val="16"/>
                <w:b w:val="1"/>
                <w:bCs w:val="1"/>
                <w:color w:val="auto"/>
              </w:rPr>
              <w:t>Payment</w:t>
            </w:r>
          </w:p>
        </w:tc>
      </w:tr>
      <w:tr>
        <w:trPr>
          <w:trHeight w:val="33"/>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Years:</w:t>
            </w: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jc w:val="right"/>
              <w:spacing w:after="0"/>
              <w:rPr>
                <w:sz w:val="20"/>
                <w:szCs w:val="20"/>
                <w:color w:val="auto"/>
              </w:rPr>
            </w:pPr>
            <w:r>
              <w:rPr>
                <w:rFonts w:ascii="Arial" w:cs="Arial" w:eastAsia="Arial" w:hAnsi="Arial"/>
                <w:sz w:val="18"/>
                <w:szCs w:val="18"/>
                <w:color w:val="auto"/>
              </w:rPr>
              <w:t>2013</w:t>
            </w:r>
          </w:p>
        </w:tc>
        <w:tc>
          <w:tcPr>
            <w:tcW w:w="2200" w:type="dxa"/>
            <w:vAlign w:val="bottom"/>
          </w:tcPr>
          <w:p>
            <w:pPr>
              <w:jc w:val="right"/>
              <w:spacing w:after="0"/>
              <w:rPr>
                <w:sz w:val="20"/>
                <w:szCs w:val="20"/>
                <w:color w:val="auto"/>
              </w:rPr>
            </w:pPr>
            <w:r>
              <w:rPr>
                <w:rFonts w:ascii="Arial" w:cs="Arial" w:eastAsia="Arial" w:hAnsi="Arial"/>
                <w:sz w:val="18"/>
                <w:szCs w:val="18"/>
                <w:color w:val="auto"/>
              </w:rPr>
              <w:t>8,775</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r>
      <w:tr>
        <w:trPr>
          <w:trHeight w:val="243"/>
        </w:trPr>
        <w:tc>
          <w:tcPr>
            <w:tcW w:w="4480" w:type="dxa"/>
            <w:vAlign w:val="bottom"/>
          </w:tcPr>
          <w:p>
            <w:pPr>
              <w:jc w:val="right"/>
              <w:spacing w:after="0"/>
              <w:rPr>
                <w:sz w:val="20"/>
                <w:szCs w:val="20"/>
                <w:color w:val="auto"/>
              </w:rPr>
            </w:pPr>
            <w:r>
              <w:rPr>
                <w:rFonts w:ascii="Arial" w:cs="Arial" w:eastAsia="Arial" w:hAnsi="Arial"/>
                <w:sz w:val="18"/>
                <w:szCs w:val="18"/>
                <w:color w:val="auto"/>
              </w:rPr>
              <w:t>2015</w:t>
            </w:r>
          </w:p>
        </w:tc>
        <w:tc>
          <w:tcPr>
            <w:tcW w:w="2200" w:type="dxa"/>
            <w:vAlign w:val="bottom"/>
          </w:tcPr>
          <w:p>
            <w:pPr>
              <w:jc w:val="right"/>
              <w:spacing w:after="0"/>
              <w:rPr>
                <w:sz w:val="20"/>
                <w:szCs w:val="20"/>
                <w:color w:val="auto"/>
              </w:rPr>
            </w:pPr>
            <w:r>
              <w:rPr>
                <w:rFonts w:ascii="Arial" w:cs="Arial" w:eastAsia="Arial" w:hAnsi="Arial"/>
                <w:sz w:val="18"/>
                <w:szCs w:val="18"/>
                <w:color w:val="auto"/>
              </w:rPr>
              <w:t>2,394</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4480" w:type="dxa"/>
            <w:vAlign w:val="bottom"/>
          </w:tcPr>
          <w:p>
            <w:pPr>
              <w:jc w:val="right"/>
              <w:spacing w:after="0"/>
              <w:rPr>
                <w:sz w:val="20"/>
                <w:szCs w:val="20"/>
                <w:color w:val="auto"/>
              </w:rPr>
            </w:pPr>
            <w:r>
              <w:rPr>
                <w:rFonts w:ascii="Arial" w:cs="Arial" w:eastAsia="Arial" w:hAnsi="Arial"/>
                <w:sz w:val="18"/>
                <w:szCs w:val="18"/>
                <w:color w:val="auto"/>
              </w:rPr>
              <w:t>2017</w:t>
            </w:r>
          </w:p>
        </w:tc>
        <w:tc>
          <w:tcPr>
            <w:tcW w:w="22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16,833</w:t>
            </w:r>
          </w:p>
        </w:tc>
      </w:tr>
      <w:tr>
        <w:trPr>
          <w:trHeight w:val="20"/>
        </w:trPr>
        <w:tc>
          <w:tcPr>
            <w:tcW w:w="44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Contract Manufacturer and Other Commitments</w:t>
      </w:r>
      <w:r>
        <w:rPr>
          <w:rFonts w:ascii="Arial" w:cs="Arial" w:eastAsia="Arial" w:hAnsi="Arial"/>
          <w:sz w:val="17"/>
          <w:szCs w:val="17"/>
          <w:color w:val="auto"/>
        </w:rPr>
        <w:t>—Our independent contract manufacturers procure components and build our products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2012, we had $30.0 million of open purchase orders with our independent contract manufacturers that may not be cancelable.</w:t>
      </w:r>
    </w:p>
    <w:p>
      <w:pPr>
        <w:sectPr>
          <w:pgSz w:w="11900" w:h="16838" w:orient="portrait"/>
          <w:cols w:equalWidth="0" w:num="1">
            <w:col w:w="11400"/>
          </w:cols>
          <w:pgMar w:left="240" w:top="125" w:right="25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125" w:right="25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In addition to commitments with contract manufacturers, we have open purchase orders and contractual obligations in the ordinary course of business for which we have not received goods or services. As of December 31, 2012, we had $8.1 million in other purchase commitments.</w:t>
      </w:r>
    </w:p>
    <w:p>
      <w:pPr>
        <w:spacing w:after="0" w:line="120"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—In August 2009, ESR, a non-practicing entity, filed a complaint against us in the United States District Court for the District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alleging infringement by us and other defendants of two patents. The plaintiffs are claiming unspecified damages and requesting an injunction against the alleged infringement. In June 2010, the Court granted our motion to stay pending the outcome of reexamination proceedings in the PTO on both asserted patents. The PTO rejected all of the claims of the patents in the suit and ESR appealed this result to the BPAI. In August 2012, the BPAI completed its review of both reexamination proceedings, and, after the BPAI’s review, all claims of the asserted ESR patents remain rejected. In October 2012, ESR filed an additional appeal of the BPAI decision with the United States Court of Appeal for the Federal Circuit. That appeal is still pending. We have determined that, as of this time, there is not a reasonable possibility that a loss has been incurred.</w:t>
      </w:r>
    </w:p>
    <w:p>
      <w:pPr>
        <w:spacing w:after="0" w:line="17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April 2010, an individual, a former stockholder of Fortinet, filed a class action lawsuit against us claiming unspecified damages in the California Superior Court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 and the plaintiff has filed several amended complaints in the Superior Court to add individual defendants, among other amendments. The Superior Court set a trial date for December 2012, but we settled this matter and paid $1.0 million in November 2012.</w:t>
      </w:r>
    </w:p>
    <w:p>
      <w:pPr>
        <w:spacing w:after="0" w:line="193"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July 2010,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Fortinet as the sole defendant. This case is currently scheduled for a jury trial starting in September 2013. We have determined that, as of this time, there is not a reasonable possibility that a loss has been incurred.</w:t>
      </w:r>
    </w:p>
    <w:p>
      <w:pPr>
        <w:spacing w:after="0" w:line="17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In June 2012, we received a letter from SRI claiming that we infringed certain SRI patents. Subsequently, we filed a complaint in the United States District Court for the Northern District of California seeking declaratory relief and a judgment that the SRI patents were invalid, unenforceable and not infringed by any of our products or services. The case is proceeding in District Court. The case is currently in the very early stages, and we have determined that, as of this time, there is not a reasonable possibility that a loss has been incurred.</w:t>
      </w:r>
    </w:p>
    <w:p>
      <w:pPr>
        <w:spacing w:after="0" w:line="1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stock-based compensation plans include the 2000 Stock Option Plan (the “2000 Plan”), the 2008 Stock Plan (the “2008 Plan”), the 2009 Equity Incentive Plan (the “2009 Plan”), and the ESPP.</w:t>
      </w:r>
    </w:p>
    <w:p>
      <w:pPr>
        <w:spacing w:after="0" w:line="166"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2000 Stock Plan</w:t>
      </w:r>
      <w:r>
        <w:rPr>
          <w:rFonts w:ascii="Arial" w:cs="Arial" w:eastAsia="Arial" w:hAnsi="Arial"/>
          <w:sz w:val="16"/>
          <w:szCs w:val="16"/>
          <w:color w:val="auto"/>
        </w:rPr>
        <w:t>—During 2000, we adopted the 2000 Plan, which includes both incentive and non-statutory stock options. Under the 2000 Plan, we</w:t>
      </w:r>
      <w:r>
        <w:rPr>
          <w:rFonts w:ascii="Arial" w:cs="Arial" w:eastAsia="Arial" w:hAnsi="Arial"/>
          <w:sz w:val="16"/>
          <w:szCs w:val="16"/>
          <w:b w:val="1"/>
          <w:bCs w:val="1"/>
          <w:color w:val="auto"/>
        </w:rPr>
        <w:t xml:space="preserve"> </w:t>
      </w:r>
      <w:r>
        <w:rPr>
          <w:rFonts w:ascii="Arial" w:cs="Arial" w:eastAsia="Arial" w:hAnsi="Arial"/>
          <w:sz w:val="16"/>
          <w:szCs w:val="16"/>
          <w:color w:val="auto"/>
        </w:rPr>
        <w:t>may grant options to purchase up to 21,500,000 shares of common stock to employees, directors and other service providers at prices not less than the fair market value at date of grant for incentive stock options and not less than 85% of fair market value for non-statutory options. Options granted to a person who, at the time of the grant, owns more than 10% of the voting power of all classes of stock shall be at no less than 110% of the fair market value and expire five years from the date of grant. All other options generally have a contractual term of 10 years. Options generally vest over four years.</w:t>
      </w:r>
    </w:p>
    <w:p>
      <w:pPr>
        <w:spacing w:after="0" w:line="154"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2008 Stock Plan</w:t>
      </w:r>
      <w:r>
        <w:rPr>
          <w:rFonts w:ascii="Arial" w:cs="Arial" w:eastAsia="Arial" w:hAnsi="Arial"/>
          <w:sz w:val="18"/>
          <w:szCs w:val="18"/>
          <w:color w:val="auto"/>
        </w:rPr>
        <w:t>—On January 28, 2008, our board of directors approved the 2008 Plan and French Sub-Plan, which includes both incentive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non-statutory stock options. The maximum aggregate number of shares which may be subject to options and sold under the 2008 Plan and the French Sub-Plan is 5,000,000 shares, plus any shares that, as of the date of stockholder approval of the 2008 Plan, have been reserved but not issued under the 2000 Plan or shares subject to stock options or similar awards granted under the 2000 Plan that expire or otherwise terminate without having been exercised in full or that are forfeited to or repurchased by us.</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Under the 2008 Plan and the French Sub-Plan, we may grant options to employees, directors and other service providers. In the case of an incentive stock option granted to an employee, who at the time of grant, owns stock representing more than 10% of the total combined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w:t>
      </w:r>
    </w:p>
    <w:p>
      <w:pPr>
        <w:spacing w:after="0" w:line="18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b w:val="1"/>
          <w:bCs w:val="1"/>
          <w:color w:val="auto"/>
        </w:rPr>
        <w:t>2009 Equity Incentive Plan</w:t>
      </w:r>
      <w:r>
        <w:rPr>
          <w:rFonts w:ascii="Arial" w:cs="Arial" w:eastAsia="Arial" w:hAnsi="Arial"/>
          <w:sz w:val="16"/>
          <w:szCs w:val="16"/>
          <w:color w:val="auto"/>
        </w:rPr>
        <w:t>—On November 17, 2009, our board of directors approved the 2009 Plan and French Sub-Plan, which includes awards</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options, stock appreciation rights, restricted stock, RSUs, and performance units or performance shares. The maximum aggregate number of shares that may be issued under the 2009 Plan is 9,000,000 shares, plus any shares subject to stock options or similar awards granted under the 2008 Plan and the 2000 Plan that expire or otherwise terminate without having been exercised in full and shares issued pursuant to awards granted under the 2008 Plan and the 2000 Plan that are forfeited to or repurchased by us, with the maximum number of shares to be added to the 2009 Plan pursuant to such terminations, forfeitures and repurchases not to exceed 21,000,000 shares. The shares may be authorized, but unissued or reacquired common stock. The number of shares available for issuance under the 2009 Plan will be increased on the first day of each fiscal year beginning with fiscal 2011, in an amount equal to the lesser of</w:t>
      </w:r>
    </w:p>
    <w:p>
      <w:pPr>
        <w:spacing w:after="0" w:line="2" w:lineRule="exact"/>
        <w:rPr>
          <w:sz w:val="20"/>
          <w:szCs w:val="20"/>
          <w:color w:val="auto"/>
        </w:rPr>
      </w:pPr>
    </w:p>
    <w:p>
      <w:pPr>
        <w:ind w:right="60" w:firstLine="8"/>
        <w:spacing w:after="0" w:line="287" w:lineRule="auto"/>
        <w:tabs>
          <w:tab w:leader="none" w:pos="215" w:val="left"/>
        </w:tabs>
        <w:numPr>
          <w:ilvl w:val="0"/>
          <w:numId w:val="41"/>
        </w:numPr>
        <w:rPr>
          <w:rFonts w:ascii="Arial" w:cs="Arial" w:eastAsia="Arial" w:hAnsi="Arial"/>
          <w:sz w:val="16"/>
          <w:szCs w:val="16"/>
          <w:color w:val="auto"/>
        </w:rPr>
      </w:pPr>
      <w:r>
        <w:rPr>
          <w:rFonts w:ascii="Arial" w:cs="Arial" w:eastAsia="Arial" w:hAnsi="Arial"/>
          <w:sz w:val="16"/>
          <w:szCs w:val="16"/>
          <w:color w:val="auto"/>
        </w:rPr>
        <w:t>7,000,000 shares, (ii) five percent (5%) of the outstanding shares on the last day of the immediately preceding fiscal year, or (iii) such number of shares determined by our board of directors. Under the 2009 Plan and the French Sub-Plan,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 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2012, a total of 41,760,014 shares were authorized and available for issuance under the 2000 Plan, 2008 Plan and 2009 Plan.</w:t>
      </w:r>
    </w:p>
    <w:p>
      <w:pPr>
        <w:spacing w:after="0" w:line="24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Prior to August 2012, we had a practice of granting stock options to employees, non-employees and members of our board of directors. Since August 2012, we have granted RSUs to employees, non-employees, and members of our board of directors. RSUs generally vest ratably over four years. We will issue shares of common stock as the periodic vesting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requirements are satisfied. The value of RSUs is determined based on the number of shares granted and the closing market price of our common stock on the date of grant. We use the Black-Scholes option pricing model to determine the fair value of our stock options. Compensation expense related to RSUs and stock options is recognized over the vesting period.</w:t>
      </w:r>
    </w:p>
    <w:p>
      <w:pPr>
        <w:spacing w:after="0" w:line="177" w:lineRule="exact"/>
        <w:rPr>
          <w:sz w:val="20"/>
          <w:szCs w:val="20"/>
          <w:color w:val="auto"/>
        </w:rPr>
      </w:pPr>
    </w:p>
    <w:p>
      <w:pPr>
        <w:ind w:right="300" w:firstLine="648"/>
        <w:spacing w:after="0" w:line="303" w:lineRule="auto"/>
        <w:rPr>
          <w:sz w:val="20"/>
          <w:szCs w:val="20"/>
          <w:color w:val="auto"/>
        </w:rPr>
      </w:pPr>
      <w:r>
        <w:rPr>
          <w:rFonts w:ascii="Arial" w:cs="Arial" w:eastAsia="Arial" w:hAnsi="Arial"/>
          <w:sz w:val="16"/>
          <w:szCs w:val="16"/>
          <w:b w:val="1"/>
          <w:bCs w:val="1"/>
          <w:color w:val="auto"/>
        </w:rPr>
        <w:t>Employee Stock Purchase Plan</w:t>
      </w:r>
      <w:r>
        <w:rPr>
          <w:rFonts w:ascii="Arial" w:cs="Arial" w:eastAsia="Arial" w:hAnsi="Arial"/>
          <w:sz w:val="16"/>
          <w:szCs w:val="16"/>
          <w:color w:val="auto"/>
        </w:rPr>
        <w:t>—In June 2011, our stockholders approved the ESPP. The purpose of the ESPP is to provide eligible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opportunity to purchase common stock through regular, systematic payroll deductions, up to a maximum of 15% of employees’ compensation for each purchase period at purchase prices equal to 85% of the lesser of the fair market value of our common stock at the first trading date of the applicable offering period or the purchase date. As of December 31, 2012, 7,423,167 shares were authorized and available for issuance under the ESPP.</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In determining the fair value of our employee stock options, we use the Black-Scholes option pricing model, which employs the following assumptions.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w:t>
      </w:r>
      <w:r>
        <w:rPr>
          <w:rFonts w:ascii="Arial" w:cs="Arial" w:eastAsia="Arial" w:hAnsi="Arial"/>
          <w:sz w:val="18"/>
          <w:szCs w:val="18"/>
          <w:color w:val="auto"/>
        </w:rPr>
        <w:t>—We estimate the fair value of stock options granted.</w:t>
      </w:r>
    </w:p>
    <w:p>
      <w:pPr>
        <w:spacing w:after="0" w:line="19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As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for determining the expected term of the stock option awards granted, we have based our expected term on the simplified method available.</w:t>
      </w:r>
    </w:p>
    <w:p>
      <w:pPr>
        <w:spacing w:after="0" w:line="181"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computation of expected volatility for the periods presented includes the historical and implied stock volatility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companies from a representative peer group selected based on industry and market capitalization data and our weighted historical volatility following our initial public offering in November 2009.</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our common stock is the closing sales price of the common stock (or the closing bid, if no sales</w:t>
      </w:r>
      <w:r>
        <w:rPr>
          <w:rFonts w:ascii="Arial" w:cs="Arial" w:eastAsia="Arial" w:hAnsi="Arial"/>
          <w:sz w:val="18"/>
          <w:szCs w:val="18"/>
          <w:i w:val="1"/>
          <w:iCs w:val="1"/>
          <w:color w:val="auto"/>
        </w:rPr>
        <w:t xml:space="preserve"> </w:t>
      </w:r>
      <w:r>
        <w:rPr>
          <w:rFonts w:ascii="Arial" w:cs="Arial" w:eastAsia="Arial" w:hAnsi="Arial"/>
          <w:sz w:val="18"/>
          <w:szCs w:val="18"/>
          <w:color w:val="auto"/>
        </w:rPr>
        <w:t>were reported) on the effective grant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—We base the risk-free interest rate used in the Black-Scholes valuation model on the implied yield available on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zero-coupon issues with an equivalent remaining term.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—The expected dividend weighted-average assumption is based on our current expectations about our anticipated dividend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policy.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6"/>
                <w:szCs w:val="16"/>
                <w:b w:val="1"/>
                <w:bCs w:val="1"/>
                <w:color w:val="auto"/>
              </w:rPr>
              <w:t>Fiscal Year</w:t>
            </w:r>
          </w:p>
        </w:tc>
        <w:tc>
          <w:tcPr>
            <w:tcW w:w="15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4140" w:type="dxa"/>
            <w:vAlign w:val="bottom"/>
            <w:gridSpan w:val="2"/>
          </w:tcPr>
          <w:p>
            <w:pPr>
              <w:jc w:val="right"/>
              <w:ind w:right="49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2010</w:t>
            </w:r>
          </w:p>
        </w:tc>
      </w:tr>
      <w:tr>
        <w:trPr>
          <w:trHeight w:val="33"/>
        </w:trPr>
        <w:tc>
          <w:tcPr>
            <w:tcW w:w="40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4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 – 4.6</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Volatility (%)</w:t>
            </w:r>
          </w:p>
        </w:tc>
        <w:tc>
          <w:tcPr>
            <w:tcW w:w="26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46 – 52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40 – 57</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38 – 43</w:t>
            </w:r>
          </w:p>
        </w:tc>
      </w:tr>
      <w:tr>
        <w:trPr>
          <w:trHeight w:val="27"/>
        </w:trPr>
        <w:tc>
          <w:tcPr>
            <w:tcW w:w="4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Risk-free interest rate (%)</w:t>
            </w:r>
          </w:p>
        </w:tc>
        <w:tc>
          <w:tcPr>
            <w:tcW w:w="26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 – 0.9</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 – 2.0</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 – 2.4</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Dividend rate (%)</w:t>
            </w:r>
          </w:p>
        </w:tc>
        <w:tc>
          <w:tcPr>
            <w:tcW w:w="26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675"/>
        </w:trPr>
        <w:tc>
          <w:tcPr>
            <w:tcW w:w="4000" w:type="dxa"/>
            <w:vAlign w:val="bottom"/>
          </w:tcPr>
          <w:p>
            <w:pPr>
              <w:spacing w:after="0"/>
              <w:rPr>
                <w:sz w:val="24"/>
                <w:szCs w:val="24"/>
                <w:color w:val="auto"/>
              </w:rPr>
            </w:pPr>
          </w:p>
        </w:tc>
        <w:tc>
          <w:tcPr>
            <w:tcW w:w="2640" w:type="dxa"/>
            <w:vAlign w:val="bottom"/>
          </w:tcPr>
          <w:p>
            <w:pPr>
              <w:jc w:val="right"/>
              <w:ind w:right="753"/>
              <w:spacing w:after="0"/>
              <w:rPr>
                <w:sz w:val="20"/>
                <w:szCs w:val="20"/>
                <w:color w:val="auto"/>
              </w:rPr>
            </w:pPr>
            <w:r>
              <w:rPr>
                <w:rFonts w:ascii="Arial" w:cs="Arial" w:eastAsia="Arial" w:hAnsi="Arial"/>
                <w:sz w:val="18"/>
                <w:szCs w:val="18"/>
                <w:color w:val="auto"/>
              </w:rPr>
              <w:t>81</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60" w:right="268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000’s, except per share amounts, exercise prices and contractual life):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ind w:left="500"/>
              <w:spacing w:after="0"/>
              <w:rPr>
                <w:sz w:val="20"/>
                <w:szCs w:val="20"/>
                <w:color w:val="auto"/>
              </w:rPr>
            </w:pPr>
            <w:r>
              <w:rPr>
                <w:rFonts w:ascii="Arial" w:cs="Arial" w:eastAsia="Arial" w:hAnsi="Arial"/>
                <w:sz w:val="16"/>
                <w:szCs w:val="16"/>
                <w:b w:val="1"/>
                <w:bCs w:val="1"/>
                <w:color w:val="auto"/>
              </w:rPr>
              <w:t>Options Outstanding</w:t>
            </w:r>
          </w:p>
        </w:tc>
        <w:tc>
          <w:tcPr>
            <w:tcW w:w="112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120" w:type="dxa"/>
            <w:vAlign w:val="bottom"/>
          </w:tcPr>
          <w:p>
            <w:pPr>
              <w:spacing w:after="0"/>
              <w:rPr>
                <w:sz w:val="18"/>
                <w:szCs w:val="18"/>
                <w:color w:val="auto"/>
              </w:rPr>
            </w:pPr>
          </w:p>
        </w:tc>
      </w:tr>
      <w:tr>
        <w:trPr>
          <w:trHeight w:val="203"/>
        </w:trPr>
        <w:tc>
          <w:tcPr>
            <w:tcW w:w="5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1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380" w:type="dxa"/>
            <w:vAlign w:val="bottom"/>
          </w:tcPr>
          <w:p>
            <w:pPr>
              <w:spacing w:after="0"/>
              <w:rPr>
                <w:sz w:val="17"/>
                <w:szCs w:val="17"/>
                <w:color w:val="auto"/>
              </w:rPr>
            </w:pPr>
          </w:p>
        </w:tc>
        <w:tc>
          <w:tcPr>
            <w:tcW w:w="1120" w:type="dxa"/>
            <w:vAlign w:val="bottom"/>
          </w:tcPr>
          <w:p>
            <w:pPr>
              <w:jc w:val="right"/>
              <w:ind w:right="171"/>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38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Price ($)</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33"/>
        </w:trPr>
        <w:tc>
          <w:tcPr>
            <w:tcW w:w="5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2009</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34,410</w:t>
            </w: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4,832</w:t>
            </w: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20" w:type="dxa"/>
            <w:vAlign w:val="bottom"/>
          </w:tcPr>
          <w:p>
            <w:pPr>
              <w:jc w:val="right"/>
              <w:spacing w:after="0"/>
              <w:rPr>
                <w:sz w:val="20"/>
                <w:szCs w:val="20"/>
                <w:color w:val="auto"/>
              </w:rPr>
            </w:pPr>
            <w:r>
              <w:rPr>
                <w:rFonts w:ascii="Arial" w:cs="Arial" w:eastAsia="Arial" w:hAnsi="Arial"/>
                <w:sz w:val="18"/>
                <w:szCs w:val="18"/>
                <w:color w:val="auto"/>
              </w:rPr>
              <w:t>(14,928)</w:t>
            </w: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2010</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22,489</w:t>
            </w: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6,526</w:t>
            </w: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20" w:type="dxa"/>
            <w:vAlign w:val="bottom"/>
          </w:tcPr>
          <w:p>
            <w:pPr>
              <w:jc w:val="right"/>
              <w:spacing w:after="0"/>
              <w:rPr>
                <w:sz w:val="20"/>
                <w:szCs w:val="20"/>
                <w:color w:val="auto"/>
              </w:rPr>
            </w:pPr>
            <w:r>
              <w:rPr>
                <w:rFonts w:ascii="Arial" w:cs="Arial" w:eastAsia="Arial" w:hAnsi="Arial"/>
                <w:sz w:val="18"/>
                <w:szCs w:val="18"/>
                <w:color w:val="auto"/>
              </w:rPr>
              <w:t>(6,229)</w:t>
            </w: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2011</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21,389</w:t>
            </w: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3,401</w:t>
            </w: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20" w:type="dxa"/>
            <w:vAlign w:val="bottom"/>
          </w:tcPr>
          <w:p>
            <w:pPr>
              <w:jc w:val="right"/>
              <w:spacing w:after="0"/>
              <w:rPr>
                <w:sz w:val="20"/>
                <w:szCs w:val="20"/>
                <w:color w:val="auto"/>
              </w:rPr>
            </w:pPr>
            <w:r>
              <w:rPr>
                <w:rFonts w:ascii="Arial" w:cs="Arial" w:eastAsia="Arial" w:hAnsi="Arial"/>
                <w:sz w:val="18"/>
                <w:szCs w:val="18"/>
                <w:color w:val="auto"/>
              </w:rPr>
              <w:t>(4,778)</w:t>
            </w: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18,571</w:t>
            </w: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172,220</w:t>
            </w:r>
          </w:p>
        </w:tc>
      </w:tr>
      <w:tr>
        <w:trPr>
          <w:trHeight w:val="20"/>
        </w:trPr>
        <w:tc>
          <w:tcPr>
            <w:tcW w:w="5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Options vested and expected to vest—December 31, 2012</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18,342</w:t>
            </w: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179,182</w:t>
            </w:r>
          </w:p>
        </w:tc>
      </w:tr>
      <w:tr>
        <w:trPr>
          <w:trHeight w:val="27"/>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exercisable—December 31, 2012</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11,343</w:t>
            </w:r>
          </w:p>
        </w:tc>
        <w:tc>
          <w:tcPr>
            <w:tcW w:w="12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161,616</w:t>
            </w:r>
          </w:p>
        </w:tc>
      </w:tr>
      <w:tr>
        <w:trPr>
          <w:trHeight w:val="27"/>
        </w:trPr>
        <w:tc>
          <w:tcPr>
            <w:tcW w:w="5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December 31, 2012, for all in-the-money options. As of December 31, 2012, total compensation expense related to unvested stock options granted to employees but not yet recognized was $65.7 million, net of estimated forfeitures. This expense is expected to be amortized on a straight-line basis over a weighted-average period of 2.6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 amounts in 000's,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b w:val="1"/>
                <w:bCs w:val="1"/>
                <w:color w:val="auto"/>
              </w:rPr>
              <w:t>Fiscal Year</w:t>
            </w:r>
          </w:p>
        </w:tc>
        <w:tc>
          <w:tcPr>
            <w:tcW w:w="154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r>
      <w:tr>
        <w:trPr>
          <w:trHeight w:val="27"/>
        </w:trPr>
        <w:tc>
          <w:tcPr>
            <w:tcW w:w="61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92,323</w:t>
            </w:r>
          </w:p>
        </w:tc>
        <w:tc>
          <w:tcPr>
            <w:tcW w:w="1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113,590</w:t>
            </w:r>
          </w:p>
        </w:tc>
        <w:tc>
          <w:tcPr>
            <w:tcW w:w="1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117,934</w:t>
            </w:r>
          </w:p>
        </w:tc>
      </w:tr>
      <w:tr>
        <w:trPr>
          <w:trHeight w:val="27"/>
        </w:trPr>
        <w:tc>
          <w:tcPr>
            <w:tcW w:w="6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25,350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11,800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8,482</w:t>
            </w:r>
          </w:p>
        </w:tc>
      </w:tr>
      <w:tr>
        <w:trPr>
          <w:trHeight w:val="27"/>
        </w:trPr>
        <w:tc>
          <w:tcPr>
            <w:tcW w:w="61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information about outstanding and exercisable stock options as of December 31, 2012, as follows (in 000’s, except per share amounts, exercise prices and contractual life):</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00"/>
          </w:cols>
          <w:pgMar w:left="240" w:top="125"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Options Outstanding</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3"/>
        </w:trPr>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w:t>
            </w:r>
          </w:p>
        </w:tc>
        <w:tc>
          <w:tcPr>
            <w:tcW w:w="1840" w:type="dxa"/>
            <w:vAlign w:val="bottom"/>
          </w:tcPr>
          <w:p>
            <w:pPr>
              <w:jc w:val="right"/>
              <w:ind w:right="55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Exercise</w:t>
            </w:r>
          </w:p>
        </w:tc>
        <w:tc>
          <w:tcPr>
            <w:tcW w:w="1800" w:type="dxa"/>
            <w:vAlign w:val="bottom"/>
          </w:tcPr>
          <w:p>
            <w:pPr>
              <w:jc w:val="right"/>
              <w:ind w:right="5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Prices ($)</w:t>
            </w:r>
          </w:p>
        </w:tc>
        <w:tc>
          <w:tcPr>
            <w:tcW w:w="1840" w:type="dxa"/>
            <w:vAlign w:val="bottom"/>
          </w:tcPr>
          <w:p>
            <w:pPr>
              <w:jc w:val="right"/>
              <w:ind w:right="412"/>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Life (Years)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Price ($)</w:t>
            </w:r>
          </w:p>
        </w:tc>
        <w:tc>
          <w:tcPr>
            <w:tcW w:w="1800" w:type="dxa"/>
            <w:vAlign w:val="bottom"/>
          </w:tcPr>
          <w:p>
            <w:pPr>
              <w:jc w:val="right"/>
              <w:ind w:right="412"/>
              <w:spacing w:after="0"/>
              <w:rPr>
                <w:sz w:val="20"/>
                <w:szCs w:val="20"/>
                <w:color w:val="auto"/>
              </w:rPr>
            </w:pPr>
            <w:r>
              <w:rPr>
                <w:rFonts w:ascii="Arial" w:cs="Arial" w:eastAsia="Arial" w:hAnsi="Arial"/>
                <w:sz w:val="16"/>
                <w:szCs w:val="16"/>
                <w:b w:val="1"/>
                <w:bCs w:val="1"/>
                <w:color w:val="auto"/>
              </w:rPr>
              <w:t>Exercisable</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4"/>
              </w:rPr>
              <w:t>Price ($)</w:t>
            </w:r>
          </w:p>
        </w:tc>
      </w:tr>
      <w:tr>
        <w:trPr>
          <w:trHeight w:val="33"/>
        </w:trPr>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0.25–1.20</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1,883</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1,883</w:t>
            </w:r>
          </w:p>
        </w:tc>
        <w:tc>
          <w:tcPr>
            <w:tcW w:w="1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0.87</w:t>
            </w:r>
          </w:p>
        </w:tc>
      </w:tr>
      <w:tr>
        <w:trPr>
          <w:trHeight w:val="243"/>
        </w:trPr>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3.74–4.65</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6,224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6,086</w:t>
            </w:r>
          </w:p>
        </w:tc>
        <w:tc>
          <w:tcPr>
            <w:tcW w:w="1920" w:type="dxa"/>
            <w:vAlign w:val="bottom"/>
            <w:gridSpan w:val="2"/>
          </w:tcPr>
          <w:p>
            <w:pPr>
              <w:jc w:val="right"/>
              <w:ind w:right="19"/>
              <w:spacing w:after="0"/>
              <w:rPr>
                <w:sz w:val="20"/>
                <w:szCs w:val="20"/>
                <w:color w:val="auto"/>
              </w:rPr>
            </w:pPr>
            <w:r>
              <w:rPr>
                <w:rFonts w:ascii="Arial" w:cs="Arial" w:eastAsia="Arial" w:hAnsi="Arial"/>
                <w:sz w:val="18"/>
                <w:szCs w:val="18"/>
                <w:color w:val="auto"/>
              </w:rPr>
              <w:t>3.75</w:t>
            </w:r>
          </w:p>
        </w:tc>
      </w:tr>
      <w:tr>
        <w:trPr>
          <w:trHeight w:val="27"/>
        </w:trPr>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5.50–6.25</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5.64</w:t>
            </w:r>
          </w:p>
        </w:tc>
      </w:tr>
      <w:tr>
        <w:trPr>
          <w:trHeight w:val="243"/>
        </w:trPr>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8.43–8.99</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2,056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1,176</w:t>
            </w:r>
          </w:p>
        </w:tc>
        <w:tc>
          <w:tcPr>
            <w:tcW w:w="1920" w:type="dxa"/>
            <w:vAlign w:val="bottom"/>
            <w:gridSpan w:val="2"/>
          </w:tcPr>
          <w:p>
            <w:pPr>
              <w:jc w:val="right"/>
              <w:ind w:right="19"/>
              <w:spacing w:after="0"/>
              <w:rPr>
                <w:sz w:val="20"/>
                <w:szCs w:val="20"/>
                <w:color w:val="auto"/>
              </w:rPr>
            </w:pPr>
            <w:r>
              <w:rPr>
                <w:rFonts w:ascii="Arial" w:cs="Arial" w:eastAsia="Arial" w:hAnsi="Arial"/>
                <w:sz w:val="18"/>
                <w:szCs w:val="18"/>
                <w:color w:val="auto"/>
              </w:rPr>
              <w:t>8.53</w:t>
            </w:r>
          </w:p>
        </w:tc>
      </w:tr>
      <w:tr>
        <w:trPr>
          <w:trHeight w:val="27"/>
        </w:trPr>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15.28</w:t>
            </w:r>
          </w:p>
        </w:tc>
      </w:tr>
      <w:tr>
        <w:trPr>
          <w:trHeight w:val="243"/>
        </w:trPr>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20.13–24.96</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5,335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1,821</w:t>
            </w:r>
          </w:p>
        </w:tc>
        <w:tc>
          <w:tcPr>
            <w:tcW w:w="1920" w:type="dxa"/>
            <w:vAlign w:val="bottom"/>
            <w:gridSpan w:val="2"/>
          </w:tcPr>
          <w:p>
            <w:pPr>
              <w:jc w:val="right"/>
              <w:ind w:right="19"/>
              <w:spacing w:after="0"/>
              <w:rPr>
                <w:sz w:val="20"/>
                <w:szCs w:val="20"/>
                <w:color w:val="auto"/>
              </w:rPr>
            </w:pPr>
            <w:r>
              <w:rPr>
                <w:rFonts w:ascii="Arial" w:cs="Arial" w:eastAsia="Arial" w:hAnsi="Arial"/>
                <w:sz w:val="18"/>
                <w:szCs w:val="18"/>
                <w:color w:val="auto"/>
              </w:rPr>
              <w:t>20.88</w:t>
            </w:r>
          </w:p>
        </w:tc>
      </w:tr>
      <w:tr>
        <w:trPr>
          <w:trHeight w:val="27"/>
        </w:trPr>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26.70</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2,489</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26.70</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26.70</w:t>
            </w:r>
          </w:p>
        </w:tc>
      </w:tr>
      <w:tr>
        <w:trPr>
          <w:trHeight w:val="237"/>
        </w:trPr>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18,571</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11,343</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and related information for RSUs for the period presented below (in 000’s, except per share amounts):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3700" w:type="dxa"/>
            <w:vAlign w:val="bottom"/>
            <w:gridSpan w:val="3"/>
          </w:tcPr>
          <w:p>
            <w:pPr>
              <w:jc w:val="right"/>
              <w:ind w:right="53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7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7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7"/>
              </w:rPr>
              <w:t>Grant-Date-Fair Value</w:t>
            </w:r>
          </w:p>
        </w:tc>
      </w:tr>
      <w:tr>
        <w:trPr>
          <w:trHeight w:val="210"/>
        </w:trPr>
        <w:tc>
          <w:tcPr>
            <w:tcW w:w="7540" w:type="dxa"/>
            <w:vAlign w:val="bottom"/>
          </w:tcPr>
          <w:p>
            <w:pPr>
              <w:spacing w:after="0"/>
              <w:rPr>
                <w:sz w:val="18"/>
                <w:szCs w:val="18"/>
                <w:color w:val="auto"/>
              </w:rPr>
            </w:pPr>
          </w:p>
        </w:tc>
        <w:tc>
          <w:tcPr>
            <w:tcW w:w="1900" w:type="dxa"/>
            <w:vAlign w:val="bottom"/>
            <w:gridSpan w:val="2"/>
          </w:tcPr>
          <w:p>
            <w:pPr>
              <w:ind w:left="260"/>
              <w:spacing w:after="0"/>
              <w:rPr>
                <w:sz w:val="20"/>
                <w:szCs w:val="20"/>
                <w:color w:val="auto"/>
              </w:rPr>
            </w:pPr>
            <w:r>
              <w:rPr>
                <w:rFonts w:ascii="Arial" w:cs="Arial" w:eastAsia="Arial" w:hAnsi="Arial"/>
                <w:sz w:val="16"/>
                <w:szCs w:val="16"/>
                <w:b w:val="1"/>
                <w:bCs w:val="1"/>
                <w:color w:val="auto"/>
              </w:rPr>
              <w:t>Number of Shares</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4"/>
              </w:rPr>
              <w:t>per Share ($)</w:t>
            </w:r>
          </w:p>
        </w:tc>
      </w:tr>
      <w:tr>
        <w:trPr>
          <w:trHeight w:val="33"/>
        </w:trPr>
        <w:tc>
          <w:tcPr>
            <w:tcW w:w="75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2011</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23.79</w:t>
            </w: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24.76</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Vested</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23.73</w:t>
            </w:r>
          </w:p>
        </w:tc>
      </w:tr>
      <w:tr>
        <w:trPr>
          <w:trHeight w:val="20"/>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RSUs expected to vest—December 31, 2012</w:t>
            </w: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23.75</w:t>
            </w:r>
          </w:p>
        </w:tc>
      </w:tr>
    </w:tbl>
    <w:p>
      <w:pPr>
        <w:spacing w:after="0" w:line="22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of December 31, 2012, total compensation expense related to unvested RSUs that were granted to employees and non-employees under the 2009 Plan, but not yet recognized, was $19.1 million, net of estimated forfeitures. This expense is expected to be amortized on a straight-line basis over a weighted-average vesting period of 3.6 years.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Shares Reserved for Future Issuances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common stock reserved for future issuance (in 000’s):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994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stock options and RSUs</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Reserved for future option, RSU and other equity award grants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22,359</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Reserved for future ESPP issuances</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7,423</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common stock reserved for future issuances</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49,183</w:t>
            </w: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06"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73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60" w:type="dxa"/>
            <w:vAlign w:val="bottom"/>
            <w:gridSpan w:val="2"/>
          </w:tcPr>
          <w:p>
            <w:pPr>
              <w:ind w:left="7020"/>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Arial" w:cs="Arial" w:eastAsia="Arial" w:hAnsi="Arial"/>
                <w:sz w:val="18"/>
                <w:szCs w:val="18"/>
                <w:b w:val="1"/>
                <w:bCs w:val="1"/>
                <w:color w:val="auto"/>
              </w:rPr>
              <w:t>2010</w:t>
            </w:r>
          </w:p>
        </w:tc>
      </w:tr>
      <w:tr>
        <w:trPr>
          <w:trHeight w:val="27"/>
        </w:trPr>
        <w:tc>
          <w:tcPr>
            <w:tcW w:w="63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Volatility (%)</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Dividend rate (%)</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000's, except per share amounts):</w:t>
      </w:r>
    </w:p>
    <w:p>
      <w:pPr>
        <w:spacing w:after="0" w:line="38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730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2010</w:t>
            </w:r>
          </w:p>
        </w:tc>
      </w:tr>
      <w:tr>
        <w:trPr>
          <w:trHeight w:val="27"/>
        </w:trPr>
        <w:tc>
          <w:tcPr>
            <w:tcW w:w="6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 ($)</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Shares issued under the ESPP</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price per share issued ($)</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18.90</w:t>
            </w: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Arial" w:cs="Arial" w:eastAsia="Arial" w:hAnsi="Arial"/>
                <w:sz w:val="16"/>
                <w:szCs w:val="16"/>
                <w:b w:val="1"/>
                <w:bCs w:val="1"/>
                <w:color w:val="auto"/>
              </w:rPr>
              <w:t>Fiscal Year</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2"/>
          </w:tcPr>
          <w:p>
            <w:pPr>
              <w:jc w:val="right"/>
              <w:ind w:right="49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58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2010</w:t>
            </w:r>
          </w:p>
        </w:tc>
      </w:tr>
      <w:tr>
        <w:trPr>
          <w:trHeight w:val="33"/>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product revenue</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Cost of services revenue</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2"/>
          </w:tcPr>
          <w:p>
            <w:pPr>
              <w:jc w:val="right"/>
              <w:ind w:right="34"/>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929</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2,339</w:t>
            </w: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12,793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2"/>
          </w:tcPr>
          <w:p>
            <w:pPr>
              <w:jc w:val="right"/>
              <w:ind w:right="34"/>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21"/>
                <w:szCs w:val="21"/>
                <w:color w:val="auto"/>
              </w:rPr>
            </w:pP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3,810</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r>
      <w:tr>
        <w:trPr>
          <w:trHeight w:val="257"/>
        </w:trPr>
        <w:tc>
          <w:tcPr>
            <w:tcW w:w="66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15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30,690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34"/>
              <w:spacing w:after="0"/>
              <w:rPr>
                <w:sz w:val="20"/>
                <w:szCs w:val="20"/>
                <w:color w:val="auto"/>
              </w:rPr>
            </w:pPr>
            <w:r>
              <w:rPr>
                <w:rFonts w:ascii="Arial" w:cs="Arial" w:eastAsia="Arial" w:hAnsi="Arial"/>
                <w:sz w:val="18"/>
                <w:szCs w:val="18"/>
                <w:color w:val="auto"/>
              </w:rPr>
              <w:t>19,015</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9,315</w:t>
            </w: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19"/>
        </w:trPr>
        <w:tc>
          <w:tcPr>
            <w:tcW w:w="8260" w:type="dxa"/>
            <w:vAlign w:val="bottom"/>
            <w:gridSpan w:val="5"/>
          </w:tcPr>
          <w:p>
            <w:pPr>
              <w:ind w:left="660"/>
              <w:spacing w:after="0"/>
              <w:rPr>
                <w:sz w:val="20"/>
                <w:szCs w:val="20"/>
                <w:color w:val="auto"/>
              </w:rPr>
            </w:pPr>
            <w:r>
              <w:rPr>
                <w:rFonts w:ascii="Arial" w:cs="Arial" w:eastAsia="Arial" w:hAnsi="Arial"/>
                <w:sz w:val="18"/>
                <w:szCs w:val="18"/>
                <w:color w:val="auto"/>
                <w:w w:val="91"/>
              </w:rPr>
              <w:t>The following table summarizes stock-based compensation expense by award type ($ amounts in 000’s)</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9"/>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300"/>
              <w:spacing w:after="0"/>
              <w:rPr>
                <w:sz w:val="20"/>
                <w:szCs w:val="20"/>
                <w:color w:val="auto"/>
              </w:rPr>
            </w:pPr>
            <w:r>
              <w:rPr>
                <w:rFonts w:ascii="Arial" w:cs="Arial" w:eastAsia="Arial" w:hAnsi="Arial"/>
                <w:sz w:val="16"/>
                <w:szCs w:val="16"/>
                <w:b w:val="1"/>
                <w:bCs w:val="1"/>
                <w:color w:val="auto"/>
              </w:rPr>
              <w:t>Fiscal Year</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2"/>
          </w:tcPr>
          <w:p>
            <w:pPr>
              <w:jc w:val="right"/>
              <w:ind w:right="49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58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2010</w:t>
            </w:r>
          </w:p>
        </w:tc>
      </w:tr>
      <w:tr>
        <w:trPr>
          <w:trHeight w:val="33"/>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17,416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9,315</w:t>
            </w: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RSUs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ESPP</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6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15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30,690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34"/>
              <w:spacing w:after="0"/>
              <w:rPr>
                <w:sz w:val="20"/>
                <w:szCs w:val="20"/>
                <w:color w:val="auto"/>
              </w:rPr>
            </w:pPr>
            <w:r>
              <w:rPr>
                <w:rFonts w:ascii="Arial" w:cs="Arial" w:eastAsia="Arial" w:hAnsi="Arial"/>
                <w:sz w:val="18"/>
                <w:szCs w:val="18"/>
                <w:color w:val="auto"/>
              </w:rPr>
              <w:t>19,015</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9,315</w:t>
            </w: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05"/>
        </w:trPr>
        <w:tc>
          <w:tcPr>
            <w:tcW w:w="11420" w:type="dxa"/>
            <w:vAlign w:val="bottom"/>
            <w:gridSpan w:val="10"/>
          </w:tcPr>
          <w:p>
            <w:pPr>
              <w:ind w:left="660"/>
              <w:spacing w:after="0"/>
              <w:rPr>
                <w:sz w:val="20"/>
                <w:szCs w:val="20"/>
                <w:color w:val="auto"/>
              </w:rPr>
            </w:pPr>
            <w:r>
              <w:rPr>
                <w:rFonts w:ascii="Arial" w:cs="Arial" w:eastAsia="Arial" w:hAnsi="Arial"/>
                <w:sz w:val="18"/>
                <w:szCs w:val="18"/>
                <w:color w:val="auto"/>
                <w:w w:val="90"/>
              </w:rPr>
              <w:t>Total income tax benefit from employee stock option plans that is recognized in the consolidated statements of operations is as follows ($ amounts in</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000's):</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94"/>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Fiscal Year</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2"/>
          </w:tcPr>
          <w:p>
            <w:pPr>
              <w:jc w:val="right"/>
              <w:ind w:right="39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580" w:type="dxa"/>
            <w:vAlign w:val="bottom"/>
            <w:gridSpan w:val="2"/>
          </w:tcPr>
          <w:p>
            <w:pPr>
              <w:jc w:val="right"/>
              <w:ind w:right="490"/>
              <w:spacing w:after="0"/>
              <w:rPr>
                <w:sz w:val="20"/>
                <w:szCs w:val="20"/>
                <w:color w:val="auto"/>
              </w:rPr>
            </w:pPr>
            <w:r>
              <w:rPr>
                <w:rFonts w:ascii="Arial" w:cs="Arial" w:eastAsia="Arial" w:hAnsi="Arial"/>
                <w:sz w:val="16"/>
                <w:szCs w:val="16"/>
                <w:b w:val="1"/>
                <w:bCs w:val="1"/>
                <w:color w:val="auto"/>
              </w:rPr>
              <w:t>2010</w:t>
            </w:r>
          </w:p>
        </w:tc>
      </w:tr>
      <w:tr>
        <w:trPr>
          <w:trHeight w:val="33"/>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from employee stock option plans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1,924</w:t>
            </w:r>
          </w:p>
        </w:tc>
      </w:tr>
      <w:tr>
        <w:trPr>
          <w:trHeight w:val="27"/>
        </w:trPr>
        <w:tc>
          <w:tcPr>
            <w:tcW w:w="6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1840" w:right="120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consisted of the following ($ amounts in 000’s):</w:t>
      </w:r>
    </w:p>
    <w:p>
      <w:pPr>
        <w:spacing w:after="0" w:line="383"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Fiscal Year</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95,730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85,411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50,556</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Foreign</w:t>
            </w: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9,266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104,996</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92,073</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85</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40" w:right="270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consisted of the following ($ amounts in 000’s):</w:t>
      </w:r>
    </w:p>
    <w:p>
      <w:pPr>
        <w:spacing w:after="0" w:line="374"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37465</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0"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6340" w:type="dxa"/>
            <w:vAlign w:val="bottom"/>
            <w:gridSpan w:val="2"/>
          </w:tcPr>
          <w:p>
            <w:pPr>
              <w:ind w:left="6020"/>
              <w:spacing w:after="0"/>
              <w:rPr>
                <w:sz w:val="20"/>
                <w:szCs w:val="20"/>
                <w:color w:val="auto"/>
              </w:rPr>
            </w:pPr>
            <w:r>
              <w:rPr>
                <w:rFonts w:ascii="Arial" w:cs="Arial" w:eastAsia="Arial" w:hAnsi="Arial"/>
                <w:sz w:val="16"/>
                <w:szCs w:val="16"/>
                <w:b w:val="1"/>
                <w:bCs w:val="1"/>
                <w:color w:val="auto"/>
                <w:w w:val="84"/>
              </w:rPr>
              <w:t>2012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5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2010</w:t>
            </w:r>
          </w:p>
        </w:tc>
      </w:tr>
      <w:tr>
        <w:trPr>
          <w:trHeight w:val="33"/>
        </w:trPr>
        <w:tc>
          <w:tcPr>
            <w:tcW w:w="5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gridSpan w:val="2"/>
          </w:tcPr>
          <w:p>
            <w:pPr>
              <w:ind w:left="480"/>
              <w:spacing w:after="0"/>
              <w:rPr>
                <w:sz w:val="20"/>
                <w:szCs w:val="20"/>
                <w:color w:val="auto"/>
              </w:rPr>
            </w:pPr>
            <w:r>
              <w:rPr>
                <w:rFonts w:ascii="Arial" w:cs="Arial" w:eastAsia="Arial" w:hAnsi="Arial"/>
                <w:sz w:val="18"/>
                <w:szCs w:val="18"/>
                <w:color w:val="auto"/>
              </w:rPr>
              <w:t>Federal</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43,765</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34,856</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10,633</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State</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6340" w:type="dxa"/>
            <w:vAlign w:val="bottom"/>
            <w:gridSpan w:val="2"/>
          </w:tcPr>
          <w:p>
            <w:pPr>
              <w:ind w:left="480"/>
              <w:spacing w:after="0"/>
              <w:rPr>
                <w:sz w:val="20"/>
                <w:szCs w:val="20"/>
                <w:color w:val="auto"/>
              </w:rPr>
            </w:pPr>
            <w:r>
              <w:rPr>
                <w:rFonts w:ascii="Arial" w:cs="Arial" w:eastAsia="Arial" w:hAnsi="Arial"/>
                <w:sz w:val="18"/>
                <w:szCs w:val="18"/>
                <w:color w:val="auto"/>
              </w:rPr>
              <w:t>Foreign</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9,298</w:t>
            </w:r>
          </w:p>
        </w:tc>
      </w:tr>
      <w:tr>
        <w:trPr>
          <w:trHeight w:val="27"/>
        </w:trPr>
        <w:tc>
          <w:tcPr>
            <w:tcW w:w="5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w:t>
            </w:r>
          </w:p>
        </w:tc>
        <w:tc>
          <w:tcPr>
            <w:tcW w:w="9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48,023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39,043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19,849</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Deferred:</w:t>
            </w:r>
          </w:p>
        </w:tc>
        <w:tc>
          <w:tcPr>
            <w:tcW w:w="9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Federal</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(9,677)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r>
      <w:tr>
        <w:trPr>
          <w:trHeight w:val="243"/>
        </w:trPr>
        <w:tc>
          <w:tcPr>
            <w:tcW w:w="6340" w:type="dxa"/>
            <w:vAlign w:val="bottom"/>
            <w:gridSpan w:val="2"/>
          </w:tcPr>
          <w:p>
            <w:pPr>
              <w:ind w:left="480"/>
              <w:spacing w:after="0"/>
              <w:rPr>
                <w:sz w:val="20"/>
                <w:szCs w:val="20"/>
                <w:color w:val="auto"/>
              </w:rPr>
            </w:pPr>
            <w:r>
              <w:rPr>
                <w:rFonts w:ascii="Arial" w:cs="Arial" w:eastAsia="Arial" w:hAnsi="Arial"/>
                <w:sz w:val="18"/>
                <w:szCs w:val="18"/>
                <w:color w:val="auto"/>
              </w:rPr>
              <w:t>State</w:t>
            </w: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5420" w:type="dxa"/>
            <w:vAlign w:val="bottom"/>
          </w:tcPr>
          <w:p>
            <w:pPr>
              <w:ind w:left="920"/>
              <w:spacing w:after="0"/>
              <w:rPr>
                <w:sz w:val="20"/>
                <w:szCs w:val="20"/>
                <w:color w:val="auto"/>
              </w:rPr>
            </w:pPr>
            <w:r>
              <w:rPr>
                <w:rFonts w:ascii="Arial" w:cs="Arial" w:eastAsia="Arial" w:hAnsi="Arial"/>
                <w:sz w:val="18"/>
                <w:szCs w:val="18"/>
                <w:color w:val="auto"/>
              </w:rPr>
              <w:t>Total deferred</w:t>
            </w:r>
          </w:p>
        </w:tc>
        <w:tc>
          <w:tcPr>
            <w:tcW w:w="9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(9,863)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(4,753)</w:t>
            </w:r>
          </w:p>
        </w:tc>
      </w:tr>
      <w:tr>
        <w:trPr>
          <w:trHeight w:val="27"/>
        </w:trPr>
        <w:tc>
          <w:tcPr>
            <w:tcW w:w="5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38,160</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29,581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15,096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provision for income taxes differs from the amount computed by applying the statutory federal income tax rate as follows ($ amounts in 000’s):</w:t>
      </w:r>
    </w:p>
    <w:p>
      <w:pPr>
        <w:spacing w:after="0" w:line="208"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37465</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0"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6340" w:type="dxa"/>
            <w:vAlign w:val="bottom"/>
            <w:gridSpan w:val="2"/>
          </w:tcPr>
          <w:p>
            <w:pPr>
              <w:ind w:left="6020"/>
              <w:spacing w:after="0"/>
              <w:rPr>
                <w:sz w:val="20"/>
                <w:szCs w:val="20"/>
                <w:color w:val="auto"/>
              </w:rPr>
            </w:pPr>
            <w:r>
              <w:rPr>
                <w:rFonts w:ascii="Arial" w:cs="Arial" w:eastAsia="Arial" w:hAnsi="Arial"/>
                <w:sz w:val="16"/>
                <w:szCs w:val="16"/>
                <w:b w:val="1"/>
                <w:bCs w:val="1"/>
                <w:color w:val="auto"/>
                <w:w w:val="84"/>
              </w:rPr>
              <w:t>2012</w:t>
            </w: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2010</w:t>
            </w:r>
          </w:p>
        </w:tc>
      </w:tr>
      <w:tr>
        <w:trPr>
          <w:trHeight w:val="33"/>
        </w:trPr>
        <w:tc>
          <w:tcPr>
            <w:tcW w:w="5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at federal statutory tax rate</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36,749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32,225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19,719</w:t>
            </w:r>
          </w:p>
        </w:tc>
      </w:tr>
      <w:tr>
        <w:trPr>
          <w:trHeight w:val="24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(2,457)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State taxes—net of federal benefit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4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credit</w:t>
            </w: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income taxed at different rates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4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797</w:t>
            </w:r>
          </w:p>
        </w:tc>
      </w:tr>
      <w:tr>
        <w:trPr>
          <w:trHeight w:val="27"/>
        </w:trPr>
        <w:tc>
          <w:tcPr>
            <w:tcW w:w="5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7"/>
              </w:rPr>
              <w:t>38,160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29,581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15,096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Significant permanent differences arise from the portion of stock-based compensation expense that is not expected to generate a tax deduction, such as stock-based compensation expense on stock option grants to certain foreign employees, offset by the actual tax benefits in the current periods from disqualifying dispositions of shares held by our U.S. employees. For stock options exercised by our U.S. employees, we receive an income tax benefit calculated as the difference between the fair market value of the stock issued at the time of the exercise and the option price, tax effected. Due to this, our income taxes payable have been reduced by the tax benefits from employee stock plan awards. The income tax benefits for fiscal 2012, 2011 and 2010 associated with dispositions from employee stock transactions of $14.3 million, $26.2 million and $9.3 million, respectively, were recognized as additional paid-in capital.</w:t>
      </w:r>
    </w:p>
    <w:p>
      <w:pPr>
        <w:spacing w:after="0" w:line="16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2012, we did not recognize California net operating losses and California tax credits relating to excess tax benefits for stock-based compensation expense of $13.2 million and $0.8 million, respectively. Unrecognized excess tax benefits will be accounted for as a credit to additional paid-in capital when realized through a reduction in income taxes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20"/>
          </w:cols>
          <w:pgMar w:left="24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as of the years ended are presented below ($ amount in 000’s):</w:t>
      </w:r>
    </w:p>
    <w:p>
      <w:pPr>
        <w:spacing w:after="0" w:line="306" w:lineRule="exact"/>
        <w:rPr>
          <w:sz w:val="20"/>
          <w:szCs w:val="20"/>
          <w:color w:val="auto"/>
        </w:rPr>
      </w:pPr>
    </w:p>
    <w:tbl>
      <w:tblPr>
        <w:tblLayout w:type="fixed"/>
        <w:tblInd w:w="130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tcPr>
          <w:p>
            <w:pPr>
              <w:jc w:val="right"/>
              <w:ind w:right="25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560" w:type="dxa"/>
            <w:vAlign w:val="bottom"/>
          </w:tcPr>
          <w:p>
            <w:pPr>
              <w:spacing w:after="0"/>
              <w:rPr>
                <w:sz w:val="18"/>
                <w:szCs w:val="18"/>
                <w:color w:val="auto"/>
              </w:rPr>
            </w:pPr>
          </w:p>
        </w:tc>
        <w:tc>
          <w:tcPr>
            <w:tcW w:w="15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2011</w:t>
            </w:r>
          </w:p>
        </w:tc>
      </w:tr>
      <w:tr>
        <w:trPr>
          <w:trHeight w:val="33"/>
        </w:trPr>
        <w:tc>
          <w:tcPr>
            <w:tcW w:w="55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500"/>
              <w:spacing w:after="0"/>
              <w:rPr>
                <w:sz w:val="20"/>
                <w:szCs w:val="20"/>
                <w:color w:val="auto"/>
              </w:rPr>
            </w:pPr>
            <w:r>
              <w:rPr>
                <w:rFonts w:ascii="Arial" w:cs="Arial" w:eastAsia="Arial" w:hAnsi="Arial"/>
                <w:sz w:val="18"/>
                <w:szCs w:val="18"/>
                <w:color w:val="auto"/>
              </w:rPr>
              <w:t>Net operating loss carryforward</w:t>
            </w:r>
          </w:p>
        </w:tc>
        <w:tc>
          <w:tcPr>
            <w:tcW w:w="158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7"/>
        </w:trPr>
        <w:tc>
          <w:tcPr>
            <w:tcW w:w="5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31,234</w:t>
            </w:r>
          </w:p>
        </w:tc>
      </w:tr>
      <w:tr>
        <w:trPr>
          <w:trHeight w:val="243"/>
        </w:trPr>
        <w:tc>
          <w:tcPr>
            <w:tcW w:w="5560" w:type="dxa"/>
            <w:vAlign w:val="bottom"/>
          </w:tcPr>
          <w:p>
            <w:pPr>
              <w:ind w:left="500"/>
              <w:spacing w:after="0"/>
              <w:rPr>
                <w:sz w:val="20"/>
                <w:szCs w:val="20"/>
                <w:color w:val="auto"/>
              </w:rPr>
            </w:pPr>
            <w:r>
              <w:rPr>
                <w:rFonts w:ascii="Arial" w:cs="Arial" w:eastAsia="Arial" w:hAnsi="Arial"/>
                <w:sz w:val="18"/>
                <w:szCs w:val="18"/>
                <w:color w:val="auto"/>
              </w:rPr>
              <w:t>Nondeductible reserves and accruals</w:t>
            </w:r>
          </w:p>
        </w:tc>
        <w:tc>
          <w:tcPr>
            <w:tcW w:w="1580" w:type="dxa"/>
            <w:vAlign w:val="bottom"/>
          </w:tcPr>
          <w:p>
            <w:pPr>
              <w:jc w:val="right"/>
              <w:spacing w:after="0"/>
              <w:rPr>
                <w:sz w:val="20"/>
                <w:szCs w:val="20"/>
                <w:color w:val="auto"/>
              </w:rPr>
            </w:pPr>
            <w:r>
              <w:rPr>
                <w:rFonts w:ascii="Arial" w:cs="Arial" w:eastAsia="Arial" w:hAnsi="Arial"/>
                <w:sz w:val="18"/>
                <w:szCs w:val="18"/>
                <w:color w:val="auto"/>
              </w:rPr>
              <w:t>13,437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13,698</w:t>
            </w:r>
          </w:p>
        </w:tc>
      </w:tr>
      <w:tr>
        <w:trPr>
          <w:trHeight w:val="27"/>
        </w:trPr>
        <w:tc>
          <w:tcPr>
            <w:tcW w:w="5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43"/>
        </w:trPr>
        <w:tc>
          <w:tcPr>
            <w:tcW w:w="5560" w:type="dxa"/>
            <w:vAlign w:val="bottom"/>
          </w:tcPr>
          <w:p>
            <w:pPr>
              <w:ind w:left="500"/>
              <w:spacing w:after="0"/>
              <w:rPr>
                <w:sz w:val="20"/>
                <w:szCs w:val="20"/>
                <w:color w:val="auto"/>
              </w:rPr>
            </w:pPr>
            <w:r>
              <w:rPr>
                <w:rFonts w:ascii="Arial" w:cs="Arial" w:eastAsia="Arial" w:hAnsi="Arial"/>
                <w:sz w:val="18"/>
                <w:szCs w:val="18"/>
                <w:color w:val="auto"/>
              </w:rPr>
              <w:t>General business credit carryforward</w:t>
            </w:r>
          </w:p>
        </w:tc>
        <w:tc>
          <w:tcPr>
            <w:tcW w:w="158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7"/>
        </w:trPr>
        <w:tc>
          <w:tcPr>
            <w:tcW w:w="5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6,247</w:t>
            </w:r>
          </w:p>
        </w:tc>
      </w:tr>
      <w:tr>
        <w:trPr>
          <w:trHeight w:val="243"/>
        </w:trPr>
        <w:tc>
          <w:tcPr>
            <w:tcW w:w="5560" w:type="dxa"/>
            <w:vAlign w:val="bottom"/>
          </w:tcPr>
          <w:p>
            <w:pPr>
              <w:ind w:left="500"/>
              <w:spacing w:after="0"/>
              <w:rPr>
                <w:sz w:val="20"/>
                <w:szCs w:val="20"/>
                <w:color w:val="auto"/>
              </w:rPr>
            </w:pPr>
            <w:r>
              <w:rPr>
                <w:rFonts w:ascii="Arial" w:cs="Arial" w:eastAsia="Arial" w:hAnsi="Arial"/>
                <w:sz w:val="18"/>
                <w:szCs w:val="18"/>
                <w:color w:val="auto"/>
              </w:rPr>
              <w:t>Other</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5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54,101</w:t>
            </w:r>
          </w:p>
        </w:tc>
      </w:tr>
      <w:tr>
        <w:trPr>
          <w:trHeight w:val="20"/>
        </w:trPr>
        <w:tc>
          <w:tcPr>
            <w:tcW w:w="5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would be able to realize the benefit of our deferred tax assets in the future.</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December 31, 2012, we had various state net operating loss carryforwards of $24.1 million. These state net operating loss carryforwards will begin to expire in the year 2016. The state tax authorities impose significant restrictions on the utilization of net operating loss tax credit carryforwards. Our ability to use our net operating loss carryforwards to offset any future taxable income may be subject to limitations if equity transactions occur that would result in a change of ownership. As of December 31, 2012, we have tax credit carryforwards available to offset our future state taxes of $1.2 million. The state credits carry forward indefinitely.</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policy with respect to undistributed foreign subsidiaries’ earnings is to consider those earnings to be indefinitely reinvested and, accordingly, no related provision of U.S. federal and state income taxes has been provided on such earnings. Upon distribution of those earnings in the form of dividends or otherwise, we will be subject to both U.S. income taxes (subject to an adjustment for foreign tax credits) and withholding taxes in the various foreign countries. As of December 31, 2012, we have not recorded U.S. income tax on $30.3 million of foreign earnings that are deemed to be permanently reinvested overseas.</w:t>
      </w:r>
    </w:p>
    <w:p>
      <w:pPr>
        <w:spacing w:after="0" w:line="188"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As of December 31, 2012, we had $27.8 million of unrecognized tax benefits, of which, if recognized, $27.2 million would favorably affect our effective tax rate. Our policy is to include accrued interest and penalties related to uncertain tax benefits in income tax expense. As of December 31, 2012, December 30, 2011 and December 30, 2010, accrued interest and penalties were $1.5 million, $0.6 million and $0.2 million,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in the balance of unrecognized tax benefits are as follows ($ amounts in 000’s):</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340"/>
              <w:spacing w:after="0"/>
              <w:rPr>
                <w:sz w:val="20"/>
                <w:szCs w:val="20"/>
                <w:color w:val="auto"/>
              </w:rPr>
            </w:pPr>
            <w:r>
              <w:rPr>
                <w:rFonts w:ascii="Arial" w:cs="Arial" w:eastAsia="Arial" w:hAnsi="Arial"/>
                <w:sz w:val="16"/>
                <w:szCs w:val="16"/>
                <w:b w:val="1"/>
                <w:bCs w:val="1"/>
                <w:color w:val="auto"/>
              </w:rPr>
              <w:t>Fiscal Year</w:t>
            </w:r>
          </w:p>
        </w:tc>
        <w:tc>
          <w:tcPr>
            <w:tcW w:w="1460" w:type="dxa"/>
            <w:vAlign w:val="bottom"/>
          </w:tcPr>
          <w:p>
            <w:pPr>
              <w:spacing w:after="0"/>
              <w:rPr>
                <w:sz w:val="18"/>
                <w:szCs w:val="18"/>
                <w:color w:val="auto"/>
              </w:rPr>
            </w:pPr>
          </w:p>
        </w:tc>
      </w:tr>
      <w:tr>
        <w:trPr>
          <w:trHeight w:val="33"/>
        </w:trPr>
        <w:tc>
          <w:tcPr>
            <w:tcW w:w="6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15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4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4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2010</w:t>
            </w:r>
          </w:p>
        </w:tc>
      </w:tr>
      <w:tr>
        <w:trPr>
          <w:trHeight w:val="33"/>
        </w:trPr>
        <w:tc>
          <w:tcPr>
            <w:tcW w:w="6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beginning of year</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3,387</w:t>
            </w:r>
          </w:p>
        </w:tc>
      </w:tr>
      <w:tr>
        <w:trPr>
          <w:trHeight w:val="243"/>
        </w:trPr>
        <w:tc>
          <w:tcPr>
            <w:tcW w:w="6660" w:type="dxa"/>
            <w:vAlign w:val="bottom"/>
          </w:tcPr>
          <w:p>
            <w:pPr>
              <w:ind w:left="480"/>
              <w:spacing w:after="0"/>
              <w:rPr>
                <w:sz w:val="20"/>
                <w:szCs w:val="20"/>
                <w:color w:val="auto"/>
              </w:rPr>
            </w:pPr>
            <w:r>
              <w:rPr>
                <w:rFonts w:ascii="Arial" w:cs="Arial" w:eastAsia="Arial" w:hAnsi="Arial"/>
                <w:sz w:val="18"/>
                <w:szCs w:val="18"/>
                <w:color w:val="auto"/>
              </w:rPr>
              <w:t>Gross increases for tax positions related to the current year</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9,049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8,696</w:t>
            </w:r>
          </w:p>
        </w:tc>
      </w:tr>
      <w:tr>
        <w:trPr>
          <w:trHeight w:val="27"/>
        </w:trPr>
        <w:tc>
          <w:tcPr>
            <w:tcW w:w="6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increases for tax positions related to the prior year</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480"/>
              <w:spacing w:after="0"/>
              <w:rPr>
                <w:sz w:val="20"/>
                <w:szCs w:val="20"/>
                <w:color w:val="auto"/>
              </w:rPr>
            </w:pPr>
            <w:r>
              <w:rPr>
                <w:rFonts w:ascii="Arial" w:cs="Arial" w:eastAsia="Arial" w:hAnsi="Arial"/>
                <w:sz w:val="18"/>
                <w:szCs w:val="18"/>
                <w:color w:val="auto"/>
              </w:rPr>
              <w:t>Gross decreases for tax positions related to the prior year</w:t>
            </w:r>
          </w:p>
        </w:tc>
        <w:tc>
          <w:tcPr>
            <w:tcW w:w="150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end of year</w:t>
            </w:r>
          </w:p>
        </w:tc>
        <w:tc>
          <w:tcPr>
            <w:tcW w:w="1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27,808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19,269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12,083</w:t>
            </w:r>
          </w:p>
        </w:tc>
      </w:tr>
      <w:tr>
        <w:trPr>
          <w:trHeight w:val="20"/>
        </w:trPr>
        <w:tc>
          <w:tcPr>
            <w:tcW w:w="6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December 31, 2012, December 31, 2011 and December 30, 2010, $28.8 million, $19.1 million and $11.2 million, respectively, of the amounts reflected above were recorded as a liability and included in other non-current liabilities in our consolidated balance sheet.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280" w:right="2760"/>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2012, there were no unrecognized tax benefits that we expect would change significantly over the next 12 months.</w:t>
      </w:r>
    </w:p>
    <w:p>
      <w:pPr>
        <w:spacing w:after="0" w:line="23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various U.S. state and foreign jurisdictions. As we have net operating loss carryforwards for the state jurisdictions, the statute of limitations is open for all tax years. Generally, we are no longer subject to non-U.S. income tax examinations by tax authorities for tax years prior to 2006. During 2012, the States of California and Florida completed their audits of our income tax returns for the years 2008-2009 and 2008-2010, respectively, without any adverse material impact to our tax liability.</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January 2013, the U.S. Federal Research and Development Tax Credit was reinstated retroactively to fiscal 2012. The U.S. Federal Research and Development Tax Credit benefit will be recorded in the first quarter of fiscal 2013, the period of enactment. The State of California will be conducting an audit of our income tax returns for fiscal 2010 and fiscal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401(k) tax-deferred savings plan (the “401(k) Plan”) permits participants to make contributions by salary deduction pursuant to Section 401(k) of the Internal Revenue Code of 1986, as amended. Under the 401(k) Plan, participating employees may defer a portion of their pre-tax earnings, up to the IRS annual contribution limit. In Canada, we have a Group Registered Retirement Savings Plan program (the “RRSP Plan”) which permits participants to make tax deductible contributions up to the maximum contribution limits under the Income Tax Act. Our board of directors approved 50% matching contributions on employee contributions up to 4% of each employee’s eligible earnings. Our matching contributions to the 401(k) Plans and RRSP for fiscal 2012 and 2011 were $1.8 million and $1.5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revenue and property and equipment by geographic region ($ amounts in 000’s):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25" w:right="27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FORTINET, INC. AND SUBSIDIARIES NOTES TO CONSOLIDATED FINANCIAL STATEMENTS—(Continued) YEARS ENDED DECEMBER 31, 2012, 2011 AND 2010</w:t>
      </w:r>
    </w:p>
    <w:p>
      <w:pPr>
        <w:spacing w:after="0" w:line="200" w:lineRule="exact"/>
        <w:rPr>
          <w:sz w:val="20"/>
          <w:szCs w:val="20"/>
          <w:color w:val="auto"/>
        </w:rPr>
      </w:pPr>
    </w:p>
    <w:p>
      <w:pPr>
        <w:spacing w:after="0" w:line="396"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400" w:type="dxa"/>
            <w:vAlign w:val="bottom"/>
            <w:gridSpan w:val="3"/>
          </w:tcPr>
          <w:p>
            <w:pPr>
              <w:spacing w:after="0"/>
              <w:rPr>
                <w:sz w:val="20"/>
                <w:szCs w:val="20"/>
                <w:color w:val="auto"/>
              </w:rPr>
            </w:pPr>
            <w:r>
              <w:rPr>
                <w:rFonts w:ascii="Arial" w:cs="Arial" w:eastAsia="Arial" w:hAnsi="Arial"/>
                <w:sz w:val="16"/>
                <w:szCs w:val="16"/>
                <w:b w:val="1"/>
                <w:bCs w:val="1"/>
                <w:color w:val="auto"/>
              </w:rPr>
              <w:t>Revenue</w:t>
            </w:r>
          </w:p>
        </w:tc>
        <w:tc>
          <w:tcPr>
            <w:tcW w:w="15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62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2010</w:t>
            </w: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145,369</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120,456</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92,097</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71,687</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52,038</w:t>
            </w:r>
          </w:p>
        </w:tc>
        <w:tc>
          <w:tcPr>
            <w:tcW w:w="16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31,864</w:t>
            </w:r>
          </w:p>
        </w:tc>
      </w:tr>
      <w:tr>
        <w:trPr>
          <w:trHeight w:val="237"/>
        </w:trPr>
        <w:tc>
          <w:tcPr>
            <w:tcW w:w="20" w:type="dxa"/>
            <w:vAlign w:val="bottom"/>
          </w:tcPr>
          <w:p>
            <w:pPr>
              <w:spacing w:after="0"/>
              <w:rPr>
                <w:sz w:val="20"/>
                <w:szCs w:val="20"/>
                <w:color w:val="auto"/>
              </w:rPr>
            </w:pPr>
          </w:p>
        </w:tc>
        <w:tc>
          <w:tcPr>
            <w:tcW w:w="5400" w:type="dxa"/>
            <w:vAlign w:val="bottom"/>
            <w:gridSpan w:val="3"/>
          </w:tcPr>
          <w:p>
            <w:pPr>
              <w:ind w:left="240"/>
              <w:spacing w:after="0"/>
              <w:rPr>
                <w:sz w:val="20"/>
                <w:szCs w:val="20"/>
                <w:color w:val="auto"/>
              </w:rPr>
            </w:pPr>
            <w:r>
              <w:rPr>
                <w:rFonts w:ascii="Arial" w:cs="Arial" w:eastAsia="Arial" w:hAnsi="Arial"/>
                <w:sz w:val="18"/>
                <w:szCs w:val="18"/>
                <w:color w:val="auto"/>
              </w:rPr>
              <w:t>Total Americas</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217,056</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172,494</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123,961</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EMEA</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184,175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152,385</w:t>
            </w:r>
          </w:p>
        </w:tc>
        <w:tc>
          <w:tcPr>
            <w:tcW w:w="16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121,604</w:t>
            </w:r>
          </w:p>
        </w:tc>
      </w:tr>
      <w:tr>
        <w:trPr>
          <w:trHeight w:val="243"/>
        </w:trPr>
        <w:tc>
          <w:tcPr>
            <w:tcW w:w="20" w:type="dxa"/>
            <w:vAlign w:val="bottom"/>
          </w:tcPr>
          <w:p>
            <w:pPr>
              <w:spacing w:after="0"/>
              <w:rPr>
                <w:sz w:val="21"/>
                <w:szCs w:val="21"/>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APAC</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132,408</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108,697</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79,131</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4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533,639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433,576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324,696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540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Property and Equipment</w:t>
            </w:r>
          </w:p>
        </w:tc>
        <w:tc>
          <w:tcPr>
            <w:tcW w:w="1540" w:type="dxa"/>
            <w:vAlign w:val="bottom"/>
          </w:tcPr>
          <w:p>
            <w:pPr>
              <w:jc w:val="right"/>
              <w:ind w:right="532"/>
              <w:spacing w:after="0" w:line="176" w:lineRule="exact"/>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1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18,764</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EMEA</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APAC</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5400" w:type="dxa"/>
            <w:vAlign w:val="bottom"/>
            <w:gridSpan w:val="3"/>
          </w:tcPr>
          <w:p>
            <w:pPr>
              <w:ind w:left="460"/>
              <w:spacing w:after="0"/>
              <w:rPr>
                <w:sz w:val="20"/>
                <w:szCs w:val="20"/>
                <w:color w:val="auto"/>
              </w:rPr>
            </w:pPr>
            <w:r>
              <w:rPr>
                <w:rFonts w:ascii="Arial" w:cs="Arial" w:eastAsia="Arial" w:hAnsi="Arial"/>
                <w:sz w:val="18"/>
                <w:szCs w:val="18"/>
                <w:color w:val="auto"/>
              </w:rPr>
              <w:t>Total property and equipment—net</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25,638</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7,966</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interim chief financial officer, evaluated the effectiveness of our disclosure controls and procedures (as defined in Rule 13a-15(e) or 15d-15(e) under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interim chief financial officer concluded that our disclosure controls and procedures were effective as of December 31, 2012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interim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Report on Internal Control Over Financial Reporting</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this evaluation, management concluded that</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internal control over financial reporting was effective as of December 31, 2012. Management reviewed the results of its assessment with our Audit Committee. The effectiveness of our internal control over financial reporting as of December 31, 2012 has been audited by Deloitte &amp; Touche LLP, an independent registered public accounting firm, as stated in its report, which appears in this Item under the heading “Report of Independent Registered Public Accounting Firm.”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Rules 13a-15(f) or 15d-15(f) under the Exchange Act) during our fourth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00"/>
          </w:cols>
          <w:pgMar w:left="240" w:top="121" w:right="35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200" w:lineRule="exact"/>
        <w:rPr>
          <w:sz w:val="20"/>
          <w:szCs w:val="20"/>
          <w:color w:val="auto"/>
        </w:rPr>
      </w:pPr>
    </w:p>
    <w:p>
      <w:pPr>
        <w:spacing w:after="0" w:line="22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Fortinet, Inc. and subsidiaries (collectively, the “Company”)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ind w:right="520" w:firstLine="648"/>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consolidated financial statement schedule listed in the Index at Item 15 as of and for the year ended December 31, 2012, of the Company and our report dated February 27, 2013 expressed an unqualified opinion on those financial statements and financial statement schedule.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2013 Annual Meeting of Stockholders to be filed with the SEC within 120 days after the end of the fiscal year covered by this Annual Report on Form 10-K.</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“About Us—Investor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2013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2013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2013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2013 Annual Meeting of Stockholders to be filed with the SEC within 120 days after the end of the fiscal year covered by this Annual Report on Form 10-K.</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122" w:right="29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5" w:lineRule="exact"/>
        <w:rPr>
          <w:sz w:val="20"/>
          <w:szCs w:val="20"/>
          <w:color w:val="auto"/>
        </w:rPr>
      </w:pPr>
    </w:p>
    <w:p>
      <w:pPr>
        <w:ind w:left="1300" w:right="260" w:hanging="644"/>
        <w:spacing w:after="0" w:line="26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Fortinet’s financial statements and the Report of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Financial Statement Schedule</w:t>
      </w:r>
      <w:r>
        <w:rPr>
          <w:rFonts w:ascii="Arial" w:cs="Arial" w:eastAsia="Arial" w:hAnsi="Arial"/>
          <w:sz w:val="18"/>
          <w:szCs w:val="18"/>
          <w:color w:val="auto"/>
        </w:rPr>
        <w:t>: The following financial statement schedule of Fortinet, Inc., for the fiscal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December 31, 2011 and December 31, 2010, is filed as part of this Annual Report on Form 10-K and should be read in conjunction with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76"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gridSpan w:val="2"/>
          </w:tcPr>
          <w:p>
            <w:pPr>
              <w:ind w:left="7060"/>
              <w:spacing w:after="0"/>
              <w:rPr>
                <w:sz w:val="20"/>
                <w:szCs w:val="20"/>
                <w:color w:val="auto"/>
              </w:rPr>
            </w:pPr>
            <w:r>
              <w:rPr>
                <w:rFonts w:ascii="Arial" w:cs="Arial" w:eastAsia="Arial" w:hAnsi="Arial"/>
                <w:sz w:val="16"/>
                <w:szCs w:val="16"/>
                <w:b w:val="1"/>
                <w:bCs w:val="1"/>
                <w:color w:val="auto"/>
              </w:rPr>
              <w:t>2012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553"/>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2010</w:t>
            </w:r>
          </w:p>
        </w:tc>
      </w:tr>
      <w:tr>
        <w:trPr>
          <w:trHeight w:val="33"/>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 amounts in 000’s)</w:t>
            </w:r>
          </w:p>
        </w:tc>
        <w:tc>
          <w:tcPr>
            <w:tcW w:w="158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480" w:type="dxa"/>
            <w:vAlign w:val="bottom"/>
            <w:gridSpan w:val="2"/>
          </w:tcPr>
          <w:p>
            <w:pPr>
              <w:ind w:left="500"/>
              <w:spacing w:after="0"/>
              <w:rPr>
                <w:sz w:val="20"/>
                <w:szCs w:val="20"/>
                <w:color w:val="auto"/>
              </w:rPr>
            </w:pPr>
            <w:r>
              <w:rPr>
                <w:rFonts w:ascii="Arial" w:cs="Arial" w:eastAsia="Arial" w:hAnsi="Arial"/>
                <w:sz w:val="18"/>
                <w:szCs w:val="18"/>
                <w:color w:val="auto"/>
              </w:rPr>
              <w:t>Beginning balance</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367</w:t>
            </w:r>
          </w:p>
        </w:tc>
      </w:tr>
      <w:tr>
        <w:trPr>
          <w:trHeight w:val="27"/>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7480" w:type="dxa"/>
            <w:vAlign w:val="bottom"/>
            <w:gridSpan w:val="2"/>
          </w:tcPr>
          <w:p>
            <w:pPr>
              <w:ind w:left="500"/>
              <w:spacing w:after="0"/>
              <w:rPr>
                <w:sz w:val="20"/>
                <w:szCs w:val="20"/>
                <w:color w:val="auto"/>
              </w:rPr>
            </w:pPr>
            <w:r>
              <w:rPr>
                <w:rFonts w:ascii="Arial" w:cs="Arial" w:eastAsia="Arial" w:hAnsi="Arial"/>
                <w:sz w:val="18"/>
                <w:szCs w:val="18"/>
                <w:color w:val="auto"/>
              </w:rPr>
              <w:t>Bad debt write-offs</w:t>
            </w: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6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Ending balance</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130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Annual Report on Form 10-K by reference, the exhibits listed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Exhibit Index immediately following the signature page of this Annual Report on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 list in the Exhibit Index immediately following the signature page of this Annual Report on Form 10-K is incorporated herein by reference as the list of exhibits required by this Item 15(b).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Financial Statement Schedules: See Item 15(a) above.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27, 2013.</w:t>
      </w:r>
    </w:p>
    <w:p>
      <w:pPr>
        <w:spacing w:after="0" w:line="30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4660"/>
        <w:spacing w:after="0"/>
        <w:tabs>
          <w:tab w:leader="none" w:pos="746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Nancy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31750</wp:posOffset>
            </wp:positionV>
            <wp:extent cx="37820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6"/>
          <w:szCs w:val="16"/>
          <w:b w:val="1"/>
          <w:bCs w:val="1"/>
          <w:color w:val="auto"/>
        </w:rPr>
        <w:t>Nancy Bush, Vice President and Interim Chief Financial Officer</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Ken Xie and Nancy Bush,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800" w:type="dxa"/>
            <w:vAlign w:val="bottom"/>
            <w:gridSpan w:val="3"/>
          </w:tcPr>
          <w:p>
            <w:pPr>
              <w:ind w:left="680"/>
              <w:spacing w:after="0"/>
              <w:rPr>
                <w:sz w:val="20"/>
                <w:szCs w:val="20"/>
                <w:color w:val="auto"/>
              </w:rPr>
            </w:pPr>
            <w:r>
              <w:rPr>
                <w:rFonts w:ascii="Arial" w:cs="Arial" w:eastAsia="Arial" w:hAnsi="Arial"/>
                <w:sz w:val="18"/>
                <w:szCs w:val="18"/>
                <w:b w:val="1"/>
                <w:bCs w:val="1"/>
                <w:color w:val="auto"/>
              </w:rPr>
              <w:t>Date</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00"/>
        </w:trPr>
        <w:tc>
          <w:tcPr>
            <w:tcW w:w="1520" w:type="dxa"/>
            <w:vAlign w:val="bottom"/>
          </w:tcPr>
          <w:p>
            <w:pPr>
              <w:ind w:left="1340"/>
              <w:spacing w:after="0"/>
              <w:rPr>
                <w:sz w:val="20"/>
                <w:szCs w:val="20"/>
                <w:color w:val="auto"/>
              </w:rPr>
            </w:pPr>
            <w:r>
              <w:rPr>
                <w:rFonts w:ascii="Arial" w:cs="Arial" w:eastAsia="Arial" w:hAnsi="Arial"/>
                <w:sz w:val="18"/>
                <w:szCs w:val="18"/>
                <w:color w:val="auto"/>
                <w:w w:val="83"/>
              </w:rPr>
              <w:t>/s/</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Ken Xie</w:t>
            </w:r>
          </w:p>
        </w:tc>
        <w:tc>
          <w:tcPr>
            <w:tcW w:w="1620" w:type="dxa"/>
            <w:vAlign w:val="bottom"/>
          </w:tcPr>
          <w:p>
            <w:pPr>
              <w:spacing w:after="0"/>
              <w:rPr>
                <w:sz w:val="24"/>
                <w:szCs w:val="24"/>
                <w:color w:val="auto"/>
              </w:rPr>
            </w:pP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President, Chief Executive Officer and Chairman of the Board of</w:t>
            </w:r>
          </w:p>
        </w:tc>
        <w:tc>
          <w:tcPr>
            <w:tcW w:w="1800" w:type="dxa"/>
            <w:vAlign w:val="bottom"/>
            <w:gridSpan w:val="3"/>
          </w:tcPr>
          <w:p>
            <w:pPr>
              <w:ind w:left="480"/>
              <w:spacing w:after="0"/>
              <w:rPr>
                <w:sz w:val="20"/>
                <w:szCs w:val="20"/>
                <w:color w:val="auto"/>
              </w:rPr>
            </w:pPr>
            <w:r>
              <w:rPr>
                <w:rFonts w:ascii="Arial" w:cs="Arial" w:eastAsia="Arial" w:hAnsi="Arial"/>
                <w:sz w:val="18"/>
                <w:szCs w:val="18"/>
                <w:color w:val="auto"/>
                <w:w w:val="88"/>
              </w:rPr>
              <w:t>February 27, 2013</w:t>
            </w:r>
          </w:p>
        </w:tc>
      </w:t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Directors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2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6"/>
              </w:rPr>
              <w:t>Ken Xie</w:t>
            </w: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520" w:type="dxa"/>
            <w:vAlign w:val="bottom"/>
          </w:tcPr>
          <w:p>
            <w:pPr>
              <w:ind w:left="1200"/>
              <w:spacing w:after="0"/>
              <w:rPr>
                <w:sz w:val="20"/>
                <w:szCs w:val="20"/>
                <w:color w:val="auto"/>
              </w:rPr>
            </w:pPr>
            <w:r>
              <w:rPr>
                <w:rFonts w:ascii="Arial" w:cs="Arial" w:eastAsia="Arial" w:hAnsi="Arial"/>
                <w:sz w:val="18"/>
                <w:szCs w:val="18"/>
                <w:color w:val="auto"/>
              </w:rPr>
              <w:t>/s/</w:t>
            </w:r>
          </w:p>
        </w:tc>
        <w:tc>
          <w:tcPr>
            <w:tcW w:w="2480" w:type="dxa"/>
            <w:vAlign w:val="bottom"/>
            <w:gridSpan w:val="3"/>
          </w:tcPr>
          <w:p>
            <w:pPr>
              <w:jc w:val="center"/>
              <w:ind w:right="1520"/>
              <w:spacing w:after="0"/>
              <w:rPr>
                <w:sz w:val="20"/>
                <w:szCs w:val="20"/>
                <w:color w:val="auto"/>
              </w:rPr>
            </w:pPr>
            <w:r>
              <w:rPr>
                <w:rFonts w:ascii="Arial" w:cs="Arial" w:eastAsia="Arial" w:hAnsi="Arial"/>
                <w:sz w:val="18"/>
                <w:szCs w:val="18"/>
                <w:color w:val="auto"/>
                <w:w w:val="90"/>
              </w:rPr>
              <w:t>Nancy Bush</w:t>
            </w: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Vice President and Interim Chief Financial Officer</w:t>
            </w:r>
          </w:p>
        </w:tc>
        <w:tc>
          <w:tcPr>
            <w:tcW w:w="1800" w:type="dxa"/>
            <w:vAlign w:val="bottom"/>
            <w:gridSpan w:val="3"/>
          </w:tcPr>
          <w:p>
            <w:pPr>
              <w:ind w:left="480"/>
              <w:spacing w:after="0"/>
              <w:rPr>
                <w:sz w:val="20"/>
                <w:szCs w:val="20"/>
                <w:color w:val="auto"/>
              </w:rPr>
            </w:pPr>
            <w:r>
              <w:rPr>
                <w:rFonts w:ascii="Arial" w:cs="Arial" w:eastAsia="Arial" w:hAnsi="Arial"/>
                <w:sz w:val="18"/>
                <w:szCs w:val="18"/>
                <w:color w:val="auto"/>
                <w:w w:val="88"/>
              </w:rPr>
              <w:t>February 27, 2013</w:t>
            </w:r>
          </w:p>
        </w:tc>
      </w:tr>
      <w:tr>
        <w:trPr>
          <w:trHeight w:val="243"/>
        </w:trPr>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2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152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88"/>
              </w:rPr>
              <w:t>Nancy Bush</w:t>
            </w: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520" w:type="dxa"/>
            <w:vAlign w:val="bottom"/>
          </w:tcPr>
          <w:p>
            <w:pPr>
              <w:ind w:left="1200"/>
              <w:spacing w:after="0"/>
              <w:rPr>
                <w:sz w:val="20"/>
                <w:szCs w:val="20"/>
                <w:color w:val="auto"/>
              </w:rPr>
            </w:pPr>
            <w:r>
              <w:rPr>
                <w:rFonts w:ascii="Arial" w:cs="Arial" w:eastAsia="Arial" w:hAnsi="Arial"/>
                <w:sz w:val="18"/>
                <w:szCs w:val="18"/>
                <w:color w:val="auto"/>
              </w:rPr>
              <w:t>/s/</w:t>
            </w:r>
          </w:p>
        </w:tc>
        <w:tc>
          <w:tcPr>
            <w:tcW w:w="2480" w:type="dxa"/>
            <w:vAlign w:val="bottom"/>
            <w:gridSpan w:val="3"/>
          </w:tcPr>
          <w:p>
            <w:pPr>
              <w:jc w:val="center"/>
              <w:ind w:right="1540"/>
              <w:spacing w:after="0"/>
              <w:rPr>
                <w:sz w:val="20"/>
                <w:szCs w:val="20"/>
                <w:color w:val="auto"/>
              </w:rPr>
            </w:pPr>
            <w:r>
              <w:rPr>
                <w:rFonts w:ascii="Arial" w:cs="Arial" w:eastAsia="Arial" w:hAnsi="Arial"/>
                <w:sz w:val="18"/>
                <w:szCs w:val="18"/>
                <w:color w:val="auto"/>
                <w:w w:val="96"/>
              </w:rPr>
              <w:t>Michael Xie</w:t>
            </w: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Chief Technical Officer and Director</w:t>
            </w:r>
          </w:p>
        </w:tc>
        <w:tc>
          <w:tcPr>
            <w:tcW w:w="1800" w:type="dxa"/>
            <w:vAlign w:val="bottom"/>
            <w:gridSpan w:val="3"/>
          </w:tcPr>
          <w:p>
            <w:pPr>
              <w:ind w:left="480"/>
              <w:spacing w:after="0"/>
              <w:rPr>
                <w:sz w:val="20"/>
                <w:szCs w:val="20"/>
                <w:color w:val="auto"/>
              </w:rPr>
            </w:pPr>
            <w:r>
              <w:rPr>
                <w:rFonts w:ascii="Arial" w:cs="Arial" w:eastAsia="Arial" w:hAnsi="Arial"/>
                <w:sz w:val="18"/>
                <w:szCs w:val="18"/>
                <w:color w:val="auto"/>
                <w:w w:val="88"/>
              </w:rPr>
              <w:t>February 27, 2013</w:t>
            </w: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52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3"/>
              </w:rPr>
              <w:t>Michael Xie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520" w:type="dxa"/>
            <w:vAlign w:val="bottom"/>
          </w:tcPr>
          <w:p>
            <w:pPr>
              <w:ind w:left="1160"/>
              <w:spacing w:after="0"/>
              <w:rPr>
                <w:sz w:val="20"/>
                <w:szCs w:val="20"/>
                <w:color w:val="auto"/>
              </w:rPr>
            </w:pPr>
            <w:r>
              <w:rPr>
                <w:rFonts w:ascii="Arial" w:cs="Arial" w:eastAsia="Arial" w:hAnsi="Arial"/>
                <w:sz w:val="18"/>
                <w:szCs w:val="18"/>
                <w:color w:val="auto"/>
              </w:rPr>
              <w:t>/s/</w:t>
            </w:r>
          </w:p>
        </w:tc>
        <w:tc>
          <w:tcPr>
            <w:tcW w:w="2480" w:type="dxa"/>
            <w:vAlign w:val="bottom"/>
            <w:gridSpan w:val="3"/>
          </w:tcPr>
          <w:p>
            <w:pPr>
              <w:jc w:val="center"/>
              <w:ind w:right="1520"/>
              <w:spacing w:after="0"/>
              <w:rPr>
                <w:sz w:val="20"/>
                <w:szCs w:val="20"/>
                <w:color w:val="auto"/>
              </w:rPr>
            </w:pPr>
            <w:r>
              <w:rPr>
                <w:rFonts w:ascii="Arial" w:cs="Arial" w:eastAsia="Arial" w:hAnsi="Arial"/>
                <w:sz w:val="18"/>
                <w:szCs w:val="18"/>
                <w:color w:val="auto"/>
                <w:w w:val="87"/>
              </w:rPr>
              <w:t>Pehong Chen</w:t>
            </w: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80"/>
              <w:spacing w:after="0"/>
              <w:rPr>
                <w:sz w:val="20"/>
                <w:szCs w:val="20"/>
                <w:color w:val="auto"/>
              </w:rPr>
            </w:pPr>
            <w:r>
              <w:rPr>
                <w:rFonts w:ascii="Arial" w:cs="Arial" w:eastAsia="Arial" w:hAnsi="Arial"/>
                <w:sz w:val="18"/>
                <w:szCs w:val="18"/>
                <w:color w:val="auto"/>
                <w:w w:val="88"/>
              </w:rPr>
              <w:t>February 27, 2013</w:t>
            </w:r>
          </w:p>
        </w:tc>
      </w:tr>
      <w:tr>
        <w:trPr>
          <w:trHeight w:val="27"/>
        </w:trPr>
        <w:tc>
          <w:tcPr>
            <w:tcW w:w="16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Pehong Chen</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520" w:type="dxa"/>
            <w:vAlign w:val="bottom"/>
          </w:tcPr>
          <w:p>
            <w:pPr>
              <w:ind w:left="1320"/>
              <w:spacing w:after="0"/>
              <w:rPr>
                <w:sz w:val="20"/>
                <w:szCs w:val="20"/>
                <w:color w:val="auto"/>
              </w:rPr>
            </w:pPr>
            <w:r>
              <w:rPr>
                <w:rFonts w:ascii="Arial" w:cs="Arial" w:eastAsia="Arial" w:hAnsi="Arial"/>
                <w:sz w:val="18"/>
                <w:szCs w:val="18"/>
                <w:color w:val="auto"/>
                <w:w w:val="94"/>
              </w:rPr>
              <w:t>/s/</w:t>
            </w:r>
          </w:p>
        </w:tc>
        <w:tc>
          <w:tcPr>
            <w:tcW w:w="100" w:type="dxa"/>
            <w:vAlign w:val="bottom"/>
          </w:tcPr>
          <w:p>
            <w:pPr>
              <w:spacing w:after="0"/>
              <w:rPr>
                <w:sz w:val="24"/>
                <w:szCs w:val="24"/>
                <w:color w:val="auto"/>
              </w:rPr>
            </w:pPr>
          </w:p>
        </w:tc>
        <w:tc>
          <w:tcPr>
            <w:tcW w:w="2380" w:type="dxa"/>
            <w:vAlign w:val="bottom"/>
            <w:gridSpan w:val="2"/>
          </w:tcPr>
          <w:p>
            <w:pPr>
              <w:jc w:val="center"/>
              <w:ind w:right="1280"/>
              <w:spacing w:after="0"/>
              <w:rPr>
                <w:sz w:val="20"/>
                <w:szCs w:val="20"/>
                <w:color w:val="auto"/>
              </w:rPr>
            </w:pPr>
            <w:r>
              <w:rPr>
                <w:rFonts w:ascii="Arial" w:cs="Arial" w:eastAsia="Arial" w:hAnsi="Arial"/>
                <w:sz w:val="18"/>
                <w:szCs w:val="18"/>
                <w:color w:val="auto"/>
                <w:w w:val="92"/>
              </w:rPr>
              <w:t>Chenming Hu</w:t>
            </w: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80"/>
              <w:spacing w:after="0"/>
              <w:rPr>
                <w:sz w:val="20"/>
                <w:szCs w:val="20"/>
                <w:color w:val="auto"/>
              </w:rPr>
            </w:pPr>
            <w:r>
              <w:rPr>
                <w:rFonts w:ascii="Arial" w:cs="Arial" w:eastAsia="Arial" w:hAnsi="Arial"/>
                <w:sz w:val="18"/>
                <w:szCs w:val="18"/>
                <w:color w:val="auto"/>
                <w:w w:val="88"/>
              </w:rPr>
              <w:t>February 27, 2013</w:t>
            </w:r>
          </w:p>
        </w:tc>
      </w:tr>
      <w:tr>
        <w:trPr>
          <w:trHeight w:val="27"/>
        </w:trPr>
        <w:tc>
          <w:tcPr>
            <w:tcW w:w="16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Chenming Hu</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520" w:type="dxa"/>
            <w:vAlign w:val="bottom"/>
          </w:tcPr>
          <w:p>
            <w:pPr>
              <w:ind w:left="1280"/>
              <w:spacing w:after="0"/>
              <w:rPr>
                <w:sz w:val="20"/>
                <w:szCs w:val="20"/>
                <w:color w:val="auto"/>
              </w:rPr>
            </w:pPr>
            <w:r>
              <w:rPr>
                <w:rFonts w:ascii="Arial" w:cs="Arial" w:eastAsia="Arial" w:hAnsi="Arial"/>
                <w:sz w:val="18"/>
                <w:szCs w:val="18"/>
                <w:color w:val="auto"/>
              </w:rPr>
              <w:t>/s/</w:t>
            </w:r>
          </w:p>
        </w:tc>
        <w:tc>
          <w:tcPr>
            <w:tcW w:w="2480" w:type="dxa"/>
            <w:vAlign w:val="bottom"/>
            <w:gridSpan w:val="3"/>
          </w:tcPr>
          <w:p>
            <w:pPr>
              <w:jc w:val="center"/>
              <w:ind w:right="1160"/>
              <w:spacing w:after="0"/>
              <w:rPr>
                <w:sz w:val="20"/>
                <w:szCs w:val="20"/>
                <w:color w:val="auto"/>
              </w:rPr>
            </w:pPr>
            <w:r>
              <w:rPr>
                <w:rFonts w:ascii="Arial" w:cs="Arial" w:eastAsia="Arial" w:hAnsi="Arial"/>
                <w:sz w:val="18"/>
                <w:szCs w:val="18"/>
                <w:color w:val="auto"/>
                <w:w w:val="95"/>
              </w:rPr>
              <w:t>Hong Liang Lu</w:t>
            </w: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80"/>
              <w:spacing w:after="0"/>
              <w:rPr>
                <w:sz w:val="20"/>
                <w:szCs w:val="20"/>
                <w:color w:val="auto"/>
              </w:rPr>
            </w:pPr>
            <w:r>
              <w:rPr>
                <w:rFonts w:ascii="Arial" w:cs="Arial" w:eastAsia="Arial" w:hAnsi="Arial"/>
                <w:sz w:val="18"/>
                <w:szCs w:val="18"/>
                <w:color w:val="auto"/>
                <w:w w:val="88"/>
              </w:rPr>
              <w:t>February 27, 2013</w:t>
            </w:r>
          </w:p>
        </w:tc>
      </w:tr>
      <w:tr>
        <w:trPr>
          <w:trHeight w:val="27"/>
        </w:trPr>
        <w:tc>
          <w:tcPr>
            <w:tcW w:w="16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Hong Liang Lu</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4000" w:type="dxa"/>
            <w:vAlign w:val="bottom"/>
            <w:gridSpan w:val="4"/>
          </w:tcPr>
          <w:p>
            <w:pPr>
              <w:jc w:val="center"/>
              <w:spacing w:after="0"/>
              <w:rPr>
                <w:sz w:val="20"/>
                <w:szCs w:val="20"/>
                <w:color w:val="auto"/>
              </w:rPr>
            </w:pPr>
            <w:r>
              <w:rPr>
                <w:rFonts w:ascii="Arial" w:cs="Arial" w:eastAsia="Arial" w:hAnsi="Arial"/>
                <w:sz w:val="18"/>
                <w:szCs w:val="18"/>
                <w:color w:val="auto"/>
                <w:w w:val="99"/>
              </w:rPr>
              <w:t>/s/  Bill Neukom</w:t>
            </w: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80"/>
              <w:spacing w:after="0"/>
              <w:rPr>
                <w:sz w:val="20"/>
                <w:szCs w:val="20"/>
                <w:color w:val="auto"/>
              </w:rPr>
            </w:pPr>
            <w:r>
              <w:rPr>
                <w:rFonts w:ascii="Arial" w:cs="Arial" w:eastAsia="Arial" w:hAnsi="Arial"/>
                <w:sz w:val="18"/>
                <w:szCs w:val="18"/>
                <w:color w:val="auto"/>
                <w:w w:val="88"/>
              </w:rPr>
              <w:t>February 27, 2013</w:t>
            </w: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52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2"/>
              </w:rPr>
              <w:t>Bill Neukom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54"/>
        </w:trPr>
        <w:tc>
          <w:tcPr>
            <w:tcW w:w="4000" w:type="dxa"/>
            <w:vAlign w:val="bottom"/>
            <w:gridSpan w:val="4"/>
          </w:tcPr>
          <w:p>
            <w:pPr>
              <w:jc w:val="center"/>
              <w:spacing w:after="0"/>
              <w:rPr>
                <w:sz w:val="20"/>
                <w:szCs w:val="20"/>
                <w:color w:val="auto"/>
              </w:rPr>
            </w:pPr>
            <w:r>
              <w:rPr>
                <w:rFonts w:ascii="Arial" w:cs="Arial" w:eastAsia="Arial" w:hAnsi="Arial"/>
                <w:sz w:val="18"/>
                <w:szCs w:val="18"/>
                <w:color w:val="auto"/>
                <w:w w:val="91"/>
              </w:rPr>
              <w:t>/s/ Christopher B. Paisley</w:t>
            </w:r>
          </w:p>
        </w:tc>
        <w:tc>
          <w:tcPr>
            <w:tcW w:w="55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80"/>
              <w:spacing w:after="0"/>
              <w:rPr>
                <w:sz w:val="20"/>
                <w:szCs w:val="20"/>
                <w:color w:val="auto"/>
              </w:rPr>
            </w:pPr>
            <w:r>
              <w:rPr>
                <w:rFonts w:ascii="Arial" w:cs="Arial" w:eastAsia="Arial" w:hAnsi="Arial"/>
                <w:sz w:val="18"/>
                <w:szCs w:val="18"/>
                <w:color w:val="auto"/>
                <w:w w:val="88"/>
              </w:rPr>
              <w:t>February 27, 2013</w:t>
            </w:r>
          </w:p>
        </w:tc>
      </w:tr>
      <w:tr>
        <w:trPr>
          <w:trHeight w:val="27"/>
        </w:trPr>
        <w:tc>
          <w:tcPr>
            <w:tcW w:w="16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Christopher B. Paisley</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60"/>
          </w:cols>
          <w:pgMar w:left="240" w:top="121" w:right="29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382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3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3"/>
        </w:trPr>
        <w:tc>
          <w:tcPr>
            <w:tcW w:w="7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4"/>
                <w:szCs w:val="24"/>
                <w:color w:val="auto"/>
              </w:rPr>
            </w:pPr>
          </w:p>
        </w:tc>
        <w:tc>
          <w:tcPr>
            <w:tcW w:w="3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Amended and Restated Certificate of Incorporation</w:t>
            </w:r>
          </w:p>
        </w:tc>
        <w:tc>
          <w:tcPr>
            <w:tcW w:w="0" w:type="dxa"/>
            <w:vAlign w:val="bottom"/>
          </w:tcPr>
          <w:p>
            <w:pPr>
              <w:spacing w:after="0"/>
              <w:rPr>
                <w:sz w:val="1"/>
                <w:szCs w:val="1"/>
                <w:color w:val="auto"/>
              </w:rPr>
            </w:pPr>
          </w:p>
        </w:tc>
      </w:tr>
      <w:tr>
        <w:trPr>
          <w:trHeight w:val="473"/>
        </w:trPr>
        <w:tc>
          <w:tcPr>
            <w:tcW w:w="780" w:type="dxa"/>
            <w:vAlign w:val="bottom"/>
          </w:tcPr>
          <w:p>
            <w:pPr>
              <w:ind w:left="4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24"/>
                <w:szCs w:val="24"/>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Amended and Restated Bylaws</w:t>
            </w:r>
          </w:p>
        </w:tc>
        <w:tc>
          <w:tcPr>
            <w:tcW w:w="0" w:type="dxa"/>
            <w:vAlign w:val="bottom"/>
          </w:tcPr>
          <w:p>
            <w:pPr>
              <w:spacing w:after="0"/>
              <w:rPr>
                <w:sz w:val="1"/>
                <w:szCs w:val="1"/>
                <w:color w:val="auto"/>
              </w:rPr>
            </w:pPr>
          </w:p>
        </w:tc>
      </w:tr>
      <w:tr>
        <w:trPr>
          <w:trHeight w:val="392"/>
        </w:trPr>
        <w:tc>
          <w:tcPr>
            <w:tcW w:w="780" w:type="dxa"/>
            <w:vAlign w:val="bottom"/>
          </w:tcPr>
          <w:p>
            <w:pPr>
              <w:ind w:left="40"/>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24"/>
                <w:szCs w:val="24"/>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Specimen common stock certificate of the Company</w:t>
            </w:r>
          </w:p>
        </w:tc>
        <w:tc>
          <w:tcPr>
            <w:tcW w:w="0" w:type="dxa"/>
            <w:vAlign w:val="bottom"/>
          </w:tcPr>
          <w:p>
            <w:pPr>
              <w:spacing w:after="0"/>
              <w:rPr>
                <w:sz w:val="1"/>
                <w:szCs w:val="1"/>
                <w:color w:val="auto"/>
              </w:rPr>
            </w:pPr>
          </w:p>
        </w:tc>
      </w:tr>
      <w:tr>
        <w:trPr>
          <w:trHeight w:val="439"/>
        </w:trPr>
        <w:tc>
          <w:tcPr>
            <w:tcW w:w="780" w:type="dxa"/>
            <w:vAlign w:val="bottom"/>
          </w:tcPr>
          <w:p>
            <w:pPr>
              <w:ind w:left="40"/>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24"/>
                <w:szCs w:val="24"/>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w w:val="93"/>
              </w:rPr>
              <w:t>Third Amended and Restated Investors Rights Agreement, dated</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as of February 24, 2004, between the Company and certain</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holders of the Company’s capital stock named therein</w:t>
            </w:r>
          </w:p>
        </w:tc>
        <w:tc>
          <w:tcPr>
            <w:tcW w:w="0" w:type="dxa"/>
            <w:vAlign w:val="bottom"/>
          </w:tcPr>
          <w:p>
            <w:pPr>
              <w:spacing w:after="0"/>
              <w:rPr>
                <w:sz w:val="1"/>
                <w:szCs w:val="1"/>
                <w:color w:val="auto"/>
              </w:rPr>
            </w:pPr>
          </w:p>
        </w:tc>
      </w:tr>
      <w:tr>
        <w:trPr>
          <w:trHeight w:val="290"/>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10.1</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w w:val="95"/>
              </w:rPr>
              <w:t>Forms of Indemnification Agreement between the Company and</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its directors and officers</w:t>
            </w:r>
          </w:p>
        </w:tc>
        <w:tc>
          <w:tcPr>
            <w:tcW w:w="0" w:type="dxa"/>
            <w:vAlign w:val="bottom"/>
          </w:tcPr>
          <w:p>
            <w:pPr>
              <w:spacing w:after="0"/>
              <w:rPr>
                <w:sz w:val="1"/>
                <w:szCs w:val="1"/>
                <w:color w:val="auto"/>
              </w:rPr>
            </w:pPr>
          </w:p>
        </w:tc>
      </w:tr>
      <w:tr>
        <w:trPr>
          <w:trHeight w:val="324"/>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10.2</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rPr>
              <w:t>2000 Stock Plan and forms of agreement thereunder</w:t>
            </w:r>
          </w:p>
        </w:tc>
        <w:tc>
          <w:tcPr>
            <w:tcW w:w="0" w:type="dxa"/>
            <w:vAlign w:val="bottom"/>
          </w:tcPr>
          <w:p>
            <w:pPr>
              <w:spacing w:after="0"/>
              <w:rPr>
                <w:sz w:val="1"/>
                <w:szCs w:val="1"/>
                <w:color w:val="auto"/>
              </w:rPr>
            </w:pPr>
          </w:p>
        </w:tc>
      </w:tr>
      <w:tr>
        <w:trPr>
          <w:trHeight w:val="473"/>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10.3</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rPr>
              <w:t>2008 Stock Plan and forms of agreement thereunder</w:t>
            </w:r>
          </w:p>
        </w:tc>
        <w:tc>
          <w:tcPr>
            <w:tcW w:w="0" w:type="dxa"/>
            <w:vAlign w:val="bottom"/>
          </w:tcPr>
          <w:p>
            <w:pPr>
              <w:spacing w:after="0"/>
              <w:rPr>
                <w:sz w:val="1"/>
                <w:szCs w:val="1"/>
                <w:color w:val="auto"/>
              </w:rPr>
            </w:pPr>
          </w:p>
        </w:tc>
      </w:tr>
      <w:tr>
        <w:trPr>
          <w:trHeight w:val="439"/>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10.4</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rPr>
              <w:t>2009 Equity Incentive Plan and forms of restricted stock unit</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award and restricted stock agreement thereunder</w:t>
            </w:r>
          </w:p>
        </w:tc>
        <w:tc>
          <w:tcPr>
            <w:tcW w:w="0" w:type="dxa"/>
            <w:vAlign w:val="bottom"/>
          </w:tcPr>
          <w:p>
            <w:pPr>
              <w:spacing w:after="0"/>
              <w:rPr>
                <w:sz w:val="1"/>
                <w:szCs w:val="1"/>
                <w:color w:val="auto"/>
              </w:rPr>
            </w:pPr>
          </w:p>
        </w:tc>
      </w:tr>
      <w:tr>
        <w:trPr>
          <w:trHeight w:val="290"/>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10.5</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w w:val="98"/>
              </w:rPr>
              <w:t>Forms of stock option agreement under 2009 Equity Incentive</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Plan</w:t>
            </w:r>
          </w:p>
        </w:tc>
        <w:tc>
          <w:tcPr>
            <w:tcW w:w="0" w:type="dxa"/>
            <w:vAlign w:val="bottom"/>
          </w:tcPr>
          <w:p>
            <w:pPr>
              <w:spacing w:after="0"/>
              <w:rPr>
                <w:sz w:val="1"/>
                <w:szCs w:val="1"/>
                <w:color w:val="auto"/>
              </w:rPr>
            </w:pPr>
          </w:p>
        </w:tc>
      </w:tr>
      <w:tr>
        <w:trPr>
          <w:trHeight w:val="290"/>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10.6</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rPr>
              <w:t>Separation and Change of Control Agreement, dated as of</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August 7, 2009, between the Company and Ken Xie</w:t>
            </w:r>
          </w:p>
        </w:tc>
        <w:tc>
          <w:tcPr>
            <w:tcW w:w="0" w:type="dxa"/>
            <w:vAlign w:val="bottom"/>
          </w:tcPr>
          <w:p>
            <w:pPr>
              <w:spacing w:after="0"/>
              <w:rPr>
                <w:sz w:val="1"/>
                <w:szCs w:val="1"/>
                <w:color w:val="auto"/>
              </w:rPr>
            </w:pPr>
          </w:p>
        </w:tc>
      </w:tr>
      <w:tr>
        <w:trPr>
          <w:trHeight w:val="290"/>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10.7</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rPr>
              <w:t>Separation and Change of Control Agreement, dated as of</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August 7, 2009, between the Company and Michael Xie</w:t>
            </w:r>
          </w:p>
        </w:tc>
        <w:tc>
          <w:tcPr>
            <w:tcW w:w="0" w:type="dxa"/>
            <w:vAlign w:val="bottom"/>
          </w:tcPr>
          <w:p>
            <w:pPr>
              <w:spacing w:after="0"/>
              <w:rPr>
                <w:sz w:val="1"/>
                <w:szCs w:val="1"/>
                <w:color w:val="auto"/>
              </w:rPr>
            </w:pPr>
          </w:p>
        </w:tc>
      </w:tr>
      <w:tr>
        <w:trPr>
          <w:trHeight w:val="290"/>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10.8</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rPr>
              <w:t>Separation and Change of Control Agreement, dated as of</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August 7, 2009, between the Company and Ken Goldman</w:t>
            </w:r>
          </w:p>
        </w:tc>
        <w:tc>
          <w:tcPr>
            <w:tcW w:w="0" w:type="dxa"/>
            <w:vAlign w:val="bottom"/>
          </w:tcPr>
          <w:p>
            <w:pPr>
              <w:spacing w:after="0"/>
              <w:rPr>
                <w:sz w:val="1"/>
                <w:szCs w:val="1"/>
                <w:color w:val="auto"/>
              </w:rPr>
            </w:pPr>
          </w:p>
        </w:tc>
      </w:tr>
      <w:tr>
        <w:trPr>
          <w:trHeight w:val="290"/>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10.9</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rPr>
              <w:t>Separation and Change of Control Agreement, dated as of</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August 7, 2009, between the Company and John Whittle</w:t>
            </w:r>
          </w:p>
        </w:tc>
        <w:tc>
          <w:tcPr>
            <w:tcW w:w="0" w:type="dxa"/>
            <w:vAlign w:val="bottom"/>
          </w:tcPr>
          <w:p>
            <w:pPr>
              <w:spacing w:after="0"/>
              <w:rPr>
                <w:sz w:val="1"/>
                <w:szCs w:val="1"/>
                <w:color w:val="auto"/>
              </w:rPr>
            </w:pPr>
          </w:p>
        </w:tc>
      </w:tr>
      <w:tr>
        <w:trPr>
          <w:trHeight w:val="290"/>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10.10</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w w:val="98"/>
              </w:rPr>
              <w:t>Offer Letter, dated as of August 31, 2007, by and between the</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Company and Ken Goldman</w:t>
            </w:r>
          </w:p>
        </w:tc>
        <w:tc>
          <w:tcPr>
            <w:tcW w:w="0" w:type="dxa"/>
            <w:vAlign w:val="bottom"/>
          </w:tcPr>
          <w:p>
            <w:pPr>
              <w:spacing w:after="0"/>
              <w:rPr>
                <w:sz w:val="1"/>
                <w:szCs w:val="1"/>
                <w:color w:val="auto"/>
              </w:rPr>
            </w:pPr>
          </w:p>
        </w:tc>
      </w:tr>
      <w:tr>
        <w:trPr>
          <w:trHeight w:val="290"/>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10.11</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w w:val="98"/>
              </w:rPr>
              <w:t>Offer Letter, dated as of August 31, 2007, by and between the</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Company and John Whittle</w:t>
            </w:r>
          </w:p>
        </w:tc>
        <w:tc>
          <w:tcPr>
            <w:tcW w:w="0" w:type="dxa"/>
            <w:vAlign w:val="bottom"/>
          </w:tcPr>
          <w:p>
            <w:pPr>
              <w:spacing w:after="0"/>
              <w:rPr>
                <w:sz w:val="1"/>
                <w:szCs w:val="1"/>
                <w:color w:val="auto"/>
              </w:rPr>
            </w:pPr>
          </w:p>
        </w:tc>
      </w:tr>
      <w:tr>
        <w:trPr>
          <w:trHeight w:val="290"/>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10.12</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w w:val="98"/>
              </w:rPr>
              <w:t>Form of Change of Control Agreement between the Company</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and its non-executive officers</w:t>
            </w:r>
          </w:p>
        </w:tc>
        <w:tc>
          <w:tcPr>
            <w:tcW w:w="0" w:type="dxa"/>
            <w:vAlign w:val="bottom"/>
          </w:tcPr>
          <w:p>
            <w:pPr>
              <w:spacing w:after="0"/>
              <w:rPr>
                <w:sz w:val="1"/>
                <w:szCs w:val="1"/>
                <w:color w:val="auto"/>
              </w:rPr>
            </w:pPr>
          </w:p>
        </w:tc>
      </w:tr>
      <w:tr>
        <w:trPr>
          <w:trHeight w:val="324"/>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10.13</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rPr>
              <w:t>Fortinet, Inc. Bonus Plan</w:t>
            </w:r>
          </w:p>
        </w:tc>
        <w:tc>
          <w:tcPr>
            <w:tcW w:w="0" w:type="dxa"/>
            <w:vAlign w:val="bottom"/>
          </w:tcPr>
          <w:p>
            <w:pPr>
              <w:spacing w:after="0"/>
              <w:rPr>
                <w:sz w:val="1"/>
                <w:szCs w:val="1"/>
                <w:color w:val="auto"/>
              </w:rPr>
            </w:pPr>
          </w:p>
        </w:tc>
      </w:tr>
      <w:tr>
        <w:trPr>
          <w:trHeight w:val="392"/>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10.14</w:t>
            </w:r>
            <w:r>
              <w:rPr>
                <w:rFonts w:ascii="Arial" w:cs="Arial" w:eastAsia="Arial" w:hAnsi="Arial"/>
                <w:sz w:val="8"/>
                <w:szCs w:val="8"/>
                <w:color w:val="auto"/>
              </w:rPr>
              <w:t>†</w:t>
            </w:r>
          </w:p>
        </w:tc>
        <w:tc>
          <w:tcPr>
            <w:tcW w:w="3820" w:type="dxa"/>
            <w:vAlign w:val="bottom"/>
          </w:tcPr>
          <w:p>
            <w:pPr>
              <w:ind w:left="20"/>
              <w:spacing w:after="0"/>
              <w:rPr>
                <w:sz w:val="20"/>
                <w:szCs w:val="20"/>
                <w:color w:val="auto"/>
              </w:rPr>
            </w:pPr>
            <w:r>
              <w:rPr>
                <w:rFonts w:ascii="Arial" w:cs="Arial" w:eastAsia="Arial" w:hAnsi="Arial"/>
                <w:sz w:val="14"/>
                <w:szCs w:val="14"/>
                <w:color w:val="auto"/>
              </w:rPr>
              <w:t>Fortinet, Inc. 2011 Employee Stock Purchase Plan</w:t>
            </w:r>
          </w:p>
        </w:tc>
        <w:tc>
          <w:tcPr>
            <w:tcW w:w="0" w:type="dxa"/>
            <w:vAlign w:val="bottom"/>
          </w:tcPr>
          <w:p>
            <w:pPr>
              <w:spacing w:after="0"/>
              <w:rPr>
                <w:sz w:val="1"/>
                <w:szCs w:val="1"/>
                <w:color w:val="auto"/>
              </w:rPr>
            </w:pPr>
          </w:p>
        </w:tc>
      </w:tr>
      <w:tr>
        <w:trPr>
          <w:trHeight w:val="358"/>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10.15†*</w:t>
            </w:r>
          </w:p>
        </w:tc>
        <w:tc>
          <w:tcPr>
            <w:tcW w:w="3820" w:type="dxa"/>
            <w:vAlign w:val="bottom"/>
          </w:tcPr>
          <w:p>
            <w:pPr>
              <w:ind w:left="20"/>
              <w:spacing w:after="0"/>
              <w:rPr>
                <w:sz w:val="20"/>
                <w:szCs w:val="20"/>
                <w:color w:val="auto"/>
              </w:rPr>
            </w:pPr>
            <w:r>
              <w:rPr>
                <w:rFonts w:ascii="Arial" w:cs="Arial" w:eastAsia="Arial" w:hAnsi="Arial"/>
                <w:sz w:val="14"/>
                <w:szCs w:val="14"/>
                <w:color w:val="auto"/>
                <w:w w:val="95"/>
              </w:rPr>
              <w:t>Offer Letter, dated as of November 9, 2011, by and between the</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Company and Nancy Bush</w:t>
            </w:r>
          </w:p>
        </w:tc>
        <w:tc>
          <w:tcPr>
            <w:tcW w:w="0" w:type="dxa"/>
            <w:vAlign w:val="bottom"/>
          </w:tcPr>
          <w:p>
            <w:pPr>
              <w:spacing w:after="0"/>
              <w:rPr>
                <w:sz w:val="1"/>
                <w:szCs w:val="1"/>
                <w:color w:val="auto"/>
              </w:rPr>
            </w:pPr>
          </w:p>
        </w:tc>
      </w:tr>
      <w:tr>
        <w:trPr>
          <w:trHeight w:val="290"/>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10.16†</w:t>
            </w:r>
          </w:p>
        </w:tc>
        <w:tc>
          <w:tcPr>
            <w:tcW w:w="3820" w:type="dxa"/>
            <w:vAlign w:val="bottom"/>
          </w:tcPr>
          <w:p>
            <w:pPr>
              <w:ind w:left="20"/>
              <w:spacing w:after="0"/>
              <w:rPr>
                <w:sz w:val="20"/>
                <w:szCs w:val="20"/>
                <w:color w:val="auto"/>
              </w:rPr>
            </w:pPr>
            <w:r>
              <w:rPr>
                <w:rFonts w:ascii="Arial" w:cs="Arial" w:eastAsia="Arial" w:hAnsi="Arial"/>
                <w:sz w:val="14"/>
                <w:szCs w:val="14"/>
                <w:color w:val="auto"/>
                <w:w w:val="92"/>
              </w:rPr>
              <w:t>Promotion Letter, dated September 26, 2012, by and between the</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Company and Nancy Bush</w:t>
            </w:r>
          </w:p>
        </w:tc>
        <w:tc>
          <w:tcPr>
            <w:tcW w:w="0" w:type="dxa"/>
            <w:vAlign w:val="bottom"/>
          </w:tcPr>
          <w:p>
            <w:pPr>
              <w:spacing w:after="0"/>
              <w:rPr>
                <w:sz w:val="1"/>
                <w:szCs w:val="1"/>
                <w:color w:val="auto"/>
              </w:rPr>
            </w:pPr>
          </w:p>
        </w:tc>
      </w:tr>
      <w:tr>
        <w:trPr>
          <w:trHeight w:val="324"/>
        </w:trPr>
        <w:tc>
          <w:tcPr>
            <w:tcW w:w="780" w:type="dxa"/>
            <w:vAlign w:val="bottom"/>
          </w:tcPr>
          <w:p>
            <w:pPr>
              <w:ind w:left="40"/>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24"/>
                <w:szCs w:val="24"/>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List of subsidiaries</w:t>
            </w:r>
          </w:p>
        </w:tc>
        <w:tc>
          <w:tcPr>
            <w:tcW w:w="0" w:type="dxa"/>
            <w:vAlign w:val="bottom"/>
          </w:tcPr>
          <w:p>
            <w:pPr>
              <w:spacing w:after="0"/>
              <w:rPr>
                <w:sz w:val="1"/>
                <w:szCs w:val="1"/>
                <w:color w:val="auto"/>
              </w:rPr>
            </w:pPr>
          </w:p>
        </w:tc>
      </w:tr>
      <w:tr>
        <w:trPr>
          <w:trHeight w:val="392"/>
        </w:trPr>
        <w:tc>
          <w:tcPr>
            <w:tcW w:w="780" w:type="dxa"/>
            <w:vAlign w:val="bottom"/>
          </w:tcPr>
          <w:p>
            <w:pPr>
              <w:ind w:left="40"/>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24"/>
                <w:szCs w:val="24"/>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Consent of Independent Registered Public Accounting Firm</w:t>
            </w:r>
          </w:p>
        </w:tc>
        <w:tc>
          <w:tcPr>
            <w:tcW w:w="0" w:type="dxa"/>
            <w:vAlign w:val="bottom"/>
          </w:tcPr>
          <w:p>
            <w:pPr>
              <w:spacing w:after="0"/>
              <w:rPr>
                <w:sz w:val="1"/>
                <w:szCs w:val="1"/>
                <w:color w:val="auto"/>
              </w:rPr>
            </w:pPr>
          </w:p>
        </w:tc>
      </w:tr>
      <w:tr>
        <w:trPr>
          <w:trHeight w:val="358"/>
        </w:trPr>
        <w:tc>
          <w:tcPr>
            <w:tcW w:w="780" w:type="dxa"/>
            <w:vAlign w:val="bottom"/>
          </w:tcPr>
          <w:p>
            <w:pPr>
              <w:ind w:left="40"/>
              <w:spacing w:after="0"/>
              <w:rPr>
                <w:sz w:val="20"/>
                <w:szCs w:val="20"/>
                <w:color w:val="auto"/>
              </w:rPr>
            </w:pPr>
            <w:r>
              <w:rPr>
                <w:rFonts w:ascii="Arial" w:cs="Arial" w:eastAsia="Arial" w:hAnsi="Arial"/>
                <w:sz w:val="14"/>
                <w:szCs w:val="14"/>
                <w:color w:val="auto"/>
              </w:rPr>
              <w:t>24.1*</w:t>
            </w:r>
          </w:p>
        </w:tc>
        <w:tc>
          <w:tcPr>
            <w:tcW w:w="140" w:type="dxa"/>
            <w:vAlign w:val="bottom"/>
          </w:tcPr>
          <w:p>
            <w:pPr>
              <w:spacing w:after="0"/>
              <w:rPr>
                <w:sz w:val="24"/>
                <w:szCs w:val="24"/>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w w:val="99"/>
              </w:rPr>
              <w:t>Power of Attorney (incorporated by reference to the signature</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page of this Annual Report on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239"/>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23495</wp:posOffset>
            </wp:positionV>
            <wp:extent cx="2512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84" w:lineRule="exact"/>
        <w:rPr>
          <w:sz w:val="20"/>
          <w:szCs w:val="20"/>
          <w:color w:val="auto"/>
        </w:rPr>
      </w:pPr>
    </w:p>
    <w:p>
      <w:pPr>
        <w:jc w:val="center"/>
        <w:ind w:left="-239"/>
        <w:spacing w:after="0"/>
        <w:rPr>
          <w:sz w:val="20"/>
          <w:szCs w:val="20"/>
          <w:color w:val="auto"/>
        </w:rPr>
      </w:pPr>
      <w:r>
        <w:rPr>
          <w:rFonts w:ascii="Arial" w:cs="Arial" w:eastAsia="Arial" w:hAnsi="Arial"/>
          <w:sz w:val="14"/>
          <w:szCs w:val="14"/>
          <w:b w:val="1"/>
          <w:bCs w:val="1"/>
          <w:color w:val="auto"/>
        </w:rPr>
        <w:t>Form</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28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ind w:left="380"/>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86"/>
        </w:trPr>
        <w:tc>
          <w:tcPr>
            <w:tcW w:w="1320" w:type="dxa"/>
            <w:vAlign w:val="bottom"/>
            <w:vMerge w:val="continue"/>
          </w:tcPr>
          <w:p>
            <w:pPr>
              <w:spacing w:after="0"/>
              <w:rPr>
                <w:sz w:val="16"/>
                <w:szCs w:val="16"/>
                <w:color w:val="auto"/>
              </w:rPr>
            </w:pPr>
          </w:p>
        </w:tc>
        <w:tc>
          <w:tcPr>
            <w:tcW w:w="860" w:type="dxa"/>
            <w:vAlign w:val="bottom"/>
          </w:tcPr>
          <w:p>
            <w:pPr>
              <w:ind w:left="36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January 25, 2012</w:t>
            </w:r>
          </w:p>
        </w:tc>
        <w:tc>
          <w:tcPr>
            <w:tcW w:w="860" w:type="dxa"/>
            <w:vAlign w:val="bottom"/>
          </w:tcPr>
          <w:p>
            <w:pPr>
              <w:ind w:left="2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November 2, 2009</w:t>
            </w:r>
          </w:p>
        </w:tc>
        <w:tc>
          <w:tcPr>
            <w:tcW w:w="860" w:type="dxa"/>
            <w:vAlign w:val="bottom"/>
          </w:tcPr>
          <w:p>
            <w:pPr>
              <w:ind w:left="2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28, 2012</w:t>
            </w:r>
          </w:p>
        </w:tc>
        <w:tc>
          <w:tcPr>
            <w:tcW w:w="860" w:type="dxa"/>
            <w:vAlign w:val="bottom"/>
          </w:tcPr>
          <w:p>
            <w:pPr>
              <w:ind w:left="24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860" w:type="dxa"/>
            <w:vAlign w:val="bottom"/>
          </w:tcPr>
          <w:p>
            <w:pPr>
              <w:ind w:left="240"/>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January 26, 2010</w:t>
            </w:r>
          </w:p>
        </w:tc>
        <w:tc>
          <w:tcPr>
            <w:tcW w:w="860" w:type="dxa"/>
            <w:vAlign w:val="bottom"/>
          </w:tcPr>
          <w:p>
            <w:pPr>
              <w:ind w:left="24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June 27, 2011</w:t>
            </w:r>
          </w:p>
        </w:tc>
        <w:tc>
          <w:tcPr>
            <w:tcW w:w="860" w:type="dxa"/>
            <w:vAlign w:val="bottom"/>
          </w:tcPr>
          <w:p>
            <w:pPr>
              <w:ind w:left="24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864"/>
        </w:trPr>
        <w:tc>
          <w:tcPr>
            <w:tcW w:w="1320" w:type="dxa"/>
            <w:vAlign w:val="bottom"/>
          </w:tcPr>
          <w:p>
            <w:pPr>
              <w:spacing w:after="0"/>
              <w:rPr>
                <w:sz w:val="20"/>
                <w:szCs w:val="20"/>
                <w:color w:val="auto"/>
              </w:rPr>
            </w:pPr>
            <w:r>
              <w:rPr>
                <w:rFonts w:ascii="Arial" w:cs="Arial" w:eastAsia="Arial" w:hAnsi="Arial"/>
                <w:sz w:val="14"/>
                <w:szCs w:val="14"/>
                <w:color w:val="auto"/>
              </w:rPr>
              <w:t>October 30, 2012</w:t>
            </w:r>
          </w:p>
        </w:tc>
        <w:tc>
          <w:tcPr>
            <w:tcW w:w="860" w:type="dxa"/>
            <w:vAlign w:val="bottom"/>
          </w:tcPr>
          <w:p>
            <w:pPr>
              <w:ind w:left="24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-6071870</wp:posOffset>
            </wp:positionV>
            <wp:extent cx="14922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ectPr>
          <w:pgSz w:w="11900" w:h="16838" w:orient="portrait"/>
          <w:cols w:equalWidth="0" w:num="3">
            <w:col w:w="4740" w:space="180"/>
            <w:col w:w="3640" w:space="440"/>
            <w:col w:w="2180"/>
          </w:cols>
          <w:pgMar w:left="240" w:top="121" w:right="4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0040" w:type="dxa"/>
            <w:vAlign w:val="bottom"/>
          </w:tcPr>
          <w:p>
            <w:pPr>
              <w:spacing w:after="0"/>
              <w:rPr>
                <w:sz w:val="14"/>
                <w:szCs w:val="14"/>
                <w:color w:val="auto"/>
              </w:rPr>
            </w:pPr>
          </w:p>
        </w:tc>
      </w:tr>
      <w:tr>
        <w:trPr>
          <w:trHeight w:val="576"/>
        </w:trPr>
        <w:tc>
          <w:tcPr>
            <w:tcW w:w="1020" w:type="dxa"/>
            <w:vAlign w:val="bottom"/>
            <w:tcBorders>
              <w:top w:val="single" w:sz="8" w:color="0000FF"/>
            </w:tcBorders>
          </w:tcPr>
          <w:p>
            <w:pPr>
              <w:ind w:left="40"/>
              <w:spacing w:after="0"/>
              <w:rPr>
                <w:sz w:val="20"/>
                <w:szCs w:val="20"/>
                <w:color w:val="auto"/>
              </w:rPr>
            </w:pPr>
            <w:r>
              <w:rPr>
                <w:rFonts w:ascii="Arial" w:cs="Arial" w:eastAsia="Arial" w:hAnsi="Arial"/>
                <w:sz w:val="14"/>
                <w:szCs w:val="14"/>
                <w:color w:val="auto"/>
              </w:rPr>
              <w:t>31.1*</w:t>
            </w:r>
          </w:p>
        </w:tc>
        <w:tc>
          <w:tcPr>
            <w:tcW w:w="140" w:type="dxa"/>
            <w:vAlign w:val="bottom"/>
          </w:tcPr>
          <w:p>
            <w:pPr>
              <w:spacing w:after="0"/>
              <w:rPr>
                <w:sz w:val="24"/>
                <w:szCs w:val="24"/>
                <w:color w:val="auto"/>
              </w:rPr>
            </w:pPr>
          </w:p>
        </w:tc>
        <w:tc>
          <w:tcPr>
            <w:tcW w:w="10040" w:type="dxa"/>
            <w:vAlign w:val="bottom"/>
          </w:tcPr>
          <w:p>
            <w:pPr>
              <w:ind w:left="140"/>
              <w:spacing w:after="0"/>
              <w:rPr>
                <w:sz w:val="20"/>
                <w:szCs w:val="20"/>
                <w:color w:val="auto"/>
              </w:rPr>
            </w:pPr>
            <w:r>
              <w:rPr>
                <w:rFonts w:ascii="Arial" w:cs="Arial" w:eastAsia="Arial" w:hAnsi="Arial"/>
                <w:sz w:val="14"/>
                <w:szCs w:val="14"/>
                <w:color w:val="auto"/>
                <w:w w:val="94"/>
              </w:rPr>
              <w:t>Certification of Chief Executive Officer pursuant to Exchange Act Rules 13a-14(a) and 15d-14(a), as adopted pursuant to Section 302 of the Sarbanes-Oxley Act of 2002</w:t>
            </w:r>
          </w:p>
        </w:tc>
      </w:tr>
      <w:tr>
        <w:trPr>
          <w:trHeight w:val="358"/>
        </w:trPr>
        <w:tc>
          <w:tcPr>
            <w:tcW w:w="1020" w:type="dxa"/>
            <w:vAlign w:val="bottom"/>
          </w:tcPr>
          <w:p>
            <w:pPr>
              <w:ind w:left="40"/>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24"/>
                <w:szCs w:val="24"/>
                <w:color w:val="auto"/>
              </w:rPr>
            </w:pPr>
          </w:p>
        </w:tc>
        <w:tc>
          <w:tcPr>
            <w:tcW w:w="10040" w:type="dxa"/>
            <w:vAlign w:val="bottom"/>
          </w:tcPr>
          <w:p>
            <w:pPr>
              <w:ind w:left="140"/>
              <w:spacing w:after="0"/>
              <w:rPr>
                <w:sz w:val="20"/>
                <w:szCs w:val="20"/>
                <w:color w:val="auto"/>
              </w:rPr>
            </w:pPr>
            <w:r>
              <w:rPr>
                <w:rFonts w:ascii="Arial" w:cs="Arial" w:eastAsia="Arial" w:hAnsi="Arial"/>
                <w:sz w:val="14"/>
                <w:szCs w:val="14"/>
                <w:color w:val="auto"/>
                <w:w w:val="94"/>
              </w:rPr>
              <w:t>Certification of Interim Chief Financial Officer pursuant to Exchange Act Rules 13a-14(a) and 15d-14(a), as adopted pursuant to Section 302 of the Sarbanes-Oxley Act of</w:t>
            </w:r>
          </w:p>
        </w:tc>
      </w:tr>
      <w:tr>
        <w:trPr>
          <w:trHeight w:val="182"/>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40" w:type="dxa"/>
            <w:vAlign w:val="bottom"/>
          </w:tcPr>
          <w:p>
            <w:pPr>
              <w:ind w:left="140"/>
              <w:spacing w:after="0"/>
              <w:rPr>
                <w:sz w:val="20"/>
                <w:szCs w:val="20"/>
                <w:color w:val="auto"/>
              </w:rPr>
            </w:pPr>
            <w:r>
              <w:rPr>
                <w:rFonts w:ascii="Arial" w:cs="Arial" w:eastAsia="Arial" w:hAnsi="Arial"/>
                <w:sz w:val="14"/>
                <w:szCs w:val="14"/>
                <w:color w:val="auto"/>
              </w:rPr>
              <w:t>2002</w:t>
            </w:r>
          </w:p>
        </w:tc>
      </w:tr>
      <w:tr>
        <w:trPr>
          <w:trHeight w:val="290"/>
        </w:trPr>
        <w:tc>
          <w:tcPr>
            <w:tcW w:w="1020" w:type="dxa"/>
            <w:vAlign w:val="bottom"/>
          </w:tcPr>
          <w:p>
            <w:pPr>
              <w:ind w:left="40"/>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24"/>
                <w:szCs w:val="24"/>
                <w:color w:val="auto"/>
              </w:rPr>
            </w:pPr>
          </w:p>
        </w:tc>
        <w:tc>
          <w:tcPr>
            <w:tcW w:w="10040" w:type="dxa"/>
            <w:vAlign w:val="bottom"/>
          </w:tcPr>
          <w:p>
            <w:pPr>
              <w:ind w:left="140"/>
              <w:spacing w:after="0"/>
              <w:rPr>
                <w:sz w:val="20"/>
                <w:szCs w:val="20"/>
                <w:color w:val="auto"/>
              </w:rPr>
            </w:pPr>
            <w:r>
              <w:rPr>
                <w:rFonts w:ascii="Arial" w:cs="Arial" w:eastAsia="Arial" w:hAnsi="Arial"/>
                <w:sz w:val="14"/>
                <w:szCs w:val="14"/>
                <w:color w:val="auto"/>
                <w:w w:val="93"/>
              </w:rPr>
              <w:t>Certifications of Chief Executive Officer and Interim Chief Financial Officer pursuant to 18 U.S.C. Section 1350, as adopted pursuant to Section 906 of the Sarbanes-Oxley</w:t>
            </w:r>
          </w:p>
        </w:tc>
      </w:tr>
      <w:tr>
        <w:trPr>
          <w:trHeight w:val="182"/>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40" w:type="dxa"/>
            <w:vAlign w:val="bottom"/>
          </w:tcPr>
          <w:p>
            <w:pPr>
              <w:ind w:left="140"/>
              <w:spacing w:after="0"/>
              <w:rPr>
                <w:sz w:val="20"/>
                <w:szCs w:val="20"/>
                <w:color w:val="auto"/>
              </w:rPr>
            </w:pPr>
            <w:r>
              <w:rPr>
                <w:rFonts w:ascii="Arial" w:cs="Arial" w:eastAsia="Arial" w:hAnsi="Arial"/>
                <w:sz w:val="14"/>
                <w:szCs w:val="14"/>
                <w:color w:val="auto"/>
              </w:rPr>
              <w:t>Act of 2002</w:t>
            </w: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10040" w:type="dxa"/>
            <w:vAlign w:val="bottom"/>
          </w:tcPr>
          <w:p>
            <w:pPr>
              <w:ind w:left="14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10040" w:type="dxa"/>
            <w:vAlign w:val="bottom"/>
          </w:tcPr>
          <w:p>
            <w:pPr>
              <w:ind w:left="14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10040" w:type="dxa"/>
            <w:vAlign w:val="bottom"/>
          </w:tcPr>
          <w:p>
            <w:pPr>
              <w:ind w:left="14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10040" w:type="dxa"/>
            <w:vAlign w:val="bottom"/>
          </w:tcPr>
          <w:p>
            <w:pPr>
              <w:ind w:left="14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10040" w:type="dxa"/>
            <w:vAlign w:val="bottom"/>
          </w:tcPr>
          <w:p>
            <w:pPr>
              <w:ind w:left="14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10040" w:type="dxa"/>
            <w:vAlign w:val="bottom"/>
          </w:tcPr>
          <w:p>
            <w:pPr>
              <w:ind w:left="140"/>
              <w:spacing w:after="0"/>
              <w:rPr>
                <w:sz w:val="20"/>
                <w:szCs w:val="20"/>
                <w:color w:val="auto"/>
              </w:rPr>
            </w:pPr>
            <w:r>
              <w:rPr>
                <w:rFonts w:ascii="Arial" w:cs="Arial" w:eastAsia="Arial" w:hAnsi="Arial"/>
                <w:sz w:val="14"/>
                <w:szCs w:val="14"/>
                <w:color w:val="auto"/>
              </w:rPr>
              <w:t>XBRL Instance Document</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90" w:lineRule="exact"/>
        <w:rPr>
          <w:sz w:val="20"/>
          <w:szCs w:val="20"/>
          <w:color w:val="auto"/>
        </w:rPr>
      </w:pPr>
    </w:p>
    <w:p>
      <w:pPr>
        <w:ind w:right="7200" w:firstLine="8"/>
        <w:spacing w:after="0" w:line="221" w:lineRule="auto"/>
        <w:tabs>
          <w:tab w:leader="none" w:pos="94" w:val="left"/>
        </w:tabs>
        <w:numPr>
          <w:ilvl w:val="0"/>
          <w:numId w:val="44"/>
        </w:numPr>
        <w:rPr>
          <w:rFonts w:ascii="Arial" w:cs="Arial" w:eastAsia="Arial" w:hAnsi="Arial"/>
          <w:sz w:val="23"/>
          <w:szCs w:val="23"/>
          <w:color w:val="auto"/>
          <w:vertAlign w:val="superscript"/>
        </w:rPr>
      </w:pPr>
      <w:r>
        <w:rPr>
          <w:rFonts w:ascii="Arial" w:cs="Arial" w:eastAsia="Arial" w:hAnsi="Arial"/>
          <w:sz w:val="13"/>
          <w:szCs w:val="13"/>
          <w:color w:val="auto"/>
        </w:rPr>
        <w:t xml:space="preserve">Indicates management compensatory plan, contract or arrangement. </w:t>
      </w:r>
      <w:r>
        <w:rPr>
          <w:rFonts w:ascii="Arial" w:cs="Arial" w:eastAsia="Arial" w:hAnsi="Arial"/>
          <w:sz w:val="17"/>
          <w:szCs w:val="17"/>
          <w:color w:val="auto"/>
        </w:rPr>
        <w:t xml:space="preserve">* </w:t>
      </w:r>
      <w:r>
        <w:rPr>
          <w:rFonts w:ascii="Arial" w:cs="Arial" w:eastAsia="Arial" w:hAnsi="Arial"/>
          <w:sz w:val="13"/>
          <w:szCs w:val="13"/>
          <w:color w:val="auto"/>
        </w:rPr>
        <w:t>Filed herewith.</w:t>
      </w:r>
    </w:p>
    <w:p>
      <w:pPr>
        <w:ind w:right="260"/>
        <w:spacing w:after="0" w:line="288" w:lineRule="auto"/>
        <w:rPr>
          <w:rFonts w:ascii="Arial" w:cs="Arial" w:eastAsia="Arial" w:hAnsi="Arial"/>
          <w:sz w:val="23"/>
          <w:szCs w:val="23"/>
          <w:color w:val="auto"/>
          <w:vertAlign w:val="superscript"/>
        </w:rPr>
      </w:pPr>
      <w:r>
        <w:rPr>
          <w:rFonts w:ascii="Arial" w:cs="Arial" w:eastAsia="Arial" w:hAnsi="Arial"/>
          <w:sz w:val="18"/>
          <w:szCs w:val="18"/>
          <w:color w:val="auto"/>
        </w:rPr>
        <w:t xml:space="preserve">** </w:t>
      </w:r>
      <w:r>
        <w:rPr>
          <w:rFonts w:ascii="Arial" w:cs="Arial" w:eastAsia="Arial" w:hAnsi="Arial"/>
          <w:sz w:val="14"/>
          <w:szCs w:val="14"/>
          <w:color w:val="auto"/>
        </w:rPr>
        <w:t>XBRL information is furnished and not filed for purposes of Sections 11 and 12 of the Securities Act of 1933 and Section 18 of the Securities Exchange Act of 1934, and is not subject to</w:t>
      </w:r>
      <w:r>
        <w:rPr>
          <w:rFonts w:ascii="Arial" w:cs="Arial" w:eastAsia="Arial" w:hAnsi="Arial"/>
          <w:sz w:val="18"/>
          <w:szCs w:val="18"/>
          <w:color w:val="auto"/>
        </w:rPr>
        <w:t xml:space="preserve"> </w:t>
      </w:r>
      <w:r>
        <w:rPr>
          <w:rFonts w:ascii="Arial" w:cs="Arial" w:eastAsia="Arial" w:hAnsi="Arial"/>
          <w:sz w:val="14"/>
          <w:szCs w:val="14"/>
          <w:color w:val="auto"/>
        </w:rPr>
        <w:t>liability under those sections, is not part of any registration statement or prospectus to which it relates and is not incorporated or deemed to be incorporated by reference into any registration statement, prospectus or other document.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113" w:right="45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253873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538730" cy="34290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November 9,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Nancy Bush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2061 Camino A Los Cerros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Nancy,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pleased to extend an offer to you for the position of VP, Corporate Controller for Fortinet, Inc. (“Company”) reporting to Ken Goldman, CFO. We believe that each employee contributes directly to Fortinet's growth and success, and we hope you will take pride in being a member of our team.</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understood that your employment would commence with the Company on or before December 5, 2011. Your compensation package will include the following:</w:t>
      </w:r>
    </w:p>
    <w:p>
      <w:pPr>
        <w:spacing w:after="0" w:line="170"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 base salary for $225,000.00 payable semi-monthly $9,375.00 in accordance with Company policy and procedures.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You will be eligible to participate in the Senior Management Bonus Plan which currently offers up to 20% bonus, paid quarterly, based on successful completion of Company and individual objectives.</w:t>
      </w:r>
    </w:p>
    <w:p>
      <w:pPr>
        <w:spacing w:after="0" w:line="170" w:lineRule="exact"/>
        <w:rPr>
          <w:rFonts w:ascii="Arial" w:cs="Arial" w:eastAsia="Arial" w:hAnsi="Arial"/>
          <w:sz w:val="18"/>
          <w:szCs w:val="18"/>
          <w:color w:val="auto"/>
        </w:rPr>
      </w:pPr>
    </w:p>
    <w:p>
      <w:pPr>
        <w:jc w:val="both"/>
        <w:ind w:left="980" w:hanging="324"/>
        <w:spacing w:after="0" w:line="290"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Management will recommend to the Company's Board of Directors that you will be granted options to purchase 60,000 shares of common stock of the Company, subject to the Company Board approval and to regulatory and other legal requirements, the terms and conditions of which shall be set forth in the Company's Stock Option Plan and Stock Option Agreement, as may be amended from time to time by the Company. Notwithstanding anything to the contrary herein, the granting of any stock options, the timing and exercise price of any grant and other terms of any grant shall be subject entirely to approval by the Company's Board of Directors, which approval shall be in the sole discretion of the Board, and shall be subject to the Company's determination that such grant, timing, exercise price and other terms are compliant with regulatory and other legal requirements, which determination shall be in the Company's sole discretion. The Company reserves the right to change the terms of such grant based on direction from the Board of Directors and based on regulatory and other legal requirements.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We're glad you chose Fortinet as a place to share your knowledge and expertise, and to grow your career. We believe that it is important to a healthy working relationship for both parties to understand the terms and conditions of employment before commencing employment. In order to ensure that both you and the Company have a common understanding, we have set forth some fundamental premises.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is a full time position with the understanding that during your employment you will not engage in outside consulting activities, whether compensated or not, which materially interfere with the performance of your job duties with the Company or create a conflict of interest, nor will you establish a competing business during your employment with the Company. Accordingly, you are required to obtain approval in writing from the Company before engaging in any employment or consulting services outside the Company while employed by Fortinet, Inc. so that the Company may determine if any conflict exists. You also confirm that you are not bound by any other agreement with any prior or current employer, person or entity which would prevent you from fully performing your duties with Fortinet, Inc.</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offer of employment is not for any specific period of time; instead your employment is at all times “at-will.” This means that you may terminate your employment with or without cause or prior notice, and the Company has the same right. In addition, the Company may change your compensation, duties, assignments, responsibilities or location of your position at any time to adjust to the changing needs of our dynamic company. These provisions expressly supersede any previous representations, oral or written.</w:t>
      </w:r>
    </w:p>
    <w:p>
      <w:pPr>
        <w:sectPr>
          <w:pgSz w:w="11900" w:h="16838" w:orient="portrait"/>
          <w:cols w:equalWidth="0" w:num="1">
            <w:col w:w="11420"/>
          </w:cols>
          <w:pgMar w:left="240" w:top="144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Your at-will employment status cannot be modified unless it is written and signed by both you and the Chief Executive Officer of the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Company employee you are eligible to receive health insurance coverage, which generally begins on the official hire date, through the Company insurance plan, and to participate in the Company's 401(k) plan, all of which may be modified or terminated from time to time. You are entitled to fifteen (15) accrued days of Paid Time Off (PTO) per year. Our comprehensive benefits information is enclosed for your reference with this letter. The Company shall also reimburse you for all agreed upon, reasonable business expenses incurred in the performance of your duties on behalf of the Company upon submission of expense reports as necessary to substantiate the Company's federal income tax deductions for such expenses under the Internal Revenue Code (as amended) and procedures as may be established by the Board of Directors of the Company.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offer of employment is subject to your signing of “Fortinet Confidentiality Agreement” on your first day of employment at Fortinet, Inc., as well as your agreement to follow all other policies and procedures that the Company may announce from time to time. </w:t>
      </w:r>
      <w:r>
        <w:rPr>
          <w:rFonts w:ascii="Arial" w:cs="Arial" w:eastAsia="Arial" w:hAnsi="Arial"/>
          <w:sz w:val="18"/>
          <w:szCs w:val="18"/>
          <w:b w:val="1"/>
          <w:bCs w:val="1"/>
          <w:color w:val="auto"/>
        </w:rPr>
        <w:t>This offer is also contingent upon proof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identity and work eligibility. Under the Immigration and Reform Act of 1986, employers are required to verify the identity and employment eligibility of all new hires within three (3) business days of hire. To assist us in complying with this requirement </w:t>
      </w:r>
      <w:r>
        <w:rPr>
          <w:rFonts w:ascii="Arial" w:cs="Arial" w:eastAsia="Arial" w:hAnsi="Arial"/>
          <w:sz w:val="18"/>
          <w:szCs w:val="18"/>
          <w:b w:val="1"/>
          <w:bCs w:val="1"/>
          <w:u w:val="single" w:color="auto"/>
          <w:color w:val="auto"/>
        </w:rPr>
        <w:t>please bring appropriate documents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with you on your first day</w:t>
      </w:r>
      <w:r>
        <w:rPr>
          <w:rFonts w:ascii="Arial" w:cs="Arial" w:eastAsia="Arial" w:hAnsi="Arial"/>
          <w:sz w:val="18"/>
          <w:szCs w:val="18"/>
          <w:b w:val="1"/>
          <w:bCs w:val="1"/>
          <w:color w:val="auto"/>
        </w:rPr>
        <w: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some instances, U.S. export control laws require that Fortinet obtain a U.S. government export license prior to releasing technologies to certain persons. This offer is contingent upon Fortinet's ability to satisfy these export control laws as related to your employment and anticipated job activities. The decision whether or not to submit and/or pursue an export license to satisfy this contingency, if applicable, shall be at Fortinet's sole election.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offer is also contingent upon successful completion of a background check.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Please sign and date this letter below and return to the hiring manager to indicate your acceptance of the Company's offer. This offer will stay open until 5:00 p.m. (PDT) </w:t>
      </w:r>
      <w:r>
        <w:rPr>
          <w:rFonts w:ascii="Arial" w:cs="Arial" w:eastAsia="Arial" w:hAnsi="Arial"/>
          <w:sz w:val="18"/>
          <w:szCs w:val="18"/>
          <w:b w:val="1"/>
          <w:bCs w:val="1"/>
          <w:color w:val="auto"/>
        </w:rPr>
        <w:t>Friday November 11,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working with you at Fortinet,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Sincerely,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Fortinet,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533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3593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4560" w:val="left"/>
        </w:tabs>
        <w:rPr>
          <w:sz w:val="20"/>
          <w:szCs w:val="20"/>
          <w:color w:val="auto"/>
        </w:rPr>
      </w:pPr>
      <w:r>
        <w:rPr>
          <w:rFonts w:ascii="Arial" w:cs="Arial" w:eastAsia="Arial" w:hAnsi="Arial"/>
          <w:sz w:val="18"/>
          <w:szCs w:val="18"/>
          <w:color w:val="auto"/>
        </w:rPr>
        <w:t>Nancy Bush</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LIST OF SUBSIDIARIES OF REGISTRANT</w:t>
      </w:r>
    </w:p>
    <w:p>
      <w:pPr>
        <w:spacing w:after="0" w:line="1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gridSpan w:val="2"/>
          </w:tcPr>
          <w:p>
            <w:pPr>
              <w:ind w:left="4540"/>
              <w:spacing w:after="0"/>
              <w:rPr>
                <w:sz w:val="20"/>
                <w:szCs w:val="20"/>
                <w:color w:val="auto"/>
              </w:rPr>
            </w:pPr>
            <w:r>
              <w:rPr>
                <w:rFonts w:ascii="Arial" w:cs="Arial" w:eastAsia="Arial" w:hAnsi="Arial"/>
                <w:sz w:val="18"/>
                <w:szCs w:val="18"/>
                <w:b w:val="1"/>
                <w:bCs w:val="1"/>
                <w:color w:val="auto"/>
                <w:w w:val="91"/>
              </w:rPr>
              <w:t>Exhibit 21.1</w:t>
            </w:r>
          </w:p>
        </w:tc>
      </w:tr>
      <w:tr>
        <w:trPr>
          <w:trHeight w:val="358"/>
        </w:trPr>
        <w:tc>
          <w:tcPr>
            <w:tcW w:w="3820" w:type="dxa"/>
            <w:vAlign w:val="bottom"/>
          </w:tcPr>
          <w:p>
            <w:pPr>
              <w:spacing w:after="0"/>
              <w:rPr>
                <w:sz w:val="24"/>
                <w:szCs w:val="24"/>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b w:val="1"/>
                <w:bCs w:val="1"/>
                <w:color w:val="auto"/>
              </w:rPr>
              <w:t>FORTINET, INC. SUBSIDIARIES</w:t>
            </w:r>
          </w:p>
        </w:tc>
      </w:tr>
      <w:tr>
        <w:trPr>
          <w:trHeight w:val="378"/>
        </w:trPr>
        <w:tc>
          <w:tcPr>
            <w:tcW w:w="3820" w:type="dxa"/>
            <w:vAlign w:val="bottom"/>
          </w:tcPr>
          <w:p>
            <w:pPr>
              <w:ind w:left="20"/>
              <w:spacing w:after="0"/>
              <w:rPr>
                <w:sz w:val="20"/>
                <w:szCs w:val="20"/>
                <w:color w:val="auto"/>
              </w:rPr>
            </w:pPr>
            <w:r>
              <w:rPr>
                <w:rFonts w:ascii="Arial" w:cs="Arial" w:eastAsia="Arial" w:hAnsi="Arial"/>
                <w:sz w:val="18"/>
                <w:szCs w:val="18"/>
                <w:color w:val="auto"/>
              </w:rPr>
              <w:t>Entity</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Jurisdiction of Incorporation</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r>
      <w:tr>
        <w:trPr>
          <w:trHeight w:val="156"/>
        </w:trPr>
        <w:tc>
          <w:tcPr>
            <w:tcW w:w="38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International,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Cayman Islands</w:t>
            </w:r>
          </w:p>
        </w:tc>
        <w:tc>
          <w:tcPr>
            <w:tcW w:w="480" w:type="dxa"/>
            <w:vAlign w:val="bottom"/>
          </w:tcPr>
          <w:p>
            <w:pPr>
              <w:spacing w:after="0"/>
              <w:rPr>
                <w:sz w:val="21"/>
                <w:szCs w:val="21"/>
                <w:color w:val="auto"/>
              </w:rPr>
            </w:pPr>
          </w:p>
        </w:tc>
      </w:tr>
      <w:tr>
        <w:trPr>
          <w:trHeight w:val="162"/>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2"/>
          </w:tcPr>
          <w:p>
            <w:pPr>
              <w:spacing w:after="0"/>
              <w:rPr>
                <w:sz w:val="14"/>
                <w:szCs w:val="14"/>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UK,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480" w:type="dxa"/>
            <w:vAlign w:val="bottom"/>
          </w:tcPr>
          <w:p>
            <w:pPr>
              <w:spacing w:after="0"/>
              <w:rPr>
                <w:sz w:val="21"/>
                <w:szCs w:val="21"/>
                <w:color w:val="auto"/>
              </w:rPr>
            </w:pPr>
          </w:p>
        </w:tc>
      </w:tr>
      <w:tr>
        <w:trPr>
          <w:trHeight w:val="162"/>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2"/>
          </w:tcPr>
          <w:p>
            <w:pPr>
              <w:spacing w:after="0"/>
              <w:rPr>
                <w:sz w:val="14"/>
                <w:szCs w:val="14"/>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(Canada),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480" w:type="dxa"/>
            <w:vAlign w:val="bottom"/>
          </w:tcPr>
          <w:p>
            <w:pPr>
              <w:spacing w:after="0"/>
              <w:rPr>
                <w:sz w:val="21"/>
                <w:szCs w:val="21"/>
                <w:color w:val="auto"/>
              </w:rPr>
            </w:pPr>
          </w:p>
        </w:tc>
      </w:tr>
      <w:tr>
        <w:trPr>
          <w:trHeight w:val="162"/>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2"/>
          </w:tcPr>
          <w:p>
            <w:pPr>
              <w:spacing w:after="0"/>
              <w:rPr>
                <w:sz w:val="14"/>
                <w:szCs w:val="14"/>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Japan K.K.</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480" w:type="dxa"/>
            <w:vAlign w:val="bottom"/>
          </w:tcPr>
          <w:p>
            <w:pPr>
              <w:spacing w:after="0"/>
              <w:rPr>
                <w:sz w:val="21"/>
                <w:szCs w:val="21"/>
                <w:color w:val="auto"/>
              </w:rPr>
            </w:pPr>
          </w:p>
        </w:tc>
      </w:tr>
      <w:tr>
        <w:trPr>
          <w:trHeight w:val="162"/>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2"/>
          </w:tcPr>
          <w:p>
            <w:pPr>
              <w:spacing w:after="0"/>
              <w:rPr>
                <w:sz w:val="14"/>
                <w:szCs w:val="14"/>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Fortinet Information Technology (Beijing) Co.,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480" w:type="dxa"/>
            <w:vAlign w:val="bottom"/>
          </w:tcPr>
          <w:p>
            <w:pPr>
              <w:spacing w:after="0"/>
              <w:rPr>
                <w:sz w:val="21"/>
                <w:szCs w:val="21"/>
                <w:color w:val="auto"/>
              </w:rPr>
            </w:pPr>
          </w:p>
        </w:tc>
      </w:tr>
      <w:tr>
        <w:trPr>
          <w:trHeight w:val="162"/>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2"/>
          </w:tcPr>
          <w:p>
            <w:pPr>
              <w:spacing w:after="0"/>
              <w:rPr>
                <w:sz w:val="14"/>
                <w:szCs w:val="14"/>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Fortinet Information Technology (Tianjin) Co.,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480" w:type="dxa"/>
            <w:vAlign w:val="bottom"/>
          </w:tcPr>
          <w:p>
            <w:pPr>
              <w:spacing w:after="0"/>
              <w:rPr>
                <w:sz w:val="21"/>
                <w:szCs w:val="21"/>
                <w:color w:val="auto"/>
              </w:rPr>
            </w:pPr>
          </w:p>
        </w:tc>
      </w:tr>
      <w:tr>
        <w:trPr>
          <w:trHeight w:val="162"/>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2"/>
          </w:tcPr>
          <w:p>
            <w:pPr>
              <w:spacing w:after="0"/>
              <w:rPr>
                <w:sz w:val="14"/>
                <w:szCs w:val="14"/>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Malaysia SDN. BHD.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Malaysia</w:t>
            </w:r>
          </w:p>
        </w:tc>
        <w:tc>
          <w:tcPr>
            <w:tcW w:w="480" w:type="dxa"/>
            <w:vAlign w:val="bottom"/>
          </w:tcPr>
          <w:p>
            <w:pPr>
              <w:spacing w:after="0"/>
              <w:rPr>
                <w:sz w:val="21"/>
                <w:szCs w:val="21"/>
                <w:color w:val="auto"/>
              </w:rPr>
            </w:pPr>
          </w:p>
        </w:tc>
      </w:tr>
      <w:tr>
        <w:trPr>
          <w:trHeight w:val="162"/>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2"/>
          </w:tcPr>
          <w:p>
            <w:pPr>
              <w:spacing w:after="0"/>
              <w:rPr>
                <w:sz w:val="14"/>
                <w:szCs w:val="14"/>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Singapore Private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480" w:type="dxa"/>
            <w:vAlign w:val="bottom"/>
          </w:tcPr>
          <w:p>
            <w:pPr>
              <w:spacing w:after="0"/>
              <w:rPr>
                <w:sz w:val="21"/>
                <w:szCs w:val="21"/>
                <w:color w:val="auto"/>
              </w:rPr>
            </w:pPr>
          </w:p>
        </w:tc>
      </w:tr>
      <w:tr>
        <w:trPr>
          <w:trHeight w:val="162"/>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2"/>
          </w:tcPr>
          <w:p>
            <w:pPr>
              <w:spacing w:after="0"/>
              <w:rPr>
                <w:sz w:val="14"/>
                <w:szCs w:val="14"/>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India Private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480" w:type="dxa"/>
            <w:vAlign w:val="bottom"/>
          </w:tcPr>
          <w:p>
            <w:pPr>
              <w:spacing w:after="0"/>
              <w:rPr>
                <w:sz w:val="21"/>
                <w:szCs w:val="21"/>
                <w:color w:val="auto"/>
              </w:rPr>
            </w:pPr>
          </w:p>
        </w:tc>
      </w:tr>
      <w:tr>
        <w:trPr>
          <w:trHeight w:val="162"/>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2"/>
          </w:tcPr>
          <w:p>
            <w:pPr>
              <w:spacing w:after="0"/>
              <w:rPr>
                <w:sz w:val="14"/>
                <w:szCs w:val="14"/>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S.A.R.L.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480" w:type="dxa"/>
            <w:vAlign w:val="bottom"/>
          </w:tcPr>
          <w:p>
            <w:pPr>
              <w:spacing w:after="0"/>
              <w:rPr>
                <w:sz w:val="21"/>
                <w:szCs w:val="21"/>
                <w:color w:val="auto"/>
              </w:rPr>
            </w:pPr>
          </w:p>
        </w:tc>
      </w:tr>
      <w:tr>
        <w:trPr>
          <w:trHeight w:val="162"/>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2"/>
          </w:tcPr>
          <w:p>
            <w:pPr>
              <w:spacing w:after="0"/>
              <w:rPr>
                <w:sz w:val="14"/>
                <w:szCs w:val="14"/>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GmbH</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480" w:type="dxa"/>
            <w:vAlign w:val="bottom"/>
          </w:tcPr>
          <w:p>
            <w:pPr>
              <w:spacing w:after="0"/>
              <w:rPr>
                <w:sz w:val="21"/>
                <w:szCs w:val="21"/>
                <w:color w:val="auto"/>
              </w:rPr>
            </w:pPr>
          </w:p>
        </w:tc>
      </w:tr>
      <w:tr>
        <w:trPr>
          <w:trHeight w:val="122"/>
        </w:trPr>
        <w:tc>
          <w:tcPr>
            <w:tcW w:w="38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80" w:type="dxa"/>
            <w:vAlign w:val="bottom"/>
            <w:gridSpan w:val="2"/>
          </w:tcPr>
          <w:p>
            <w:pPr>
              <w:spacing w:after="0"/>
              <w:rPr>
                <w:sz w:val="10"/>
                <w:szCs w:val="10"/>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Fortinet Federal, Inc.</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w:t>
            </w:r>
          </w:p>
        </w:tc>
        <w:tc>
          <w:tcPr>
            <w:tcW w:w="480" w:type="dxa"/>
            <w:vAlign w:val="bottom"/>
          </w:tcPr>
          <w:p>
            <w:pPr>
              <w:spacing w:after="0"/>
              <w:rPr>
                <w:sz w:val="21"/>
                <w:szCs w:val="21"/>
                <w:color w:val="auto"/>
              </w:rPr>
            </w:pPr>
          </w:p>
        </w:tc>
      </w:tr>
      <w:tr>
        <w:trPr>
          <w:trHeight w:val="27"/>
        </w:trPr>
        <w:tc>
          <w:tcPr>
            <w:tcW w:w="38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480" w:type="dxa"/>
            <w:vAlign w:val="bottom"/>
          </w:tcPr>
          <w:p>
            <w:pPr>
              <w:spacing w:after="0"/>
              <w:rPr>
                <w:sz w:val="2"/>
                <w:szCs w:val="2"/>
                <w:color w:val="auto"/>
              </w:rPr>
            </w:pPr>
          </w:p>
        </w:tc>
      </w:tr>
    </w:tbl>
    <w:p>
      <w:pPr>
        <w:sectPr>
          <w:pgSz w:w="11900" w:h="16838" w:orient="portrait"/>
          <w:cols w:equalWidth="0" w:num="1">
            <w:col w:w="11420"/>
          </w:cols>
          <w:pgMar w:left="240" w:top="59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consent to the incorporation by reference in Registration Statement Nos. 333-163367, 333-172459, 333-175985 and 333-179751 on Form S-8 of our reports dated February 27, 2013, relating to the consolidated financial statements and consolidated financial statement schedule of Fortinet, Inc. and subsidiaries (collectively, the “Company”) which report expresses an unqualified opinion and includes an explanatory paragraph relating to the change in the Company’s method for recognizing revenue for multiple element arrangements, and the effectiveness of the Company’s internal control over financial reporting, appearing in this Annual Report on Form 10-K of the Company for the year ended December 31, 2012.</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President, Chief Executive Officer and Chairman of the Board</w:t>
      </w:r>
    </w:p>
    <w:p>
      <w:pPr>
        <w:spacing w:after="0" w:line="3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of Directors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04" w:name="page105"/>
    <w:bookmarkEnd w:id="10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Nancy Bush,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Nancy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Nancy Bush</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Vice President and Interim 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CERTIFICATIONS OF CHIEF EXECUTIVE OFFICER AND INTERIM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Annual Report on Form 10-K of Fortinet, Inc. for the fiscal year ended December 31, 2012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3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Date:  February 27, 2013</w:t>
            </w:r>
          </w:p>
        </w:tc>
        <w:tc>
          <w:tcPr>
            <w:tcW w:w="2720" w:type="dxa"/>
            <w:vAlign w:val="bottom"/>
          </w:tcPr>
          <w:p>
            <w:pPr>
              <w:ind w:left="208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39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4"/>
              </w:rPr>
              <w:t>President, Chief Executive Officer and Chairman of the Board</w:t>
            </w:r>
          </w:p>
        </w:tc>
      </w:tr>
      <w:tr>
        <w:trPr>
          <w:trHeight w:val="216"/>
        </w:trPr>
        <w:tc>
          <w:tcPr>
            <w:tcW w:w="3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of Directors</w:t>
            </w:r>
          </w:p>
        </w:tc>
      </w:tr>
      <w:tr>
        <w:trPr>
          <w:trHeight w:val="230"/>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 Nancy Bush, certify, pursuant to 18 U.S.C. Section 1350, as adopted pursuant to Section 906 of the Sarbanes-Oxley Act of 2002, that the Annual Report on Form 10-K of Fortinet, Inc. for the fiscal year ended December 31, 2012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Nancy Bush</w:t>
            </w:r>
          </w:p>
        </w:tc>
      </w:tr>
      <w:tr>
        <w:trPr>
          <w:trHeight w:val="27"/>
        </w:trPr>
        <w:tc>
          <w:tcPr>
            <w:tcW w:w="3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Date:  February 27, 2013</w:t>
            </w:r>
          </w:p>
        </w:tc>
        <w:tc>
          <w:tcPr>
            <w:tcW w:w="2720" w:type="dxa"/>
            <w:vAlign w:val="bottom"/>
          </w:tcPr>
          <w:p>
            <w:pPr>
              <w:ind w:left="208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Nancy Bush</w:t>
            </w:r>
          </w:p>
        </w:tc>
      </w:tr>
      <w:tr>
        <w:trPr>
          <w:trHeight w:val="256"/>
        </w:trPr>
        <w:tc>
          <w:tcPr>
            <w:tcW w:w="39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Vice President and Interim Chief Financial Officer</w:t>
            </w:r>
          </w:p>
        </w:tc>
      </w:tr>
      <w:tr>
        <w:trPr>
          <w:trHeight w:val="230"/>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T"/>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lowerRoman"/>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4"/>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2"/>
    </w:lvl>
  </w:abstractNum>
  <w:abstractNum w:abstractNumId="35">
    <w:nsid w:val="3855585C"/>
    <w:multiLevelType w:val="hybridMultilevel"/>
    <w:lvl w:ilvl="0">
      <w:lvlJc w:val="left"/>
      <w:lvlText w:val="(%1)"/>
      <w:numFmt w:val="decimal"/>
      <w:start w:val="3"/>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lowerRoman"/>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3"/>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2019-12-07T05:41:24Z</dcterms:created>
  <dcterms:modified xsi:type="dcterms:W3CDTF">2019-12-07T05:41:24Z</dcterms:modified>
</cp:coreProperties>
</file>