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48" w:lineRule="exact"/>
        <w:rPr>
          <w:sz w:val="24"/>
          <w:szCs w:val="24"/>
          <w:color w:val="auto"/>
        </w:rPr>
      </w:pPr>
    </w:p>
    <w:p>
      <w:pPr>
        <w:ind w:left="3660" w:right="1660" w:hanging="3634"/>
        <w:spacing w:after="0" w:line="394" w:lineRule="auto"/>
        <w:tabs>
          <w:tab w:leader="none" w:pos="409"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8"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6360" w:type="dxa"/>
            <w:vAlign w:val="bottom"/>
          </w:tcPr>
          <w:p>
            <w:pPr>
              <w:jc w:val="center"/>
              <w:ind w:right="18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2340" w:type="dxa"/>
            <w:vAlign w:val="bottom"/>
          </w:tcPr>
          <w:p>
            <w:pPr>
              <w:spacing w:after="0"/>
              <w:rPr>
                <w:sz w:val="18"/>
                <w:szCs w:val="18"/>
                <w:color w:val="auto"/>
              </w:rPr>
            </w:pPr>
          </w:p>
        </w:tc>
        <w:tc>
          <w:tcPr>
            <w:tcW w:w="6360" w:type="dxa"/>
            <w:vAlign w:val="bottom"/>
          </w:tcPr>
          <w:p>
            <w:pPr>
              <w:jc w:val="right"/>
              <w:ind w:right="2331"/>
              <w:spacing w:after="0"/>
              <w:rPr>
                <w:sz w:val="20"/>
                <w:szCs w:val="20"/>
                <w:color w:val="auto"/>
              </w:rPr>
            </w:pPr>
            <w:r>
              <w:rPr>
                <w:rFonts w:ascii="Arial" w:cs="Arial" w:eastAsia="Arial" w:hAnsi="Arial"/>
                <w:sz w:val="18"/>
                <w:szCs w:val="18"/>
                <w:color w:val="auto"/>
              </w:rPr>
              <w:t>______________________________________</w:t>
            </w:r>
          </w:p>
        </w:tc>
      </w:tr>
      <w:tr>
        <w:trPr>
          <w:trHeight w:val="306"/>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25"/>
                <w:szCs w:val="25"/>
                <w:b w:val="1"/>
                <w:bCs w:val="1"/>
                <w:color w:val="auto"/>
              </w:rPr>
              <w:t>FORTINET, INC.</w:t>
            </w:r>
          </w:p>
        </w:tc>
      </w:tr>
      <w:tr>
        <w:trPr>
          <w:trHeight w:val="193"/>
        </w:trPr>
        <w:tc>
          <w:tcPr>
            <w:tcW w:w="2340" w:type="dxa"/>
            <w:vAlign w:val="bottom"/>
          </w:tcPr>
          <w:p>
            <w:pPr>
              <w:spacing w:after="0"/>
              <w:rPr>
                <w:sz w:val="16"/>
                <w:szCs w:val="16"/>
                <w:color w:val="auto"/>
              </w:rPr>
            </w:pPr>
          </w:p>
        </w:tc>
        <w:tc>
          <w:tcPr>
            <w:tcW w:w="6360" w:type="dxa"/>
            <w:vAlign w:val="bottom"/>
          </w:tcPr>
          <w:p>
            <w:pPr>
              <w:jc w:val="center"/>
              <w:ind w:right="18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2340" w:type="dxa"/>
            <w:vAlign w:val="bottom"/>
          </w:tcPr>
          <w:p>
            <w:pPr>
              <w:spacing w:after="0"/>
              <w:rPr>
                <w:sz w:val="17"/>
                <w:szCs w:val="17"/>
                <w:color w:val="auto"/>
              </w:rPr>
            </w:pPr>
          </w:p>
        </w:tc>
        <w:tc>
          <w:tcPr>
            <w:tcW w:w="6360" w:type="dxa"/>
            <w:vAlign w:val="bottom"/>
          </w:tcPr>
          <w:p>
            <w:pPr>
              <w:jc w:val="right"/>
              <w:ind w:right="2511"/>
              <w:spacing w:after="0"/>
              <w:rPr>
                <w:sz w:val="20"/>
                <w:szCs w:val="20"/>
                <w:color w:val="auto"/>
              </w:rPr>
            </w:pPr>
            <w:r>
              <w:rPr>
                <w:rFonts w:ascii="Arial" w:cs="Arial" w:eastAsia="Arial" w:hAnsi="Arial"/>
                <w:sz w:val="16"/>
                <w:szCs w:val="16"/>
                <w:color w:val="auto"/>
              </w:rPr>
              <w:t>______________________________________</w:t>
            </w:r>
          </w:p>
        </w:tc>
      </w:tr>
      <w:tr>
        <w:trPr>
          <w:trHeight w:val="681"/>
        </w:trPr>
        <w:tc>
          <w:tcPr>
            <w:tcW w:w="2340" w:type="dxa"/>
            <w:vAlign w:val="bottom"/>
          </w:tcPr>
          <w:p>
            <w:pPr>
              <w:jc w:val="center"/>
              <w:ind w:right="136"/>
              <w:spacing w:after="0"/>
              <w:rPr>
                <w:sz w:val="20"/>
                <w:szCs w:val="20"/>
                <w:color w:val="auto"/>
              </w:rPr>
            </w:pPr>
            <w:r>
              <w:rPr>
                <w:rFonts w:ascii="Arial" w:cs="Arial" w:eastAsia="Arial" w:hAnsi="Arial"/>
                <w:sz w:val="18"/>
                <w:szCs w:val="18"/>
                <w:b w:val="1"/>
                <w:bCs w:val="1"/>
                <w:color w:val="auto"/>
                <w:w w:val="91"/>
              </w:rPr>
              <w:t>Delaware</w:t>
            </w:r>
          </w:p>
        </w:tc>
        <w:tc>
          <w:tcPr>
            <w:tcW w:w="6360" w:type="dxa"/>
            <w:vAlign w:val="bottom"/>
          </w:tcPr>
          <w:p>
            <w:pPr>
              <w:jc w:val="center"/>
              <w:ind w:left="4991"/>
              <w:spacing w:after="0"/>
              <w:rPr>
                <w:sz w:val="20"/>
                <w:szCs w:val="20"/>
                <w:color w:val="auto"/>
              </w:rPr>
            </w:pPr>
            <w:r>
              <w:rPr>
                <w:rFonts w:ascii="Arial" w:cs="Arial" w:eastAsia="Arial" w:hAnsi="Arial"/>
                <w:sz w:val="18"/>
                <w:szCs w:val="18"/>
                <w:b w:val="1"/>
                <w:bCs w:val="1"/>
                <w:color w:val="auto"/>
                <w:w w:val="91"/>
              </w:rPr>
              <w:t>77-0560389</w:t>
            </w:r>
          </w:p>
        </w:tc>
      </w:tr>
      <w:tr>
        <w:trPr>
          <w:trHeight w:val="203"/>
        </w:trPr>
        <w:tc>
          <w:tcPr>
            <w:tcW w:w="234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(State or other jurisdiction of</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34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incorporation or organization)</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Identification No.)</w:t>
            </w:r>
          </w:p>
        </w:tc>
      </w:tr>
      <w:tr>
        <w:trPr>
          <w:trHeight w:val="608"/>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18"/>
                <w:szCs w:val="18"/>
                <w:b w:val="1"/>
                <w:bCs w:val="1"/>
                <w:color w:val="auto"/>
                <w:w w:val="93"/>
              </w:rPr>
              <w:t>899 Kifer Road</w:t>
            </w:r>
          </w:p>
        </w:tc>
      </w:tr>
      <w:tr>
        <w:trPr>
          <w:trHeight w:val="180"/>
        </w:trPr>
        <w:tc>
          <w:tcPr>
            <w:tcW w:w="2340" w:type="dxa"/>
            <w:vAlign w:val="bottom"/>
          </w:tcPr>
          <w:p>
            <w:pPr>
              <w:spacing w:after="0"/>
              <w:rPr>
                <w:sz w:val="15"/>
                <w:szCs w:val="15"/>
                <w:color w:val="auto"/>
              </w:rPr>
            </w:pPr>
          </w:p>
        </w:tc>
        <w:tc>
          <w:tcPr>
            <w:tcW w:w="6360" w:type="dxa"/>
            <w:vAlign w:val="bottom"/>
          </w:tcPr>
          <w:p>
            <w:pPr>
              <w:jc w:val="center"/>
              <w:ind w:right="181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r>
      <w:tr>
        <w:trPr>
          <w:trHeight w:val="210"/>
        </w:trPr>
        <w:tc>
          <w:tcPr>
            <w:tcW w:w="2340" w:type="dxa"/>
            <w:vAlign w:val="bottom"/>
          </w:tcPr>
          <w:p>
            <w:pPr>
              <w:spacing w:after="0"/>
              <w:rPr>
                <w:sz w:val="18"/>
                <w:szCs w:val="18"/>
                <w:color w:val="auto"/>
              </w:rPr>
            </w:pPr>
          </w:p>
        </w:tc>
        <w:tc>
          <w:tcPr>
            <w:tcW w:w="6360" w:type="dxa"/>
            <w:vAlign w:val="bottom"/>
          </w:tcPr>
          <w:p>
            <w:pPr>
              <w:jc w:val="center"/>
              <w:ind w:right="18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bl>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Common Stock, $0.001 Par Value</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FTNT</w:t>
      </w:r>
    </w:p>
    <w:p>
      <w:pPr>
        <w:spacing w:after="0" w:line="32"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The Nasdaq Stock Market LLC</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222" w:lineRule="exact"/>
        <w:rPr>
          <w:sz w:val="24"/>
          <w:szCs w:val="24"/>
          <w:color w:val="auto"/>
        </w:rPr>
      </w:pPr>
    </w:p>
    <w:p>
      <w:pPr>
        <w:sectPr>
          <w:pgSz w:w="11900" w:h="16838" w:orient="portrait"/>
          <w:cols w:equalWidth="0" w:num="3">
            <w:col w:w="4260" w:space="720"/>
            <w:col w:w="2280" w:space="720"/>
            <w:col w:w="3220"/>
          </w:cols>
          <w:pgMar w:left="320" w:top="229" w:right="379" w:bottom="1440" w:gutter="0" w:footer="0" w:header="0"/>
          <w:type w:val="continuous"/>
        </w:sectPr>
      </w:pPr>
    </w:p>
    <w:p>
      <w:pPr>
        <w:spacing w:after="0" w:line="155"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November 5, 2021, there were 163,499,790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September 30, 2021 and December 31,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32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 for the Three and Nine Months Ended September 30, 2021 and 2020</w:t>
              </w:r>
            </w:hyperlink>
          </w:p>
        </w:tc>
        <w:tc>
          <w:tcPr>
            <w:tcW w:w="132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for the Three and Nine Months Ended September 30, 2021 and 2020</w:t>
              </w:r>
            </w:hyperlink>
          </w:p>
        </w:tc>
        <w:tc>
          <w:tcPr>
            <w:tcW w:w="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 for the Three and Nine Months Ended September 30, 2021 and 2020</w:t>
              </w:r>
            </w:hyperlink>
          </w:p>
        </w:tc>
        <w:tc>
          <w:tcPr>
            <w:tcW w:w="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920" w:type="dxa"/>
            <w:vAlign w:val="bottom"/>
            <w:gridSpan w:val="13"/>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for the Nine Months Ended September 30, 2021 and 2020</w:t>
              </w:r>
            </w:hyperlink>
          </w:p>
        </w:tc>
        <w:tc>
          <w:tcPr>
            <w:tcW w:w="4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920" w:type="dxa"/>
            <w:vAlign w:val="bottom"/>
            <w:gridSpan w:val="1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720" w:type="dxa"/>
            <w:vAlign w:val="bottom"/>
            <w:gridSpan w:val="3"/>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2"/>
          </w:tcPr>
          <w:p>
            <w:pPr>
              <w:spacing w:after="0"/>
              <w:rPr>
                <w:sz w:val="18"/>
                <w:szCs w:val="18"/>
                <w:color w:val="auto"/>
              </w:rPr>
            </w:pPr>
          </w:p>
        </w:tc>
        <w:tc>
          <w:tcPr>
            <w:tcW w:w="32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64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6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Unregistered Sales of Equity Securities and Use of Proceeds</w:t>
              </w:r>
            </w:hyperlink>
          </w:p>
        </w:tc>
        <w:tc>
          <w:tcPr>
            <w:tcW w:w="530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Exhibits</w:t>
              </w:r>
            </w:hyperlink>
          </w:p>
        </w:tc>
        <w:tc>
          <w:tcPr>
            <w:tcW w:w="904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Exhibit Index</w:t>
              </w:r>
            </w:hyperlink>
          </w:p>
        </w:tc>
        <w:tc>
          <w:tcPr>
            <w:tcW w:w="86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c>
          <w:tcPr>
            <w:tcW w:w="20" w:type="dxa"/>
            <w:vAlign w:val="bottom"/>
          </w:tcPr>
          <w:p>
            <w:pPr>
              <w:spacing w:after="0"/>
              <w:rPr>
                <w:sz w:val="18"/>
                <w:szCs w:val="18"/>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payroll and compensation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8"/>
              </w:rPr>
              <w:t>Common stock, $0.001 par value—300.0 shares authorized; 163.4 and 162.5 shares issued and</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Fortinet, Inc. stockholders’ equity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w:t>
            </w: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900" w:type="dxa"/>
            <w:vAlign w:val="bottom"/>
          </w:tcPr>
          <w:p>
            <w:pPr>
              <w:ind w:left="20"/>
              <w:spacing w:after="0" w:line="156" w:lineRule="exact"/>
              <w:rPr>
                <w:sz w:val="20"/>
                <w:szCs w:val="20"/>
                <w:color w:val="auto"/>
              </w:rPr>
            </w:pPr>
            <w:r>
              <w:rPr>
                <w:rFonts w:ascii="Arial" w:cs="Arial" w:eastAsia="Arial" w:hAnsi="Arial"/>
                <w:sz w:val="18"/>
                <w:szCs w:val="18"/>
                <w:color w:val="auto"/>
              </w:rPr>
              <w:t>NET INCOME INCLUDING NON-CONTROLLING</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NON-</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NET OF TAX</w:t>
            </w: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per share attributable to Fortinet, Inc. common</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(Note 9):</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Weighted-average shares used to compute net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attributable to Fortinet, Inc. common stockholders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32"/>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Less: tax provision (benefit) related to items of other</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or loss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w w:val="95"/>
              </w:rPr>
              <w:t>Less: comprehensive loss attributable to non-controlling interests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w w:val="92"/>
              </w:rPr>
              <w:t>Three Months Ended September 30, 2021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right"/>
              <w:ind w:right="1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$ 1,245.8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176"/>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Recognition of non-controlling interests upon business</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combination</w:t>
            </w:r>
          </w:p>
        </w:tc>
        <w:tc>
          <w:tcPr>
            <w:tcW w:w="8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w w:val="92"/>
              </w:rPr>
              <w:t>Three Months Ended September 30, 2020</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$ 1,154.3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175"/>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BALANCE—September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$ 1,178.5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w w:val="95"/>
              </w:rPr>
              <w:t>Nine Months Ended September 30, 2021</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Other</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7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$ 1,207.2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176"/>
        </w:trPr>
        <w:tc>
          <w:tcPr>
            <w:tcW w:w="4420" w:type="dxa"/>
            <w:vAlign w:val="bottom"/>
          </w:tcPr>
          <w:p>
            <w:pPr>
              <w:ind w:left="20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Recognition of non-controlling interests upon business</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combination</w:t>
            </w:r>
          </w:p>
        </w:tc>
        <w:tc>
          <w:tcPr>
            <w:tcW w:w="8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Net unrealized loss on investments -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4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w w:val="95"/>
              </w:rPr>
              <w:t>Nine Months Ended September 30, 2020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7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176"/>
        </w:trPr>
        <w:tc>
          <w:tcPr>
            <w:tcW w:w="4420" w:type="dxa"/>
            <w:vAlign w:val="bottom"/>
          </w:tcPr>
          <w:p>
            <w:pPr>
              <w:ind w:left="20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(1,046.0)</w:t>
            </w:r>
          </w:p>
        </w:tc>
        <w:tc>
          <w:tcPr>
            <w:tcW w:w="0" w:type="dxa"/>
            <w:vAlign w:val="bottom"/>
          </w:tcPr>
          <w:p>
            <w:pPr>
              <w:spacing w:after="0"/>
              <w:rPr>
                <w:sz w:val="1"/>
                <w:szCs w:val="1"/>
                <w:color w:val="auto"/>
              </w:rPr>
            </w:pPr>
          </w:p>
        </w:tc>
      </w:tr>
      <w:tr>
        <w:trPr>
          <w:trHeight w:val="230"/>
        </w:trPr>
        <w:tc>
          <w:tcPr>
            <w:tcW w:w="44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gain on investments -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Net income including non-controlling interests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Loss from equity method investment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receivable—net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Deferred contract costs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payroll and compensation</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787.2</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(776.3)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Sales of investments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Maturities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730.3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Purchases of marketable equity securities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6"/>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Payments for debt issuance costs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of debt assumed in connection with business combination</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3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(340.2)</w:t>
            </w:r>
          </w:p>
        </w:tc>
        <w:tc>
          <w:tcPr>
            <w:tcW w:w="0" w:type="dxa"/>
            <w:vAlign w:val="bottom"/>
          </w:tcPr>
          <w:p>
            <w:pPr>
              <w:spacing w:after="0"/>
              <w:rPr>
                <w:sz w:val="1"/>
                <w:szCs w:val="1"/>
                <w:color w:val="auto"/>
              </w:rPr>
            </w:pP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186"/>
        </w:trPr>
        <w:tc>
          <w:tcPr>
            <w:tcW w:w="834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DISCLOSURES OF CASH FLOW INFORMATION:</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40" w:type="dxa"/>
            <w:vAlign w:val="bottom"/>
          </w:tcPr>
          <w:p>
            <w:pPr>
              <w:ind w:left="480"/>
              <w:spacing w:after="0"/>
              <w:rPr>
                <w:sz w:val="20"/>
                <w:szCs w:val="20"/>
                <w:color w:val="auto"/>
              </w:rPr>
            </w:pPr>
            <w:r>
              <w:rPr>
                <w:rFonts w:ascii="Arial" w:cs="Arial" w:eastAsia="Arial" w:hAnsi="Arial"/>
                <w:sz w:val="14"/>
                <w:szCs w:val="14"/>
                <w:color w:val="auto"/>
              </w:rPr>
              <w:t>Cash paid for income taxes—net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incurred for repurchase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unaudited condensed consolidated financial statements of Fortinet, Inc.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2020, contained in our Annual Report on Form 10-K filed with the SEC on February 19, 2021. In the opinion of management, all adjustments, which includes normal recurring adjustments, considered necessary for a fair presentation have been included. The results of operations for the three and nine months ended September 30, 2021 are not necessarily indicative of the results to be expected for the full year or for any future periods. The condensed consolidated balance sheet as of December 31, 2020 is derived from the audited consolidated financial statements for the year ended December 31, 2020.</w:t>
      </w:r>
    </w:p>
    <w:p>
      <w:pPr>
        <w:spacing w:after="0" w:line="19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37"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Investments in common stock or in-substance common stock of entities that provide us with the ability to exercise significant influence, but not an absolute controlling financial interest, over the investee are accounted for under the equity method of accounting. Investments accounted for under the equity method are initially recorded at cost. Subsequently, we recognize our proportionate share of the entities’ net income or loss and the amortization of any basis differences through the condensed consolidated statements of income and as an adjustment to the investment balance. We record our share of the results of equity method investments on a three-month lag basis as income or loss from equity method investments, net of tax in the condensed consolidated statements of income. We evaluate our equity method investments at the end of each reporting period to determine whether events or changes in business circumstances indicate that the carrying value of the investment may not be recoverable. As of September 30, 2021, our investment in Linksys Holdings, Inc. (“Linksys”) was our only equity method investment.</w:t>
      </w:r>
    </w:p>
    <w:p>
      <w:pPr>
        <w:spacing w:after="0" w:line="21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other material changes to our significant accounting policies as of and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In December 2019, the Financial Accounting Standards Board (the “FASB”) issued Accounting Standards Update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was effective for us beginning on January 1, 2021. The adoption of this guidance did not have any impact on our condensed consolidated financial statements and accompanying disclosures.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October 2021, the FASB issued ASU 2021-08—Business Combinations (“Topic 805”): Accounting for Contract Assets and Contract Liabilities from Contracts with Customers. The amendments in ASU 2021-08 require that an entity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recognizes and measures contract assets and contract liabilities acquired in a business combination in accordance with ASC 606, Revenue from Contracts with Customers (“Topic 606”). At the acquisition date, an acquirer should account for the related revenue contracts in accordance with Topic 606 as if it had originated the contracts. The amendments improve comparability for both the recognition and measurement of acquired revenue contracts with customers at the date of and after a business combination. ASU 2021-08 will be effective for us beginning on January 1, 2023. We are currently evaluating the impact of ASU 2021-08 on our condensed consolidated financial statements.</w:t>
      </w:r>
    </w:p>
    <w:p>
      <w:pPr>
        <w:spacing w:after="0" w:line="19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FortiGate network security products, our Fortinet Security Fabric platform products and other products. Service revenue relates to sales of our security subscription services, which mainly consists of our FortiGuard security solutions, as well as our FortiCare technical support services and other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r>
      <w:tr>
        <w:trPr>
          <w:trHeight w:val="23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r>
      <w:tr>
        <w:trPr>
          <w:trHeight w:val="223"/>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three months ended September 30, 2021 and September 30, 2020, we recognized $309.2 million and $263.1 million in service revenue that was included in the deferred revenue balance as of December 31, 2020 and December 31, 2019, respectively. During the nine months ended September 30, 2021 and September 30, 2020, we recognized $1.10 billion and $921.7 million in service revenue that was included in the deferred revenue balance as of December 31, 2020 and December 31,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September 30, 2021, the aggregate amount of the transaction price allocated to remaining performance obligations was $3.11 billion, which was substantially comprised of deferred security subscription and technical support services revenue. We expect to recognize approximately $1.62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20" w:firstLine="583"/>
        <w:spacing w:after="0" w:line="246" w:lineRule="auto"/>
        <w:rPr>
          <w:sz w:val="20"/>
          <w:szCs w:val="20"/>
          <w:color w:val="auto"/>
        </w:rPr>
      </w:pPr>
      <w:r>
        <w:rPr>
          <w:rFonts w:ascii="Arial" w:cs="Arial" w:eastAsia="Arial" w:hAnsi="Arial"/>
          <w:sz w:val="18"/>
          <w:szCs w:val="18"/>
          <w:color w:val="auto"/>
        </w:rPr>
        <w:t>The allowance for credit losses was $2.6 million and $2.5 million as of September 30, 2021 and December 31, 2020, respectively. Provisions, write-offs and recoveries were not material during the nine months ended September 30, 2021 and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Amortization of deferred contract costs during the three months ended September 30, 2021 and 2020 were $45.1 million and $35.3 million, respectively. Amortization of deferred contract costs during the nine months ended September 30, 2021 and 2020 were $126.9 million and $99.8 million, respectively.</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0"/>
              </w:rPr>
              <w:t>September 30, 2021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484.6</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1,526.3</w:t>
            </w: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4"/>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9"/>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700" w:hanging="154"/>
        <w:spacing w:after="0"/>
        <w:tabs>
          <w:tab w:leader="none" w:pos="7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53" w:lineRule="exact"/>
        <w:rPr>
          <w:rFonts w:ascii="Arial" w:cs="Arial" w:eastAsia="Arial" w:hAnsi="Arial"/>
          <w:sz w:val="18"/>
          <w:szCs w:val="18"/>
          <w:color w:val="auto"/>
          <w:vertAlign w:val="superscript"/>
        </w:rPr>
      </w:pPr>
    </w:p>
    <w:p>
      <w:pPr>
        <w:ind w:left="5580"/>
        <w:spacing w:after="0"/>
        <w:rPr>
          <w:rFonts w:ascii="Arial" w:cs="Arial" w:eastAsia="Arial" w:hAnsi="Arial"/>
          <w:sz w:val="18"/>
          <w:szCs w:val="18"/>
          <w:color w:val="auto"/>
          <w:vertAlign w:val="superscript"/>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4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4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460" w:type="dxa"/>
            <w:vAlign w:val="bottom"/>
            <w:gridSpan w:val="7"/>
          </w:tcPr>
          <w:p>
            <w:pPr>
              <w:ind w:left="620"/>
              <w:spacing w:after="0"/>
              <w:rPr>
                <w:sz w:val="20"/>
                <w:szCs w:val="20"/>
                <w:color w:val="auto"/>
              </w:rPr>
            </w:pPr>
            <w:r>
              <w:rPr>
                <w:rFonts w:ascii="Arial" w:cs="Arial" w:eastAsia="Arial" w:hAnsi="Arial"/>
                <w:sz w:val="18"/>
                <w:szCs w:val="18"/>
                <w:color w:val="auto"/>
                <w:w w:val="98"/>
              </w:rPr>
              <w:t>The contractual maturities of our investments were as follows (in millions):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298.2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48"/>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Available-for-sale securities are reported at fair value, with unrealized gains and losses and the related tax impact included as a separate component of equity and in comprehensive income. Accrued interest receivable of $2.4 million as of September 30, 2021 was excluded from the fair value of our available-for-sale securities and was recorded in prepaid expenses and other current assets in our condensed consolidated balance sheet.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39" w:lineRule="exact"/>
        <w:rPr>
          <w:sz w:val="20"/>
          <w:szCs w:val="20"/>
          <w:color w:val="auto"/>
        </w:rPr>
      </w:pPr>
    </w:p>
    <w:p>
      <w:pPr>
        <w:ind w:right="80" w:firstLine="583"/>
        <w:spacing w:after="0" w:line="231" w:lineRule="auto"/>
        <w:rPr>
          <w:sz w:val="20"/>
          <w:szCs w:val="20"/>
          <w:color w:val="auto"/>
        </w:rPr>
      </w:pPr>
      <w:r>
        <w:rPr>
          <w:rFonts w:ascii="Arial" w:cs="Arial" w:eastAsia="Arial" w:hAnsi="Arial"/>
          <w:sz w:val="18"/>
          <w:szCs w:val="18"/>
          <w:color w:val="auto"/>
        </w:rPr>
        <w:t>Our marketable equity securities were $40.8 million as of September 30, 2021. The changes in fair value of our marketable equity securities are recorded in other expense, net on the condensed consolidated statements of income. We recognized $3.7 million loss and $0.1 million loss during the three months ended September 30, 2021 and 2020, respectively, and $2.9 million loss and $0.3 million gain during the nine months ended September 30, 2021 and 2020, respectively.</w:t>
      </w:r>
    </w:p>
    <w:p>
      <w:pPr>
        <w:spacing w:after="0" w:line="21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We measure the fair value of money market funds, certain U.S. government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5"/>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0"/>
                <w:szCs w:val="10"/>
                <w:color w:val="auto"/>
              </w:rPr>
            </w:pPr>
          </w:p>
        </w:tc>
        <w:tc>
          <w:tcPr>
            <w:tcW w:w="76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00" w:type="dxa"/>
            <w:vAlign w:val="bottom"/>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2021 and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4.  INVENTORY</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620"/>
              <w:spacing w:after="0"/>
              <w:rPr>
                <w:sz w:val="20"/>
                <w:szCs w:val="20"/>
                <w:color w:val="auto"/>
              </w:rPr>
            </w:pPr>
            <w:r>
              <w:rPr>
                <w:rFonts w:ascii="Arial" w:cs="Arial" w:eastAsia="Arial" w:hAnsi="Arial"/>
                <w:sz w:val="18"/>
                <w:szCs w:val="18"/>
                <w:color w:val="auto"/>
              </w:rPr>
              <w:t>Inventory consisted of the following (in millions):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0" w:type="dxa"/>
            <w:vAlign w:val="bottom"/>
          </w:tcPr>
          <w:p>
            <w:pPr>
              <w:spacing w:after="0"/>
              <w:rPr>
                <w:sz w:val="18"/>
                <w:szCs w:val="18"/>
                <w:color w:val="auto"/>
              </w:rPr>
            </w:pPr>
          </w:p>
        </w:tc>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2020</w:t>
            </w:r>
          </w:p>
        </w:tc>
      </w:tr>
      <w:tr>
        <w:trPr>
          <w:trHeight w:val="226"/>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23"/>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620.5</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In September 2021, we purchased certain real estate in Burnaby, Canada for $37.7 million. The purchase was accounted for under the asset acquisition method. The cost of the assets acquired was allocated to land and buildings based on their relative fair values. The amounts allocated to land and buildings were $16.6 million and $21.1 million, respectively.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$18.1 million and $13.9 million during the three months ended September 30, 2021 and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$47.4 million and $41.6 million during the nine months ended September 30, 2021 and 2020, respectively.</w:t>
      </w:r>
    </w:p>
    <w:p>
      <w:pPr>
        <w:spacing w:after="0" w:line="23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Linksys Holdings, Inc.</w:t>
      </w:r>
    </w:p>
    <w:p>
      <w:pPr>
        <w:spacing w:after="0" w:line="239" w:lineRule="exact"/>
        <w:rPr>
          <w:sz w:val="20"/>
          <w:szCs w:val="20"/>
          <w:color w:val="auto"/>
        </w:rPr>
      </w:pPr>
    </w:p>
    <w:p>
      <w:pPr>
        <w:ind w:right="520" w:firstLine="648"/>
        <w:spacing w:after="0" w:line="256" w:lineRule="auto"/>
        <w:rPr>
          <w:sz w:val="20"/>
          <w:szCs w:val="20"/>
          <w:color w:val="auto"/>
        </w:rPr>
      </w:pPr>
      <w:r>
        <w:rPr>
          <w:rFonts w:ascii="Arial" w:cs="Arial" w:eastAsia="Arial" w:hAnsi="Arial"/>
          <w:sz w:val="16"/>
          <w:szCs w:val="16"/>
          <w:color w:val="auto"/>
        </w:rPr>
        <w:t>On March 19, 2021, we invested $75.0 million in cash for shares of the Series A Preferred Stock of Linksys for a 32.6% ownership interest. Linksys provides router connectivity solutions to the consumer and small business markets. On September 24, 2021, we invested an additional</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$85.0 million in cash for shares of Series A Preferred Stock of Linksys, and as of September 30, 2021, we held 50.8% of the outstanding common stock (on an as-converted basis) of Linksys.</w:t>
      </w:r>
    </w:p>
    <w:p>
      <w:pPr>
        <w:spacing w:after="0" w:line="203"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Therefore, we determined to account for this investment using the equity method of accounting. We record our share of Linksys’ financial results on a three-month lag basis. Our share of the earnings of Linksys’ financial results, which are accounted for under the three-month lag basis, was $2.8 million for the three and nine months ended September 30, 2021, and has been recorded in loss from equity method investment on the condensed consolidated statements of income.</w:t>
      </w:r>
    </w:p>
    <w:p>
      <w:pPr>
        <w:spacing w:after="0" w:line="20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2021, the investment was included in other assets on our condensed consolidated balance sheet. Transaction costs related to this investment were not material.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3"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Our other investments in the equity securities of privately held companies without readily determinable fair values totaled $1.0 million as of September 30, 2021 and December 31, 2020.</w:t>
      </w:r>
    </w:p>
    <w:p>
      <w:pPr>
        <w:spacing w:after="0" w:line="20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AlaxalA Networks Corporation</w:t>
      </w:r>
    </w:p>
    <w:p>
      <w:pPr>
        <w:spacing w:after="0" w:line="239"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On August 31, 2021, we closed an acquisition of 75% of equity interests in AlaxalA Networks Corporation (“AlaxalA”), a privately held network hardware equipment company in Japan, for $64.2 million in cash. We acquired the equity interest in AlaxalA to help address the increasing need for secure switches integrated with FortiGate Firewalls and Security Fabric functionality, and, over time, to innovate and rebrand certain of AlaxalA’s switches to offer a broader suite of secure switches globally.</w:t>
      </w:r>
    </w:p>
    <w:p>
      <w:pPr>
        <w:spacing w:after="0" w:line="216" w:lineRule="exact"/>
        <w:rPr>
          <w:sz w:val="20"/>
          <w:szCs w:val="20"/>
          <w:color w:val="auto"/>
        </w:rPr>
      </w:pPr>
    </w:p>
    <w:p>
      <w:pPr>
        <w:ind w:right="440" w:firstLine="648"/>
        <w:spacing w:after="0" w:line="243" w:lineRule="auto"/>
        <w:rPr>
          <w:sz w:val="20"/>
          <w:szCs w:val="20"/>
          <w:color w:val="auto"/>
        </w:rPr>
      </w:pPr>
      <w:r>
        <w:rPr>
          <w:rFonts w:ascii="Arial" w:cs="Arial" w:eastAsia="Arial" w:hAnsi="Arial"/>
          <w:sz w:val="18"/>
          <w:szCs w:val="18"/>
          <w:color w:val="auto"/>
        </w:rPr>
        <w:t>Under the acquisition method of accounting in accordance with ASC 805, the total preliminary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2"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 fair value of the non-controlling interests of $17.8 million was estimated based on the non-controlling interests’ respective share of the AlaxalA business value.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Identified intangible assets acquired and their estimated useful lives (in years) as of August 31, 2021, were as follows (in millions, except years):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Fair Value</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Developed technology relates to AlaxalA’s network equipment. We valued the developed technology using the relief-from-royalty method under the income approach. This method reflects the present value of the projected cash flows that are expected to be generated by the developed technology. The economic useful life was determined based on the technology cycle related to each developed technology, as well as the cash flows over the forecast period.</w:t>
      </w:r>
    </w:p>
    <w:p>
      <w:pPr>
        <w:spacing w:after="0" w:line="175" w:lineRule="exact"/>
        <w:rPr>
          <w:sz w:val="20"/>
          <w:szCs w:val="20"/>
          <w:color w:val="auto"/>
        </w:rPr>
      </w:pPr>
    </w:p>
    <w:p>
      <w:pPr>
        <w:ind w:right="80" w:firstLine="648"/>
        <w:spacing w:after="0" w:line="246" w:lineRule="auto"/>
        <w:rPr>
          <w:sz w:val="20"/>
          <w:szCs w:val="20"/>
          <w:color w:val="auto"/>
        </w:rPr>
      </w:pPr>
      <w:r>
        <w:rPr>
          <w:rFonts w:ascii="Arial" w:cs="Arial" w:eastAsia="Arial" w:hAnsi="Arial"/>
          <w:sz w:val="17"/>
          <w:szCs w:val="17"/>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19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2"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2"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2" w:lineRule="exact"/>
        <w:rPr>
          <w:sz w:val="20"/>
          <w:szCs w:val="20"/>
          <w:color w:val="auto"/>
        </w:rPr>
      </w:pPr>
    </w:p>
    <w:p>
      <w:pPr>
        <w:ind w:right="220" w:firstLine="648"/>
        <w:spacing w:after="0" w:line="231" w:lineRule="auto"/>
        <w:rPr>
          <w:sz w:val="20"/>
          <w:szCs w:val="20"/>
          <w:color w:val="auto"/>
        </w:rPr>
      </w:pPr>
      <w:r>
        <w:rPr>
          <w:rFonts w:ascii="Arial" w:cs="Arial" w:eastAsia="Arial" w:hAnsi="Arial"/>
          <w:sz w:val="18"/>
          <w:szCs w:val="18"/>
          <w:color w:val="auto"/>
        </w:rPr>
        <w:t>The operating results of the acquired company were included in our condensed consolidated financial statements from the date of acquisition which was August 31, 2021. For the period from September 1, 2021 through September 30, 2021, AlaxalA contributed revenue of $15.6 million. Income before income taxes for the period from September 1, 2021 through September 30, 2021 was not material. Acquisition-related costs for this acquisition were not material and were recorded as general and administrative expense.</w:t>
      </w:r>
    </w:p>
    <w:p>
      <w:pPr>
        <w:spacing w:after="0" w:line="20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15"/>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15"/>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15"/>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15"/>
              <w:spacing w:after="0" w:line="158" w:lineRule="exact"/>
              <w:rPr>
                <w:sz w:val="20"/>
                <w:szCs w:val="20"/>
                <w:color w:val="auto"/>
              </w:rPr>
            </w:pPr>
            <w:r>
              <w:rPr>
                <w:rFonts w:ascii="Arial" w:cs="Arial" w:eastAsia="Arial" w:hAnsi="Arial"/>
                <w:sz w:val="16"/>
                <w:szCs w:val="16"/>
                <w:b w:val="1"/>
                <w:bCs w:val="1"/>
                <w:color w:val="auto"/>
                <w:w w:val="96"/>
              </w:rPr>
              <w:t>September 30,</w:t>
            </w: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w:t>
            </w:r>
          </w:p>
        </w:tc>
      </w:tr>
      <w:tr>
        <w:trPr>
          <w:trHeight w:val="243"/>
        </w:trPr>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 forma net income attributable to Fortinet,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165.1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407.3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334.8</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ShieldX Networks, Inc.</w:t>
      </w:r>
    </w:p>
    <w:p>
      <w:pPr>
        <w:spacing w:after="0" w:line="225" w:lineRule="exact"/>
        <w:rPr>
          <w:sz w:val="20"/>
          <w:szCs w:val="20"/>
          <w:color w:val="auto"/>
        </w:rPr>
      </w:pPr>
    </w:p>
    <w:p>
      <w:pPr>
        <w:ind w:left="100" w:right="40" w:firstLine="648"/>
        <w:spacing w:after="0" w:line="256" w:lineRule="auto"/>
        <w:rPr>
          <w:sz w:val="20"/>
          <w:szCs w:val="20"/>
          <w:color w:val="auto"/>
        </w:rPr>
      </w:pPr>
      <w:r>
        <w:rPr>
          <w:rFonts w:ascii="Arial" w:cs="Arial" w:eastAsia="Arial" w:hAnsi="Arial"/>
          <w:sz w:val="16"/>
          <w:szCs w:val="16"/>
          <w:color w:val="auto"/>
        </w:rPr>
        <w:t>On March 10, 2021, we closed an acquisition of certain assets and liabilities of ShieldX Networks Inc. (“ShieldX”), a provider of a security platform focusing on protecting multi-cloud data centers from the risk of lateral movement that can lead to attacks such as ransomware, data loss and service disruption, for $10.8 million in cash. This acquisition was accounted for as a business combination using the acquisition method of accounting. Of the purchase price, $6.2 million was allocated to goodwill, $4.1 million was allocated to developed technology intangible asset and $0.5 million was allocated to other net assets acquired. Goodwill recorded in connection with this acquisition represents the value we expect to be created through expansion into markets within our existing business and potential cost savings and synergies. All acquired goodwill is expected to be deductible for tax purposes. Acquisition-related costs related to this acquisition were not material and were recorded as general and administrative expense.</w:t>
      </w:r>
    </w:p>
    <w:p>
      <w:pPr>
        <w:spacing w:after="0" w:line="202"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Additions due to business combinations</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Balance—September 30, 2021</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1"/>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impairments to goodwill during the nine months ended September 30, 2021 or during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89"/>
              </w:rPr>
              <w:t>September 30, 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December 31, 2020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Amortization expense was $4.8 million and $2.8 million during the three months ended September 30, 2021 and 2020, respectively. Amortization expense was $11.7 million and $10.5 million during the nine months ended September 30, 2021 and 2020,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2021 (the remainder of 2021)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1"/>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2"/>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Weighted-average shares used to compute diluted net income per</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share attributable to Fortinet, Inc. common stockholders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per share attributable to Fortinet, Inc. common</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3240" w:type="dxa"/>
            <w:vAlign w:val="bottom"/>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080" w:type="dxa"/>
            <w:vAlign w:val="bottom"/>
          </w:tcPr>
          <w:p>
            <w:pPr>
              <w:spacing w:after="0"/>
              <w:rPr>
                <w:sz w:val="13"/>
                <w:szCs w:val="13"/>
                <w:color w:val="auto"/>
              </w:rPr>
            </w:pPr>
          </w:p>
        </w:tc>
        <w:tc>
          <w:tcPr>
            <w:tcW w:w="162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September 30,</w:t>
            </w:r>
          </w:p>
        </w:tc>
        <w:tc>
          <w:tcPr>
            <w:tcW w:w="1520" w:type="dxa"/>
            <w:vAlign w:val="bottom"/>
            <w:tcBorders>
              <w:top w:val="single" w:sz="8" w:color="auto"/>
            </w:tcBorders>
          </w:tcPr>
          <w:p>
            <w:pPr>
              <w:jc w:val="right"/>
              <w:ind w:right="174"/>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ind w:left="220"/>
              <w:spacing w:after="0" w:line="158" w:lineRule="exact"/>
              <w:rPr>
                <w:sz w:val="20"/>
                <w:szCs w:val="20"/>
                <w:color w:val="auto"/>
              </w:rPr>
            </w:pPr>
            <w:r>
              <w:rPr>
                <w:rFonts w:ascii="Arial" w:cs="Arial" w:eastAsia="Arial" w:hAnsi="Arial"/>
                <w:sz w:val="16"/>
                <w:szCs w:val="16"/>
                <w:b w:val="1"/>
                <w:bCs w:val="1"/>
                <w:color w:val="auto"/>
              </w:rPr>
              <w:t>September 30,</w:t>
            </w:r>
          </w:p>
        </w:tc>
        <w:tc>
          <w:tcPr>
            <w:tcW w:w="1400" w:type="dxa"/>
            <w:vAlign w:val="bottom"/>
            <w:tcBorders>
              <w:top w:val="single" w:sz="8" w:color="auto"/>
            </w:tcBorders>
          </w:tcPr>
          <w:p>
            <w:pPr>
              <w:jc w:val="right"/>
              <w:ind w:right="114"/>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50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six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w:t>
      </w:r>
    </w:p>
    <w:p>
      <w:pPr>
        <w:spacing w:after="0" w:line="21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5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5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1"/>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560" w:firstLine="8"/>
        <w:spacing w:after="0" w:line="242" w:lineRule="auto"/>
        <w:tabs>
          <w:tab w:leader="none" w:pos="149"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Variable lease expense for the three and nine months ended September 30, 2021 and 2020 predominantly included common area maintenance charges and parking expense.</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800" w:type="dxa"/>
            <w:vAlign w:val="bottom"/>
          </w:tcPr>
          <w:p>
            <w:pPr>
              <w:jc w:val="right"/>
              <w:ind w:right="14"/>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0" w:type="dxa"/>
            <w:vAlign w:val="bottom"/>
          </w:tcPr>
          <w:p>
            <w:pPr>
              <w:jc w:val="right"/>
              <w:ind w:right="65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9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w:t>
            </w:r>
          </w:p>
        </w:tc>
        <w:tc>
          <w:tcPr>
            <w:tcW w:w="16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6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gridSpan w:val="2"/>
          </w:tcPr>
          <w:p>
            <w:pPr>
              <w:jc w:val="center"/>
              <w:ind w:left="1131"/>
              <w:spacing w:after="0"/>
              <w:rPr>
                <w:sz w:val="20"/>
                <w:szCs w:val="20"/>
                <w:color w:val="auto"/>
              </w:rPr>
            </w:pPr>
            <w:r>
              <w:rPr>
                <w:rFonts w:ascii="Arial" w:cs="Arial" w:eastAsia="Arial" w:hAnsi="Arial"/>
                <w:sz w:val="18"/>
                <w:szCs w:val="18"/>
                <w:color w:val="auto"/>
                <w:w w:val="91"/>
              </w:rPr>
              <w:t>3.2 %</w:t>
            </w:r>
          </w:p>
        </w:tc>
        <w:tc>
          <w:tcPr>
            <w:tcW w:w="0" w:type="dxa"/>
            <w:vAlign w:val="bottom"/>
          </w:tcPr>
          <w:p>
            <w:pPr>
              <w:spacing w:after="0"/>
              <w:rPr>
                <w:sz w:val="1"/>
                <w:szCs w:val="1"/>
                <w:color w:val="auto"/>
              </w:rPr>
            </w:pPr>
          </w:p>
        </w:tc>
      </w:tr>
      <w:tr>
        <w:trPr>
          <w:trHeight w:val="553"/>
        </w:trPr>
        <w:tc>
          <w:tcPr>
            <w:tcW w:w="812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4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3"/>
              </w:rPr>
              <w:t>Nine Months Ended</w:t>
            </w:r>
          </w:p>
        </w:tc>
        <w:tc>
          <w:tcPr>
            <w:tcW w:w="1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440" w:type="dxa"/>
            <w:vAlign w:val="bottom"/>
          </w:tcPr>
          <w:p>
            <w:pPr>
              <w:spacing w:after="0"/>
              <w:rPr>
                <w:sz w:val="13"/>
                <w:szCs w:val="13"/>
                <w:color w:val="auto"/>
              </w:rPr>
            </w:pPr>
          </w:p>
        </w:tc>
        <w:tc>
          <w:tcPr>
            <w:tcW w:w="1680" w:type="dxa"/>
            <w:vAlign w:val="bottom"/>
          </w:tcPr>
          <w:p>
            <w:pPr>
              <w:jc w:val="center"/>
              <w:ind w:left="576"/>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gridSpan w:val="2"/>
          </w:tcPr>
          <w:p>
            <w:pPr>
              <w:jc w:val="right"/>
              <w:ind w:right="6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1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168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center"/>
              <w:ind w:left="1151"/>
              <w:spacing w:after="0"/>
              <w:rPr>
                <w:sz w:val="20"/>
                <w:szCs w:val="20"/>
                <w:color w:val="auto"/>
              </w:rPr>
            </w:pPr>
            <w:r>
              <w:rPr>
                <w:rFonts w:ascii="Arial" w:cs="Arial" w:eastAsia="Arial" w:hAnsi="Arial"/>
                <w:sz w:val="18"/>
                <w:szCs w:val="18"/>
                <w:color w:val="auto"/>
                <w:w w:val="85"/>
              </w:rPr>
              <w:t>13.8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120" w:type="dxa"/>
            <w:vAlign w:val="bottom"/>
            <w:gridSpan w:val="2"/>
          </w:tcPr>
          <w:p>
            <w:pPr>
              <w:ind w:left="660"/>
              <w:spacing w:after="0"/>
              <w:rPr>
                <w:sz w:val="20"/>
                <w:szCs w:val="20"/>
                <w:color w:val="auto"/>
              </w:rPr>
            </w:pPr>
            <w:r>
              <w:rPr>
                <w:rFonts w:ascii="Arial" w:cs="Arial" w:eastAsia="Arial" w:hAnsi="Arial"/>
                <w:sz w:val="18"/>
                <w:szCs w:val="18"/>
                <w:color w:val="auto"/>
              </w:rPr>
              <w:t>Maturities of operating lease liabilities as of September 30, 2021 were as follows (in millions):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(the remainder of 2021)</w:t>
            </w:r>
          </w:p>
        </w:tc>
        <w:tc>
          <w:tcPr>
            <w:tcW w:w="16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1"/>
              <w:spacing w:after="0"/>
              <w:rPr>
                <w:sz w:val="20"/>
                <w:szCs w:val="20"/>
                <w:color w:val="auto"/>
              </w:rPr>
            </w:pPr>
            <w:r>
              <w:rPr>
                <w:rFonts w:ascii="Arial" w:cs="Arial" w:eastAsia="Arial" w:hAnsi="Arial"/>
                <w:sz w:val="18"/>
                <w:szCs w:val="18"/>
                <w:color w:val="auto"/>
                <w:w w:val="91"/>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As of September 30, 2021, we had additional minimum lease payments of $7.7 million relating to operating leases that had been signed but had not yet commenced. These leases will commence during 2021 and will have lease terms of approximately two to five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September 30, 2021,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Coupon Rate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Effective Interest</w:t>
            </w:r>
          </w:p>
        </w:tc>
        <w:tc>
          <w:tcPr>
            <w:tcW w:w="140" w:type="dxa"/>
            <w:vAlign w:val="bottom"/>
          </w:tcPr>
          <w:p>
            <w:pPr>
              <w:spacing w:after="0"/>
              <w:rPr>
                <w:sz w:val="16"/>
                <w:szCs w:val="16"/>
                <w:color w:val="auto"/>
              </w:rPr>
            </w:pPr>
          </w:p>
        </w:tc>
        <w:tc>
          <w:tcPr>
            <w:tcW w:w="12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20" w:type="dxa"/>
            <w:vAlign w:val="bottom"/>
            <w:gridSpan w:val="2"/>
          </w:tcPr>
          <w:p>
            <w:pPr>
              <w:spacing w:after="0"/>
              <w:rPr>
                <w:sz w:val="20"/>
                <w:szCs w:val="20"/>
                <w:color w:val="auto"/>
              </w:rPr>
            </w:pPr>
            <w:r>
              <w:rPr>
                <w:rFonts w:ascii="Arial" w:cs="Arial" w:eastAsia="Arial" w:hAnsi="Arial"/>
                <w:sz w:val="18"/>
                <w:szCs w:val="18"/>
                <w:color w:val="auto"/>
              </w:rPr>
              <w:t>March 2026</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September 30, 2021 we accrued interest payable of $0.7 million, and there are no financial covenants with which we must comply. During the three and nine months ended September 30, 2021 we recorded $4.4 million and $10.2 million of total interest expense in relation to these Senior Notes, respectively. No interest costs were capitalized for the three and nine months ended September 30, 2021, as the costs that qualified for capitalization were not material.</w:t>
      </w:r>
    </w:p>
    <w:p>
      <w:pPr>
        <w:spacing w:after="0" w:line="21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$991.1 million, including accrued and unpaid interest, as of September 30, 2021. The fair value was determined based on observable market prices of identical instruments in less active markets. The estimated fair values are based on Level 2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AlaxalA debt</w:t>
      </w:r>
    </w:p>
    <w:p>
      <w:pPr>
        <w:spacing w:after="0" w:line="225"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In connection with our acquisition of AlaxalA, we assumed certain current debt liabilities of $20.2 million as of August 31, 2021. We concluded that the fair value of debt approximated its book value as of the acquisition date. We had $17.6 million of this debt outstanding and recorded as current portion of long-term debt on our condensed consolidated balance sheet as of September 30, 2021. We repaid this balance in full in October 2021. As of September 30, 2021, the accrued interest under the assumed AlaxalA debt obligations was not material. During the post-acquisition period from September 1, 2021 through September 30, 2021, interest expense related to AlaxalA debt was not material.</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concluded that the agreement was a 14-year contract with a total transaction price of $100.0 million, and that it contained two material distinct performance obligations: (1) the right to use our existing patents, and (2) the right to use any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21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During the three months ended September 30, 2021 and 2020, we recorded $1.1 million gain on IP matter in our condensed consolidated statements of income. During the nine months ended September 30, 2021 and 2020, we recorded $3.4 million and $39.0 million gain on IP matter in our condensed consolidated statements of income, respectively. We recorded $6.4 million and $9.8 million in accrued liabilities and other liabilities in our condensed consolidated balance sheets as of September 30, 2021 and December 31, 2020, respectively.</w:t>
      </w:r>
    </w:p>
    <w:p>
      <w:pPr>
        <w:spacing w:after="0" w:line="19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September 30, 2021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ind w:right="180" w:firstLine="648"/>
        <w:spacing w:after="0" w:line="227" w:lineRule="auto"/>
        <w:rPr>
          <w:sz w:val="20"/>
          <w:szCs w:val="20"/>
          <w:color w:val="auto"/>
        </w:rPr>
      </w:pPr>
      <w:r>
        <w:rPr>
          <w:rFonts w:ascii="Arial" w:cs="Arial" w:eastAsia="Arial" w:hAnsi="Arial"/>
          <w:sz w:val="18"/>
          <w:szCs w:val="18"/>
          <w:b w:val="1"/>
          <w:bCs w:val="1"/>
          <w:color w:val="auto"/>
        </w:rPr>
        <w:t>Inventory Purchase Commitments</w:t>
      </w:r>
      <w:r>
        <w:rPr>
          <w:rFonts w:ascii="Arial" w:cs="Arial" w:eastAsia="Arial" w:hAnsi="Arial"/>
          <w:sz w:val="18"/>
          <w:szCs w:val="18"/>
          <w:color w:val="auto"/>
        </w:rPr>
        <w:t>—Our independent contract manufacturers procure components and build our products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forecasts. These forecasts are based on estimates of future demand for our products, which are in turn based on historical trends and an analysis from our sales and marketing organizations, adjusted for supply chain matters and other market conditions. In order to reduce manufacturing lead times, plan for adequate component supply and incentivize suppliers to deliver, we may issue purchase orders to some of our independent contract manufacturers, which are non-cancelable. As of September 30, 2021, we had $868.0 million of open purchase orders with our independent contract manufacturers that are non-cancelable.</w:t>
      </w:r>
    </w:p>
    <w:p>
      <w:pPr>
        <w:spacing w:after="0" w:line="216"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September 30, 2021, we had $68.9 million in other contractual commitments having a remaining term in excess of one year that are non-cancelable.</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20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October 2021, we held settlement discussions related to an existing patent infringement lawsuit. Pursuant to such discussions, we may enter into an agreement that provides for the settlement and dismissal of the patent lawsuit and a mutual covenant not to sue for a defined duration of time. As a result, we have determined that a loss in connection with such lawsuit is now probable. We accrued $5 million as a loss contingency in the quarter ended September 30, 2021 and the associated charge was recorded against revenue in the income statement. Litigation loss contingency accruals associated with other outstanding cases were not material as of September 30, 2021 and December 31, 2020.</w:t>
      </w:r>
    </w:p>
    <w:p>
      <w:pPr>
        <w:spacing w:after="0" w:line="19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Indemnification and Other Matters</w:t>
      </w:r>
      <w:r>
        <w:rPr>
          <w:rFonts w:ascii="Arial" w:cs="Arial" w:eastAsia="Arial" w:hAnsi="Arial"/>
          <w:sz w:val="18"/>
          <w:szCs w:val="18"/>
          <w:color w:val="auto"/>
        </w:rPr>
        <w:t>—Under the indemnification provisions of our standard sales contracts, we agree to defend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third-party claims asserting various allegations such as product defects and infringement of certain IP rights, which may include patents, copyrights, trademarks or trade secrets, and to pay judgments entered on such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9"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maintain the Amended and Restated Fortinet, Inc. 2009 Equity Incentive Plan (the “Amended Plan”) pursuant to which we have granted RSUs and stock options. As of September 30, 2021, there were a total of 11.7 million shares of common stock available for grant under the Amended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7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3"/>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1"/>
              </w:rPr>
              <w:t>(1.9)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2021</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September 30, 2021, total compensation expense related to unvested RSUs granted to employees and non-employees under the Amended Plan, but not yet recognized, was $391.2 million, with a weighted-average remaining vesting period of 2.7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0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60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600" w:type="dxa"/>
            <w:vAlign w:val="bottom"/>
            <w:tcBorders>
              <w:top w:val="single" w:sz="8" w:color="auto"/>
            </w:tcBorders>
          </w:tcPr>
          <w:p>
            <w:pPr>
              <w:jc w:val="right"/>
              <w:ind w:right="213"/>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34.6 %</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09"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00" w:type="dxa"/>
            <w:vAlign w:val="bottom"/>
            <w:tcBorders>
              <w:top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9"/>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ind w:left="652"/>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2021</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vest—September 30, 2021</w:t>
            </w:r>
          </w:p>
        </w:tc>
        <w:tc>
          <w:tcPr>
            <w:tcW w:w="1100" w:type="dxa"/>
            <w:vAlign w:val="bottom"/>
            <w:tcBorders>
              <w:bottom w:val="single" w:sz="8" w:color="auto"/>
            </w:tcBorders>
          </w:tcPr>
          <w:p>
            <w:pPr>
              <w:jc w:val="center"/>
              <w:ind w:left="652"/>
              <w:spacing w:after="0" w:line="203" w:lineRule="exact"/>
              <w:rPr>
                <w:sz w:val="20"/>
                <w:szCs w:val="20"/>
                <w:color w:val="auto"/>
              </w:rPr>
            </w:pPr>
            <w:r>
              <w:rPr>
                <w:rFonts w:ascii="Arial" w:cs="Arial" w:eastAsia="Arial" w:hAnsi="Arial"/>
                <w:sz w:val="18"/>
                <w:szCs w:val="18"/>
                <w:color w:val="auto"/>
                <w:w w:val="95"/>
              </w:rPr>
              <w:t>2.8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90.20</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exercisable—September 30, 2021</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September 30, 2021 for all in-the-money stock options. Stock compensation expense is recognized on a straight-line basis over the vesting period of each stock option. As of September 30, 2021, total compensation expense related to unvested stock options granted to employees but not yet recognized was $46.6 million, with a weighted-average remaining vesting period of 2.9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4"/>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r>
      <w:tr>
        <w:trPr>
          <w:trHeight w:val="21"/>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5"/>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5"/>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48"/>
        </w:trPr>
        <w:tc>
          <w:tcPr>
            <w:tcW w:w="4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13"/>
        </w:trPr>
        <w:tc>
          <w:tcPr>
            <w:tcW w:w="11240" w:type="dxa"/>
            <w:vAlign w:val="bottom"/>
            <w:gridSpan w:val="15"/>
          </w:tcPr>
          <w:p>
            <w:pPr>
              <w:jc w:val="right"/>
              <w:ind w:right="195"/>
              <w:spacing w:after="0"/>
              <w:rPr>
                <w:sz w:val="20"/>
                <w:szCs w:val="20"/>
                <w:color w:val="auto"/>
              </w:rPr>
            </w:pPr>
            <w:r>
              <w:rPr>
                <w:rFonts w:ascii="Arial" w:cs="Arial" w:eastAsia="Arial" w:hAnsi="Arial"/>
                <w:sz w:val="18"/>
                <w:szCs w:val="18"/>
                <w:color w:val="auto"/>
                <w:w w:val="95"/>
              </w:rPr>
              <w:t>Total income tax benefit associated with stock-based compensation that is recognized in the condensed consolidated statements of income is as</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follows (in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5"/>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5"/>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Income tax benefit associated with stock-based compensation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43"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In July 2020, under the Share Repurchase Program originally approved by our board of directors in January 2016 (the “Repurchase Program”), our board of directors approved a $500.0 million increase and extended the term to February 28, 2022, bringing the aggregate amount authorized to be repurchased to $3.0 billion.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 Refer to Note 18. Subsequent Events for information of the approved $1.25 billion increase in the authorized stock repurchase under the Repurchase Program in October 2021.</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and nine months ended September 30, 2021, we repurchased 0.3 million and 0.8 million shares of common stock, respectively, under the Repurchase Program in open-market transactions at a weighted-average price of $294.07 per share and $242.95 per share, respectively, for an aggregate purchase price of $108.8 million and $200.4 million, respectively. As of September 30, 2021, $812.3 million remained available for future share repurchases under the Repurchase Program.</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INCOME TAXES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Our effective tax rate was negative 6% for the three months ended September 30, 2021, compared to an effective tax rate of 4% for the same period last year. Our effective tax rate was 2% for the nine months ended September 30, 2021, compared to an effective tax rate of 8% for the same period last year. The effective tax rates for the periods presented 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primarily comprised of U.S. federal and state taxes, withholding taxes, foreign taxes, the tax benefit from foreign-derived intangible income deduction (the “FDII deduction”) and excess tax benefits from stock-based compensation expense. The tax rates for the three months ended September 30, 2021 and 2020 were composed of U.S. federal and state taxes, withholding taxes and foreign taxes that amounted to $40.1 million and $33.8 million, respectively. The tax rate for the three months ended September 30, 2021 was impacted by a tax benefit of $8.7 million from the FDII deduction and excess tax benefits from stock-based compensation expense of $25.0 million. In addition, the tax rate for the three months ended September 30, 2021 was further impacted by a tax benefit of $15.7 million for a change in tax accounting positions in finalization of the prior year tax return. The tax rate for the three months ended September 30, 2020 was impacted by a tax benefit of $16.3 million from the FDII deduction and excess tax benefits from stock-based compensation expense of $12.5 million.</w:t>
      </w:r>
    </w:p>
    <w:p>
      <w:pPr>
        <w:spacing w:after="0" w:line="20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The tax rates for the nine months ended September 30, 2021 and 2020 were composed of U.S. federal and state taxes, withholding taxes and foreign taxes that amounted to $115.8 million and $100.7 million, respectively. The tax rate for the nine months ended September 30, 2021 was impacted by a tax benefit of $23.9 million from the FDII deduction, excess tax benefits from stock-based compensation expense of $60.3 million and release of reserves of $5.5 million on uncertain tax positions and the interest due to the expiration of the statute of limitations. In addition, the tax rate for the nine months ended September 30, 2021 was further impacted by a tax benefit of $15.7 million for a change in tax accounting positions in finalization of the prior year tax return. The tax rate for the nine months ended September 30, 2020 was impacted by a tax benefit of $25.9 million from the FDII deduction, excess tax benefits from stock-based compensation expense of $37.6 million and release of reserves of $9.0 million on uncertain tax positions and the interest due to the expiration of the statute of limitations.</w:t>
      </w:r>
    </w:p>
    <w:p>
      <w:pPr>
        <w:spacing w:after="0" w:line="21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September 30, 2021 and December 31, 2020, unrecognized tax benefits were $80.7 million and $77.3 million, respectively. If recognized, $73.3 million of the unrecognized tax benefits would favorably affect our effective tax rate. It is our policy to include accrued interest and penalties related to unrecognized tax benefits in income tax expense. As of September 30, 2021 and December 31, 2020, accrued interest and penalties were $16.2 million and $14.5 million, respectively. It is reasonably possible that our gross unrecognized tax benefits will decrease by up to $27.3 million in the next 12 months, due to the lapse of the statute of limitations. This decrease, if recognized, would favorably impact our effective tax rate, and would be recognized as additional tax benefits.</w:t>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Germany and several other foreign jurisdictions. The focus of these audits is the inter-company profit allocation.</w:t>
      </w:r>
    </w:p>
    <w:p>
      <w:pPr>
        <w:spacing w:after="0" w:line="2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The Coronavirus Aid, Relief, and Economic Security Act (the “CARES Act”) was signed into law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There is no material tax impact on our condensed consolidated financial statements.</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On July 9, 2020, the United States Department of the Treasury (the “U.S. Treasury”) and the Internal Revenue Service (the “IRS”) released final Section 250 regulations, providing guidance on the foreign-derived intangible income deduction and the global intangible low-taxed income. Generally, the final regulations are applicable for taxable years beginning on or after January 1, 2021. However, taxpayers may apply the final regulations for taxable years beginning on or after January 1, 2018. We have elected to apply the final regulations to the year ending December 31, 2020 and included the tax impact from the final regulations on our foreign-derived intangible income deduction calculation.</w:t>
      </w:r>
    </w:p>
    <w:p>
      <w:pPr>
        <w:spacing w:after="0" w:line="19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September 30, 2021 and 2020 were $2.5 million and $2.1 million, respectively. Our matching contributions to our 401(k) Plan and the RRSP for the nine months ended September 30, 2021 and 2020 were $7.9 million and $6.5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0"/>
          </w:tcPr>
          <w:p>
            <w:pPr>
              <w:ind w:left="7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48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120"/>
              <w:spacing w:after="0" w:line="158" w:lineRule="exact"/>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ind w:left="40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9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73"/>
              <w:spacing w:after="0" w:line="175"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206.0</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722.6</w:t>
            </w:r>
          </w:p>
        </w:tc>
        <w:tc>
          <w:tcPr>
            <w:tcW w:w="60" w:type="dxa"/>
            <w:vAlign w:val="bottom"/>
          </w:tcPr>
          <w:p>
            <w:pPr>
              <w:spacing w:after="0"/>
              <w:rPr>
                <w:sz w:val="19"/>
                <w:szCs w:val="19"/>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ind w:left="420"/>
              <w:spacing w:after="0"/>
              <w:rPr>
                <w:sz w:val="20"/>
                <w:szCs w:val="20"/>
                <w:color w:val="auto"/>
              </w:rPr>
            </w:pPr>
            <w:r>
              <w:rPr>
                <w:rFonts w:ascii="Arial" w:cs="Arial" w:eastAsia="Arial" w:hAnsi="Arial"/>
                <w:sz w:val="18"/>
                <w:szCs w:val="18"/>
                <w:color w:val="auto"/>
              </w:rPr>
              <w:t>Total Americas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978.0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905.1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Asia Pacific (“APAC”)</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135.4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495.5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651.1</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2,378.6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39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Latin America</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Arial" w:cs="Arial" w:eastAsia="Arial" w:hAnsi="Arial"/>
                <w:sz w:val="18"/>
                <w:szCs w:val="18"/>
                <w:color w:val="auto"/>
              </w:rPr>
              <w:t>Total property and equipment—net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556.6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10"/>
          </w:tcPr>
          <w:p>
            <w:pPr>
              <w:ind w:left="6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80" w:type="dxa"/>
            <w:vAlign w:val="bottom"/>
            <w:gridSpan w:val="6"/>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34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spacing w:after="0" w:line="158" w:lineRule="exact"/>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Exclusive Networks Group (“Exclusive”)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31 %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Ingram Micro, Inc. (“Ingram Micro”)</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w w:val="92"/>
              </w:rPr>
              <w:t>12 %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Arial" w:cs="Arial" w:eastAsia="Arial" w:hAnsi="Arial"/>
                <w:sz w:val="18"/>
                <w:szCs w:val="18"/>
                <w:color w:val="auto"/>
                <w:w w:val="92"/>
              </w:rPr>
              <w:t>The following distributors accounted for 10% or more of net accounts receivable:</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6"/>
          </w:tcPr>
          <w:p>
            <w:pPr>
              <w:ind w:left="4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Exclusive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TD Synnex</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Ingram Micro</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Represents less than 10%</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560" w:firstLine="8"/>
        <w:spacing w:after="0" w:line="526" w:lineRule="auto"/>
        <w:tabs>
          <w:tab w:leader="none" w:pos="45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Debt Repayment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October 2021, we fully repaid the outstanding $17.6 million of debt liabilities assumed in the AlaxalA transaction.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Purchase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October 2021, we purchased real property in Texas totaling approximately 87,000 square feet for a cash payment of $22.5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October 2021, our board of directors approved a $1.25 billion increase in the authorized stock repurchase under the Repurchase Program and extended the term of the Repurchase Program to February 28, 2023, bringing the aggregate amount authorized to be repurchased to $4.25 billion of our outstanding common stock through February 28, 2023.</w:t>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right="52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supply chain constraints and the global chip and component shortages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right="4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including various COVID-19 variants, and the implementation of “return to office” plans;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6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functionality and value in our subscription service offerings;</w:t>
      </w:r>
    </w:p>
    <w:p>
      <w:pPr>
        <w:spacing w:after="0" w:line="197" w:lineRule="exact"/>
        <w:rPr>
          <w:rFonts w:ascii="Arial" w:cs="Arial" w:eastAsia="Arial" w:hAnsi="Arial"/>
          <w:sz w:val="18"/>
          <w:szCs w:val="18"/>
          <w:color w:val="auto"/>
        </w:rPr>
      </w:pPr>
    </w:p>
    <w:p>
      <w:pPr>
        <w:ind w:left="1300" w:right="60" w:hanging="644"/>
        <w:spacing w:after="0" w:line="259"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right="260" w:hanging="644"/>
        <w:spacing w:after="0" w:line="342" w:lineRule="auto"/>
        <w:tabs>
          <w:tab w:leader="none" w:pos="129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risks and expectations related to acquisitions and equity interests in private companies, including integration issues related to product plans and the acquired technology, and risks of negative impact by such acquisitions and equity investments on our financial results;</w:t>
      </w:r>
    </w:p>
    <w:p>
      <w:pPr>
        <w:spacing w:after="0" w:line="150" w:lineRule="exact"/>
        <w:rPr>
          <w:rFonts w:ascii="Arial" w:cs="Arial" w:eastAsia="Arial" w:hAnsi="Arial"/>
          <w:sz w:val="16"/>
          <w:szCs w:val="16"/>
          <w:i w:val="1"/>
          <w:iCs w:val="1"/>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2021;</w:t>
      </w:r>
    </w:p>
    <w:p>
      <w:pPr>
        <w:spacing w:after="0" w:line="252" w:lineRule="exact"/>
        <w:rPr>
          <w:rFonts w:ascii="Arial" w:cs="Arial" w:eastAsia="Arial" w:hAnsi="Arial"/>
          <w:sz w:val="18"/>
          <w:szCs w:val="18"/>
          <w:i w:val="1"/>
          <w:iCs w:val="1"/>
          <w:color w:val="auto"/>
        </w:rPr>
      </w:pPr>
    </w:p>
    <w:p>
      <w:pPr>
        <w:ind w:left="1300" w:right="8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right="2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and the Coronavirus Aid, Relief, and Economic Security Act (the “CARES Act”);</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52" w:lineRule="exact"/>
        <w:rPr>
          <w:rFonts w:ascii="Arial" w:cs="Arial" w:eastAsia="Arial" w:hAnsi="Arial"/>
          <w:sz w:val="18"/>
          <w:szCs w:val="18"/>
          <w:i w:val="1"/>
          <w:iCs w:val="1"/>
          <w:color w:val="auto"/>
        </w:rPr>
      </w:pPr>
    </w:p>
    <w:p>
      <w:pPr>
        <w:ind w:left="1300" w:right="24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2021 spending on real estate and other expansion projects and of the anticipated completion timelines for such projects;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61"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39"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Fortinet Security Fabric cybersecurity platform, which features automated protection, detection and response. The Fortinet Security Fabric platform leverages a common operating system or integration to this operating system across our product offerings and helps organizations better secure their environments and reduce their security and network complexities. The Fortinet Security Fabric platform has an open architecture designed to connect Fortinet solutions and third-party solutions into a single ecosystem, enabling holistic detection and coordinated response across the attack cycle and surface through integration and automation.</w:t>
      </w:r>
    </w:p>
    <w:p>
      <w:pPr>
        <w:spacing w:after="0" w:line="203" w:lineRule="exact"/>
        <w:rPr>
          <w:sz w:val="20"/>
          <w:szCs w:val="20"/>
          <w:color w:val="auto"/>
        </w:rPr>
      </w:pPr>
    </w:p>
    <w:p>
      <w:pPr>
        <w:ind w:right="80" w:firstLine="648"/>
        <w:spacing w:after="0" w:line="242" w:lineRule="auto"/>
        <w:rPr>
          <w:sz w:val="20"/>
          <w:szCs w:val="20"/>
          <w:color w:val="auto"/>
        </w:rPr>
      </w:pPr>
      <w:r>
        <w:rPr>
          <w:rFonts w:ascii="Arial" w:cs="Arial" w:eastAsia="Arial" w:hAnsi="Arial"/>
          <w:sz w:val="17"/>
          <w:szCs w:val="17"/>
          <w:color w:val="auto"/>
        </w:rPr>
        <w:t>Our product offerings consist of our FortiGate network security products and our non-FortiGate products. In addition to high performing networking features, we offer a rich set of cloud-delivered Security Services that can be added to different products across the Fortinet Security Fabric and customized to the organization use cases. Our security services are enabled by FortiGuard Labs, which provides threat research and artificial intelligence capabilities from a cloud network to deliver coordinated protection for the ever-expanding attack surface through FortiGate appliance and virtual machine as well as all Security Fabric products that are registered by the end-customer.</w:t>
      </w:r>
    </w:p>
    <w:p>
      <w:pPr>
        <w:spacing w:after="0" w:line="202"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Our proprietary Security Processing Units (“SPUs”) are Application-Specific Integrated Circuits that are implemented in our physical FortiGate appliances and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 We also provide virtualized Security Processing Units (“vSPUs”) across our FortiGate virtual appliances to deliver similar accelerated capabilities when run in virtualized environments.</w:t>
      </w:r>
    </w:p>
    <w:p>
      <w:pPr>
        <w:spacing w:after="0" w:line="21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FortiOS operating system provides the foundation for the operation of all FortiGate network security appliances, whether physical, virtual, private- or public-cloud based. FortiOS directs the operations of processors and SPUs and provides system management functions. We make regular updates to FortiOS available through our FortiCare support services.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FortiOS, its associated security and networking functions and products that run or are integrated with FortiOS are combined to form the Fortinet Security Fabric cybersecurity platform. This approach to security ties discrete security solutions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into an integrated whole that provides centralized management and visibility, automation and intelligence sharing to simplify network and security operations and rapid response to threats.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right="40" w:hanging="328"/>
        <w:spacing w:after="0" w:line="253"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Security-Driven Networking</w:t>
      </w:r>
      <w:r>
        <w:rPr>
          <w:rFonts w:ascii="Arial" w:cs="Arial" w:eastAsia="Arial" w:hAnsi="Arial"/>
          <w:sz w:val="17"/>
          <w:szCs w:val="17"/>
          <w:color w:val="auto"/>
        </w:rPr>
        <w:t>—Our Security-Driven Networking solutions enables the convergence of networking and security across all edges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next-generation firewall (“NGFW”), software-defined wide area network (“SD-WAN”), LAN Edge (Wi-Fi and switch) and secure access service edge (“SASE”). We derive a majority of product sales from our FortiGate network security appliances. FortiGate network 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w:t>
      </w:r>
    </w:p>
    <w:p>
      <w:pPr>
        <w:spacing w:after="0" w:line="193" w:lineRule="exact"/>
        <w:rPr>
          <w:rFonts w:ascii="Arial" w:cs="Arial" w:eastAsia="Arial" w:hAnsi="Arial"/>
          <w:sz w:val="17"/>
          <w:szCs w:val="17"/>
          <w:color w:val="auto"/>
        </w:rPr>
      </w:pPr>
    </w:p>
    <w:p>
      <w:pPr>
        <w:ind w:left="660" w:right="180" w:hanging="328"/>
        <w:spacing w:after="0" w:line="26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Zero Trust Access</w:t>
      </w:r>
      <w:r>
        <w:rPr>
          <w:rFonts w:ascii="Arial" w:cs="Arial" w:eastAsia="Arial" w:hAnsi="Arial"/>
          <w:sz w:val="16"/>
          <w:szCs w:val="16"/>
          <w:color w:val="auto"/>
        </w:rPr>
        <w:t>—The Fortinet Security Fabric platform extends beyond the network to cover other attack vectors. Our Zero Trust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enable customers to know and control who and what is on their network, in addition to providing security for work from anywhere (“WFA”). Zero Trust Access solutions include FortiNAC, FortiAuthenticator, FortiClient and FortiToken. Additionally, the proliferation of internet of things (“IoT”) and operational technology (“OT”) devices has generated new opportunities for us to grow our business. Our network access control solutions provide visibility, control and automated event responses in order to secure IoT and OT devices.</w:t>
      </w:r>
    </w:p>
    <w:p>
      <w:pPr>
        <w:spacing w:after="0" w:line="201" w:lineRule="exact"/>
        <w:rPr>
          <w:rFonts w:ascii="Arial" w:cs="Arial" w:eastAsia="Arial" w:hAnsi="Arial"/>
          <w:sz w:val="16"/>
          <w:szCs w:val="16"/>
          <w:color w:val="auto"/>
        </w:rPr>
      </w:pPr>
    </w:p>
    <w:p>
      <w:pPr>
        <w:ind w:left="660" w:hanging="328"/>
        <w:spacing w:after="0" w:line="26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Adaptive Cloud Security</w:t>
      </w:r>
      <w:r>
        <w:rPr>
          <w:rFonts w:ascii="Arial" w:cs="Arial" w:eastAsia="Arial" w:hAnsi="Arial"/>
          <w:sz w:val="17"/>
          <w:szCs w:val="17"/>
          <w:color w:val="auto"/>
        </w:rPr>
        <w:t>—We help customers connect securely to and across their individual, hybrid and multi-cloud environments 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Amazon Web Services, Microsoft Azure, Google Cloud, Oracle Cloud, Alibaba Cloud, IBM Cloud and VMWare Cloud. We also offer managed IPS and web application firewall (“WAF”) rules delivered by FortiGuard Labs as an overlay service to native security offerings offered by Amazon Web Services.</w:t>
      </w:r>
    </w:p>
    <w:p>
      <w:pPr>
        <w:spacing w:after="0" w:line="198" w:lineRule="exact"/>
        <w:rPr>
          <w:rFonts w:ascii="Arial" w:cs="Arial" w:eastAsia="Arial" w:hAnsi="Arial"/>
          <w:sz w:val="17"/>
          <w:szCs w:val="17"/>
          <w:color w:val="auto"/>
        </w:rPr>
      </w:pPr>
    </w:p>
    <w:p>
      <w:pPr>
        <w:ind w:left="660" w:hanging="328"/>
        <w:spacing w:after="0" w:line="22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AI-Driven Security Operations</w:t>
      </w:r>
      <w:r>
        <w:rPr>
          <w:rFonts w:ascii="Arial" w:cs="Arial" w:eastAsia="Arial" w:hAnsi="Arial"/>
          <w:sz w:val="18"/>
          <w:szCs w:val="18"/>
          <w:color w:val="auto"/>
        </w:rPr>
        <w:t>—We develop and provide a range of products and services that enable the security operations center (“SOC”)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teams to identify, investigate and remediate potential incidents in which cybercriminals bypass prevention-oriented controls. Given the breadth of the attack surface to monitor, as well as the volume and sophistication of cyber threats, Artificial Intelligence (“AI”) is a key part of these offerings, which include: FortiGuard and other security subscription services, modern endpoint security with endpoint detection and response (“EDR”), a range of breach-protection technologies plus our security information and event management (“SIEM”) and security orchestration, automation and response (“SOAR”), all of which can be applied across the entire Fortinet Security Fabric platform. These solutions automatically deliver security intelligence and insights that enable organizations to protect against and respond to threats faster through integration with Fortinet and third-party controls.</w:t>
      </w:r>
    </w:p>
    <w:p>
      <w:pPr>
        <w:spacing w:after="0" w:line="202" w:lineRule="exact"/>
        <w:rPr>
          <w:rFonts w:ascii="Arial" w:cs="Arial" w:eastAsia="Arial" w:hAnsi="Arial"/>
          <w:sz w:val="18"/>
          <w:szCs w:val="18"/>
          <w:color w:val="auto"/>
        </w:rPr>
      </w:pPr>
    </w:p>
    <w:p>
      <w:pPr>
        <w:ind w:left="660" w:right="280" w:hanging="328"/>
        <w:spacing w:after="0" w:line="22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natively integrated FortiGuard security subscription services as an add-on to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the Fortinet Security Fabric with the goal of receiving real-time threat intelligence and protection updates. The rich set of FortiGuard Services is built from the ground up to provide comprehensive protection for users and applications, including market leading offerings for IPS, Web, video and DNS filtering, AV and cloud sandbox as well as IoT and OT Security. The FortiGuard Security Services are provided from our FortiGuard Labs and cloud-delivered to provide real-time unified protection across network endpoint and cloud. FortiCare technical support services and the support of technical account managers, resident engineers and professional service consultants for implementations or training services.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40" w:hanging="328"/>
        <w:spacing w:after="0" w:line="296"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revenue was $867.2 million and $2.38 billion during the three and nine months ended September 30, 2021, an increase of 33% and 29%, respectively, compared to $651.1 million and $1.85 billion in the same periods last year. Product revenue was $337.1 million and $876.1 million during the three and nine months ended September 30, 2021, an increase of 51% and 40%, respectively, compared to $223.8 million and $628.0 million in the same periods last year. Service revenue was $530.1 million and $1.50 billion during the three and nine months ended September 30, 2021, an increase of 24% and 23%, respectively, compared to $427.3 million and $1.22 billion in the same periods last year.</w:t>
      </w:r>
    </w:p>
    <w:p>
      <w:pPr>
        <w:spacing w:after="0" w:line="188"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gross profit was $656.0 million and $1.82 billion during the three and nine months ended September 30, 2021, an increase of 28% and 26%, respectively, compared to $511.9 million and $1.44 billion in the same periods last year.</w:t>
      </w:r>
    </w:p>
    <w:p>
      <w:pPr>
        <w:spacing w:after="0" w:line="197" w:lineRule="exact"/>
        <w:rPr>
          <w:rFonts w:ascii="Arial" w:cs="Arial" w:eastAsia="Arial" w:hAnsi="Arial"/>
          <w:sz w:val="18"/>
          <w:szCs w:val="18"/>
          <w:color w:val="auto"/>
        </w:rPr>
      </w:pPr>
    </w:p>
    <w:p>
      <w:pPr>
        <w:ind w:left="660" w:right="6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generated operating income of $166.4 million and $435.5 million during the three and nine months ended September 30, 2021, an increase of 31% and 20%, respectively, compared to $126.9 million and $362.4 million in the same periods last year. Operating income during the three months ended September 30, 2021 and 2020 included gains on an intellectual property (“IP”) matter of $1.1 million. Operating income during the nine months ended September 30, 2021 and 2020 included gains on an intellectual property (“IP”) matter of $3.4 million and $39.0 million, respectively.</w:t>
      </w:r>
    </w:p>
    <w:p>
      <w:pPr>
        <w:spacing w:after="0" w:line="21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Cash, cash equivalents, short-term and long-term investments and marketable equity securities were $3.42 billion as of September 30, 2021.</w:t>
      </w:r>
    </w:p>
    <w:p>
      <w:pPr>
        <w:spacing w:after="0" w:line="2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2021, we repurchased 0.8 million shares of common stock under our Share Repurchase Program (the “Repurchase Program”), for a total purchase price of $200.4 million.</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March 2021, we issued $1.0 billion of Senior Notes. Long-term debt, net of unamortized discount and debt issuance costs, was $988.0 million as of September 30, 2021. There was no such debt outstanding at December 31, 2020.</w:t>
      </w:r>
    </w:p>
    <w:p>
      <w:pPr>
        <w:spacing w:after="0" w:line="197" w:lineRule="exact"/>
        <w:rPr>
          <w:rFonts w:ascii="Arial" w:cs="Arial" w:eastAsia="Arial" w:hAnsi="Arial"/>
          <w:sz w:val="18"/>
          <w:szCs w:val="18"/>
          <w:color w:val="auto"/>
        </w:rPr>
      </w:pPr>
    </w:p>
    <w:p>
      <w:pPr>
        <w:ind w:left="660" w:right="58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Deferred revenue was $3.11 billion as of September 30, 2021, an increase of $501.1 million, or 19%, from December 31, 2020. Short-term deferred revenue was $1.62 billion as of September 30, 2021, an increase of $223.3 million, or 16%, from December 31, 2020.</w:t>
      </w:r>
    </w:p>
    <w:p>
      <w:pPr>
        <w:spacing w:after="0" w:line="150" w:lineRule="exact"/>
        <w:rPr>
          <w:rFonts w:ascii="Arial" w:cs="Arial" w:eastAsia="Arial" w:hAnsi="Arial"/>
          <w:sz w:val="16"/>
          <w:szCs w:val="16"/>
          <w:color w:val="auto"/>
        </w:rPr>
      </w:pPr>
    </w:p>
    <w:p>
      <w:pPr>
        <w:ind w:left="660" w:right="3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$1.13 billion during the nine months ended September 30, 2021, an increase of $345.7 million, or 44%, compared to the same period last year. We generated $50.0 million of proceeds from an IP matter in the first quarter of 2020.</w:t>
      </w:r>
    </w:p>
    <w:p>
      <w:pPr>
        <w:spacing w:after="0" w:line="137" w:lineRule="exact"/>
        <w:rPr>
          <w:rFonts w:ascii="Arial" w:cs="Arial" w:eastAsia="Arial" w:hAnsi="Arial"/>
          <w:sz w:val="16"/>
          <w:szCs w:val="16"/>
          <w:color w:val="auto"/>
        </w:rPr>
      </w:pPr>
    </w:p>
    <w:p>
      <w:pPr>
        <w:ind w:left="660" w:right="200" w:hanging="328"/>
        <w:spacing w:after="0" w:line="22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31, 2021, we closed an acquisition of 75% of the equity interests in AlaxalA Networks Corporation (“AlaxalA”), a privately held network hardware equipment company in Japan, to help address the increasing need for secure switches integrated with FortiGate Firewalls and Security Fabric functionality, and, over time, to innovate and rebrand certain of AlaxalA’s switches to offer a broader suite of secure switches globally. From September 1, 2021 to September 30, 2021, AlaxalA’s revenue was $15.6 million, or 1.8% and 0.7% of total revenue during the three and nine months ended September 30, 2021, respectively.</w:t>
      </w:r>
    </w:p>
    <w:p>
      <w:pPr>
        <w:spacing w:after="0" w:line="21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which remains a key strength of our business. During the three months ended September 30, 2021, the Americas region, the Europe, Middle East and Africa (“EMEA”) region and the Asia Pacific (“APAC”) region contributed 41%, 37% and 22% of our total revenue, respectively, and increased by 29%, 33% and 43% compared to the same periods last year, respectively. During the nine months ended September 30, 2021, the Americas region, the EMEA region and the APAC region contributed 41%, 38% and 21% of our total revenue, respectively, and increased by 26%, 31% and 31% compared to the same periods last year, respectively.</w:t>
      </w:r>
    </w:p>
    <w:p>
      <w:pPr>
        <w:spacing w:after="0" w:line="20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6"/>
          <w:szCs w:val="16"/>
          <w:color w:val="auto"/>
        </w:rPr>
        <w:t>Product revenue grew 51% and 40% during the three and nine months ended September 30, 2021, respectively, compared to the same period last year. Product revenue growth was consistent with an elevated cyber threat landscape. FortiGate products accounted for more than half of the product revenue growth during the three months ended September 30, 2021. While Secure SD-WAN contributed to product revenue growth, the main driver was the strong demand for the wide range of other operating system capabilities embedded in the FortiGate products. We experienced strong product revenue growth across many of our security fabric platform products, including our OT solutions, secure access products and software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licenses. The impact of the increase in backlog was largely seen in certain fabric platform products. Service revenue growth of 24% and 23% during the three and nine months ended September 30, 2021, respectively, compared to the same periods last year, was driven by the strength of our FortiCare technical support and other service revenue which grew 26% and 25%, respectively, and of FortiGuard and other security subscription revenue, which grew 22%.</w:t>
      </w:r>
    </w:p>
    <w:p>
      <w:pPr>
        <w:spacing w:after="0" w:line="2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September 30, 2021, approximately 50% of our billings in the aggregate were from over 100 countries that individually contributed less than 3% of our billings.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three months ended September 30, 2021 and 2020, we recognized gains of $1.1 million, on an IP matter in connection with a mutual covenant-not-to-sue and release agreement with a competitor in the network security industry. Excluding the gains on the IP matter during the three months ended September 30, 2021 and 2020, operating expenses as a percentage of revenue stayed flat during the three months ended September 30, 2021 compared to the same period last year. During the nine months ended September 30, 2021 and 2020, we recognized gains of $3.4 million and $39.0 million, respectively, on an IP matter in connection with a mutual covenant-not-to-sue and release agreement with a competitor in the network security industry. Excluding the gains on the IP matter during the nine months ended September 30, 2021 and 2020, operating expenses as a percentage of revenue decreased by 2.2 percentage points during the nine months ended September 30, 2021 compared to the same period last year. Headcount increased to 9,700 employees and contractors as of September 30, 2021, an 18% increase compared to 8,238 as of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9" w:lineRule="exact"/>
        <w:rPr>
          <w:sz w:val="20"/>
          <w:szCs w:val="20"/>
          <w:color w:val="auto"/>
        </w:rPr>
      </w:pPr>
    </w:p>
    <w:p>
      <w:pPr>
        <w:ind w:right="100" w:firstLine="405"/>
        <w:spacing w:after="0" w:line="242" w:lineRule="auto"/>
        <w:rPr>
          <w:sz w:val="20"/>
          <w:szCs w:val="20"/>
          <w:color w:val="auto"/>
        </w:rPr>
      </w:pPr>
      <w:r>
        <w:rPr>
          <w:rFonts w:ascii="Arial" w:cs="Arial" w:eastAsia="Arial" w:hAnsi="Arial"/>
          <w:sz w:val="17"/>
          <w:szCs w:val="17"/>
          <w:color w:val="212529"/>
        </w:rPr>
        <w:t>The United States and the global community we serve are facing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w:t>
      </w:r>
      <w:r>
        <w:rPr>
          <w:rFonts w:ascii="Arial" w:cs="Arial" w:eastAsia="Arial" w:hAnsi="Arial"/>
          <w:sz w:val="17"/>
          <w:szCs w:val="17"/>
          <w:color w:val="000000"/>
        </w:rPr>
        <w:t>ransition back to an in-person working mode,</w:t>
      </w:r>
      <w:r>
        <w:rPr>
          <w:rFonts w:ascii="Arial" w:cs="Arial" w:eastAsia="Arial" w:hAnsi="Arial"/>
          <w:sz w:val="17"/>
          <w:szCs w:val="17"/>
          <w:color w:val="212529"/>
        </w:rPr>
        <w:t xml:space="preserve"> allowing more employees to work from our offices with reasonable precautions and, in all cases, subject to abiding by local legal restrictions. We intend to continue to monitor and abide by l</w:t>
      </w:r>
      <w:r>
        <w:rPr>
          <w:rFonts w:ascii="Arial" w:cs="Arial" w:eastAsia="Arial" w:hAnsi="Arial"/>
          <w:sz w:val="17"/>
          <w:szCs w:val="17"/>
          <w:color w:val="000000"/>
        </w:rPr>
        <w:t>ocal employee health and safety protocols and other regulations as applicable to each local office.</w:t>
      </w:r>
    </w:p>
    <w:p>
      <w:pPr>
        <w:spacing w:after="0" w:line="216"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212529"/>
        </w:rPr>
        <w:t xml:space="preserve">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as of and during the three and </w:t>
      </w:r>
      <w:r>
        <w:rPr>
          <w:rFonts w:ascii="Arial" w:cs="Arial" w:eastAsia="Arial" w:hAnsi="Arial"/>
          <w:sz w:val="17"/>
          <w:szCs w:val="17"/>
          <w:color w:val="000000"/>
        </w:rPr>
        <w:t>nine</w:t>
      </w:r>
      <w:r>
        <w:rPr>
          <w:rFonts w:ascii="Arial" w:cs="Arial" w:eastAsia="Arial" w:hAnsi="Arial"/>
          <w:sz w:val="17"/>
          <w:szCs w:val="17"/>
          <w:color w:val="212529"/>
        </w:rPr>
        <w:t xml:space="preserve"> months ended </w:t>
      </w:r>
      <w:r>
        <w:rPr>
          <w:rFonts w:ascii="Arial" w:cs="Arial" w:eastAsia="Arial" w:hAnsi="Arial"/>
          <w:sz w:val="17"/>
          <w:szCs w:val="17"/>
          <w:color w:val="000000"/>
        </w:rPr>
        <w:t>September 30, 2021</w:t>
      </w:r>
      <w:r>
        <w:rPr>
          <w:rFonts w:ascii="Arial" w:cs="Arial" w:eastAsia="Arial" w:hAnsi="Arial"/>
          <w:sz w:val="17"/>
          <w:szCs w:val="17"/>
          <w:color w:val="212529"/>
        </w:rPr>
        <w:t xml:space="preserve">. Conversely, some aspects of our business do not appear to have been significantly affected. During the three and </w:t>
      </w:r>
      <w:r>
        <w:rPr>
          <w:rFonts w:ascii="Arial" w:cs="Arial" w:eastAsia="Arial" w:hAnsi="Arial"/>
          <w:sz w:val="17"/>
          <w:szCs w:val="17"/>
          <w:color w:val="000000"/>
        </w:rPr>
        <w:t>nine</w:t>
      </w:r>
      <w:r>
        <w:rPr>
          <w:rFonts w:ascii="Arial" w:cs="Arial" w:eastAsia="Arial" w:hAnsi="Arial"/>
          <w:sz w:val="17"/>
          <w:szCs w:val="17"/>
          <w:color w:val="212529"/>
        </w:rPr>
        <w:t xml:space="preserve"> months ended </w:t>
      </w:r>
      <w:r>
        <w:rPr>
          <w:rFonts w:ascii="Arial" w:cs="Arial" w:eastAsia="Arial" w:hAnsi="Arial"/>
          <w:sz w:val="17"/>
          <w:szCs w:val="17"/>
          <w:color w:val="000000"/>
        </w:rPr>
        <w:t>September 30, 2021</w:t>
      </w:r>
      <w:r>
        <w:rPr>
          <w:rFonts w:ascii="Arial" w:cs="Arial" w:eastAsia="Arial" w:hAnsi="Arial"/>
          <w:sz w:val="17"/>
          <w:szCs w:val="17"/>
          <w:color w:val="212529"/>
        </w:rPr>
        <w:t>, we have observed the following:</w:t>
      </w:r>
    </w:p>
    <w:p>
      <w:pPr>
        <w:spacing w:after="0" w:line="185" w:lineRule="exact"/>
        <w:rPr>
          <w:sz w:val="20"/>
          <w:szCs w:val="20"/>
          <w:color w:val="auto"/>
        </w:rPr>
      </w:pPr>
    </w:p>
    <w:p>
      <w:pPr>
        <w:ind w:left="660" w:right="420" w:hanging="328"/>
        <w:spacing w:after="0" w:line="246" w:lineRule="auto"/>
        <w:tabs>
          <w:tab w:leader="none" w:pos="655"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We have seen supply chain challenges increase, including chip and other component shortages and increased costs for certain chips and other components and shipping, and we do not have enough inventory to promptly meet all demand for all products.</w:t>
      </w:r>
    </w:p>
    <w:p>
      <w:pPr>
        <w:spacing w:after="0" w:line="196" w:lineRule="exact"/>
        <w:rPr>
          <w:rFonts w:ascii="Arial" w:cs="Arial" w:eastAsia="Arial" w:hAnsi="Arial"/>
          <w:sz w:val="18"/>
          <w:szCs w:val="18"/>
          <w:color w:val="212529"/>
        </w:rPr>
      </w:pPr>
    </w:p>
    <w:p>
      <w:pPr>
        <w:ind w:left="660" w:right="60" w:hanging="328"/>
        <w:spacing w:after="0" w:line="26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most countries, our employees’ ability to travel has been reduced. In-person sales and marketing events or meetings that would normally have been held were canceled, postponed or converted into virtual events. However, as certain country’s restrictions start to ease, we have started to see an increase in expenses related to travel and marketing events. Although we cannot predict if or when such expenses will return to pre-pandemic levels, as of September 30, 2021 we have started to see an increase in such expenses as compared to the same period last year.</w:t>
      </w:r>
    </w:p>
    <w:p>
      <w:pPr>
        <w:spacing w:after="0" w:line="196" w:lineRule="exact"/>
        <w:rPr>
          <w:rFonts w:ascii="Arial" w:cs="Arial" w:eastAsia="Arial" w:hAnsi="Arial"/>
          <w:sz w:val="16"/>
          <w:szCs w:val="16"/>
          <w:color w:val="auto"/>
        </w:rPr>
      </w:pPr>
    </w:p>
    <w:p>
      <w:pPr>
        <w:ind w:left="660" w:right="3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countries and geographic regions in which we experienced the fastest billings growth in the third quarter of 2021, as compared to the third quarter of 2020, were countries and geographic regions in which the COVID-19 pandemic is generally considered to currently have a comparatively less severe impact on the local population and economy.</w:t>
      </w:r>
    </w:p>
    <w:p>
      <w:pPr>
        <w:spacing w:after="0" w:line="237"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COVID-19 pandemic we noted that, for some of our customers, sales cycles appeared to lengthen. More recently, it may be that sales cycles for some customers have accelerated.</w:t>
      </w:r>
    </w:p>
    <w:p>
      <w:pPr>
        <w:spacing w:after="0" w:line="196" w:lineRule="exact"/>
        <w:rPr>
          <w:rFonts w:ascii="Arial" w:cs="Arial" w:eastAsia="Arial" w:hAnsi="Arial"/>
          <w:sz w:val="18"/>
          <w:szCs w:val="18"/>
          <w:color w:val="auto"/>
        </w:rPr>
      </w:pPr>
    </w:p>
    <w:p>
      <w:pPr>
        <w:ind w:left="660" w:right="180" w:hanging="328"/>
        <w:spacing w:after="0" w:line="23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to mitigate supply chain disruption and other supply chain risk and in anticipation of future demand, we worked to increase our on-hand stock of certain products. We increased our commitments with certain suppliers to secure capacity and, are meeting regularly with our contract manufacturer to manage future commitments, address component shortages and monitor delivery of finished goods. We have also transitioned primarily to air shipping to avoid port congestion and extended ocean freight time.</w:t>
      </w:r>
    </w:p>
    <w:p>
      <w:pPr>
        <w:spacing w:after="0" w:line="215"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3"/>
        </w:numPr>
        <w:rPr>
          <w:rFonts w:ascii="Arial" w:cs="Arial" w:eastAsia="Arial" w:hAnsi="Arial"/>
          <w:sz w:val="18"/>
          <w:szCs w:val="18"/>
          <w:color w:val="212529"/>
        </w:rPr>
      </w:pPr>
      <w:r>
        <w:rPr>
          <w:rFonts w:ascii="Arial" w:cs="Arial" w:eastAsia="Arial" w:hAnsi="Arial"/>
          <w:sz w:val="18"/>
          <w:szCs w:val="18"/>
          <w:color w:val="auto"/>
        </w:rPr>
        <w:t>The yield on investment-grade debt has decreased, and while the risk of credit losses on our investments and cash equivalents has not changed significantly, as the debt securities in our portfolio have matured, they have been replaced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by securities with lower effective interest rates. This has contributed to a decrease in our interest income during the three and nine months ended September 30, 2021, compared to the same period last year.</w:t>
      </w:r>
    </w:p>
    <w:p>
      <w:pPr>
        <w:spacing w:after="0" w:line="197" w:lineRule="exact"/>
        <w:rPr>
          <w:sz w:val="20"/>
          <w:szCs w:val="20"/>
          <w:color w:val="auto"/>
        </w:rPr>
      </w:pPr>
    </w:p>
    <w:p>
      <w:pPr>
        <w:ind w:left="660" w:right="420" w:hanging="328"/>
        <w:spacing w:after="0" w:line="24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accordance with the CARES Act, we have deferred the deposit and payment of our employer’s share of Social Security taxes. This did not materially affect net cash provided by operating activities during the period.</w:t>
      </w:r>
    </w:p>
    <w:p>
      <w:pPr>
        <w:ind w:right="40" w:firstLine="405"/>
        <w:spacing w:after="0" w:line="267" w:lineRule="auto"/>
        <w:rPr>
          <w:sz w:val="20"/>
          <w:szCs w:val="20"/>
          <w:color w:val="auto"/>
        </w:rPr>
      </w:pPr>
      <w:r>
        <w:rPr>
          <w:rFonts w:ascii="Arial" w:cs="Arial" w:eastAsia="Arial" w:hAnsi="Arial"/>
          <w:sz w:val="17"/>
          <w:szCs w:val="17"/>
          <w:color w:val="212529"/>
        </w:rPr>
        <w:t>Going forward, the situation remains uncertain, rapidly changing and hard to predict, and the COVID-19 pandemic may have a material negative impact on our future periods. If we experience greater component, shipping or inventory challenges than we expect or significant changes in our billings growth rates, it will negatively impact billings and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II, Item 1A “Risk Factors” in this Form 10-Q.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52"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service providers and managed security service providers (“MSSPs”), who, in turn, sell to end-customers. At times, we also sell directly to large service providers and major systems integrators who may sell to our end-customers or use our products and services to provided hosted solutions to other enterprises. Our end-customers are located in over 100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w:t>
      </w:r>
    </w:p>
    <w:p>
      <w:pPr>
        <w:spacing w:after="0" w:line="2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our products through major cloud providers, and have recognized revenue on a usage basis from Amazon Web Services, Microsoft Azure, Alibaba Cloud, Google Cloud, Oracle Cloud and IBM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third-party clouds or in their private cloud.</w:t>
      </w:r>
    </w:p>
    <w:p>
      <w:pPr>
        <w:spacing w:after="0" w:line="215"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continue to offer extended payment terms to certain distributor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provided by operating activities below under “—Liquidity and Capital Resources.” Deferred revenue, billings (non-GAAP), and free cash flow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are discussed immediately below the following table:</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3"/>
              </w:rPr>
              <w:t>September 30, 2021</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(in millions)</w:t>
            </w:r>
          </w:p>
        </w:tc>
        <w:tc>
          <w:tcPr>
            <w:tcW w:w="8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867.2</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3,106.4</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2,392.0</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1,064.1</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398.8</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329.8</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r>
    </w:tbl>
    <w:p>
      <w:pPr>
        <w:spacing w:after="0" w:line="32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$3.11 billion as of September 30, 2021, an increase of $501.1 million, or 19%, from December 31, 2020.</w:t>
      </w:r>
    </w:p>
    <w:p>
      <w:pPr>
        <w:spacing w:after="0" w:line="21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$1.06 billion for the three months ended September 30, 2021, an increase of 42% compared to $749.8 million in the same period last year.</w:t>
      </w:r>
    </w:p>
    <w:p>
      <w:pPr>
        <w:spacing w:after="0" w:line="205"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September 30, 2021</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2020</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gridSpan w:val="3"/>
          </w:tcPr>
          <w:p>
            <w:pPr>
              <w:jc w:val="right"/>
              <w:ind w:right="353"/>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867.2</w:t>
            </w:r>
          </w:p>
        </w:tc>
        <w:tc>
          <w:tcPr>
            <w:tcW w:w="120" w:type="dxa"/>
            <w:vAlign w:val="bottom"/>
          </w:tcPr>
          <w:p>
            <w:pPr>
              <w:spacing w:after="0"/>
              <w:rPr>
                <w:sz w:val="19"/>
                <w:szCs w:val="19"/>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651.1</w:t>
            </w:r>
          </w:p>
        </w:tc>
      </w:tr>
      <w:tr>
        <w:trPr>
          <w:trHeight w:val="230"/>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Deferred revenue balance acquired in business combination</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billings (non-GAAP)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purchases of property and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00"/>
        <w:spacing w:after="0" w:line="274" w:lineRule="auto"/>
        <w:rPr>
          <w:sz w:val="20"/>
          <w:szCs w:val="20"/>
          <w:color w:val="auto"/>
        </w:rPr>
      </w:pPr>
      <w:r>
        <w:rPr>
          <w:rFonts w:ascii="Arial" w:cs="Arial" w:eastAsia="Arial" w:hAnsi="Arial"/>
          <w:sz w:val="18"/>
          <w:szCs w:val="18"/>
          <w:color w:val="auto"/>
        </w:rPr>
        <w:t>cash flow as a comparative measure. A reconciliation of net cash provided by operating activities, the most directly comparable financial measure calculated and presented in accordance with GAAP, to free cash flow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2021</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2020</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w:t>
            </w:r>
          </w:p>
        </w:tc>
      </w:tr>
      <w:tr>
        <w:trPr>
          <w:trHeight w:val="21"/>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nine months ended September 30, 2021, as compared to the critical accounting policies and estimates described in our Annual Report on Form 10-K filed with the SEC on February 19, 2021 (the “Form 10-K”), except as noted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Non-marketable equity investments</w:t>
      </w:r>
    </w:p>
    <w:p>
      <w:pPr>
        <w:spacing w:after="0" w:line="25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Our non-marketable investments include equity investments in privately held companies without a readily determinable fair value. We measure these investments at cost minus impairment, if any, plus or minus changes resulting from observable price changes in orderly transactions for identical or similar investments of the same issuer. Gains and losses on these investments, whether realized or unrealized, are recognized in other expense, net in our condensed consolidated statements of income.</w:t>
      </w:r>
    </w:p>
    <w:p>
      <w:pPr>
        <w:spacing w:after="0" w:line="21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Also, our non-marketable investments include investments in common stock or in-substance common stock of entities that provide us with the ability to exercise significant influence over the investee, but not an absolute controlling financial interest, and are accounted for under the equity method of accounting. Our investment in Linksys is our only equity method investment. We record our proportionate share of the net earnings (losses) and the amortization of any basis differences of Linksys based on the most recently available financial statements of Linksys, which are provided to us on a three-month lag, in loss from equity method investment in our condensed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September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51 %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33 %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193.9</w:t>
            </w:r>
          </w:p>
        </w:tc>
        <w:tc>
          <w:tcPr>
            <w:tcW w:w="1440" w:type="dxa"/>
            <w:vAlign w:val="bottom"/>
            <w:gridSpan w:val="3"/>
          </w:tcPr>
          <w:p>
            <w:pPr>
              <w:jc w:val="right"/>
              <w:ind w:right="1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135.4</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w:t>
            </w:r>
          </w:p>
        </w:tc>
        <w:tc>
          <w:tcPr>
            <w:tcW w:w="1420" w:type="dxa"/>
            <w:vAlign w:val="bottom"/>
          </w:tcPr>
          <w:p>
            <w:pPr>
              <w:ind w:left="10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33 %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Total revenue increased by $216.1 million, or 33%, during the three months ended September 30, 2021 compared to the same period last year. Total revenue for the three months ended September 30, 2021 included AlaxalA’s revenue from September 1, 2021 to September 30, 2021 of $15.6 million, or 1.8% of total revenue. Excluding AlaxalA, our revenue was $851.6 million, an increase of 31% compared to the same quarter last year. We continued to experience largely organic revenue growth (i.e. revenue growth excluding attribution from recent acquisitions) with diversification of revenue geographically, and across both customer and industry segments. Revenue from all regions grew, with EMEA contributing the largest portion of the increase on an absolute dollar basis and APAC, including AlaxalA, contributing the largest portion of the increase on a percentage basis.</w:t>
      </w:r>
    </w:p>
    <w:p>
      <w:pPr>
        <w:spacing w:after="0" w:line="190" w:lineRule="exact"/>
        <w:rPr>
          <w:sz w:val="20"/>
          <w:szCs w:val="20"/>
          <w:color w:val="auto"/>
        </w:rPr>
      </w:pPr>
    </w:p>
    <w:p>
      <w:pPr>
        <w:ind w:right="140" w:firstLine="648"/>
        <w:spacing w:after="0" w:line="242" w:lineRule="auto"/>
        <w:rPr>
          <w:sz w:val="20"/>
          <w:szCs w:val="20"/>
          <w:color w:val="auto"/>
        </w:rPr>
      </w:pPr>
      <w:r>
        <w:rPr>
          <w:rFonts w:ascii="Arial" w:cs="Arial" w:eastAsia="Arial" w:hAnsi="Arial"/>
          <w:sz w:val="17"/>
          <w:szCs w:val="17"/>
          <w:color w:val="auto"/>
        </w:rPr>
        <w:t>Product revenue increased by $113.3 million, or 51%, during the three months ended September 30, 2021 compared to the same period last year. Product revenue growth was consistent with an elevated cyber threat landscape. FortiGate products accounted for more than half of the product revenue growth in the three months ended September 30, 2021. While Secure SD-WAN contributed to product revenue growth, the main driver was the strong demand for the wide range of other operating system capabilities embedded in the FortiGate products. We also experienced strong revenue growth across many of our security fabric platform products, including OT solutions, secure access products and software licenses.</w:t>
      </w:r>
    </w:p>
    <w:p>
      <w:pPr>
        <w:spacing w:after="0" w:line="202"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Service revenue increased by $102.8 million, or 24%, during the three months ended September 30, 2021 compared to the same period last year. FortiGuard security subscription and FortiCare technical support and other revenues increased by $52.0 million, or 22%, and by $50.8 million, or 26%, respectively, during the three months ended September 30, 2021 compared to the same period last year. The increases were primarily due to the recognition of revenue from our growing deferred revenue balance related to FortiGuard and other security subscriptions delivered to on-premise and cloud based environments as well as FortiCare technical support, including our customers moving to higher-tier support offerings.</w:t>
      </w:r>
    </w:p>
    <w:p>
      <w:pPr>
        <w:spacing w:after="0" w:line="21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Of the service revenue recognized during the three months ended September 30, 2021, 89% was included in the deferred revenue balance as of June 30,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2020" w:type="dxa"/>
            <w:vAlign w:val="bottom"/>
          </w:tcPr>
          <w:p>
            <w:pPr>
              <w:ind w:left="1620"/>
              <w:spacing w:after="0"/>
              <w:rPr>
                <w:sz w:val="20"/>
                <w:szCs w:val="20"/>
                <w:color w:val="auto"/>
              </w:rPr>
            </w:pPr>
            <w:r>
              <w:rPr>
                <w:rFonts w:ascii="Arial" w:cs="Arial" w:eastAsia="Arial" w:hAnsi="Arial"/>
                <w:sz w:val="18"/>
                <w:szCs w:val="18"/>
                <w:color w:val="auto"/>
                <w:w w:val="92"/>
              </w:rPr>
              <w:t>59 %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2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020" w:type="dxa"/>
            <w:vAlign w:val="bottom"/>
          </w:tcPr>
          <w:p>
            <w:pPr>
              <w:ind w:left="1620"/>
              <w:spacing w:after="0"/>
              <w:rPr>
                <w:sz w:val="20"/>
                <w:szCs w:val="20"/>
                <w:color w:val="auto"/>
              </w:rPr>
            </w:pPr>
            <w:r>
              <w:rPr>
                <w:rFonts w:ascii="Arial" w:cs="Arial" w:eastAsia="Arial" w:hAnsi="Arial"/>
                <w:sz w:val="18"/>
                <w:szCs w:val="18"/>
                <w:color w:val="auto"/>
                <w:w w:val="92"/>
              </w:rPr>
              <w:t>52 %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Total gross margin decreased by 3.0 percentage points during the three months ended September 30, 2021 compared to the same period last year, driven by change in revenue mix to lower margin product revenue from higher margin service revenue year over year. Revenue mix shifted by 4.5 percentage points from service revenue to product revenue, as a percentage of total revenue.</w:t>
      </w:r>
    </w:p>
    <w:p>
      <w:pPr>
        <w:spacing w:after="0" w:line="202"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Product gross margin decreased by 2.1 percentage points during the three months ended September 30, 2021 compared to the same period last year. The decrease in product gross margin was impacted by our consolidation of AlaxalA, higher product costs due to supply chain constraints and a change in our product mix. Cost of product revenue was comprised primarily of third-party contract manufacturers’ costs and the costs of materials used in production.</w:t>
      </w:r>
    </w:p>
    <w:p>
      <w:pPr>
        <w:spacing w:after="0" w:line="216" w:lineRule="exact"/>
        <w:rPr>
          <w:sz w:val="20"/>
          <w:szCs w:val="20"/>
          <w:color w:val="auto"/>
        </w:rPr>
      </w:pPr>
    </w:p>
    <w:p>
      <w:pPr>
        <w:ind w:right="340" w:firstLine="648"/>
        <w:spacing w:after="0" w:line="248" w:lineRule="auto"/>
        <w:rPr>
          <w:sz w:val="20"/>
          <w:szCs w:val="20"/>
          <w:color w:val="auto"/>
        </w:rPr>
      </w:pPr>
      <w:r>
        <w:rPr>
          <w:rFonts w:ascii="Arial" w:cs="Arial" w:eastAsia="Arial" w:hAnsi="Arial"/>
          <w:sz w:val="18"/>
          <w:szCs w:val="18"/>
          <w:color w:val="auto"/>
        </w:rPr>
        <w:t>Service gross margin decreased by 1.7 percentage points during the three months ended September 30, 2021 compared to the same period last year. Cost of service revenue was comprised primarily of personnel costs and data center costs. The decrease in service gross margin was primarily impacted by our consolidation of AlaxalA and our data center expansion.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95"/>
              </w:rPr>
              <w:t>2020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420" w:type="dxa"/>
            <w:vAlign w:val="bottom"/>
          </w:tcPr>
          <w:p>
            <w:pPr>
              <w:ind w:left="10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27 %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Research and development expense increased by $17.8 million, or 20%, during the three months ended September 30, 2021 compared to the same period last year, primarily due to an increase of $17.3 million in personnel-related costs as a result of increased headcount to support the development of new products and continued enhancements to our existing products and foreign currency fluctuations. We currently intend to continue to invest in our research and development organization, and expect research and development expense to increase in absolute dollars during the remainder of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17"/>
          <w:szCs w:val="17"/>
          <w:color w:val="auto"/>
        </w:rPr>
        <w:t>Sales and marketing expense increased by $80.4 million, or 30%, during the three months ended September 30, 2021 compared to the same period last year, primarily due to an increase of $52.9 million in personnel-related costs as a result of increases to sales and marketing headcount in order to drive global market revenue increases and foreign currency fluctuations. Marketing-related expense increased by $15.9 million, and included expenses related to the Fortinet Championship, the PGA tour event that we sponsored in September 2021. In addition, travel expense increased by $4.4 million. We currently intend to continue to make investments in sales and marketing resources, which are critical to support our future growth, and expect sales and marketing expense to increase in absolute dollars during the remainder of 2021.</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7"/>
          <w:szCs w:val="17"/>
          <w:color w:val="auto"/>
        </w:rPr>
        <w:t>General and administrative expense increased by $6.4 million, or 22%, during the three months ended September 30, 2021 compared to the same period last year, primarily due to an increase in personnel-related costs of $3.4 million, an increase in acquisition expense of $1.1 million, an increase in depreciation and other occupancy-related costs of $0.3 million and an increase in professional services costs of $0.3 million. We currently expect general and administrative expense to increase in absolute dollars during the remainder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three months ended September 30, 2021 and 2020, we recorded $1.1 million in amortization of the deferred component as a gain on IP matter in our condensed consolidated statements of income. See Note 12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We generated operating income of $166.4 million during the three months ended September 30, 2021, an increase of $39.5 million, or 31%, compared to $126.9 million in the same period last year. Operating income as a percentage of revenue was 19% during the three months ended September 30, 2021, which was flat compared to the same period last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6"/>
                <w:szCs w:val="16"/>
                <w:color w:val="auto"/>
              </w:rPr>
            </w:pPr>
          </w:p>
        </w:tc>
        <w:tc>
          <w:tcPr>
            <w:tcW w:w="1540" w:type="dxa"/>
            <w:vAlign w:val="bottom"/>
          </w:tcPr>
          <w:p>
            <w:pPr>
              <w:jc w:val="right"/>
              <w:ind w:right="31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87"/>
              </w:rPr>
              <w:t>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left="995"/>
              <w:spacing w:after="0"/>
              <w:rPr>
                <w:sz w:val="20"/>
                <w:szCs w:val="20"/>
                <w:color w:val="auto"/>
              </w:rPr>
            </w:pPr>
            <w:r>
              <w:rPr>
                <w:rFonts w:ascii="Arial" w:cs="Arial" w:eastAsia="Arial" w:hAnsi="Arial"/>
                <w:sz w:val="18"/>
                <w:szCs w:val="18"/>
                <w:color w:val="auto"/>
                <w:w w:val="97"/>
              </w:rPr>
              <w:t>(4.6)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97"/>
              </w:rPr>
              <w:t>(6.3)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Not meaningful</w:t>
      </w:r>
    </w:p>
    <w:p>
      <w:pPr>
        <w:spacing w:after="0" w:line="2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Interest income decreased by $1.3 million during the three months ended September 30, 2021 compared to the same period last year, as a result of lower interest rates. Interest income varies depending on our average investment balances during the period, types and mix of investments, and market interest rates. Interest expense increased by $4.6 million during the three months ended September 30, 2021 compared to the same period last year, primarily due to the senior notes issued in the first quarter of 2021. Other expense—net increased by $5.3 million during the three months ended September 30, 2021 compared to the same period last year, primarily due to an increase of $3.7 million loss on marketable equity securities and an increase of $1.2 million of foreign currency exchange loss.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35"/>
              <w:spacing w:after="0"/>
              <w:rPr>
                <w:sz w:val="20"/>
                <w:szCs w:val="20"/>
                <w:color w:val="auto"/>
              </w:rPr>
            </w:pPr>
            <w:r>
              <w:rPr>
                <w:rFonts w:ascii="Arial" w:cs="Arial" w:eastAsia="Arial" w:hAnsi="Arial"/>
                <w:sz w:val="16"/>
                <w:szCs w:val="16"/>
                <w:b w:val="1"/>
                <w:bCs w:val="1"/>
                <w:color w:val="auto"/>
              </w:rPr>
              <w:t>Change</w:t>
            </w:r>
          </w:p>
        </w:tc>
        <w:tc>
          <w:tcPr>
            <w:tcW w:w="166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(14.3)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effective tax rate was negative 6% for the three months ended September 30, 2021 compared to an effective tax rate of 4% for the same period last year. The benefit from income taxes for the three months ended September 30, 2021 was primarily comprised of U.S. federal and state taxes, withholding taxes and foreign taxes that were $40.1 million. This tax provision for income taxes was favorably affected by a tax benefit of $8.7 million from the foreign-derived intangible income deduction (the “FDII deduction”) and excess tax benefits from stock-based compensation expense of</w:t>
      </w:r>
    </w:p>
    <w:p>
      <w:pPr>
        <w:spacing w:after="0" w:line="2" w:lineRule="exact"/>
        <w:rPr>
          <w:sz w:val="20"/>
          <w:szCs w:val="20"/>
          <w:color w:val="auto"/>
        </w:rPr>
      </w:pPr>
    </w:p>
    <w:p>
      <w:pPr>
        <w:ind w:right="620"/>
        <w:spacing w:after="0" w:line="233" w:lineRule="auto"/>
        <w:rPr>
          <w:sz w:val="20"/>
          <w:szCs w:val="20"/>
          <w:color w:val="auto"/>
        </w:rPr>
      </w:pPr>
      <w:r>
        <w:rPr>
          <w:rFonts w:ascii="Arial" w:cs="Arial" w:eastAsia="Arial" w:hAnsi="Arial"/>
          <w:sz w:val="18"/>
          <w:szCs w:val="18"/>
          <w:color w:val="auto"/>
        </w:rPr>
        <w:t>$25.0 million. The tax provision for income taxes was further impacted by a tax benefit of $15.7 million for a change in tax accounting positions in finalization of the prior year tax return.</w:t>
      </w:r>
    </w:p>
    <w:p>
      <w:pPr>
        <w:spacing w:after="0" w:line="203"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The provision for income taxes for the three months ended September 30, 2020 was comprised of U.S. federal and state taxes, withholding taxes, and foreign taxes that were $33.8 million, which were offset by a tax benefit of $16.3 million from the FDII deduction and excess tax benefits from stock-based compensation expense of $12.5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September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876.1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628.0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248.1</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40 %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978.0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776.0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376.9</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1420" w:type="dxa"/>
            <w:vAlign w:val="bottom"/>
          </w:tcPr>
          <w:p>
            <w:pPr>
              <w:ind w:left="10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Total revenue increased by $532.2 million, or 29%, during the nine months ended September 30, 2021 compared to the same period last year. We continue to experience largely organic revenue growth (i.e. revenue growth excluding attribution from acquisitions) with diversification of revenue geographically, and across both customer and industry segments. Revenue from all regions grew, with EMEA contributing the largest portion of the increase on an absolute dollar basis and EMEA and APAC contributing the largest portion of the increase on a percentage basis.</w:t>
      </w:r>
    </w:p>
    <w:p>
      <w:pPr>
        <w:spacing w:after="0" w:line="19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Product revenue increased by $248.1 million, or 40%, during the nine months ended September 30, 2021 compared to the same period last year. We experienced revenue growth across many of our products primarily due to an increase in product revenue from our security fabric platform products, including our SD-WAN solutions, and software licenses.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Service revenue increased by $284.1 million, or 23%, during the nine months ended September 30, 2021 compared to the same period last year. FortiGuard security subscription and FortiCare technical support and other revenues increased by $146.2 million, or 22%, and by $137.9 million, or 25%, respectively, during the nine months ended September 30, 2021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w:t>
      </w:r>
    </w:p>
    <w:p>
      <w:pPr>
        <w:spacing w:after="0" w:line="21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Of the service revenue recognized during the nine months ended September 30, 2021, 73% was included in the deferred revenue balance as of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96.2</w:t>
            </w:r>
          </w:p>
        </w:tc>
        <w:tc>
          <w:tcPr>
            <w:tcW w:w="20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02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Total gross margin decreased by 1.5 percentage points during the nine months ended September 30, 2021 compared to the same period last year, driven by change in revenue to lower margin product revenue from higher margin service revenue. Revenue mix shifted by 2.8 percentage points from service revenue to product revenue, as a percentage of total revenue.</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Product gross margin increased by 0.1 percentage points during the nine months ended September 30, 2021 compared to the same period last year. Product gross margin benefited from lower direct product costs as a percentage of product revenue. Cost of product revenue was comprised primarily of third-party contract manufacturers’ costs and the costs of materials used in production.</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Service gross margin decreased by 1.2 percentage points during the nine months ended September 30, 2021 compared to the same period last year. Cost of service revenue was comprised primarily of personnel costs and data center costs. The decrease in service gross margin was primarily due to foreign currency fluctuations and increased costs associated with an expansion in our data centers.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0"/>
              <w:spacing w:after="0"/>
              <w:rPr>
                <w:sz w:val="20"/>
                <w:szCs w:val="20"/>
                <w:color w:val="auto"/>
              </w:rPr>
            </w:pPr>
            <w:r>
              <w:rPr>
                <w:rFonts w:ascii="Arial" w:cs="Arial" w:eastAsia="Arial" w:hAnsi="Arial"/>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95"/>
              </w:rPr>
              <w:t>2020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420" w:type="dxa"/>
            <w:vAlign w:val="bottom"/>
          </w:tcPr>
          <w:p>
            <w:pPr>
              <w:ind w:left="10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28 %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Research and development expense increased by $59.2 million, or 23%, during the nine months ended September 30, 2021 compared to the same period last year, primarily due to an increase of $51.9 million in personnel-related costs as a result of increased headcount to support the development of new products and continued enhancements to our existing products and foreign currency fluctuations. In addition, product development costs, such as third-party testing and prototypes, increased by $7.5 million. We currently intend to continue to invest in our research and development organization, and expect research and development expense to increase in absolute dollars during the remainder of 2021.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Sales and marketing expense increased by $197.5 million, or 25%, during the nine months ended September 30, 2021 compared to the same period last year, primarily due to an increase of $157.2 million in personnel-related costs as a result of increases to sales and marketing headcount in order to drive global market revenue increases and foreign currency fluctuations. Marketing-related expense increased by $27.1 million, and included the expenses related to the Fortinet Championship, the PGA tour event that we sponsored in September 2021. In addition, depreciation expense and other occupancy-related expense increased by $5.7 million. We currently intend to continue to make investments in sales and marketing resources, which are critical to support our future growth, and expect sales and marketing expense to increase in absolute dollars during the remainder of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 increased by $15.1 million, or 17%, during the nine months ended September 30, 2021 compared to the same period last year, primarily due to an increase in personnel-related costs of $8.8 million, an increase in professional services fee of $3.7 million, an increase in acquisition expense of $1.4 million and an increase in litigation settlement expense of $1.1 million. We currently expect general and administrative expense to increase in absolute dollars during the remainder of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mutual covenant-not-to-sue for patent claims. During the nine months ended September 30, 2021, we recorded $3.4 million in amortization of the deferred component as a gain on IP matter in our condensed consolidated statements of income. During the nine months ended September 30, 2020, we recorded $36.0 million upfront and additional $3.0 million in amortization of the deferred component as a gain on IP matter in our condensed consolidated statements of income. See Note 12 of the notes to condensed consolidated financial statements included in Part I, Item 1 of this Quarterly Report on Form 10-Q for additional information regarding the gain on IP matter.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generated operating income of $435.5 million during the nine months ended September 30, 2021, an increase of $73.1 million, or 20%, compared to $362.4 million in the same period last year. Operating income as a percentage of revenue decreased to 18% during the nine months ended September 30, 2021 compared to 20% in the same period last year. During the nine months ended September 30, 2020, we recorded $36.0 million upfront and additional $3.0 million in amortization of the deferred component as a gain on IP matter, which increased our operating margin by 2.1 percentage points. Excluding the impact of this gain, our operating margin increased 0.7 percentage points primarily due to 1.2 percentage point, 0.6 percentage point and 0.4 percentage point decreases in sales and marketing expense, research and development expense and general and administrative expense as percentage of revenue, respectively, partially offset by a decrease in gross margin largely driven by the mix shift from service revenue to product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75"/>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31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Not meaningful</w:t>
      </w:r>
    </w:p>
    <w:p>
      <w:pPr>
        <w:spacing w:after="0" w:line="24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Interest income decreased by $12.2 million during the nine months ended September 30, 2021 compared to the same period last year, primarily as a result of lower interest rates. Interest income varies depending on our average investment balances during the period, types and mix of investments, and market interest rates. Interest expense increased by $10.4 million during the nine months ended September 30, 2021 compared to the same period last year, primarily due to the senior notes issued in the first quarter of 2021. The other expense—net decreased by $0.6 during the nine months ended September 30, 2021 compared to the same period last year was the result of a $4.3 million impairment charge on an investment in a privately held company during the first quarter of 2020, partially offset by a $3.2 million increase of loss on marketable equity securities and a $0.3 million increase of foreign currency exchange loss during the nine months ended September 30, 2021 compared to the same period last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35"/>
              <w:spacing w:after="0"/>
              <w:rPr>
                <w:sz w:val="20"/>
                <w:szCs w:val="20"/>
                <w:color w:val="auto"/>
              </w:rPr>
            </w:pPr>
            <w:r>
              <w:rPr>
                <w:rFonts w:ascii="Arial" w:cs="Arial" w:eastAsia="Arial" w:hAnsi="Arial"/>
                <w:sz w:val="16"/>
                <w:szCs w:val="16"/>
                <w:b w:val="1"/>
                <w:bCs w:val="1"/>
                <w:color w:val="auto"/>
              </w:rPr>
              <w:t>Change</w:t>
            </w:r>
          </w:p>
        </w:tc>
        <w:tc>
          <w:tcPr>
            <w:tcW w:w="166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(17.8)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effective tax rate was 2% for the nine months ended September 30, 2021 compared to an effective tax rate of 8% for the same period last year. The provision for income taxes for the nine months ended September 30, 2021 was primarily comprised of U.S. federal and state taxes, withholding taxes and foreign taxes that were $115.8 million. This tax provision for income taxes was favorably affected by a tax benefit of $23.9 million from the FDII deduction, excess tax benefits from stock-based compensation expense of $60.3 million and release of reserves of $5.5 million on uncertain tax positions and the interest due to the expiration of the statute of limitations. The tax provision for income taxes was further impacted by a tax benefit of $15.7 million for a change in tax accounting positions in finalization of the prior year tax return.</w:t>
      </w:r>
    </w:p>
    <w:p>
      <w:pPr>
        <w:spacing w:after="0" w:line="204"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The provision for income taxes for the nine months ended September 30, 2020 was comprised of U.S. federal and state taxes, withholding taxes, and foreign taxes that were $100.7 million, which were offset by a tax benefit of $25.9 million from the FDII deduction, excess tax benefits from stock-based compensation expense of $37.6 million and release of reserves of $9.0 million on uncertain tax positions and the interest due to the expiration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4"/>
              <w:spacing w:after="0"/>
              <w:rPr>
                <w:sz w:val="20"/>
                <w:szCs w:val="20"/>
                <w:color w:val="auto"/>
              </w:rPr>
            </w:pPr>
            <w:r>
              <w:rPr>
                <w:rFonts w:ascii="Arial" w:cs="Arial" w:eastAsia="Arial" w:hAnsi="Arial"/>
                <w:sz w:val="16"/>
                <w:szCs w:val="16"/>
                <w:b w:val="1"/>
                <w:bCs w:val="1"/>
                <w:color w:val="auto"/>
                <w:w w:val="89"/>
              </w:rPr>
              <w:t>As of</w:t>
            </w:r>
          </w:p>
        </w:tc>
        <w:tc>
          <w:tcPr>
            <w:tcW w:w="132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6"/>
                <w:szCs w:val="16"/>
                <w:b w:val="1"/>
                <w:bCs w:val="1"/>
                <w:color w:val="auto"/>
                <w:w w:val="92"/>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from the issuance of common stock, investment grade debt issuance and payment of taxes in connection with the net settlement of equity awards, real estate and other capital expenditures and business acquisitions.</w:t>
      </w:r>
    </w:p>
    <w:p>
      <w:pPr>
        <w:spacing w:after="0" w:line="197"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197" w:lineRule="exact"/>
        <w:rPr>
          <w:sz w:val="20"/>
          <w:szCs w:val="20"/>
          <w:color w:val="auto"/>
        </w:rPr>
      </w:pPr>
    </w:p>
    <w:p>
      <w:pPr>
        <w:jc w:val="both"/>
        <w:ind w:right="120" w:firstLine="648"/>
        <w:spacing w:after="0" w:line="275" w:lineRule="auto"/>
        <w:rPr>
          <w:sz w:val="20"/>
          <w:szCs w:val="20"/>
          <w:color w:val="auto"/>
        </w:rPr>
      </w:pPr>
      <w:r>
        <w:rPr>
          <w:rFonts w:ascii="Arial" w:cs="Arial" w:eastAsia="Arial" w:hAnsi="Arial"/>
          <w:sz w:val="17"/>
          <w:szCs w:val="17"/>
          <w:color w:val="auto"/>
        </w:rPr>
        <w:t>In October 2021, our board of directors authorized a $1.25 billion increase in the authorized stock repurchase under the Repurchase Program and extended the term of the Repurchase Program to February 28, 2023, bringing the aggregate amount of authorized to be repurchased to $4.25 billion of our outstanding common stock through February 28, 2023. During the nine months ended September 30, 2021, we repurchased 0.8 million shares of common stock under the Repurchase Program for an aggregate purchase price of $200.4 million. As of September 30, 2021, $812.3 million remained available for future share repurchases under the Repurchase Program.</w:t>
      </w:r>
    </w:p>
    <w:p>
      <w:pPr>
        <w:spacing w:after="0" w:line="203"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our cash provided by operating activities, together with our existing cash, cash equivalents and investments will be sufficient to meet our anticipated cash needs and do not intend to retire these Notes early. Refer to Note 11. Debt in Part I, Item 1 of this Quarterly Report on Form 10-Q for information on the Notes. As of September 30, 2021, the long-term debt, net of unamortized discount and debt issuance costs, was $988.0 million.</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Construction of a second building at our headquarters campus started in the fourth quarter of 2018 and was completed in the second quarter of 2021. We estimate the full year capital expenditures to be between $315.0 and $335.0 million. Our estimated 2021 capital expenditures increased compared to our prior quarter guidance mainly due to our real estate purchases.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8"/>
          <w:szCs w:val="18"/>
          <w:color w:val="auto"/>
        </w:rPr>
        <w:t>We enter into non-cancellable agreements with contract manufacturers and certain suppliers to procure inventory based on our requirements in order to reduce manufacturing lead times, plan for adequate component supply or incentivize suppliers to deliver. These purchase commitments totaled $868.0 million as of September 30, 2021.</w:t>
      </w:r>
    </w:p>
    <w:p>
      <w:pPr>
        <w:spacing w:after="0" w:line="2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September 30, 2021, our cash, cash equivalents, short-term and long-term investments and marketable equity securities of $3.42 billion were invested primarily in deposit accounts, money market funds, corporate debt securities, commercial paper, certificates of deposit and term deposits, U.S. government securities,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$126.4 million as of September 30, 2021 and $119.8 million as of December 31, 2020.</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accounts receivable and deferred contract costs.</w:t>
      </w:r>
    </w:p>
    <w:p>
      <w:pPr>
        <w:spacing w:after="0" w:line="21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operating activities during the nine months ended September 30, 2021 provided cash flows of $1.13 billion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in our deferred revenue. Our total deferred revenue balance grew $501.1 million, or 19%, during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21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During the nine months ended September 30, 2021, cash used in investing activities was $1.06 billion, driven by $638.7 million spent for purchases of investments, net of maturities and sales of investments, $160.0 million used for purchases of investment in a privately held company, $144.6 million of purchases of property and equipment, a large portion of which relates to our headquarters building construction, $73.4 million used for the acquisition of AlaxalA and ShieldX Networks, Inc. (“ShieldX”), net of cash and $42.5 million used for purchases of marketable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and Restated Fortinet, Inc. 2009 Equity Incentive Plan and the issuance of long-term notes, net of discount and underwriting.</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nine months ended September 30, 2021, cash provided by financing activities was $716.4 million, primarily driven by $989.4 million in cash proceeds from long-term investment grade debt, net of discount and underwriting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fees, partially offset by $170.0 million used to repurchase shares of our common stock and $98.2 million used to pay tax withholding, net of proceeds from the issuance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ind w:right="100" w:firstLine="177"/>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nine months ended September 30, 2021 to the contractual obligations and commitments disclosed in Management’s Discussion and Analysis of Financial Condition and Results of Operations, set forth in Part II, Item 7, of the Form 10-K. See Note 13 of the notes to condensed consolidated financial statements included in Part I, Item 1 of this Quarterly Report on Form 10-Q for additional information regarding contractual obligations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of September 30,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2021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September 30, 2021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or 15d-15(f) under the Exchange Act) during the nine months ended September 30, 2021, that have materially affected, or are reasonably likely to materially affect, our internal controls over financial reporting. During the nine months ended September 30, 2021, we completed the acquisition of a 75% equity interest in AlaxalA. As permitted by SEC staff interpretative guidance that an assessment of a recently acquired business may be omitted from the scope of an assessment for a period not to exceed one year from the date of acquisition, the scope of our assessment of our internal controls over financial reporting at September 30, 2021 does not include AlaxalA.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00" w:lineRule="exact"/>
        <w:rPr>
          <w:sz w:val="20"/>
          <w:szCs w:val="20"/>
          <w:color w:val="auto"/>
        </w:rPr>
      </w:pPr>
    </w:p>
    <w:p>
      <w:pPr>
        <w:ind w:firstLine="648"/>
        <w:spacing w:after="0" w:line="246" w:lineRule="auto"/>
        <w:rPr>
          <w:sz w:val="20"/>
          <w:szCs w:val="20"/>
          <w:color w:val="auto"/>
        </w:rPr>
      </w:pPr>
      <w:r>
        <w:rPr>
          <w:rFonts w:ascii="Arial" w:cs="Arial" w:eastAsia="Arial" w:hAnsi="Arial"/>
          <w:sz w:val="17"/>
          <w:szCs w:val="17"/>
          <w:color w:val="auto"/>
        </w:rPr>
        <w:t>In October 2021, we held settlement discussions related to an existing patent infringement lawsuit. Pursuant to such discussions, we may enter into an agreement that provides for the settlement and dismissal of the patent lawsuit and a mutual covenant not to sue for a defined duration of time. As a result, we have determined that a loss in connection with such lawsuit is now probable. We accrued $5 million as a loss contingency in the quarter ended September 30, 2021 and the associated charge was recorded against revenue in the income statement. Litigation loss contingency accruals associated with other outstanding cases were not material as of September 30, 2021 and December 31, 2020.</w:t>
      </w: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material risks that we face include:</w:t>
      </w:r>
    </w:p>
    <w:p>
      <w:pPr>
        <w:spacing w:after="0" w:line="22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operating results are likely to vary significantly and be unpredictable.</w:t>
      </w:r>
    </w:p>
    <w:p>
      <w:pPr>
        <w:spacing w:after="0" w:line="215" w:lineRule="exact"/>
        <w:rPr>
          <w:rFonts w:ascii="Arial" w:cs="Arial" w:eastAsia="Arial" w:hAnsi="Arial"/>
          <w:sz w:val="22"/>
          <w:szCs w:val="22"/>
          <w:color w:val="auto"/>
        </w:rPr>
      </w:pPr>
    </w:p>
    <w:p>
      <w:pPr>
        <w:ind w:left="660" w:right="380" w:hanging="328"/>
        <w:spacing w:after="0" w:line="276"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Insufficient inventory or components, including chips and other components, and including component or inventory shortages related to the COVID-19 pandemic, contract manufacturer’s capacity, shipping challenges and costs, or other factors affecting the global supply chain, may result in lost sales opportunities or delayed billings and revenue and increased costs, and excess inventory may harm our gross margins.</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economic conditions or reduced information technology spending may adversely impact our business.</w:t>
      </w:r>
    </w:p>
    <w:p>
      <w:pPr>
        <w:spacing w:after="0" w:line="24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billings, revenue, operating margin and free cash flow growth may slow or may not continue.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COVID-19 pandemic, including the Delta variant and other variants, could adversely affect our business in a material way.</w:t>
      </w:r>
    </w:p>
    <w:p>
      <w:pPr>
        <w:spacing w:after="0" w:line="255"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gross accounts receivable.</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55"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243" w:lineRule="exact"/>
        <w:rPr>
          <w:rFonts w:ascii="Arial" w:cs="Arial" w:eastAsia="Arial" w:hAnsi="Arial"/>
          <w:sz w:val="22"/>
          <w:szCs w:val="22"/>
          <w:color w:val="auto"/>
        </w:rPr>
      </w:pPr>
    </w:p>
    <w:p>
      <w:pPr>
        <w:ind w:left="660" w:right="6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generate a majority of revenue from sales outside of the United States.</w:t>
      </w:r>
    </w:p>
    <w:p>
      <w:pPr>
        <w:spacing w:after="0" w:line="255" w:lineRule="exact"/>
        <w:rPr>
          <w:rFonts w:ascii="Arial" w:cs="Arial" w:eastAsia="Arial" w:hAnsi="Arial"/>
          <w:sz w:val="22"/>
          <w:szCs w:val="22"/>
          <w:color w:val="auto"/>
        </w:rPr>
      </w:pPr>
    </w:p>
    <w:p>
      <w:pPr>
        <w:ind w:left="660" w:right="4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 portion of our revenue is generated by sales to government organizations, which are subject to a number of challenges and risks.</w:t>
      </w:r>
    </w:p>
    <w:p>
      <w:pPr>
        <w:spacing w:after="0" w:line="255" w:lineRule="exact"/>
        <w:rPr>
          <w:rFonts w:ascii="Arial" w:cs="Arial" w:eastAsia="Arial" w:hAnsi="Arial"/>
          <w:sz w:val="22"/>
          <w:szCs w:val="22"/>
          <w:color w:val="auto"/>
        </w:rPr>
      </w:pPr>
    </w:p>
    <w:p>
      <w:pPr>
        <w:ind w:left="660" w:right="200" w:hanging="328"/>
        <w:spacing w:after="0" w:line="277" w:lineRule="auto"/>
        <w:tabs>
          <w:tab w:leader="none" w:pos="655" w:val="left"/>
        </w:tabs>
        <w:numPr>
          <w:ilvl w:val="0"/>
          <w:numId w:val="26"/>
        </w:numPr>
        <w:rPr>
          <w:rFonts w:ascii="Arial" w:cs="Arial" w:eastAsia="Arial" w:hAnsi="Arial"/>
          <w:sz w:val="19"/>
          <w:szCs w:val="19"/>
          <w:color w:val="auto"/>
        </w:rPr>
      </w:pPr>
      <w:r>
        <w:rPr>
          <w:rFonts w:ascii="Arial" w:cs="Arial" w:eastAsia="Arial" w:hAnsi="Arial"/>
          <w:sz w:val="16"/>
          <w:szCs w:val="16"/>
          <w:color w:val="auto"/>
        </w:rPr>
        <w:t>Our industry is highly competitive and we must accurately predict, prepare for and respond promptly to technological and market developments and changing end-customer needs, including by introducing products and product enhancements and innovations that address a fast-changing technology and threat landscape and that achieve sufficient market acceptance, in order to maintain or improve our competitive position.</w:t>
      </w:r>
    </w:p>
    <w:p>
      <w:pPr>
        <w:spacing w:after="0" w:line="214" w:lineRule="exact"/>
        <w:rPr>
          <w:rFonts w:ascii="Arial" w:cs="Arial" w:eastAsia="Arial" w:hAnsi="Arial"/>
          <w:sz w:val="19"/>
          <w:szCs w:val="19"/>
          <w:color w:val="auto"/>
        </w:rPr>
      </w:pPr>
    </w:p>
    <w:p>
      <w:pPr>
        <w:ind w:left="660" w:right="2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depend on several third-party manufacturers to build our products and are susceptible to manufacturing delays, capacity constraints and cost increases.</w:t>
      </w:r>
    </w:p>
    <w:p>
      <w:pPr>
        <w:spacing w:after="0" w:line="203" w:lineRule="exact"/>
        <w:rPr>
          <w:rFonts w:ascii="Arial" w:cs="Arial" w:eastAsia="Arial" w:hAnsi="Arial"/>
          <w:sz w:val="22"/>
          <w:szCs w:val="22"/>
          <w:color w:val="auto"/>
        </w:rPr>
      </w:pPr>
    </w:p>
    <w:p>
      <w:pPr>
        <w:ind w:left="660" w:right="12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susceptible to, and are currently experiencing, supply chain constraints, supply shortages and disruptions, long lead times for components and supply changes because some of the key components in our products come from limited sources of supply.</w:t>
      </w:r>
    </w:p>
    <w:p>
      <w:pPr>
        <w:spacing w:after="0" w:line="237" w:lineRule="exact"/>
        <w:rPr>
          <w:rFonts w:ascii="Arial" w:cs="Arial" w:eastAsia="Arial" w:hAnsi="Arial"/>
          <w:sz w:val="18"/>
          <w:szCs w:val="18"/>
          <w:color w:val="auto"/>
        </w:rPr>
      </w:pPr>
    </w:p>
    <w:p>
      <w:pPr>
        <w:ind w:left="660" w:right="1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w:t>
      </w:r>
    </w:p>
    <w:p>
      <w:pPr>
        <w:spacing w:after="0" w:line="216" w:lineRule="exact"/>
        <w:rPr>
          <w:rFonts w:ascii="Arial" w:cs="Arial" w:eastAsia="Arial" w:hAnsi="Arial"/>
          <w:sz w:val="22"/>
          <w:szCs w:val="22"/>
          <w:color w:val="auto"/>
        </w:rPr>
      </w:pPr>
    </w:p>
    <w:p>
      <w:pPr>
        <w:ind w:left="660" w:right="1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our suppliers are susceptible to cyber threats and to exploits of vulnerabilities that could affect our systems, as well as the security of our products and services and of our customers’ infrastructure.</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5"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Global economic uncertainty and weakening product demand caused by political instability, changes in trade agreements and other conflict could adversely affect our business and financial performance.</w:t>
      </w:r>
    </w:p>
    <w:p>
      <w:pPr>
        <w:spacing w:after="0" w:line="24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trading price of our common stock may be volatile, which volatility may be exacerbated by share repurchases under our Repurchase Program.</w:t>
      </w:r>
    </w:p>
    <w:p>
      <w:pPr>
        <w:spacing w:after="0" w:line="267" w:lineRule="exact"/>
        <w:rPr>
          <w:rFonts w:ascii="Arial" w:cs="Arial" w:eastAsia="Arial" w:hAnsi="Arial"/>
          <w:sz w:val="19"/>
          <w:szCs w:val="19"/>
          <w:color w:val="auto"/>
        </w:rPr>
      </w:pPr>
    </w:p>
    <w:p>
      <w:pPr>
        <w:ind w:left="660" w:right="1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38" w:lineRule="exact"/>
        <w:rPr>
          <w:rFonts w:ascii="Arial" w:cs="Arial" w:eastAsia="Arial" w:hAnsi="Arial"/>
          <w:sz w:val="18"/>
          <w:szCs w:val="18"/>
          <w:color w:val="auto"/>
        </w:rPr>
      </w:pPr>
    </w:p>
    <w:p>
      <w:pPr>
        <w:ind w:left="1300" w:hanging="644"/>
        <w:spacing w:after="0" w:line="270"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component, including chips and other components, and product inventory shortages, including those caused by factors outside of our control such as the COVID-19 pandemic, international trade disputes or tariffs, natural disasters, health emergencies, power outages, civil unrest, labor disruption, international conflicts, terrorism, wars and critical infrastructure attacks;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38" w:lineRule="exact"/>
        <w:rPr>
          <w:rFonts w:ascii="Arial" w:cs="Arial" w:eastAsia="Arial" w:hAnsi="Arial"/>
          <w:sz w:val="18"/>
          <w:szCs w:val="18"/>
          <w:color w:val="auto"/>
        </w:rPr>
      </w:pPr>
    </w:p>
    <w:p>
      <w:pPr>
        <w:ind w:left="1300" w:right="58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and may be impacted by the COVID-19 pandemic and supply chain constraints in ways that we are not able to foresee;</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50" w:lineRule="exact"/>
        <w:rPr>
          <w:rFonts w:ascii="Arial" w:cs="Arial" w:eastAsia="Arial" w:hAnsi="Arial"/>
          <w:sz w:val="17"/>
          <w:szCs w:val="17"/>
          <w:color w:val="auto"/>
        </w:rPr>
      </w:pPr>
    </w:p>
    <w:p>
      <w:pPr>
        <w:ind w:left="1300" w:right="1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157"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97" w:lineRule="exact"/>
        <w:rPr>
          <w:rFonts w:ascii="Arial" w:cs="Arial" w:eastAsia="Arial" w:hAnsi="Arial"/>
          <w:sz w:val="18"/>
          <w:szCs w:val="18"/>
          <w:color w:val="auto"/>
        </w:rPr>
      </w:pPr>
    </w:p>
    <w:p>
      <w:pPr>
        <w:ind w:left="1300" w:hanging="644"/>
        <w:spacing w:after="0" w:line="24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208"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48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97" w:lineRule="exact"/>
        <w:rPr>
          <w:rFonts w:ascii="Arial" w:cs="Arial" w:eastAsia="Arial" w:hAnsi="Arial"/>
          <w:sz w:val="18"/>
          <w:szCs w:val="18"/>
          <w:color w:val="auto"/>
        </w:rPr>
      </w:pPr>
    </w:p>
    <w:p>
      <w:pPr>
        <w:ind w:left="1300" w:right="18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4" w:lineRule="exact"/>
        <w:rPr>
          <w:rFonts w:ascii="Arial" w:cs="Arial" w:eastAsia="Arial" w:hAnsi="Arial"/>
          <w:sz w:val="18"/>
          <w:szCs w:val="18"/>
          <w:color w:val="auto"/>
        </w:rPr>
      </w:pPr>
    </w:p>
    <w:p>
      <w:pPr>
        <w:ind w:left="1300" w:right="1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2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14" w:lineRule="exact"/>
        <w:rPr>
          <w:rFonts w:ascii="Arial" w:cs="Arial" w:eastAsia="Arial" w:hAnsi="Arial"/>
          <w:sz w:val="18"/>
          <w:szCs w:val="18"/>
          <w:color w:val="auto"/>
        </w:rPr>
      </w:pPr>
    </w:p>
    <w:p>
      <w:pPr>
        <w:ind w:left="1300" w:right="20" w:hanging="644"/>
        <w:spacing w:after="0" w:line="24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SD-WAN, infrastructure security, cloud security and endpoint protection, IoT and OT security opportunities;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38"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revenue recognition for our sales, including any impacts resulting from extension of payment terms to distributors;</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98"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57" w:lineRule="exact"/>
        <w:rPr>
          <w:rFonts w:ascii="Arial" w:cs="Arial" w:eastAsia="Arial" w:hAnsi="Arial"/>
          <w:sz w:val="18"/>
          <w:szCs w:val="18"/>
          <w:color w:val="auto"/>
        </w:rPr>
      </w:pPr>
    </w:p>
    <w:p>
      <w:pPr>
        <w:ind w:left="1300" w:right="30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33" w:lineRule="exact"/>
        <w:rPr>
          <w:rFonts w:ascii="Arial" w:cs="Arial" w:eastAsia="Arial" w:hAnsi="Arial"/>
          <w:sz w:val="17"/>
          <w:szCs w:val="17"/>
          <w:color w:val="auto"/>
        </w:rPr>
      </w:pPr>
    </w:p>
    <w:p>
      <w:pPr>
        <w:ind w:left="1300" w:right="22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57" w:lineRule="exact"/>
        <w:rPr>
          <w:rFonts w:ascii="Arial" w:cs="Arial" w:eastAsia="Arial" w:hAnsi="Arial"/>
          <w:sz w:val="18"/>
          <w:szCs w:val="18"/>
          <w:color w:val="auto"/>
        </w:rPr>
      </w:pPr>
    </w:p>
    <w:p>
      <w:pPr>
        <w:ind w:left="1300" w:right="100" w:hanging="644"/>
        <w:spacing w:after="0" w:line="294" w:lineRule="auto"/>
        <w:tabs>
          <w:tab w:leader="none" w:pos="1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right="38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permits and clearances, that are applicable to our ability to conduct business with the public sector, including the U.S. federal government,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19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 with service providers and distributors;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16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20" w:hanging="644"/>
        <w:spacing w:after="0" w:line="291" w:lineRule="auto"/>
        <w:tabs>
          <w:tab w:leader="none" w:pos="12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4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6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COVID-19 pandemic, including the Delta variant and other COVID-19 variants, has negatively impacted the global economy, disrupted global supply chains and demand for certain solutions and created significant volatility in, and disruption of, global markets. The extent of the future impact of the COVID-19 pandemic on our operational and financial performance, including on demand for our products and services, our ability to source components,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There is a worldwide shortage of various components, impacting many industries, caused in-part by the COVID-19 pandemic. Similar to others, we are experiencing ongoing component shortages, which have resulted in extended lead times of certain products and significant disruption to our production schedule. We also have experienced and expect to continue to experience increased component costs, which may have a negative impact on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1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customers may be affected. We have also offered, and may continue to offer, payment terms in excess of our contractual agreements to some of our distributor customers,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2021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1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30% of our total net accounts receivable as of September 30, 2021.</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Exclusive Networks Group (“Exclusive”), TD Synnex, and Ingram Micro, Inc. (“Ingram Micro”) accounted for 30%, 15% and 11% of our total net accounts receivable as of September 30, 2021, respectively, and six distributor customers accounted for 67% of our total net accounts receivable in the aggregate. During the three and nine months ended September 30, 2021, Exclusive accounted for 31% and 32% of our total revenue, respectively, and Ingram Micro accounted for 12% of our total revenue. During the three and nine months ended September 30, 2020, Exclusive accounted for 29% and 30% of our total revenue, respectively, and Ingram Micro accounted for 10% of our total revenue. In addition to other risks associated with the concentration of accounts receivable and revenue from these distributors, Exclusive is a private equity-backed company and we may not have sufficient information to assess its financial condition and, accordingly, if Exclusive were to experience financial difficulties, we might not have advance notice. Additionally, Exclusive may face liquidity risk or other financial challenges, which may harm our ability to collect on our accounts receivable.</w:t>
      </w:r>
    </w:p>
    <w:p>
      <w:pPr>
        <w:spacing w:after="0" w:line="20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64"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9"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224" w:lineRule="exact"/>
        <w:rPr>
          <w:rFonts w:ascii="Arial" w:cs="Arial" w:eastAsia="Arial" w:hAnsi="Arial"/>
          <w:sz w:val="18"/>
          <w:szCs w:val="18"/>
          <w:color w:val="auto"/>
        </w:rPr>
      </w:pPr>
    </w:p>
    <w:p>
      <w:pPr>
        <w:ind w:left="1300" w:right="40" w:hanging="644"/>
        <w:spacing w:after="0" w:line="251" w:lineRule="auto"/>
        <w:tabs>
          <w:tab w:leader="none" w:pos="1295" w:val="left"/>
        </w:tabs>
        <w:numPr>
          <w:ilvl w:val="0"/>
          <w:numId w:val="31"/>
        </w:numPr>
        <w:rPr>
          <w:rFonts w:ascii="Arial" w:cs="Arial" w:eastAsia="Arial" w:hAnsi="Arial"/>
          <w:sz w:val="21"/>
          <w:szCs w:val="21"/>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204" w:lineRule="exact"/>
        <w:rPr>
          <w:rFonts w:ascii="Arial" w:cs="Arial" w:eastAsia="Arial" w:hAnsi="Arial"/>
          <w:sz w:val="21"/>
          <w:szCs w:val="21"/>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September 30, 2021, we had an aggregate of $988.0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46" w:lineRule="exact"/>
        <w:rPr>
          <w:rFonts w:ascii="Arial" w:cs="Arial" w:eastAsia="Arial" w:hAnsi="Arial"/>
          <w:sz w:val="16"/>
          <w:szCs w:val="16"/>
          <w:color w:val="auto"/>
        </w:rPr>
      </w:pPr>
    </w:p>
    <w:p>
      <w:pPr>
        <w:ind w:left="660" w:right="260" w:firstLine="320"/>
        <w:spacing w:after="0" w:line="265" w:lineRule="auto"/>
        <w:tabs>
          <w:tab w:leader="none" w:pos="13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our unsecured revolving credit facility may increase. In addition, any downgrades in our credit ratings may affect our ability to obtain additional financing in the future and may negatively impact the terms of any such financing.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83" w:lineRule="exact"/>
        <w:rPr>
          <w:rFonts w:ascii="Arial" w:cs="Arial" w:eastAsia="Arial" w:hAnsi="Arial"/>
          <w:sz w:val="18"/>
          <w:szCs w:val="18"/>
          <w:color w:val="auto"/>
        </w:rPr>
      </w:pPr>
    </w:p>
    <w:p>
      <w:pPr>
        <w:ind w:left="1300" w:right="60" w:hanging="644"/>
        <w:spacing w:after="0" w:line="228"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8" w:lineRule="exact"/>
        <w:rPr>
          <w:rFonts w:ascii="Arial" w:cs="Arial" w:eastAsia="Arial" w:hAnsi="Arial"/>
          <w:sz w:val="18"/>
          <w:szCs w:val="18"/>
          <w:color w:val="auto"/>
        </w:rPr>
      </w:pPr>
    </w:p>
    <w:p>
      <w:pPr>
        <w:ind w:left="1300" w:right="200" w:hanging="644"/>
        <w:spacing w:after="0" w:line="243"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187"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22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20" w:hanging="644"/>
        <w:spacing w:after="0" w:line="263"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88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1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government has and in the future may require them to make operational changes in order to obtain the necessary approvals to sell into the government;</w:t>
      </w:r>
    </w:p>
    <w:p>
      <w:pPr>
        <w:spacing w:after="0" w:line="19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jc w:val="both"/>
        <w:ind w:left="1300" w:right="40" w:hanging="644"/>
        <w:spacing w:after="0" w:line="248"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08" w:lineRule="exact"/>
        <w:rPr>
          <w:rFonts w:ascii="Arial" w:cs="Arial" w:eastAsia="Arial" w:hAnsi="Arial"/>
          <w:sz w:val="18"/>
          <w:szCs w:val="18"/>
          <w:color w:val="auto"/>
        </w:rPr>
      </w:pPr>
    </w:p>
    <w:p>
      <w:pPr>
        <w:jc w:val="both"/>
        <w:ind w:left="1300" w:right="20" w:hanging="644"/>
        <w:spacing w:after="0" w:line="263"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 and certain third-party security certifications, and changes to such rules and regulations that may require us to make operational changes in order to obtain the necessary approvals to sell to government agencies.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Barracuda Networks, Inc., Check Point Software Technologies Ltd., Cisco Systems, Inc. (“Cisco”), CrowdStrike Holdings, Inc., F5 Networks, Inc., Forcepoint LLC, Imperva, Inc., Juniper Networks, Inc. (“Juniper”), Mandiant, Inc., McAfee Corp., Palo Alto Networks, Inc., Proofpoint, Inc., SonicWALL, Inc., Sophos Group Plc, Trend Micro Incorporated and Zscaler, Inc. (“Zscaler”).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For example, the global chip shortage caused by the COVID-19 pandemic and other factors affecting manufacturing capacity in Asia has continued and is having, and we expect to continue to have, an adverse impact on our ability to manage our inventory and to meet product demand in a timely fashion. We expect this shortage may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an effort to try to at least partially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COVID-19 pandemic impacts on global supply chains are impacting our ability to procure parts required for our hardware appliances. Extended lead times have been introduced in delivering products for customer orders in a timely fashion.</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COVID-19 pandemic has continued to impact global supply chains for many organizations, including us, resulting in shortages of and delays in both raw materials and electronic components such as computer chips. Events in upstream supplies and component shortages are negatively impacting our ability to plan and deliver upon orders received in a timely fashion, and supply chain disruption, component shortages and shipping challenges are increasing our costs. These increased costs may require us to raise prices of our products in turn; such price increases may result in our products being less price-competitive in the market.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85% of our hardware is manufactured in Taiwan. Any increase in tensions between China and Taiwan, including threats of military actions or escalation of military activities, could adversely affect our manufacturing operations in Taiwan.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Our proprietary SPUs, which are key to the performance of our appliances, are built by contract manufacturers including Renesas and Toshiba. These contract manufacturers use foundries operated by TSMC or Renesas on a purchase-order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SPU or ASICs, our business would be harmed.</w:t>
      </w:r>
    </w:p>
    <w:p>
      <w:pPr>
        <w:spacing w:after="0" w:line="22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Advanced Micro Devices, Inc. (“AMD”),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capacity in Asia has continued into 2021 and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program, then the security and integrity of our products and the updates to those products that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9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12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Moreover, business models based on a subscription software as a service, or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jc w:val="both"/>
        <w:ind w:right="26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53"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Our success depends on the market’s confidence in our ability to provide effective network security protection. Despite our efforts and processes to prevent breaches of our internal networks, systems and websites, we are still vulnerable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computer viruses, break-ins, phishing attacks, ransomware attacks, attempts to overload our servers with denial-of-service, vulnerabilities in vendor hardware and software that we leverage,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12"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19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1" w:lineRule="exact"/>
        <w:rPr>
          <w:sz w:val="20"/>
          <w:szCs w:val="20"/>
          <w:color w:val="auto"/>
        </w:rPr>
      </w:pPr>
    </w:p>
    <w:p>
      <w:pPr>
        <w:ind w:right="44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products. Litigation, with or without merit, could negatively impact our business, reputation and sales in a material fashion.</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8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example, in 2021, we acquired ShieldX and AlaxalA and we made an equity investment in Linksys.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We may also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firstLine="648"/>
        <w:spacing w:after="0" w:line="307" w:lineRule="auto"/>
        <w:rPr>
          <w:sz w:val="20"/>
          <w:szCs w:val="20"/>
          <w:color w:val="auto"/>
        </w:rPr>
      </w:pPr>
      <w:r>
        <w:rPr>
          <w:rFonts w:ascii="Arial" w:cs="Arial" w:eastAsia="Arial" w:hAnsi="Arial"/>
          <w:sz w:val="16"/>
          <w:szCs w:val="16"/>
          <w:color w:val="auto"/>
        </w:rPr>
        <w:t>In addition, because we are accounting for our Linksys investment using the equity method of accounting, we are reliant on the accuracy and timeliness of their financial reporting to us. If their financial reporting to us is not accurate and timely, it may result in delays in our financial reporting.</w:t>
      </w:r>
    </w:p>
    <w:p>
      <w:pPr>
        <w:spacing w:after="0" w:line="15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21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4"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9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South Korea, Norway and Japan and may be enacted in other regions, including in the United States, and we are, or may in the future be, subject to these laws and regulations.</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database of hazardous substances established under the WFD and managed by the European Chemicals Agency. We expect to incur costs in order to comply with this new requirement.</w:t>
      </w:r>
    </w:p>
    <w:p>
      <w:pPr>
        <w:spacing w:after="0" w:line="21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9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There is an increasing focus from certain investors, employees, customers and other stakeholders concerning corporate responsibility, specifically related to environmental, social and governance matters (“ESG”).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operating results and financial condition could be adversely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believe to be reasonable under the circumstances, as provided in “Management’s Discussion and Analysis of Financial Condition and Results of Operations —Critical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valuation of inventory, accounting for business combination, contingent liabilities and accounting for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to corporate tax rates, including the increase proposed to the U.S. federal corporate rate in 2021;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 For example, the administration has proposed an increase to the corporate tax rate in the United States. If enacted, this legislation would increase our effective tax rate.</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2020, our internal controls over financial reporting were effective, we cannot predict the outcome of our testing in 2021 or future periods. We may incur additional expenses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commitment of management’s time in connection with further evaluations, both of which could materially increase our operating expenses and accordingly reduce our operating results.</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jc w:val="both"/>
        <w:ind w:right="260" w:firstLine="648"/>
        <w:spacing w:after="0" w:line="262"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nine months ended September 30, 2021, the closing price of our common stock ranged from $138.11 to $320.19 per share.</w:t>
      </w:r>
    </w:p>
    <w:p>
      <w:pPr>
        <w:spacing w:after="0" w:line="199"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Share repurchases under our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September 30, 2021, $812.3 million remained available for future share repurchases under the Repurchase Program. In October 2021, our board of directors approved a $1.25 billion increase in the authorized stock repurchase amount under the Repurchase Program and extended the term of the Repurchase Program to February 28, 2023, bringing the aggregate amount authorized to be repurchased to $4.25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right="360" w:hanging="644"/>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15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labor disruption, critical infrastructure attack and terrorism.</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credit losses on financial instruments (which became effective for us on January 1, 2020),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equity investments are required to be measured at fair value (with subsequent changes in fair value recognized in net income), which may increase the volatility of our earnings.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September 30, 2021 (in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 Purchased as</w:t>
            </w:r>
          </w:p>
        </w:tc>
        <w:tc>
          <w:tcPr>
            <w:tcW w:w="100" w:type="dxa"/>
            <w:vAlign w:val="bottom"/>
          </w:tcPr>
          <w:p>
            <w:pPr>
              <w:spacing w:after="0"/>
              <w:rPr>
                <w:sz w:val="11"/>
                <w:szCs w:val="11"/>
                <w:color w:val="auto"/>
              </w:rPr>
            </w:pPr>
          </w:p>
        </w:tc>
        <w:tc>
          <w:tcPr>
            <w:tcW w:w="2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1"/>
                <w:szCs w:val="11"/>
                <w:color w:val="auto"/>
              </w:rPr>
            </w:pPr>
          </w:p>
        </w:tc>
        <w:tc>
          <w:tcPr>
            <w:tcW w:w="20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Announced Plan or</w:t>
            </w:r>
          </w:p>
        </w:tc>
        <w:tc>
          <w:tcPr>
            <w:tcW w:w="100" w:type="dxa"/>
            <w:vAlign w:val="bottom"/>
          </w:tcPr>
          <w:p>
            <w:pPr>
              <w:spacing w:after="0"/>
              <w:rPr>
                <w:sz w:val="11"/>
                <w:szCs w:val="11"/>
                <w:color w:val="auto"/>
              </w:rPr>
            </w:pPr>
          </w:p>
        </w:tc>
        <w:tc>
          <w:tcPr>
            <w:tcW w:w="23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of Shares that May Yet Be Purchased</w:t>
            </w: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7"/>
                <w:szCs w:val="7"/>
                <w:color w:val="auto"/>
              </w:rPr>
            </w:pPr>
          </w:p>
        </w:tc>
        <w:tc>
          <w:tcPr>
            <w:tcW w:w="238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05"/>
        </w:trPr>
        <w:tc>
          <w:tcPr>
            <w:tcW w:w="322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6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340" w:type="dxa"/>
            <w:vAlign w:val="bottom"/>
            <w:vMerge w:val="restart"/>
          </w:tcPr>
          <w:p>
            <w:pPr>
              <w:ind w:left="680"/>
              <w:spacing w:after="0"/>
              <w:rPr>
                <w:sz w:val="20"/>
                <w:szCs w:val="20"/>
                <w:color w:val="auto"/>
              </w:rPr>
            </w:pPr>
            <w:r>
              <w:rPr>
                <w:rFonts w:ascii="Arial" w:cs="Arial" w:eastAsia="Arial" w:hAnsi="Arial"/>
                <w:sz w:val="14"/>
                <w:szCs w:val="14"/>
                <w:b w:val="1"/>
                <w:bCs w:val="1"/>
                <w:color w:val="auto"/>
                <w:w w:val="99"/>
              </w:rPr>
              <w:t>per Share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22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July 1 -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ind w:left="680"/>
              <w:spacing w:after="0"/>
              <w:rPr>
                <w:sz w:val="20"/>
                <w:szCs w:val="20"/>
                <w:color w:val="auto"/>
              </w:rPr>
            </w:pPr>
            <w:r>
              <w:rPr>
                <w:rFonts w:ascii="Arial" w:cs="Arial" w:eastAsia="Arial" w:hAnsi="Arial"/>
                <w:sz w:val="18"/>
                <w:szCs w:val="18"/>
                <w:color w:val="auto"/>
              </w:rPr>
              <w:t>August 1 - August 31, 2021</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September 1 - September 30,</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6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294.07</w:t>
            </w:r>
          </w:p>
        </w:tc>
        <w:tc>
          <w:tcPr>
            <w:tcW w:w="12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40" w:type="dxa"/>
            <w:vAlign w:val="bottom"/>
            <w:gridSpan w:val="2"/>
            <w:vMerge w:val="restart"/>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294.07</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In October 2021, our board of directors approved a $1.25 billion increase in the authorized stock repurchase under the Repurchase Program and extended the term of the Repurchase Program to February 28, 2023, bringing the aggregate amount authorized to be repurchased to $4.25 billion of our outstanding common stock through February 28, 2023.</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2"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5"/>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55"/>
        </w:trPr>
        <w:tc>
          <w:tcPr>
            <w:tcW w:w="680" w:type="dxa"/>
            <w:vAlign w:val="bottom"/>
            <w:gridSpan w:val="2"/>
            <w:vMerge w:val="restart"/>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5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 w:type="dxa"/>
            <w:vAlign w:val="bottom"/>
            <w:gridSpan w:val="2"/>
            <w:vMerge w:val="continue"/>
          </w:tcPr>
          <w:p>
            <w:pPr>
              <w:spacing w:after="0"/>
              <w:rPr>
                <w:sz w:val="17"/>
                <w:szCs w:val="17"/>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w w:val="96"/>
              </w:rPr>
              <w:t>Certifications of Chief Executive Officer and Chief Financial Officer pursuant to 18 U.S.C.</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sz w:val="20"/>
                <w:szCs w:val="20"/>
                <w:color w:val="auto"/>
              </w:rPr>
            </w:pPr>
            <w:r>
              <w:rPr>
                <w:rFonts w:ascii="Arial" w:cs="Arial" w:eastAsia="Arial" w:hAnsi="Arial"/>
                <w:sz w:val="14"/>
                <w:szCs w:val="14"/>
                <w:color w:val="auto"/>
              </w:rPr>
              <w:t>101.INS*</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Inline XBRL Instance Document - the instance document does not appear in the interactive</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38"/>
        </w:trPr>
        <w:tc>
          <w:tcPr>
            <w:tcW w:w="680" w:type="dxa"/>
            <w:vAlign w:val="bottom"/>
            <w:gridSpan w:val="2"/>
          </w:tcPr>
          <w:p>
            <w:pPr>
              <w:spacing w:after="0"/>
              <w:rPr>
                <w:sz w:val="20"/>
                <w:szCs w:val="20"/>
                <w:color w:val="auto"/>
              </w:rPr>
            </w:pPr>
            <w:r>
              <w:rPr>
                <w:rFonts w:ascii="Arial" w:cs="Arial" w:eastAsia="Arial" w:hAnsi="Arial"/>
                <w:sz w:val="14"/>
                <w:szCs w:val="14"/>
                <w:color w:val="auto"/>
              </w:rPr>
              <w:t>101.SCH*</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101.CAL*</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101.DEF*</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101.LAB*</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101.PRE*</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01"/>
        </w:trPr>
        <w:tc>
          <w:tcPr>
            <w:tcW w:w="680" w:type="dxa"/>
            <w:vAlign w:val="bottom"/>
            <w:gridSpan w:val="2"/>
          </w:tcPr>
          <w:p>
            <w:pPr>
              <w:spacing w:after="0"/>
              <w:rPr>
                <w:sz w:val="20"/>
                <w:szCs w:val="20"/>
                <w:color w:val="auto"/>
              </w:rPr>
            </w:pPr>
            <w:r>
              <w:rPr>
                <w:rFonts w:ascii="Arial" w:cs="Arial" w:eastAsia="Arial" w:hAnsi="Arial"/>
                <w:sz w:val="14"/>
                <w:szCs w:val="14"/>
                <w:color w:val="auto"/>
              </w:rPr>
              <w:t>104*</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Cover Page Interactive Data File - the cover page from the Company’s Quarterly Report on</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Form 10-Q for the quarter ended September 30, 2021 is formatted in inline XBRL.</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83" w:right="67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320" w:top="283" w:right="3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2021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8, 2021</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September 30, 2021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8, 2021</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decimal"/>
      <w:start w:val="7"/>
    </w:lvl>
  </w:abstractNum>
  <w:abstractNum w:abstractNumId="8">
    <w:nsid w:val="836C40E"/>
    <w:multiLevelType w:val="hybridMultilevel"/>
    <w:lvl w:ilvl="0">
      <w:lvlJc w:val="left"/>
      <w:lvlText w:val="%1."/>
      <w:numFmt w:val="decimal"/>
      <w:start w:val="9"/>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6"/>
    </w:lvl>
  </w:abstractNum>
  <w:abstractNum w:abstractNumId="16">
    <w:nsid w:val="22221A70"/>
    <w:multiLevelType w:val="hybridMultilevel"/>
    <w:lvl w:ilvl="0">
      <w:lvlJc w:val="left"/>
      <w:lvlText w:val="%1."/>
      <w:numFmt w:val="decimal"/>
      <w:start w:val="17"/>
    </w:lvl>
  </w:abstractNum>
  <w:abstractNum w:abstractNumId="17">
    <w:nsid w:val="4516DDE9"/>
    <w:multiLevelType w:val="hybridMultilevel"/>
    <w:lvl w:ilvl="0">
      <w:lvlJc w:val="left"/>
      <w:lvlText w:val="%1."/>
      <w:numFmt w:val="decimal"/>
      <w:start w:val="18"/>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2021-11-08T16:26:17Z</dcterms:created>
  <dcterms:modified xsi:type="dcterms:W3CDTF">2021-11-08T16:26:17Z</dcterms:modified>
</cp:coreProperties>
</file>