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418465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332105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4"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2014</w:t>
      </w:r>
    </w:p>
    <w:p>
      <w:pPr>
        <w:spacing w:after="0" w:line="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0"/>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5"/>
        </w:trPr>
        <w:tc>
          <w:tcPr>
            <w:tcW w:w="7300" w:type="dxa"/>
            <w:vAlign w:val="bottom"/>
            <w:gridSpan w:val="4"/>
          </w:tcPr>
          <w:p>
            <w:pPr>
              <w:jc w:val="center"/>
              <w:ind w:left="347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35"/>
        </w:trPr>
        <w:tc>
          <w:tcPr>
            <w:tcW w:w="6520" w:type="dxa"/>
            <w:vAlign w:val="bottom"/>
            <w:gridSpan w:val="2"/>
          </w:tcPr>
          <w:p>
            <w:pPr>
              <w:jc w:val="center"/>
              <w:ind w:left="429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8620" w:type="dxa"/>
            <w:vAlign w:val="bottom"/>
            <w:gridSpan w:val="5"/>
          </w:tcPr>
          <w:p>
            <w:pPr>
              <w:jc w:val="center"/>
              <w:ind w:left="21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7300" w:type="dxa"/>
            <w:vAlign w:val="bottom"/>
            <w:gridSpan w:val="4"/>
          </w:tcPr>
          <w:p>
            <w:pPr>
              <w:jc w:val="center"/>
              <w:ind w:left="349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587"/>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1"/>
        </w:trPr>
        <w:tc>
          <w:tcPr>
            <w:tcW w:w="652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2"/>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9"/>
        </w:trPr>
        <w:tc>
          <w:tcPr>
            <w:tcW w:w="652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899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8"/>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210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3"/>
        </w:trPr>
        <w:tc>
          <w:tcPr>
            <w:tcW w:w="6520" w:type="dxa"/>
            <w:vAlign w:val="bottom"/>
            <w:gridSpan w:val="2"/>
          </w:tcPr>
          <w:p>
            <w:pPr>
              <w:jc w:val="center"/>
              <w:ind w:left="427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2"/>
        </w:trPr>
        <w:tc>
          <w:tcPr>
            <w:tcW w:w="8620" w:type="dxa"/>
            <w:vAlign w:val="bottom"/>
            <w:gridSpan w:val="5"/>
          </w:tcPr>
          <w:p>
            <w:pPr>
              <w:jc w:val="center"/>
              <w:ind w:left="21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Yes x</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t>
            </w:r>
          </w:p>
        </w:tc>
      </w:tr>
      <w:tr>
        <w:trPr>
          <w:trHeight w:val="37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Yes</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 No</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w:t>
            </w:r>
          </w:p>
        </w:tc>
      </w:tr>
    </w:tbl>
    <w:p>
      <w:pPr>
        <w:sectPr>
          <w:pgSz w:w="11900" w:h="16838" w:orient="portrait"/>
          <w:cols w:equalWidth="0" w:num="1">
            <w:col w:w="10300"/>
          </w:cols>
          <w:pgMar w:left="240" w:top="225" w:right="135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0"/>
          <w:szCs w:val="20"/>
          <w:color w:val="auto"/>
        </w:rPr>
      </w:pPr>
    </w:p>
    <w:p>
      <w:pPr>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22" w:lineRule="exact"/>
        <w:rPr>
          <w:sz w:val="20"/>
          <w:szCs w:val="20"/>
          <w:color w:val="auto"/>
        </w:rPr>
      </w:pPr>
    </w:p>
    <w:p>
      <w:pPr>
        <w:ind w:right="100" w:firstLine="27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8" w:right="259" w:bottom="1440" w:gutter="0" w:footer="0" w:header="0"/>
        </w:sectPr>
      </w:pP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85" w:lineRule="exact"/>
        <w:rPr>
          <w:sz w:val="20"/>
          <w:szCs w:val="20"/>
          <w:color w:val="auto"/>
        </w:rPr>
      </w:pPr>
    </w:p>
    <w:p>
      <w:pPr>
        <w:sectPr>
          <w:pgSz w:w="11900" w:h="16838" w:orient="portrait"/>
          <w:cols w:equalWidth="0" w:num="4">
            <w:col w:w="2000" w:space="720"/>
            <w:col w:w="4780" w:space="720"/>
            <w:col w:w="1960" w:space="720"/>
            <w:col w:w="500"/>
          </w:cols>
          <w:pgMar w:left="240" w:top="118" w:right="25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8"/>
          <w:szCs w:val="18"/>
          <w:color w:val="auto"/>
        </w:rPr>
        <w:t>(Do not check if smaller reporting</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1" w:lineRule="exact"/>
        <w:rPr>
          <w:sz w:val="20"/>
          <w:szCs w:val="20"/>
          <w:color w:val="auto"/>
        </w:rPr>
      </w:pPr>
    </w:p>
    <w:p>
      <w:pPr>
        <w:sectPr>
          <w:pgSz w:w="11900" w:h="16838" w:orient="portrait"/>
          <w:cols w:equalWidth="0" w:num="4">
            <w:col w:w="2000" w:space="720"/>
            <w:col w:w="4780" w:space="720"/>
            <w:col w:w="1960" w:space="720"/>
            <w:col w:w="500"/>
          </w:cols>
          <w:pgMar w:left="240" w:top="118" w:right="2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60"/>
          </w:cols>
          <w:pgMar w:left="240" w:top="118" w:right="259" w:bottom="1440" w:gutter="0" w:footer="0" w:header="0"/>
          <w:type w:val="continuous"/>
        </w:sect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June 30, 2014, the last business day of the registrant’s most recently completed second quarter, was $3,163,303,736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0" w:lineRule="exact"/>
        <w:rPr>
          <w:sz w:val="20"/>
          <w:szCs w:val="20"/>
          <w:color w:val="auto"/>
        </w:rPr>
      </w:pPr>
    </w:p>
    <w:p>
      <w:pPr>
        <w:jc w:val="right"/>
        <w:ind w:left="280" w:right="3740"/>
        <w:spacing w:after="0" w:line="438" w:lineRule="auto"/>
        <w:rPr>
          <w:sz w:val="20"/>
          <w:szCs w:val="20"/>
          <w:color w:val="auto"/>
        </w:rPr>
      </w:pPr>
      <w:r>
        <w:rPr>
          <w:rFonts w:ascii="Times New Roman" w:cs="Times New Roman" w:eastAsia="Times New Roman" w:hAnsi="Times New Roman"/>
          <w:sz w:val="18"/>
          <w:szCs w:val="18"/>
          <w:color w:val="auto"/>
        </w:rPr>
        <w:t>As of February 20, 2015, there were 168,865,460 shares of the registrant’s common stock outstanding. DOCUMENTS INCORPORATED BY REFERENCE</w:t>
      </w:r>
    </w:p>
    <w:p>
      <w:pPr>
        <w:spacing w:after="0" w:line="1"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2015 Annual Meeting of Stockholders are incorporated by reference into Part III of this Annual Report on Form 10-K where indicated. Such Proxy Statement will be filed with the United States Securities and Exchange Commission (“SEC”) within 120 days after the end of the fiscal year to which this report relates.</w:t>
      </w:r>
    </w:p>
    <w:p>
      <w:pPr>
        <w:sectPr>
          <w:pgSz w:w="11900" w:h="16838" w:orient="portrait"/>
          <w:cols w:equalWidth="0" w:num="1">
            <w:col w:w="11400"/>
          </w:cols>
          <w:pgMar w:left="240" w:top="118"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140" w:type="dxa"/>
            <w:vAlign w:val="bottom"/>
            <w:gridSpan w:val="1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8880" w:type="dxa"/>
            <w:vAlign w:val="bottom"/>
            <w:gridSpan w:val="1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8"/>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5"/>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gridSpan w:val="16"/>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Controls and Procedures</w:t>
              </w:r>
            </w:hyperlink>
          </w:p>
        </w:tc>
        <w:tc>
          <w:tcPr>
            <w:tcW w:w="32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Other Information</w:t>
              </w:r>
            </w:hyperlink>
          </w:p>
        </w:tc>
        <w:tc>
          <w:tcPr>
            <w:tcW w:w="8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7"/>
          </w:tcPr>
          <w:p>
            <w:pPr>
              <w:spacing w:after="0"/>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4"/>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0"/>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Exhibits, Financial Statement Schedules</w:t>
              </w:r>
            </w:hyperlink>
          </w:p>
        </w:tc>
        <w:tc>
          <w:tcPr>
            <w:tcW w:w="68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8"/>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20" w:type="dxa"/>
            <w:vAlign w:val="bottom"/>
            <w:gridSpan w:val="2"/>
          </w:tcPr>
          <w:p>
            <w:pPr>
              <w:spacing w:after="0"/>
              <w:rPr>
                <w:rFonts w:ascii="Times New Roman" w:cs="Times New Roman" w:eastAsia="Times New Roman" w:hAnsi="Times New Roman"/>
                <w:sz w:val="18"/>
                <w:szCs w:val="18"/>
                <w:color w:val="0000EE"/>
                <w:w w:val="89"/>
              </w:rPr>
            </w:pPr>
            <w:hyperlink w:anchor="page97">
              <w:r>
                <w:rPr>
                  <w:rFonts w:ascii="Times New Roman" w:cs="Times New Roman" w:eastAsia="Times New Roman" w:hAnsi="Times New Roman"/>
                  <w:sz w:val="18"/>
                  <w:szCs w:val="18"/>
                  <w:color w:val="0000EE"/>
                  <w:w w:val="89"/>
                </w:rPr>
                <w:t>Signatures</w:t>
              </w:r>
            </w:hyperlink>
          </w:p>
        </w:tc>
        <w:tc>
          <w:tcPr>
            <w:tcW w:w="2180" w:type="dxa"/>
            <w:vAlign w:val="bottom"/>
            <w:gridSpan w:val="8"/>
          </w:tcPr>
          <w:p>
            <w:pPr>
              <w:spacing w:after="0"/>
              <w:rPr>
                <w:sz w:val="21"/>
                <w:szCs w:val="21"/>
                <w:color w:val="auto"/>
              </w:rPr>
            </w:pPr>
          </w:p>
        </w:tc>
        <w:tc>
          <w:tcPr>
            <w:tcW w:w="68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provide high performance cyber security solutions to some of the largest enterprise, service providers and government organizations across the globe, including a majority of the 2014 Fortune 100. Our cyber security solutions are fast and secure and designed to provide broad, high-performance protection against dynamic security threats while simplifying the information technology (“IT”) infrastructure of our end-customers worldwide.</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flagship integrated network security solution consists of our FortiGate physical and virtual appliance products that provide a broad array of integrated security and networking functions to protect data, applications, and users from network- and content-level security threats. These functions, which can be integrated in a variety of ways, include firewall, intrusion prevention (“IPS”) anti-malware, application control, virtual private network (“VPN”), web-filtering, vulnerability management, anti-spam, wireless controller, and wide area network (“WAN”) acceleration. Our FortiGate appliances may be deployed as Next Generation Firewalls (“NGFW”), Data Center Firewalls (“DCFW”), Unified Threat Management (“UTM”) systems, Internal Network Firewall (“INFW”), Virtual Machine Firewalls or Cloud Firewalls. Our FortiGate appliances range from the FortiGate-20 series for small businesses and branch offices to the FortiGate-5000 series for large enterprises and service providers, and are based on our proprietary technology platform. This platform includes our FortiASICs, which are specifically designed for accelerated processing of security and networking functions, and our FortiOS operating system, which provides the foundation for all FortiGate security functions. Our FortiGuard security subscription services provide end-customers with access to dynamic updates to our application control, anti-malware, intrusion prevention, web filtering, and anti-spam functionality. Our security services are based on intelligence gathered by our FortiGuard Labs team, which is comprised of a large team of threat researchers who detect threats and help protect our customers. By combining multiple proprietary security and networking functions with our purpose-built FortiASIC and FortiOS, our FortiGate solution delivers broad protection against dynamic security threats while reducing the operational burden and costs associated with managing multiple point products.</w:t>
      </w:r>
    </w:p>
    <w:p>
      <w:pPr>
        <w:spacing w:after="0" w:line="18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complement our FortiGate product line with the FortiManager product family, which enables end-customers to manage the system configuration and security functions of multiple FortiGate devices from a centralized console, as well as the FortiAnalyzer product family, which enables collection, analysis and archiving of content and log data generated by our products. We also offer other product lines that provide additional protection, such as:</w:t>
      </w:r>
    </w:p>
    <w:p>
      <w:pPr>
        <w:spacing w:after="0" w:line="15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FortiAP, secure wireless access points;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FortiWeb, security for web-based applications;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FortiMail, multi-feature, high performance messaging security;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FortiDB, centrally managed database-specific security;</w:t>
      </w:r>
    </w:p>
    <w:p>
      <w:pPr>
        <w:spacing w:after="0" w:line="9" w:lineRule="exact"/>
        <w:rPr>
          <w:rFonts w:ascii="Times New Roman" w:cs="Times New Roman" w:eastAsia="Times New Roman" w:hAnsi="Times New Roman"/>
          <w:sz w:val="18"/>
          <w:szCs w:val="18"/>
          <w:color w:val="auto"/>
        </w:rPr>
      </w:pPr>
    </w:p>
    <w:p>
      <w:pPr>
        <w:ind w:left="1300" w:right="78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FortiClient, endpoint security for desktops, laptops and mobile devices which is primarily used in conjunction with our FortiGate appliances;</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FortiScan, endpoint vulnerability assessment and remediation;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FortiSwitch, Ethernet switches;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FortiBridge, bypass appliances to help ensure network availability;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FortiAuthenticator, scalable secure authentication for enterprise networks;</w:t>
      </w:r>
    </w:p>
    <w:p>
      <w:pPr>
        <w:spacing w:after="0" w:line="9" w:lineRule="exact"/>
        <w:rPr>
          <w:rFonts w:ascii="Times New Roman" w:cs="Times New Roman" w:eastAsia="Times New Roman" w:hAnsi="Times New Roman"/>
          <w:sz w:val="18"/>
          <w:szCs w:val="18"/>
          <w:color w:val="auto"/>
        </w:rPr>
      </w:pPr>
    </w:p>
    <w:p>
      <w:pPr>
        <w:ind w:left="1300" w:right="7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FortiADC, Application Delivery Controller (“ADC”) optimizing the availability and performance of mobile, cloud, and enterprise applications;</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FortiSandbox, detecting and mitigating Advanced Persistent Threats (“APTs”);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FortiCache, reducing the cost of and impact of cached internet content;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FortiDNS, providing secure Domain Name System (“DNS”) caching;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FortiDDoS, protection against Distributed Denial of Service (“DDOS”) attacks;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FortiVoice, business telephone communication.</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offer virtual appliances for the FortiGate, FortiManager, FortiAnalyzer, FortiWeb, FortiMail, FortiCache, and FortiADC product lines that can be used in conjunction with traditional Fortinet physical appliances, such as FortiGate, FortiManager, and FortiAnalyzer, to help ensure the visibility, management, and protection of physical and virtual environments. We also offer on-demand cloud-based versions of FortiGate and FortiWeb.</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our fiscal year ended December 31, 2014, we generated total revenue of $770.4 million and net income of $25.3 million. See Part II, Item 8 of this Annual Report on Form 10-K for more information on our consolidated balance sheets as of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December 31, 2014 and 2013 and our consolidated statements of operations, comprehensive income, stockholders’ equity, and cash flows for each of the three years ended December 31, 2014, 2013, and 2012.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 is located at 899 Kifer Road, Sunnyvale, California 94086 and our telephone number at that location is (408) 235-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Architecture</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FortiASIC</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proprietary FortiASIC family of Application-Specific Integrated Circuits (“ASICs”) is comprised of three lines of processors: the FortiASIC content processor (“CP”), the FortiASIC network processor (“NP”), and the FortiASIC system-on-a-chip (“SOC”). Our custom ASICs are designed to enhance the sophisticated security processing capabilities implemented in software by accelerating computation-intensive tasks such as firewall policy enforcement or IPS anomaly detection. This architecture provides the flexibility of implementing accelerated processing of new threat detection without requiring a new ASIC. The FortiASIC CP is currently included in most of our entry-level and all of our mid-range and high-end FortiGate appliances. The FortiASIC NP is currently included in some of our mid-range and high-end FortiGate appliances, delivering additional accelerated firewall and VPN performance. Entry-level FortiGate products (FortiGate 20 to 100 series) often use the SOC2. Mid-range FortiGate products (FortiGate 200 to 800 series) use a central processing unit (“CPU”) and include the NP and CP. The high-end FortiGate products (FortiGate 1000 to 5000 series) use multiple CPUs, CPs and NPs.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FortiOS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proprietary FortiOS operating system provides the foundation for the operation of all FortiGate appliances, from the core kernel functions to the security processing feature sets.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ASICs and provides system management functions such as command-line and graphical user interfaces.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high-level functions and capabilities of FortiOS include:</w:t>
      </w:r>
    </w:p>
    <w:p>
      <w:pPr>
        <w:spacing w:after="0" w:line="225" w:lineRule="exact"/>
        <w:rPr>
          <w:sz w:val="20"/>
          <w:szCs w:val="20"/>
          <w:color w:val="auto"/>
        </w:rPr>
      </w:pPr>
    </w:p>
    <w:p>
      <w:pPr>
        <w:ind w:left="1300" w:right="44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enable FortiGate appliances to be configured into different security environments such as our Internal Network Firewall, Next Generation Firewall, and the Data Center Firewall;</w:t>
      </w: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configuration of the physical aspects of the appliance such as ports, Wi-Fi and switching;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network functions such as routing and deployment modes (network routing, transparent, sniffer, etc.);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security updates delivering advanced threat protection, such as IPS, antivirus, and application control;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cloud-based web and email filtering databases;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policy objects and enforcement;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leak prevention and document finger printing;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reporting and logging.</w:t>
      </w:r>
    </w:p>
    <w:p>
      <w:pPr>
        <w:spacing w:after="0" w:line="20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make updates to FortiOS available through our FortiCare technical support services. 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address translation technologies, allowing the FortiGate appliance to integrate and operate in a wide variety of network environments. Additional features include Virtual Domain (“VDOM”), capabilities and traffic queuing and shaping. These features enable administrators to set the appropriate configurations and policies that meet their infrastructure needs. FortiOS also provides capabilities for logging of traffic for forensic analysis purposes which are particularly important for regulatory compliance initiatives like payment card industry data security standard (“PCI DSS”). FortiOS is designed to help control network traffic in order to optimize performance by including functionality such as packet classification, queue disciplines, policy enforcement, congestion management, WAN optimization and caching.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core product offerings consist of our FortiGate product family, along with our FortiManager central management and FortiAnalyzer central logging and reporting product families, both of which are typically purchased to complement a large FortiGate deployment.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FortiGate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flagship FortiGate physical and virtual appliances offer a broad set of security and networking functions, including firewall, intrusion prevention, anti-malware, VPN, application control, web filtering, anti-spam and WAN acceleration. All FortiGate models run on our FortiOS operating system. Substantially all of the FortiGate physical appliances include our FortiASICs to accelerate content and network security features implemented within FortiOS. FortiGate platforms can be centrally managed through both embedded web-based and command line interfaces, as well as through FortiManager which provides central management architecture for up to thousands of FortiGate physical and virtual appliances.</w:t>
      </w:r>
    </w:p>
    <w:p>
      <w:pPr>
        <w:spacing w:after="0" w:line="18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By combining multiple network security functions in our purpose-built security platform, the FortiGate appliances provide broad, high quality protection capabilities and deployment flexibility while reducing the operational burden and costs associated with managing multiple point products. With over 30 models in the FortiGate product line, FortiGate is designed to address security requirements for small- to mid-sized businesses, large enterprises, service providers and government organizations worldwide.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FortiGate model runs on our FortiOS operating system, and substantially all FortiGate physical appliances include our FortiASICs.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small-to mid-sized businesses. The FortiGate-200 through -800 series models are designed for perimeter deployment in mid-sized to large enterprise networks. And, the FortiGate-1000 through -5000 series models deliver high performance and scalable network security functionality for perimeter, data center and core deployment in large enterprise and service provider networks.</w:t>
      </w:r>
    </w:p>
    <w:p>
      <w:pPr>
        <w:spacing w:after="0" w:line="18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also incorporate additional technologies within FortiGate appliances that differentiate our solutions, including data leakage protection (“DLP”), traffic optimization, SSL inspection, threat vulnerability management, and wireless controller technology.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Fortinet Management and Analysis Products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FortiManager and FortiAnalyzer physical and virtual products are typically sold in conjunction with a large FortiGate deployment.</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FortiManager. </w:t>
      </w:r>
      <w:r>
        <w:rPr>
          <w:rFonts w:ascii="Times New Roman" w:cs="Times New Roman" w:eastAsia="Times New Roman" w:hAnsi="Times New Roman"/>
          <w:sz w:val="18"/>
          <w:szCs w:val="18"/>
          <w:color w:val="auto"/>
        </w:rPr>
        <w:t>Our FortiManager family of products provides a central management solution for our FortiGate products, including the wide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network and security features offered within FortiOS. One FortiManager product is capable of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80" w:lineRule="exact"/>
        <w:rPr>
          <w:sz w:val="20"/>
          <w:szCs w:val="20"/>
          <w:color w:val="auto"/>
        </w:rPr>
      </w:pPr>
    </w:p>
    <w:p>
      <w:pPr>
        <w:ind w:right="2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FortiAnalyzer. </w:t>
      </w:r>
      <w:r>
        <w:rPr>
          <w:rFonts w:ascii="Times New Roman" w:cs="Times New Roman" w:eastAsia="Times New Roman" w:hAnsi="Times New Roman"/>
          <w:sz w:val="17"/>
          <w:szCs w:val="17"/>
          <w:color w:val="auto"/>
        </w:rPr>
        <w:t>Our FortiAnalyzer family of products provides network logging, analyzing, and reporting solutions that securely aggregate content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log data from our FortiGate devices and other Fortinet products as well as third-party devices to enable network logging, analysis and reporting.</w:t>
      </w:r>
    </w:p>
    <w:p>
      <w:pPr>
        <w:spacing w:after="0" w:line="13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also offer other physical and virtual appliances and software that protect our end-customers from security threats to other critical areas in the enterprise, such as messaging, web-based applications and databases, and employees’ computers or mobile devices.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FortiGuard Security Subscription Services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Security requirements are dynamic due to the constantly changing nature of threats. Our FortiGuard Labs global threat research team uses automated and manual processes to identify emerging threats, collects threat samples, and FortiGuard Labs replicates, reviews and characterizes attacks. Based on this research, we develop updates for virus signatures, attack definitions,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scanning engines, and other security solution components to distribute to end-customers. Our FortiGuard security subscription services are designed to allow us to quickly deliver new threat detection capabilities to end-customers worldwide as new threats evolve. End-customers purchase FortiGuard security subscription services in advance, typically with terms of one to three years, to obtain access to regular updates for application control, antivirus, intrusion prevention, web filtering, and anti-spam functions for our FortiGate products; antivirus, web filtering and anti-spam functions for our FortiClient software; antivirus and anti-spam functions for our FortiMail products; vulnerability management for our FortiGate, FortiAnalyzer and FortiScan products, database functions for our FortiDB appliance, web functions for our FortiWeb appliances, and advanced threat protection for our FortiSandbox products. We provide FortiGuard services 24 hours a day, seven days a week.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FortiCare Technical Support Services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FortiCare services are our technical support services for the software, firmware and hardware in our products, as well as our extended product warranty service. In addition to our standard support service offering, we offer a premium service that offers faster response times and dedicated support oriented towards mission-critical applications.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located worldwide.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Training Services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offer training services to our end-customers and channel partners through our training department and authorized training partners. We have also implemented a training certification program to help ensure an understanding of our products and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sell our security solutions through channel partners to end-customers of various sizes—from small businesses to large enterprises, government organizations, and service providers—and across a variety of industries including telecommunications, technology, government, financial services, education, retail, manufacturing, and healthcare for a variety of security functions across a variety of deployment scenarios. An end-customer deployment may involve one of our appliances or thousands, depending on our end-customers’ size and security requirements. Many of our customers also purchase our FortiGuard security subscription services and FortiCare technical support services. For information regarding our sales by customer location, see Note 14 to our consolidated financial statements in Part II, Item 8 of this Annual Report on Form 10-K.</w:t>
      </w:r>
    </w:p>
    <w:p>
      <w:pPr>
        <w:spacing w:after="0" w:line="18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fiscal 2014, fiscal 2013, and fiscal 2012, one distributor, Exclusive Networks Group, which distributed our solutions to a large group of resellers and end-customers, accounted for 15%, 12%, and 11% of total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primarily sell our products and services directly to distributors that sell to networking, security, and enterprise-focused resellers and service providers, who, in turn, sell to our end-customers. In certain cases, we sell directly to government-focused resellers, very large service providers and major systems integrator partners who have large purchasing power and unique customer deployment demands. We work with many of the world’s leading technology distributors, including Exclusive Networks Group, Ingram Micro Inc., Fine Tec Computer, and Arrow Electronics, Inc and enterprise security-focused resellers including Accuvant and Fishnet Security.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support our channel partners with a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professionals and engineers typically work closely with our channel partners and directly engage with large end-customers to help address their unique security and deployment requirements. Our sales cycle for an initial end-customer purchase typically ranges from three to six months but can be longer especially for large enterprises, service providers and government organizations. To support our broadly dispersed global channel and end-customer base, we have sales offices in over 30 countries around the world.</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messaging, branding, product marketing, channel marketing, event marketing, communications and sales support programs. We focus our resources on programs, tools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fiscal 2014, we invested in sales and marketing to capture market share, particularly in the enterprise market where enterprise customers tend to have a higher lifetime value, and to accelerate our growth. We intend to continue investing in sales and marketing in order to capture additional market share in the high-return enterprise market, which we believe also offers higher lifetime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Flextronics International Ltd., Micro-Star International Co., Ltd., Adlink Technology, Inc., Senao Networks,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FortiASICs, which are the key to the performance of our appliances, are fabricated by contract manufacturers in foundries operated by United Microelectronics Corporation (“UMC”) and Taiwan Semiconductor Manufacturing Company Limited (“TSMC”). Faraday Technology Corporation (using UMC’s foundry), Kawasaki Microelectronics America, Inc. (“K-Micro”) (using TSMC’s foundry) and Renesas Electronics Corporation (“Renesas”) (using UMC’s foundry) manufacture our ASICs on a purchase order basis. Accordingly, they are not obligated to continue to fulfill our supply requirements, and the prices we are charged for the fabrication of our ASICs could be increased on short notice.</w:t>
      </w:r>
    </w:p>
    <w:p>
      <w:pPr>
        <w:spacing w:after="0" w:line="19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specific types of central processing units from Intel Corporation (“Intel”), network chips from Broadcom Corporation (“Broadcom”), Marvell Technology Group Ltd. (“Marvell”) and Intel, and solid-state drives (silicon-based storage device) from OCZ Technology Group, Inc. and Samsung Electronics Co., Ltd., are available from a limited or sole source of supply.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was $122.9 million in fiscal 2014, $102.7 million in fiscal 2013 and $81.1 million in fiscal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As of December 31, 2014, we had 191 issued U.S. and foreign patents and 156 pending U.S.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foreign patent applications. We also license software from third parties for inclusion in our products, including open source software and other software available on commercially reasonable terms.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rights in our technology,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8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280" w:firstLine="1040"/>
        <w:spacing w:after="0" w:line="282" w:lineRule="auto"/>
        <w:rPr>
          <w:sz w:val="20"/>
          <w:szCs w:val="20"/>
          <w:color w:val="auto"/>
        </w:rPr>
      </w:pPr>
      <w:r>
        <w:rPr>
          <w:rFonts w:ascii="Times New Roman" w:cs="Times New Roman" w:eastAsia="Times New Roman" w:hAnsi="Times New Roman"/>
          <w:sz w:val="18"/>
          <w:szCs w:val="18"/>
          <w:color w:val="auto"/>
        </w:rPr>
        <w:t>For information regarding seasonality in our sales, see the section entitled “—Quarterly Results of Operations—Seasonality, Cyclicality and Quarterly Revenue Trends” in Part II, Item 7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 the following:</w:t>
      </w:r>
    </w:p>
    <w:p>
      <w:pPr>
        <w:spacing w:after="0" w:line="189" w:lineRule="exact"/>
        <w:rPr>
          <w:sz w:val="20"/>
          <w:szCs w:val="20"/>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features, effectiveness, interoperability and reliability;</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and integrate new networking and security features and technological expertise;</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certifications;</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 of operations; and</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23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Our competitors include Cisco Systems, Inc. (“Cisco”), Juniper Networks, Inc. (“Juniper”), Check Point Software Technologies Ltd. (“Check Point”), Intel (through its acquisition of McAfee, Inc. (“McAfee”)), F5 Networks, Inc. (“F5 Networks”), Dell Inc. (through its acquisition of SonicWALL, Inc. (“SonicWALL”) , BlueCoat Systems, Inc. (“BlueCoat”), FireEye, Inc. (“FireEye”) and Palo Alto Networks, Inc. (“Palo Alto Networks”), amongst others.</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market their products better, or achieve greater market acceptance than us. In addition, our larger competitors often have broader product lines, are in a better position to withstand any significant reduction in capital spending by end-customers in these markets,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our total headcount was 2,854 full-time equivalent employees. None of our U.S. employees are represented by a labor union; however, our employees in Belgium, Finland, France, Italy, and Spain are represented by collective bargaining agreements. We have not experienced any work stoppages, and we consider our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likely to vary significantly and be unpredictable.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6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many factors such as inventory levels, logistics, shipping delays at ports or otherwise, our ability to ship new products on schedule and to accurately forecast inventory requirements, and potential delays in the manufacturing process;</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imbalances, such as those related to new products and the end of life of existing products;</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the mix of revenue between products and services and the degree to which products and services are bundled and sold together for a package price;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our channel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our investments in sales and marketing;</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distributor or reseller requirements or market needs and buying practices and patterns;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network security markets;</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orders from end-customers in anticipation of new products or product enhancements announced by us or our competitors;</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7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general in our market;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of services contracts or the length of services contracts sold;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w:t>
      </w:r>
    </w:p>
    <w:p>
      <w:pPr>
        <w:spacing w:after="0" w:line="27"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results of operations from any acquisition consummated;</w:t>
      </w:r>
    </w:p>
    <w:p>
      <w:pPr>
        <w:spacing w:after="0" w:line="225"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may have insufficient financial resources and may not be able to withstand changes and challenges in business conditions;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our domestic and foreign markets;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and revenue growth may slow or may not continue.</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or if we fail for any reason to continue to capitalize on growth opportunities.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118" w:right="3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will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but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subscriptions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61"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and requirements that may be adversely impact U.S. headquartered business’s sales in certain countries outside of the United States;</w:t>
      </w:r>
    </w:p>
    <w:p>
      <w:pPr>
        <w:spacing w:after="0" w:line="16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6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61" w:lineRule="exact"/>
        <w:rPr>
          <w:rFonts w:ascii="Times New Roman" w:cs="Times New Roman" w:eastAsia="Times New Roman" w:hAnsi="Times New Roman"/>
          <w:sz w:val="18"/>
          <w:szCs w:val="18"/>
          <w:color w:val="auto"/>
        </w:rPr>
      </w:pPr>
    </w:p>
    <w:p>
      <w:pPr>
        <w:ind w:left="1300" w:right="8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that could disrupt the sales team through terminations of employment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1300" w:right="400"/>
        <w:spacing w:after="0" w:line="329" w:lineRule="auto"/>
        <w:rPr>
          <w:sz w:val="20"/>
          <w:szCs w:val="20"/>
          <w:color w:val="auto"/>
        </w:rPr>
      </w:pPr>
      <w:r>
        <w:rPr>
          <w:rFonts w:ascii="Times New Roman" w:cs="Times New Roman" w:eastAsia="Times New Roman" w:hAnsi="Times New Roman"/>
          <w:sz w:val="18"/>
          <w:szCs w:val="18"/>
          <w:color w:val="auto"/>
        </w:rPr>
        <w:t>otherwise, and may adversely impact financial results as compared to those already reported or forecasted and result in restatements of financial statements and irregularities in financial statements;</w:t>
      </w:r>
    </w:p>
    <w:p>
      <w:pPr>
        <w:spacing w:after="0" w:line="13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Product and service sales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larger end-customers, our results of operations may suffer.</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enterprises, service providers and government organizations. While we have experienced some success selling to service providers and enterprises, we have experienced less traction selling to certain government organizations and there can be no assurance that we will be successful selling to these customer segments. Sales to enterprises, service providers and government organizations involve risks that may not be present (or that are present to a lesser extent) with sales to small-to-mid-sized entities. These risks include:</w:t>
      </w:r>
    </w:p>
    <w:p>
      <w:pPr>
        <w:spacing w:after="0" w:line="184" w:lineRule="exact"/>
        <w:rPr>
          <w:sz w:val="20"/>
          <w:szCs w:val="20"/>
          <w:color w:val="auto"/>
        </w:rPr>
      </w:pPr>
    </w:p>
    <w:p>
      <w:pPr>
        <w:ind w:left="1300" w:right="18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enterprises,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of or purchasing behavior of large end-customers, including changes in the volume and frequency of their purchases;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61"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Large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Enterprises, service providers and government organizations typically have longer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33%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based on trade compliance requirements, or any shipment delays based on labor disputes at shipping ports, our billings and revenue for that quarter could fall below our expectations or those of securities analysts and investors, resulting in a decline in our stock price.</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certain marketing activities. While we have recently been increasing our investments in sales and marketing, it is not clear that these investments will continue to result in increased revenues. If our investments in additional sales personnel or if our marketing programs are not successful in continuing to create market awareness of our company and products, our business, financial condition and results of operations will be adversely affected, and we will not be able to achieve sustained growth.</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fiscal 2014, fiscal 2013, and fiscal 2012, Exclusive Networks Group, which distributed our solutions to a large group of resellers and end-customers, accounted for 15%, 12%, and 11% of our total revenue, respectively. In addition, any new sales channel partner will require extensive training and may take several months or more to achieve productivity. Our channel partner sales structure could subject us to lawsuits, potential liability and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6" w:lineRule="exact"/>
        <w:rPr>
          <w:sz w:val="20"/>
          <w:szCs w:val="20"/>
          <w:color w:val="auto"/>
        </w:rPr>
      </w:pPr>
    </w:p>
    <w:p>
      <w:pPr>
        <w:ind w:right="30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9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5" w:lineRule="exact"/>
        <w:rPr>
          <w:sz w:val="20"/>
          <w:szCs w:val="20"/>
          <w:color w:val="auto"/>
        </w:rPr>
      </w:pPr>
    </w:p>
    <w:p>
      <w:pPr>
        <w:ind w:left="1300" w:right="3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which will harm our reputation; and</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 and, in some instances, subject us to potential liability that is not contractually limited.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2" w:lineRule="exact"/>
        <w:rPr>
          <w:sz w:val="20"/>
          <w:szCs w:val="20"/>
          <w:color w:val="auto"/>
        </w:rPr>
      </w:pPr>
    </w:p>
    <w:p>
      <w:pPr>
        <w:ind w:right="220" w:firstLine="648"/>
        <w:spacing w:after="0" w:line="272" w:lineRule="auto"/>
        <w:rPr>
          <w:sz w:val="20"/>
          <w:szCs w:val="20"/>
          <w:color w:val="auto"/>
        </w:rPr>
      </w:pPr>
      <w:r>
        <w:rPr>
          <w:rFonts w:ascii="Times New Roman" w:cs="Times New Roman" w:eastAsia="Times New Roman" w:hAnsi="Times New Roman"/>
          <w:sz w:val="18"/>
          <w:szCs w:val="18"/>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purchased a new enterprise resource planning system during the second quarter of fiscal 2014. We are in the early stages of implementing the new system and, as a result, we have incurred and will continue to incur additional costs in connection with implementing the system. In addition, we may experience some disruption during the system implementation process.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8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outsource the manufacturing of our security appliance products to a variety of contract manufacturing partners and original design manufacturing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shipping ports or locations would severely affect sales of our product lines manufactured by that manufacturing partner. Furthermore manufacturing cost increases for any reason could result in lower gross margins.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new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9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7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intellectual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majority of our operating expenses are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8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organizations, which are subject to a number of challenges and risks.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that we will win a sale.</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62"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All of our sales to government organizations have been made indirectly through our distribution channel.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viruses or security breaches or false identification of spam or spyware could adversely affect our business.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network system is compromised by computer hackers, public perception of our products and services will be harmed.</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FortiGuard security subscription and FortiCare technical support services to our end-customers. If this happens, our revenue could decline and our business could suffer.</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 organizations. 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or exposure to additional tax liabilities.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62" w:lineRule="exact"/>
        <w:rPr>
          <w:sz w:val="20"/>
          <w:szCs w:val="20"/>
          <w:color w:val="auto"/>
        </w:rPr>
      </w:pPr>
    </w:p>
    <w:p>
      <w:pPr>
        <w:ind w:left="1300" w:right="36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being lower than anticipated in countries that have lower tax rates and higher than anticipated in countries that have higher tax rates;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or lapses in the research and development tax credit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 write-offs of acquired in-process research and development, and impairment of goodwill;</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2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decision to indefinitely reinvest foreign earnings;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acquire and integrate other businesses, products or technologies could seriously harm our competitive position.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For example, in the second quarter of 2014, we recognized an impairment charge of $2.4 million for intangible assets from our acquisition of Coyote Point Systems, Inc.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118" w:right="29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power outages, floods, or other catastrophic events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the economy as a whole. For example, recently, ports in the west coast of the United States have experienced work slowdowns related to ongoing union labor contract negotiations. Given our typical concentration of sales at each quarter end,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new products and product enhancements do not achieve sufficient market acceptance, our results of operations and competitive position will suffer.</w:t>
      </w:r>
    </w:p>
    <w:p>
      <w:pPr>
        <w:spacing w:after="0" w:line="2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of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 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lack sufficient financial or other resources to maintain or improve our competitive position.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we expect competition to intensify in the future. Our competitors include companies such as Blue Coat, Check Point, Cisco, Dell/SonicWall, F5 Networks, FireEye, Intel/McAfee, Juniper, Palo Alto Networks, and others.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than by patent rights), we may find ourselves at a competitive disadvantage to others who need not incur the additional expense, time and effort required to create the innovative products that have enabled us to be successful to date.</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several on-going patent lawsuits and, several non-practicing entity patent holding companies have sent us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completed our evaluation of our internal controls over financial reporting for fiscal 2014 as required by Section 404 of the Sarbanes-Oxley Act of 2002. Although our assessment, testing and evaluation resulted in our conclusion that as of December 31, 2014, our internal controls over financial reporting were effective, we cannot predict the outcome of our testing in fiscal 2015 or future periods. In May 2013, the Committee of Sponsoring Organizations of the Treadway Commission (“COSO”) issued an updated version of its Internal Control - Integrated Framework (“2013 Framework”), which was originally issued in 1992 to help organizations design, implement and evaluate the effectiveness of internal controls. As of December 31, 2014, we completed our transition to the 2013 Framework. We expect the continuing requirements of the new framework to increase our legal, accounting and financial compliance costs, make some activities more difficult, time-consuming and costly, and place a significant burden on our personnel, systems and resources.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accounting pronouncements, such as changes to standards related to revenue recognition which are effective for us beginning on January 1, 2017,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likely to be volatile.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or announcements regarding our share repurchase program and the timing and amount of shares we purchase under the program. For example, in fiscal 2014, the closing price of our common stock ranged from $19.02 to $31.31.</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6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31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March 2014, we moved our corporate headquarters to 899 Kifer Road, Sunnyvale, California, where we own approximately 164,000 square feet of office and building space.</w:t>
      </w:r>
    </w:p>
    <w:p>
      <w:pPr>
        <w:spacing w:after="0" w:line="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Internationally, we lease approximately 14,000 square feet of data center space and a total of approximately 98,000 square feet of office space in two buildings in Burnaby, Canada under various leases that expire between July 2015 and July 2020; approximately 24,000 square feet and 31,000 square feet of office space in Ottawa, Canada under a lease that expires in May 2015 and June 2018, respectively; approximately 19,000 square feet of office space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Sophia, France under a lease that expires in December 2017; and approximately 26,000 square feet of office space in Beijing, China under a lease that expires in August 2015. We also lease sales and support offices in Australia, Austria, Belgium, the Czech Republic, Egypt, Finland, Germany, Hong Kong, India, Indonesia, Israel, Italy, Japan, Korea, Malaysia, Mexico, the Netherlands, New Zealand, Philippines, Poland, Russia, Saudi Arabia, Singapore, Spain, Sri Lanka, Sweden, Switzerland, Taiwan, Thailand, United Arab Emirates, and the United Kingdom. We believe that our existing properties are sufficient and suitable for the conduct of our business.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geographical disbursement of our property and equipment, see Note 14 to our consolidated financial statements in Part II, Item 8 of this Annual Report on Form 10-K.</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“FTNT.” The following table sets forth, for the time periods indicated, the high and low closing sales price of our common stock, as reported on The NASDAQ Global Select Market.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3"/>
              </w:rPr>
              <w:t>2014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February 20, 2015, there were 69 holders of record of our common stock. A substantially greater number of holders of our common stock are “street name” or beneficial holders, whose shares are held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7"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Exchange Act, or incorporated by reference into any filing of Fortinet under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except as shall be expressly set forth by specific reference in such filing.</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November 18, 2009 through December 31, 2014,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Fortinet, Inc., The NASDAQ Composite Index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232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December 2009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2010</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December 2011</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December 2012</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December 2013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December 2014</w:t>
            </w:r>
          </w:p>
        </w:tc>
      </w:tr>
      <w:tr>
        <w:trPr>
          <w:trHeight w:val="33"/>
        </w:trPr>
        <w:tc>
          <w:tcPr>
            <w:tcW w:w="4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Fortinet, Inc.</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65"/>
        </w:trPr>
        <w:tc>
          <w:tcPr>
            <w:tcW w:w="4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NASDAQ Composite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75"/>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NASDAQ Computer</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December 31, 2009 in stock or index, including reinvestment of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December 6, 2013, our board of directors authorized a Share Repurchase Program (the “Program”), to repurchase up to $200.0 million of our outstanding common stock through December 31, 2014. On October 17, 2014, our board of directors extended the Program through December 31, 2015.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fiscal 2014, we repurchased 1.6 million shares of common stock under the Program in open market transactions for an aggregate purchase price of $38.6 million. The timing and amounts of these purchases were based on market conditions and other factors, including price, and regulatory requirements. The share repurchases were financed by available cash balances. As of December 31, 2014, $122.5 million remained available for future share repurchases under the Program.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during the three months ended December 31, 2014 (in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3"/>
                <w:szCs w:val="13"/>
                <w:color w:val="auto"/>
              </w:rPr>
            </w:pPr>
          </w:p>
        </w:tc>
        <w:tc>
          <w:tcPr>
            <w:tcW w:w="1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09"/>
        </w:trPr>
        <w:tc>
          <w:tcPr>
            <w:tcW w:w="390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900" w:type="dxa"/>
            <w:vAlign w:val="bottom"/>
            <w:vMerge w:val="continue"/>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October 31, 2014</w:t>
            </w:r>
          </w:p>
        </w:tc>
        <w:tc>
          <w:tcPr>
            <w:tcW w:w="2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178,967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178,967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123,429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 November 30, 2014</w:t>
            </w:r>
          </w:p>
        </w:tc>
        <w:tc>
          <w:tcPr>
            <w:tcW w:w="2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122,494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December 31, 2014</w:t>
            </w: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122,494</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2013</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2011</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770,364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615,297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533,639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433,576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324,696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59,324</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72,090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100,475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88,904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55,341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25,343</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66,836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62,492</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41,245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8"/>
                <w:szCs w:val="18"/>
                <w:color w:val="auto"/>
                <w:vertAlign w:val="subscript"/>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163,831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162,435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158,074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152,581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140,726</w:t>
            </w:r>
          </w:p>
        </w:tc>
      </w:tr>
      <w:tr>
        <w:trPr>
          <w:trHeight w:val="243"/>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169,289</w:t>
            </w: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168,183</w:t>
            </w: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166,329</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163,781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156,406</w:t>
            </w:r>
          </w:p>
        </w:tc>
      </w:tr>
      <w:tr>
        <w:trPr>
          <w:trHeight w:val="791"/>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2013</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2011</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991,744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843,045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739,586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538,687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387,460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1,424,774</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1,168,464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975,497</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734,747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545,422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675,966</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585,760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510,934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358,354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232,454</w:t>
            </w:r>
          </w:p>
        </w:tc>
      </w:tr>
      <w:tr>
        <w:trPr>
          <w:trHeight w:val="70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5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w:t>
      </w:r>
    </w:p>
    <w:p>
      <w:pPr>
        <w:spacing w:after="0" w:line="225" w:lineRule="exact"/>
        <w:rPr>
          <w:rFonts w:ascii="Times New Roman" w:cs="Times New Roman" w:eastAsia="Times New Roman" w:hAnsi="Times New Roman"/>
          <w:sz w:val="18"/>
          <w:szCs w:val="18"/>
          <w:i w:val="1"/>
          <w:iCs w:val="1"/>
          <w:color w:val="auto"/>
        </w:rPr>
      </w:pPr>
    </w:p>
    <w:p>
      <w:pPr>
        <w:ind w:left="1300" w:right="380" w:hanging="644"/>
        <w:spacing w:after="0" w:line="284"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proportion of our revenue that consists of our product and service and other revenue, and the mix of billings between products and services;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our product innovation strategy;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growing our sales to large enterprises, service providers, and government organizations;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costs of revenue, and gross margin;</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research and development to strengthen our technology leadership position and the impact of those investments;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sales and marketing to drive market share gains and the impact of those investments;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uncertain tax benefits and our effective tax 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capital expenditures;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existing cash, cash equivalents and investments to meet our cash needs for at least the next 12 months;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provide high performance cyber security solutions to some of the largest enterprises, service providers and government organizations across the globe, including a majority of the 2014 Fortune 100. Our cyber security solutions are fast and secure and designed to provide broad, high-performance protection against dynamic security threats while simplifying the IT infrastructure of our end-customers worldwide.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core product platform is the FortiGate physical and virtual appliance, which ships with a set of broad security services, including firewall, VPN, application control, intrusion prevention, web filtering and advanced threat protection (“ATP”). These security services are enabled by FortiGuard which provides extensive threat research and a global cloud</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118" w:right="29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network to deliver protection services to each FortiGate appliance. FortiGate also has extensive networking capability such as switching, routing, native internet protocol version 6 (“IPv6”) and different modes of deployment. FortiManager provides central management and FortiAnalyzer provides reporting and analytics. The FortiGate platform can be extended to provide enhanced capabilities. For example, it can be used as a wireless controller for access points. An external sandbox can also be attached for local ATP analysis.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Customers select the functions or combination of functions that best meet their specific security requirements such as a high-speed DCFW at the network core, a NGFW at the edge, or a broad UTM solution at branch sites. We derive a substantial majority of product sales from our FortiGate appliances, which range from the FortiGate-20 to -100 series, designed for small businesses, FortiGate-200 to -800 series for mid-sized enterprises, to the FortiGate-1000 to -5000 series for large enterprises and service providers. Our network security platform also includes our FortiGuard security subscription services, which end-customers can subscribe to in order to obtain access to dynamic updates to application control, anti-virus, intrusion prevention,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and analysis and reporting capabilities.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complement our core FortiGate product line with other appliances and software that offer additional protection from security threats to other critical areas of the enterprise, such as our wireless access point, advanced threat protection, secure email gateway, web application firewalls, application delivery controllers, databases security product, DDoS security product, and endpoint security product for employee computers and mobile devices. Sales of these complementary products have grown in recent quarters, although these products still represented less than 10% of our total revenue in fiscal 2014.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9"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total revenue of $770.4 million in fiscal 2014, an increase of 25% compared to fiscal 2013. Product revenue was $360.6 million, an increase of 30% compared to fiscal 2013. Services and other revenue was $409.8 million in fiscal 2014, an increase of 22% compared to fiscal 2013.</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$991.7 million as of December 31, 2014, an increase of $148.7 million, or 18%, from December 31, 2013.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$558.8 million as of December 31, 2014, an increase of $126.1 million, or 29%, from December 31, 2013</w:t>
      </w:r>
      <w:r>
        <w:rPr>
          <w:rFonts w:ascii="Times New Roman" w:cs="Times New Roman" w:eastAsia="Times New Roman" w:hAnsi="Times New Roman"/>
          <w:sz w:val="18"/>
          <w:szCs w:val="18"/>
          <w:color w:val="0000FF"/>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$196.6 million in fiscal 2014, an increase of $49.2 million, or 33%, compared to fiscal 2013.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$20.0 million pursuant to a six-year mutual covenant-not-to-sue and release agreement with Palo Alto Networks, Inc. in January 2014.</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1.6 million shares of common stock under our previously-announced Share Repurchase Program for an aggregate purchase price of $38.6 million in fiscal 2014.</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grew as a result of our focus on growth and our strategy to increase sales capacity and invest in our marketing activities during fiscal 2014. We also continued to gain traction with several recently introduced FortiGate products, including demand for certain of our high speed, low latency next-generation enterprise data center security products.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fiscal 2014, we made significant investments in sales and marketing to increase brand awareness and grow our global sales force and distribution channels to expand our global presence both geographically and by industry segment. We continue to focus on selling to large customers, such as enterprise, service providers and government organizations worldwide. As a result, we had increased sales from large enterprises and enterprise data center deployments, with particular strength in the telecommunication, technology, government, and financial sectors.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fiscal 2014, sales of high-end FortiGate products (FortiGate-1000 to -5000 series) increased due to enterprise adoption of our high-end appliances such as the FortiGate-1500D and 3700D. The percentage of our FortiGate related billings from high-end products increased from 34% in fiscal 2013 to 38% in fiscal 2014, while the mid-range products decreased from 29% in fiscal 2013 to 26% in fiscal 2014 and the entry-level products decreased from 38% in fiscal 2013 to 36% in fiscal 2014.</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We also continue to invest in research and development to strengthen our technology leadership position. We believe that continued product innovation has strengthened our technology and resulted in market share gains, as evidenced by our introduction of the FortiGate-1500D and -3700D enterprise security appliances.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fiscal 2014, operating expenses increased 32% compared to fiscal 2013. The increase was primarily driven by our accelerated pace of hiring and marketing investments to support our growth as we continued to invest in expanding our sales coverage, marketing capabilities, developing new products and scaling our customer support organization to meet the needs of our customer base. Headcount, including full time equivalent employees, increased to 2,854 as of December 31, 2014 from 2,308 as of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physical and virtual appliances. We invoice at the time of our sale for the total price of the products and subscription and technical support services, and the invoice generally becomes payable within 30 to 90 days. We generally recognize product revenue up-front based on the allocated revenue value and defer revenue for the sale of new, and renewal of existing, FortiGuard security subscription and FortiCare technical support services contracts. We recognize the related services revenue over the service period, which is typically one to three years from the date the end-customer registers for these services (the date on which the services can first be used by the customer), although it can be as long as five years. Sales of new and renewal services increase our deferred revenue balance, which contributes significantly to our positive cash flow from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“—Components of Operating Results,”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2"/>
              <w:spacing w:after="0"/>
              <w:rPr>
                <w:sz w:val="20"/>
                <w:szCs w:val="20"/>
                <w:color w:val="auto"/>
              </w:rPr>
            </w:pPr>
            <w:r>
              <w:rPr>
                <w:rFonts w:ascii="Times New Roman" w:cs="Times New Roman" w:eastAsia="Times New Roman" w:hAnsi="Times New Roman"/>
                <w:sz w:val="16"/>
                <w:szCs w:val="16"/>
                <w:b w:val="1"/>
                <w:bCs w:val="1"/>
                <w:color w:val="auto"/>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2014</w:t>
            </w:r>
          </w:p>
        </w:tc>
        <w:tc>
          <w:tcPr>
            <w:tcW w:w="280" w:type="dxa"/>
            <w:vAlign w:val="bottom"/>
          </w:tcPr>
          <w:p>
            <w:pPr>
              <w:spacing w:after="0"/>
              <w:rPr>
                <w:sz w:val="20"/>
                <w:szCs w:val="20"/>
                <w:color w:val="auto"/>
              </w:rPr>
            </w:pPr>
          </w:p>
        </w:tc>
        <w:tc>
          <w:tcPr>
            <w:tcW w:w="13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770,364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615,297</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533,639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558,757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432,628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363,185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126,129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69,443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68,352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(non-GAAP)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896,493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684,190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601,991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991,744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843,045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739,586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196,582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147,384</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183,866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164,385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133,507</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161,783</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deferred revenue balance consists of the unamortized portion of services revenue from FortiGuard security subscription and FortiCare support service contracts. We monitor our deferred revenue balance because it represents a significant portion of revenue to be recognized in future periods.</w:t>
      </w:r>
    </w:p>
    <w:p>
      <w:pPr>
        <w:spacing w:after="0" w:line="174"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Billings (Non-GAAP).</w:t>
      </w:r>
      <w:r>
        <w:rPr>
          <w:rFonts w:ascii="Times New Roman" w:cs="Times New Roman" w:eastAsia="Times New Roman" w:hAnsi="Times New Roman"/>
          <w:sz w:val="18"/>
          <w:szCs w:val="18"/>
          <w:color w:val="auto"/>
        </w:rPr>
        <w:t>We define billings as revenue recognized during a period plus the change in deferred revenue from the beginning to the end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less any deferred revenue balances acquired from business combinations during the period. We consider billings to be a useful metric for management and investors because deferred revenue, which is impacted by billings, is an important indicator of the health and visibility of our business, and revenue from previously deferred amounts has historically represented a majority of the revenue that we recognize in any particular period. There are a number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limitations related to the use of billings as opposed to revenue calculated in accordance with GAAP. First, billings include amounts that have not yet been recognized as revenue. Second, we may calculate billings in a manner that is different from peer companies that report similar financial measures. Management compensates for these limitations by providing specific information regarding GAAP revenue and evaluating billings together with revenue calculated in accordance with GAAP. A reconciliation of billings to revenue, the most directly comparable financial measure calculated and presented in accordance with GAAP, is provided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770,364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533,639</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126,129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68,352</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billings (Non-GAAP)</w:t>
            </w: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896,493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684,190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601,991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less capital expenditures. We consider free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comparisons of our operating results to competitors’ operating results. A limitation of using free cash flow as opposed to the GAAP measure of net cash provided by operating activities as a means for evaluating liquidity is that free cash flow does not represent the total increase or decrease in the cash, cash equivalents and investments balances for the period because it excludes cash used for capital expenditures and cash provided by or used for other investing and financing activities. We compensate for this limitation by providing information about our capital expenditures and other investing and financing activities on the face of the cash flow statement and under “— Liquidity and Capital Resources.” A reconciliation of free cash flow to net cash provided by operating activities, the most directly comparable financial measure calculated and presented in accordance with GAAP, is provided below:</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196,582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147,384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183,866</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164,385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133,507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161,783</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generate the majority of our revenue from sales of our products and FortiGuard security subscription and FortiCare technical support services. Revenue is recognized when persuasive evidence of an arrangement exists, delivery has occurred or services have been rendered, the sales price is fixed or determinable and collectability is reasonably assured.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is comprised of the following:</w:t>
      </w:r>
    </w:p>
    <w:p>
      <w:pPr>
        <w:spacing w:after="0" w:line="115" w:lineRule="exact"/>
        <w:rPr>
          <w:sz w:val="20"/>
          <w:szCs w:val="20"/>
          <w:color w:val="auto"/>
        </w:rPr>
      </w:pPr>
    </w:p>
    <w:p>
      <w:pPr>
        <w:ind w:left="1300" w:right="140" w:hanging="644"/>
        <w:spacing w:after="0" w:line="25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Product revenue is generated from sales of our appliances. The substantial majority of our product revenue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FortiVoice, FortiBridge, FortiDDoS, FortiDNS, FortiSandbox, FortiADC, and FortiAuthenticator appliances, and our FortiClient and virtual domain, or VDOM, software. 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1300"/>
        <w:spacing w:after="0" w:line="305" w:lineRule="auto"/>
        <w:rPr>
          <w:sz w:val="20"/>
          <w:szCs w:val="20"/>
          <w:color w:val="auto"/>
        </w:rPr>
      </w:pPr>
      <w:r>
        <w:rPr>
          <w:rFonts w:ascii="Times New Roman" w:cs="Times New Roman" w:eastAsia="Times New Roman" w:hAnsi="Times New Roman"/>
          <w:sz w:val="18"/>
          <w:szCs w:val="18"/>
          <w:color w:val="auto"/>
        </w:rPr>
        <w:t>granted stock rotation rights, limited rights of return, as well as rebates for sales of our products. The arrangement fee for this group of distributors is not fixed and determinable when products are shipped and revenue is therefore deferred and recognized upon sell-through. As a percentage of total revenue, we expect our product revenue may vary from quarter-to-quarter based on seasonal and cyclical factors discussed below under “—Quarterly Results of Operations” but generally may remain at relatively comparable levels , as services revenue becomes a larger portion of our business as our customers renew existing services contracts and we expand our customer base.</w:t>
      </w:r>
    </w:p>
    <w:p>
      <w:pPr>
        <w:spacing w:after="0" w:line="155" w:lineRule="exact"/>
        <w:rPr>
          <w:sz w:val="20"/>
          <w:szCs w:val="20"/>
          <w:color w:val="auto"/>
        </w:rPr>
      </w:pPr>
    </w:p>
    <w:p>
      <w:pPr>
        <w:ind w:left="1300" w:right="160" w:hanging="644"/>
        <w:spacing w:after="0" w:line="254"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revenue</w:t>
      </w:r>
      <w:r>
        <w:rPr>
          <w:rFonts w:ascii="Times New Roman" w:cs="Times New Roman" w:eastAsia="Times New Roman" w:hAnsi="Times New Roman"/>
          <w:sz w:val="18"/>
          <w:szCs w:val="18"/>
          <w:color w:val="auto"/>
        </w:rPr>
        <w:t>. Services revenue is generated primarily from FortiGuard security subscription and FortiCare technical support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software updates, maintenance releases and patches, Internet access to technical content, telephone and Internet access to technical support personnel and hardware support, and FortiGuard security subscription services related to application control, antivirus, intrusion prevention, web filtering, anti-spam and vulnerability management updates. We recognize revenue from FortiGuard security subscription and FortiCare technical support services over the service performance period. Our typical contractual support and subscription term is one to three years.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and we expand our customer base. Our services revenue growth rate depends significantly on the growth of our customer base and the renewal of service contracts by our customers.</w:t>
      </w:r>
    </w:p>
    <w:p>
      <w:pPr>
        <w:spacing w:after="0" w:line="191"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Beginning in fiscal 2014, we combined ratable and other revenue with services revenue to present the combined amounts as services and other revenue in the consolidated statements of operations. The related cost of revenue and gross profit have also been combined to conform to the current period presentation. Ratable and other revenue is not material and is not expected to become material in the future.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cost of revenue is comprised of the following:</w:t>
      </w:r>
    </w:p>
    <w:p>
      <w:pPr>
        <w:spacing w:after="0" w:line="223" w:lineRule="exact"/>
        <w:rPr>
          <w:sz w:val="20"/>
          <w:szCs w:val="20"/>
          <w:color w:val="auto"/>
        </w:rPr>
      </w:pPr>
    </w:p>
    <w:p>
      <w:pPr>
        <w:ind w:left="1300" w:right="2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product revenue</w:t>
      </w:r>
      <w:r>
        <w:rPr>
          <w:rFonts w:ascii="Times New Roman" w:cs="Times New Roman" w:eastAsia="Times New Roman" w:hAnsi="Times New Roman"/>
          <w:sz w:val="18"/>
          <w:szCs w:val="18"/>
          <w:color w:val="auto"/>
        </w:rPr>
        <w:t>. A substantial majority of the cost of product revenue consists of costs of materials used in production,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paid to our third-party contract manufacturers. Our cost of product revenue also includes supplies, shipping costs, personnel costs associated with logistics and quality control, warranty costs, facility-related costs, excess and obsolete inventory costs, and impairment of intangible assets, if applicable. Personnel costs include salaries, benefits and bonuses, as well as stock-based compensation.</w:t>
      </w:r>
    </w:p>
    <w:p>
      <w:pPr>
        <w:spacing w:after="0" w:line="180" w:lineRule="exact"/>
        <w:rPr>
          <w:rFonts w:ascii="Times New Roman" w:cs="Times New Roman" w:eastAsia="Times New Roman" w:hAnsi="Times New Roman"/>
          <w:sz w:val="18"/>
          <w:szCs w:val="18"/>
          <w:color w:val="auto"/>
        </w:rPr>
      </w:pPr>
    </w:p>
    <w:p>
      <w:pPr>
        <w:ind w:left="1300" w:right="140" w:hanging="644"/>
        <w:spacing w:after="0" w:line="257"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revenue</w:t>
      </w:r>
      <w:r>
        <w:rPr>
          <w:rFonts w:ascii="Times New Roman" w:cs="Times New Roman" w:eastAsia="Times New Roman" w:hAnsi="Times New Roman"/>
          <w:sz w:val="18"/>
          <w:szCs w:val="18"/>
          <w:color w:val="auto"/>
        </w:rPr>
        <w:t>. Cost of services revenue is primarily comprised of salaries, benefits and bonuses, as well as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associated with our FortiGuard Labs and our FortiCare technical support teams. Cost of service revenue also includes replacement products and supplies, facility-related costs, including depreciation expense, and professional services and training teams. We expect our cost of services revenue will increase slightly as a percentage of revenue as we continue to invest in FortiGuard security subscription and FortiCare technical support services to meet the needs of our customer base and service levels expected by our enterprise customers.</w:t>
      </w:r>
    </w:p>
    <w:p>
      <w:pPr>
        <w:spacing w:after="0" w:line="183"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sales price of our products, any excess inventory write-offs, product costs, the mix of products sold and the mix of revenue between products and services. We believe our overall gross margin for the near term will remain at levels comparable or slightly lower to that achieved in fiscal 2014.</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Services revenue has a positive effect on our total gross margin given the higher services gross margins compared to product gross margins. During fiscal 2014 service margins remained relatively consistent compared to fiscal 2013.</w:t>
      </w:r>
    </w:p>
    <w:p>
      <w:pPr>
        <w:spacing w:after="0" w:line="160" w:lineRule="exact"/>
        <w:rPr>
          <w:sz w:val="20"/>
          <w:szCs w:val="20"/>
          <w:color w:val="auto"/>
        </w:rPr>
      </w:pPr>
    </w:p>
    <w:p>
      <w:pPr>
        <w:jc w:val="both"/>
        <w:ind w:right="480" w:firstLine="531"/>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are the most significant component of operating expenses and consist of salaries, benefits, bonuses, sales commissions, and stock-based compensation. We expect personnel costs to continue to increase in absolute dollars as we hire new employees.</w:t>
      </w:r>
    </w:p>
    <w:p>
      <w:pPr>
        <w:spacing w:after="0" w:line="174" w:lineRule="exact"/>
        <w:rPr>
          <w:sz w:val="20"/>
          <w:szCs w:val="20"/>
          <w:color w:val="auto"/>
        </w:rPr>
      </w:pPr>
    </w:p>
    <w:p>
      <w:pPr>
        <w:ind w:left="1300" w:right="140" w:hanging="644"/>
        <w:spacing w:after="0" w:line="267"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consists primarily of salaries, benefits and bonuses, as well as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Additional research and development expenses include ASIC and system prototypes and certification-related expenses, depreciation of capital equipment and facility-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1300" w:right="120"/>
        <w:spacing w:after="0" w:line="313" w:lineRule="auto"/>
        <w:rPr>
          <w:sz w:val="20"/>
          <w:szCs w:val="20"/>
          <w:color w:val="auto"/>
        </w:rPr>
      </w:pPr>
      <w:r>
        <w:rPr>
          <w:rFonts w:ascii="Times New Roman" w:cs="Times New Roman" w:eastAsia="Times New Roman" w:hAnsi="Times New Roman"/>
          <w:sz w:val="18"/>
          <w:szCs w:val="18"/>
          <w:color w:val="auto"/>
        </w:rPr>
        <w:t>related expenses. The majority of our research and development is focused on both software development and the ongoing development of our hardware platform. We record all research and development expenses as incurred. Our development teams are primarily located in Canada and the United States.</w:t>
      </w:r>
    </w:p>
    <w:p>
      <w:pPr>
        <w:spacing w:after="0" w:line="147" w:lineRule="exact"/>
        <w:rPr>
          <w:sz w:val="20"/>
          <w:szCs w:val="20"/>
          <w:color w:val="auto"/>
        </w:rPr>
      </w:pPr>
    </w:p>
    <w:p>
      <w:pPr>
        <w:ind w:left="1300" w:right="20" w:hanging="644"/>
        <w:spacing w:after="0" w:line="259"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bonuses and commissions, as well as stock-based compensation. Additional sales and marketing expenses include promotional and other marketing expenses, travel, depreciation of capital equipment and facility-related expenses. We intend to hire additional personnel focused on sales and marketing and expand our sales and marketing efforts worldwide in order to capture additional market share in the high-return enterprise market, where customers tend to provide a higher lifetime value.</w:t>
      </w:r>
    </w:p>
    <w:p>
      <w:pPr>
        <w:spacing w:after="0" w:line="179"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of salaries, benefits and bonuses, as well as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professional fees,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income earned on our cash, cash equivalents and investments. We have historically invested our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 commercial paper, corporate debt securities, municipal bonds, certificates of deposit and term deposits, and U.S. government and agency debt securities.</w:t>
      </w:r>
    </w:p>
    <w:p>
      <w:pPr>
        <w:spacing w:after="0" w:line="174"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consists primarily of foreign exchange and related hedging gains and losses. Foreign exchange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 to foreign currency exchange re-measurement. The hedging gains and losses are related to our settled balance sheet hedges.</w:t>
      </w:r>
    </w:p>
    <w:p>
      <w:pPr>
        <w:spacing w:after="0" w:line="158"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are subject to tax in the United States as well as other tax jurisdictions or countries in which we conduct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the U.S., research and development tax credits, withholding taxes, nondeductible stock-based compensation expense and adjustments related to our intercompany transfer pricing.</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income tax provision for fiscal 2014 was comprised primarily of domestic income taxes, foreign income taxes, foreign withholding taxes, and income tax reserves. Our effective tax rate approximates the U.S. federal statutory tax rates plus the impact of state taxes, research and development tax credits (when applicable), foreign withholding tax, nondeductible stock-based compensation expense, foreign income subject to lower tax than the U.S., and adjustments related to intercompany transfer 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expenses, and related disclosures. Our estimates include those related to revenue recognition, stock-based compensation expense, valuation of inventory, warranty liabilities, investments,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derive the majority of our revenue from sales of our hardware, software, FortiGuard security subscription services and FortiCare technical support services, and other services through our channel partners and a direct sales force.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when all of the following criteria have been met:</w:t>
      </w:r>
    </w:p>
    <w:p>
      <w:pPr>
        <w:spacing w:after="0" w:line="223" w:lineRule="exact"/>
        <w:rPr>
          <w:sz w:val="20"/>
          <w:szCs w:val="20"/>
          <w:color w:val="auto"/>
        </w:rPr>
      </w:pPr>
    </w:p>
    <w:p>
      <w:pPr>
        <w:ind w:left="1300" w:right="360" w:hanging="644"/>
        <w:spacing w:after="0" w:line="28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Binding contracts or purchase orders are generally used to determine the existence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67"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Delivery occurs when we fulfill an order and title and risk of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Services revenue is deferred and recognized ratably over the contract service period, which is typically from one to three years and is generally recognized upon delivery or completion of service.</w:t>
      </w:r>
    </w:p>
    <w:p>
      <w:pPr>
        <w:spacing w:after="0" w:line="173" w:lineRule="exact"/>
        <w:rPr>
          <w:rFonts w:ascii="Times New Roman" w:cs="Times New Roman" w:eastAsia="Times New Roman" w:hAnsi="Times New Roman"/>
          <w:sz w:val="18"/>
          <w:szCs w:val="18"/>
          <w:color w:val="auto"/>
        </w:rPr>
      </w:pPr>
    </w:p>
    <w:p>
      <w:pPr>
        <w:ind w:left="1300" w:right="80" w:hanging="644"/>
        <w:spacing w:after="0" w:line="28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price is fixed or determinable. </w:t>
      </w:r>
      <w:r>
        <w:rPr>
          <w:rFonts w:ascii="Times New Roman" w:cs="Times New Roman" w:eastAsia="Times New Roman" w:hAnsi="Times New Roman"/>
          <w:sz w:val="18"/>
          <w:szCs w:val="18"/>
          <w:color w:val="auto"/>
        </w:rPr>
        <w:t>We assess whether the sales price is fixed or determinable based on the payment terms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and when the sales price is deemed final.</w:t>
      </w:r>
    </w:p>
    <w:p>
      <w:pPr>
        <w:spacing w:after="0" w:line="158"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Collectability is reasonably assured</w:t>
      </w:r>
      <w:r>
        <w:rPr>
          <w:rFonts w:ascii="Times New Roman" w:cs="Times New Roman" w:eastAsia="Times New Roman" w:hAnsi="Times New Roman"/>
          <w:sz w:val="18"/>
          <w:szCs w:val="18"/>
          <w:color w:val="auto"/>
        </w:rPr>
        <w:t>. We assess collectability based primarily on creditworthiness as determined by credit checks,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 history.</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as well as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w:t>
      </w:r>
    </w:p>
    <w:p>
      <w:pPr>
        <w:spacing w:after="0" w:line="184" w:lineRule="exact"/>
        <w:rPr>
          <w:sz w:val="20"/>
          <w:szCs w:val="20"/>
          <w:color w:val="auto"/>
        </w:rPr>
      </w:pPr>
    </w:p>
    <w:p>
      <w:pPr>
        <w:ind w:right="20" w:firstLine="693"/>
        <w:spacing w:after="0" w:line="258" w:lineRule="auto"/>
        <w:rPr>
          <w:sz w:val="20"/>
          <w:szCs w:val="20"/>
          <w:color w:val="auto"/>
        </w:rPr>
      </w:pPr>
      <w:r>
        <w:rPr>
          <w:rFonts w:ascii="Times New Roman" w:cs="Times New Roman" w:eastAsia="Times New Roman" w:hAnsi="Times New Roman"/>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are recognized over the term of the renewal agreement.</w:t>
      </w:r>
    </w:p>
    <w:p>
      <w:pPr>
        <w:spacing w:after="0" w:line="27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offer certain sales incentives to channel partners. 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sales arrangements typically contain multiple elements, such as hardware, subscription, technical support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 TPE of selling price exist for a deliverable, we use our best estimate of selling price (“BESP”) for that deliverable. Revenue allocated to each element is then recognized when the basic revenue recognition criteria are met for each element.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We are typically not able to determine TPE for our products or services. TPE is determined based on competitor prices for similar deliverables when sold separately, which is generally unavailable. For our hardware appliances, we use BESP as our selling price. For our support and other services, we generally use VSOE as our selling price estimate.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For multiple-element arrangements where software deliverables are included, revenue is allocated to the non-software deliverables and to the software deliverables as a group using the relative estimated selling prices of each of the deliverables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2" w:lineRule="exact"/>
        <w:rPr>
          <w:sz w:val="20"/>
          <w:szCs w:val="20"/>
          <w:color w:val="auto"/>
        </w:rPr>
      </w:pPr>
    </w:p>
    <w:p>
      <w:pPr>
        <w:ind w:right="40" w:firstLine="648"/>
        <w:spacing w:after="0" w:line="307" w:lineRule="auto"/>
        <w:rPr>
          <w:sz w:val="20"/>
          <w:szCs w:val="20"/>
          <w:color w:val="auto"/>
        </w:rPr>
      </w:pPr>
      <w:r>
        <w:rPr>
          <w:rFonts w:ascii="Times New Roman" w:cs="Times New Roman" w:eastAsia="Times New Roman" w:hAnsi="Times New Roman"/>
          <w:sz w:val="18"/>
          <w:szCs w:val="18"/>
          <w:i w:val="1"/>
          <w:iCs w:val="1"/>
          <w:color w:val="auto"/>
        </w:rPr>
        <w:t xml:space="preserve">Employees Stock Options. </w:t>
      </w:r>
      <w:r>
        <w:rPr>
          <w:rFonts w:ascii="Times New Roman" w:cs="Times New Roman" w:eastAsia="Times New Roman" w:hAnsi="Times New Roman"/>
          <w:sz w:val="18"/>
          <w:szCs w:val="18"/>
          <w:color w:val="auto"/>
        </w:rPr>
        <w:t>We estimate the fair value of employee stock options awarded to our employees using the Black-Scholes-Merton (“Black-Scholes”) pricing model. For all employee stock options, we recognize expense, net of estimated forfeitures, over the requisite service period using the straight-line method. Our option pricing model requires the input of subjective assumptions, including the expected stock price volatility, expected term, and forfeiture rate. The assumptions used in our option pricing model represent management’s best estimates. These estimates involve inherent uncertainties and the application of management’s judgment. During fiscal 2014, stock options granted to employees were not significant. A 10% change in any of these assumptions would not have a significant impact on our stock-based compensation expense.</w:t>
      </w:r>
    </w:p>
    <w:p>
      <w:pPr>
        <w:spacing w:after="0" w:line="15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We estimate the fair value of the rights to acquire stock under our employee stock purchase plan (“ESPP”)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Black-Scholes pricing model and is amortize the fair value over the requisite service period using the straight-line method. The pricing model requires the input of the fair value of our common stock and subjective assumptions, including the expected term of the award, the expected volatility of the price of our common stock, risk-free interest rates, and the expected dividend yield of our common stock. Our ESPP provides for consecutive six-month offering periods and we use our own historical volatility data in the valuation of ESPP shares. A 10% change in any of these assumptions would not have a material impact on our stock-based compensation expense.</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We account for the fair value of restricted stock units (“RSUs”) awarded to employees and members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closing market price of our common stock on the date of grant. RSUs are payable in shares of our common stock as the periodic vesting requirements are satisfied. RSUs generally vest over a four-year period if the employees, contractors, or directors, as applicable, remain with us for the duration of the vesting period. For all RSUs, we recognize expense, net of estimated forfeitures, over the requisite service period using the straight-line method.</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Performance Stock Units. </w:t>
      </w:r>
      <w:r>
        <w:rPr>
          <w:rFonts w:ascii="Times New Roman" w:cs="Times New Roman" w:eastAsia="Times New Roman" w:hAnsi="Times New Roman"/>
          <w:sz w:val="18"/>
          <w:szCs w:val="18"/>
          <w:color w:val="auto"/>
        </w:rPr>
        <w:t>Performance Stock Units (“PSUs”) are RSUs that contain both service-based and market-based vesting conditions.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of Inventory</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net deferred tax asset valuation allowance would be recorded in the income statement for the period that the adjustment is determined to be required.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 actual amounts differ from our estimates, the amount of our tax expense and liabilities could be materially impacted.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5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360,558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248,948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409,806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337,251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284,691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770,364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533,639</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151,300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93,971</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53,449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cost of revenue</w:t>
            </w:r>
          </w:p>
        </w:tc>
        <w:tc>
          <w:tcPr>
            <w:tcW w:w="1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231,009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180,643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147,420</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209,258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163,435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154,977</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330,097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231,242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gross profit</w:t>
            </w:r>
          </w:p>
        </w:tc>
        <w:tc>
          <w:tcPr>
            <w:tcW w:w="1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539,355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434,654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386,219</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122,880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81,078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315,804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224,991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179,155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25,511</w:t>
            </w:r>
          </w:p>
        </w:tc>
        <w:tc>
          <w:tcPr>
            <w:tcW w:w="0" w:type="dxa"/>
            <w:vAlign w:val="bottom"/>
          </w:tcPr>
          <w:p>
            <w:pPr>
              <w:spacing w:after="0"/>
              <w:rPr>
                <w:sz w:val="1"/>
                <w:szCs w:val="1"/>
                <w:color w:val="auto"/>
              </w:rPr>
            </w:pPr>
          </w:p>
        </w:tc>
      </w:tr>
      <w:tr>
        <w:trPr>
          <w:trHeight w:val="237"/>
        </w:trPr>
        <w:tc>
          <w:tcPr>
            <w:tcW w:w="4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480,031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362,564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285,744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100,475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104,996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38,160</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66,836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20" w:type="dxa"/>
            <w:vAlign w:val="bottom"/>
            <w:vMerge w:val="restart"/>
          </w:tcPr>
          <w:p>
            <w:pPr>
              <w:jc w:val="right"/>
              <w:ind w:right="173"/>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820" w:type="dxa"/>
            <w:vAlign w:val="bottom"/>
            <w:gridSpan w:val="7"/>
          </w:tcPr>
          <w:p>
            <w:pPr>
              <w:jc w:val="center"/>
              <w:ind w:left="1091"/>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percentage of total revenue)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8"/>
                <w:szCs w:val="18"/>
                <w:color w:val="auto"/>
                <w:w w:val="88"/>
              </w:rPr>
              <w:t>100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gridSpan w:val="6"/>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Fiscal Years 2014 and 2013</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1057"/>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gridSpan w:val="3"/>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360,558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278,046</w:t>
            </w: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82,512</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409,806</w:t>
            </w:r>
          </w:p>
        </w:tc>
        <w:tc>
          <w:tcPr>
            <w:tcW w:w="14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337,251</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155,067</w:t>
            </w:r>
          </w:p>
        </w:tc>
        <w:tc>
          <w:tcPr>
            <w:tcW w:w="1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324,659</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252,786</w:t>
            </w: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71,873</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270,537</w:t>
            </w:r>
          </w:p>
        </w:tc>
        <w:tc>
          <w:tcPr>
            <w:tcW w:w="14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61,558</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Asia Pacific and Japan (“APAC”)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175,168</w:t>
            </w:r>
          </w:p>
        </w:tc>
        <w:tc>
          <w:tcPr>
            <w:tcW w:w="14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153,532</w:t>
            </w:r>
          </w:p>
        </w:tc>
        <w:tc>
          <w:tcPr>
            <w:tcW w:w="1520" w:type="dxa"/>
            <w:vAlign w:val="bottom"/>
            <w:gridSpan w:val="5"/>
          </w:tcPr>
          <w:p>
            <w:pPr>
              <w:jc w:val="right"/>
              <w:ind w:right="11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21,636</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770,364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1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155,067</w:t>
            </w:r>
          </w:p>
        </w:tc>
        <w:tc>
          <w:tcPr>
            <w:tcW w:w="1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by $155.1 million, or 25%, in fiscal 2014 compared to fiscal 2013. The Americas region contributed the largest portion of our revenue growth on an absolute dollar basis and all three regions showed growth on a percentage basis. Product revenue increased by $82.5 million, or 30%, compared to fiscal 2013. The increase in product</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revenue was primarily driven by greater sales volume in our FortiGate product due to increased demand for our high-end products from large enterprise and service provider customers.</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Services and other revenue increased by $72.6 million, or 22%, in fiscal 2014 compared to fiscal 2013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9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151,300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114,611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36,689</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79,709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66,032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13,677</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231,009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180,643</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50,366</w:t>
            </w: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960" w:type="dxa"/>
            <w:vAlign w:val="bottom"/>
          </w:tcPr>
          <w:p>
            <w:pPr>
              <w:spacing w:after="0"/>
              <w:rPr>
                <w:sz w:val="21"/>
                <w:szCs w:val="21"/>
                <w:color w:val="auto"/>
              </w:rPr>
            </w:pPr>
          </w:p>
        </w:tc>
      </w:tr>
    </w:tbl>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Total gross margin decreased by 0.6 percentage points in fiscal 2014 compared to fiscal 2013, as product gross margins declined. Product gross margin decreased by 0.8 percentage points in fiscal 2014 compared to fiscal 2013 due to an increase in warranty-related costs of $3.2 million and impairment charges related to certain intangible assets of $2.4 million. We also experienced increased freight costs of $2.0 million, higher excess inventory write-offs of $1.4 million, increased personnel-related costs of $0.9 million, and increased occupancy-related costs of $0.8 million.</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Services and other gross margin remained relatively consistent during fiscal 2014 as compared to fiscal 2013. Cost of services and other revenue increased by $13.7 million primarily due to a $9.5 million increase in personnel costs, including stock-based compensation, related to headcount increases, a $1.4 million increase in depreciation, a $1.1 million increase in occupancy-related costs, and a $0.8 million increase in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20,220</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315,804</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224,991</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90,813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41,347</w:t>
            </w:r>
          </w:p>
        </w:tc>
        <w:tc>
          <w:tcPr>
            <w:tcW w:w="15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52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6,434</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480,031</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362,564</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117,467</w:t>
            </w:r>
          </w:p>
        </w:tc>
        <w:tc>
          <w:tcPr>
            <w:tcW w:w="1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$20.2 million, or 20%, in fiscal 2014 compared to fiscal 2013 primarily due to an increase of $12.0 million in personnel costs as a result of increased headcount to support the development of new products and continued enhancements of our existing products. In addition, stock-based compensation increased by $4.0 million, product development expenses, such as supplies and third-party testing and prototypes, increased by $3.4 million, occupancy-related costs and depreciation expense increased by $2.8 million, and professional services costs increased by $1.0 million. These increases were partially offset by a $3.0 million decrease in estimated contingent consideration. For discussion of the contingent consideration, see Note 2 of the notes to our consolidated financial statements in Part II, Item 8 of this Annual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Report on Form 10-K. We intend to continue to invest in our research and development organization but expect research and development expense as a percentage of total revenue to remain at comparable levels in fiscal 2015.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 increased by $90.8 million, or 40%, in fiscal 2014 compared to fiscal 2013, primarily due to an increase of $58.8 million in personnel costs as we continued to increase our sales headcount in order to drive continued market share gains globally. Marketing-related expenses increased by $12.9 million as we invested significantly in marketing to capture market share, particularly in the enterprise market, including costs related to tradeshows and lead generation campaigns. In addition, we incurred increases in stock-based compensation expense of $7.2 million, depreciation and other expenses of $4.4 million, travel expenses of $4.2 million, supplies of $2.2 million and occupancy-related cost of $1.0 million. As a percentage of total revenue, sales and marketing expenses increased as we accelerated the investment in our sales force and marketing campaigns to drive future growth. We intend to continue to make investments in our sales resources and infrastructure and marketing, which are critical to support growth and expect sales and marketing expense as a percentage of total revenue to increase in fiscal 2015.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$6.4 million, or 18%, in fiscal 2014 compared to fiscal 2013. Personnel costs, including stock-based compensation, increased by $6.8 million, as we continued to increase our headcount in order to support our expanding business. In addition, professional services fees increased $0.8 million, partially offset by a decrease of $1.3 million in occupancy-related costs including depreciation and supplies. We expect general and administrative expense to increase slightly as a percentage of total revenue in fiscal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2014</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2013</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5,393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5,306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87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(1,713)</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$0.1 million increase in interest income in fiscal 2014 compared to fiscal 2013 was primarily due to interest earned on higher invested balances of cash, cash equivalents and investments. The change in other expense—net, for fiscal 2014 when compared to fiscal 2013, was the result of higher foreign exchange losses and the impact of a reevaluation of the functional currency selection of certain of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3840" w:type="dxa"/>
            <w:vAlign w:val="bottom"/>
            <w:gridSpan w:val="4"/>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2013</w:t>
            </w:r>
          </w:p>
        </w:tc>
        <w:tc>
          <w:tcPr>
            <w:tcW w:w="50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gridSpan w:val="3"/>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36,206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31,668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4,538</w:t>
            </w:r>
          </w:p>
        </w:tc>
        <w:tc>
          <w:tcPr>
            <w:tcW w:w="16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1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17%</w:t>
            </w:r>
          </w:p>
        </w:tc>
        <w:tc>
          <w:tcPr>
            <w:tcW w:w="1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was 59% for fiscal 2014, compared with an effective tax rate of 42% for fiscal 2013. The provision for income taxes for fiscal 2014 was comprised primarily of U.S. federal and state taxes, other foreign income taxes, foreign withholding taxes, discrete events resulting from an increase in tax reserves, as well as the inclusion of stock-based compensation benefits and transfer pricing allocations which impact jurisdictional income taxed at various tax rates. The increase in the effective tax rate in fiscal 2014 was primarily due to an increase in estimated tax liability related to foreign operations, an increase in tax reserves, an increase in non-tax deductible stock-based compensation expense, and limitations on utilizing foreign withholding tax credits.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It is our policy to classify accrued interest and penalties related to unrecognized tax benefits in the provision for income taxes. As of December 31, 2014, we had accrued $1.7 million for estimated interest related to uncertain tax provisions compared to an accrual of $1.0 million as of December 31, 2013.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the next twelve months, we do not believe there will be a decrease in uncertain tax benefits that could significantly impact our effective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Fiscal Years 2013 and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29,098</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337,251</w:t>
            </w:r>
          </w:p>
        </w:tc>
        <w:tc>
          <w:tcPr>
            <w:tcW w:w="150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284,691</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52,560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81,658</w:t>
            </w:r>
          </w:p>
        </w:tc>
        <w:tc>
          <w:tcPr>
            <w:tcW w:w="1420" w:type="dxa"/>
            <w:vAlign w:val="bottom"/>
            <w:tcBorders>
              <w:top w:val="single" w:sz="8" w:color="CCEEFF"/>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252,786</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217,056</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35,730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150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184,175</w:t>
            </w:r>
          </w:p>
        </w:tc>
        <w:tc>
          <w:tcPr>
            <w:tcW w:w="15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24,804</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153,532</w:t>
            </w:r>
          </w:p>
        </w:tc>
        <w:tc>
          <w:tcPr>
            <w:tcW w:w="150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132,408</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21,124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81,658</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Total revenue increased by $81.7 million, or 15%, in fiscal 2013 compared to fiscal 2012. The Americas region contributed the largest portion of our revenue growth on an absolute dollar basis and all three regions showed growth on a percentage basis. The growth in EMEA was slightly lower due to a slowdown in the macroeconomic environment in that area. Product revenue increased by $29.1 million, or 12%, compared to fiscal 2012. The increase in product revenue was primarily driven by greater sales volume in our FortiGate product due to increased demand across all product categories from our entry-level and mid-range products for smaller enterprises and branch deployments to our high-end products for large enterprise and service provider customers. Services and other revenue increased by $52.6 million, or 18%, in fiscal 2013 compared to fiscal 2012 due to the recognition of revenue from our growing deferred revenue balance consisting of FortiGuard security subscription and FortiCare technical support contracts sold to a larger customer base as well as renewals of similar contracts sold in earlier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9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114,611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93,971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20,640</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66,032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53,449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12,583</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180,643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147,420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33,223</w:t>
            </w:r>
          </w:p>
        </w:tc>
        <w:tc>
          <w:tcPr>
            <w:tcW w:w="1960" w:type="dxa"/>
            <w:vAlign w:val="bottom"/>
            <w:tcBorders>
              <w:top w:val="single" w:sz="8" w:color="CCEEFF"/>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Total gross margin decreased by 1.8 percentage points in fiscal 2013 compared to fiscal 2012, as both product and services and other gross margins declined. Product gross margin decreased by 3.5 percentage points in fiscal 2013 compared to fiscal 2012 primarily due to a slightly higher mix of sales of entry-level products, particularly several high-volume distributed enterprise, retail and education deals sold in the fourth quarter of fiscal 2013. We also experienced higher warranty-related costs of $2.5 million, increased freight costs of $1.5 million, increased occupancy-related costs of $1.1 million and higher</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excess inventory write-offs of $0.7 million. Services and other gross margin decreased by 0.8 percentage points during fiscal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and other revenue increased by $12.6 million primarily due to a $9.9 million increase in personnel costs related to headcount increases, a $1.1 million increase in stock-based compensation expense, and a $2.4 million increase in depreciation and other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21,582</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224,991</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179,155</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45,836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5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152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9,402</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362,564</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285,744</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76,820</w:t>
            </w:r>
          </w:p>
        </w:tc>
        <w:tc>
          <w:tcPr>
            <w:tcW w:w="1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$21.6 million, or 27%, in fiscal 2013 compared to fiscal 2012 primarily due to an increase of $11.7 million in personnel costs as a result of increased headcount to support the development of new products and continued enhancements of our existing products. In addition, stock-based compensation expense increased by $4.0 million, product development expenses, such as third-party testing and prototypes, increased by $2.0 million, acquisition-related costs increased by $1.9 million, and depreciation and other expenses increased by $2.1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$45.8 million, or 26%, in fiscal 2013 compared to fiscal 2012, primarily due to an increase of $25.6 million in personnel costs as we continued to increase our sales headcount in order to expand our global footprint. In addition, stock-based compensation expense increased by $6.7 million, marketing-related expenses increased by $5.4 million, travel expenses increased by $3.9 million, depreciation expenses increased by $2.1 million, and other expenses increased by $2.1 million. As a percentage of total revenue, sales and marketing expenses increased as we accelerated the investment in our sales force during fiscal 2013 to support future growth.</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$9.4 million, or 37%, in fiscal 2013 compared to fiscal 2012. Personnel costs increased by $3.4 million and stock-based compensation expense increased by $1.8 million, as we continued to increase our headcount in order to support our expanding business. In addition, we incurred an additional $3.9 million of legal and accounting fees and $0.3 million in higher depreciation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2013</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2012</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5,306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300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(970)</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$0.3 million increase in interest income in fiscal 2013 compared to fiscal 2012 was primarily due to interest earned on higher invested balances of cash, cash equivalents and investments. The change in other expense—net, for fiscal 2013 when compared to fiscal 2012, was the result of higher foreign exchange losses.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2012</w:t>
            </w:r>
          </w:p>
        </w:tc>
        <w:tc>
          <w:tcPr>
            <w:tcW w:w="500" w:type="dxa"/>
            <w:vAlign w:val="bottom"/>
          </w:tcPr>
          <w:p>
            <w:pPr>
              <w:spacing w:after="0"/>
              <w:rPr>
                <w:sz w:val="20"/>
                <w:szCs w:val="20"/>
                <w:color w:val="auto"/>
              </w:rPr>
            </w:pPr>
          </w:p>
        </w:tc>
        <w:tc>
          <w:tcPr>
            <w:tcW w:w="1800" w:type="dxa"/>
            <w:vAlign w:val="bottom"/>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31,668</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38,160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(6,492)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1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42% for fiscal 2013, compared with an effective tax rate of 36% for fiscal 2012. The provision for income taxes for fiscal 2013 was comprised primarily of federal, state and foreign income taxes as well as the inclusion of stock-based compensation benefits and cost allocations, which affected the transfer pricing calculations among the United States and some of our foreign subsidiaries. The increase in the effective tax rate for fiscal 2013 as compared to fiscal 2012 was primarily due to an increase in profits subject to U.S. tax, a decrease in stock-based compensation benefits, and their corresponding impact on the transfer pricing calculations among the United States and some of our foreign subsidiaries</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January 2013, the U.S. Federal Research and Development Tax Credit was reinstated retroactively to fiscal 2012. The U.S. Federal Research and Development Tax Credit benefit was recorded in the first quarter of fiscal 2013, which was the period of enactment.</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Beginning with fiscal 2013, we operate under a tax incentive agreement in Singapore, which is effective through December 31, 2023, and may be extended if certain additional requirements are satisfied. The tax incentive agreement is conditional upon our meeting certain employment and investment thresholds.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It is our policy to classify accrued interest and penalties related to unrecognized tax benefits in the provision for income taxes. As of December 31, 2013, we had accrued approximately $1.0 million for estimated interest related to uncertain tax provisions compared to an accrual of $1.5 million as of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operations data for the last eight fiscal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11"/>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11"/>
          </w:tcPr>
          <w:p>
            <w:pPr>
              <w:ind w:left="38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87,731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57,950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77,870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223,969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193,348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184,098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168,949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177,350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154,699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135,820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Product </w:t>
            </w:r>
            <w:r>
              <w:rPr>
                <w:rFonts w:ascii="Times New Roman" w:cs="Times New Roman" w:eastAsia="Times New Roman" w:hAnsi="Times New Roman"/>
                <w:sz w:val="18"/>
                <w:szCs w:val="18"/>
                <w:color w:val="auto"/>
                <w:vertAlign w:val="superscript"/>
              </w:rPr>
              <w:t>(1)(2)</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22,958</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Services and other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19,554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20,302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16,760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16,170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39,128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158,345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136,463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126,341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123,473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110,769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103,720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96,692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23,334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93,228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74,817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49,976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12,104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7,991</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121,012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105,391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92,490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81,301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15,391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income—net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12,249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w:t>
      </w:r>
    </w:p>
    <w:p>
      <w:pPr>
        <w:spacing w:after="0" w:line="15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stock-based compensation expense as follows: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services revenue</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196"/>
        </w:trPr>
        <w:tc>
          <w:tcPr>
            <w:tcW w:w="2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stock-based</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16,681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14,667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12,930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12,687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11,778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9,299</w:t>
            </w:r>
          </w:p>
        </w:tc>
        <w:tc>
          <w:tcPr>
            <w:tcW w:w="0" w:type="dxa"/>
            <w:vAlign w:val="bottom"/>
          </w:tcPr>
          <w:p>
            <w:pPr>
              <w:spacing w:after="0"/>
              <w:rPr>
                <w:sz w:val="1"/>
                <w:szCs w:val="1"/>
                <w:color w:val="auto"/>
              </w:rPr>
            </w:pPr>
          </w:p>
        </w:tc>
      </w:tr>
      <w:tr>
        <w:trPr>
          <w:trHeight w:val="228"/>
        </w:trPr>
        <w:tc>
          <w:tcPr>
            <w:tcW w:w="2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_______________________________________________</w:t>
      </w:r>
    </w:p>
    <w:p>
      <w:pPr>
        <w:spacing w:after="0" w:line="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amortization expense and impairment charges related to certain intangible assets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of certain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 related to</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certain intangible 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and impairment charges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related to certain intangible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quarterly results reflect a pattern of increased customer buying at year-end, which has positively impacted sales activity in the fourth quarter. In the first quarter we generally experience lower sequential billings and product revenue, which results in lower revenue. In the third quarter, we generally experience lower sequential billings and revenue in Europe due to reduced economic activity in Europe during the summer months, but this may not always be the case. Similarly, our operating income has been affected by these historical trends because operating expenses are relatively fixed in the near-term.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8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Our total quarterly revenue over the past eight quarters has generally increased sequentially in each quarter, except in the first quarter of 2014. Product revenue in all of the quarters of fiscal 2014 was higher as compared to the same periods in fiscal 2013, which we believe was due in part to the investments made in our sales and marketing organizations and continued product innovation.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gross margin has fluctuated on a quarterly basis primarily due to shifts in the mix of sales between products and services. Product gross margins, on average throughout the fiscal year, slightly decreased in fiscal 2014 compared to the same quarter of fiscal 2013 due to product mix. Product gross margin varies based on the types of products sold and the average selling prices of our products. Service gross margins, on average throughout the fiscal year, remained relatively consistent in fiscal 2014 compared to fiscal 2013.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283,254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122,975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727,172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616,611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991,744</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843,045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739,586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550,409</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322,485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249,970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1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183,866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50,156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Liquidity and capital resources may be impacted by our operating activities, as well as acquisitions, capital expenditures, stock repurchases, proceeds associated with stock option exercises and issuances of common stock, and investments in strategic relationships that we have made or may make in the future. In January 2014, we received a cash payment of $20.0 million pursuant to a six year mutual covenant-not-to-sue and release agreement with Palo Alto Networks, Inc. As of December 31, 2014, $122.5 million remains available for future share repurchases under our stock repurchase program, which will be financed through our available working capital. In recent years we have received significant capital resources related to the exercise of stock options and purchases under our ESPP. We expect proceeds in future years to be impacted by our share price and the mix of stock options and RSUs issued. We expect to spend approximately $42.0 million related to our capital expenditures, primarily related to purchase of computer equipment, expansion of our offices, as well as the implementation of our enterprise resource planning system in fiscal 2015.</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our cash, cash equivalents, and investments of $991.7 million were held for working-capital purposes and were invested primarily in corporate debt securities, commercial paper, municipal bonds, certificates of deposit and term deposits, money market funds, and U.S. government and agency debt securities. It is our investment policy to invest excess cash in a manner that preserves capital, provides liquidity and maximizes return without significantly increasing risk.</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2014, $265.6 million of our cash and investments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adjusted for non-cash items, and changes in operating assets and liabilities. Non-cash adjustments consist primarily of stock-based compensation, depreciation of property and equipment, amortization of intangible assets, excess tax benefit from stock-based compensation, and amortization of investment premiums.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activities during fiscal 2014 provided $196.6 million in cash as a result of profitability, timing of billings and collections, and the ability to successfully manage our working capital. The primary sources of cash from operating activities during fiscal 2014 consisted of net income of $25.3 million increased by non-cash adjustments of $93.9 million and changes in operating assets and liabilities of $77.4 million. In January 2014, we received $20.0 million pursuant to a six-year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payments for inventory purchases, prepayment of certain expenses, and payments of income taxes during the period.</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activities during fiscal 2013 provided $147.4 million in cash as a result of profitability, timing of billings and collections, and the ability to successfully manage our working capital. The primary sources of cash from operating activities during fiscal 2013 consisted of net income of $44.3 million increased by non-cash adjustments of $69.2 million and changes in operating assets and liabilities of $33.9 million. Changes in operating assets and liabilities primarily included an increase in payments received from customers, partially offset by payments for inventory purchases.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activities during fiscal 2012 provided $183.9 million in cash as a result of profitability, timing of billings and collections, and the ability to successfully manage our working capital. The primary sources of cash from operating activities during fiscal 2012 consisted of net income of $66.8 million increased by non-cash adjustments of $44.0 million and changes in operating assets and liabilities of $73.0 million. Changes in operating assets and liabilities primarily included an increase in payments received from customers, partially offset by payments for inventory purchases.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fiscal 2014, cash used for investing activities was primarily due to $32.2 million spent on capital expenditures, partially offset by positive cash flow due to maturities, net of purchases, from our investments of $2.9 million.</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fiscal 2013, cash used for investing activities was primarily due to $125.2 million of net purchases of investments, $13.9 million for the purchases of property and equipment, and $7.6 million for acquisitions.</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fiscal 2012, cash used for investing activities was primarily due to $159.4 million of net purchases of investments, $22.1 million for the purchases of property and equipment, and $1.2 million for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proceeds from the issuance of common stock, taxes paid related to net share settlement of equity awards, excess tax benefit from stock-based compensation, and repurchase and retirement of common stock.</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fiscal 2014, cash provided by financing activities was $0.7 million as a result of proceeds of $55.3 million from the issuance of common stock under our stock plans. This cash inflow was partially offset by $44.0 million of common stock repurchases and $10.6 million of taxes payment related to withholding upon the issuance of RSUs.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2013, cash used in financing activities was $6.4 million as a result of our repurchase and retirement of $33.5 million of common stock and our net-share settlement of RSUs of $1.5 million. This was offset by receiving proceeds of $12.9 million and $12.7 million from the issuance of common stock under our stock option plans and ESPP, respectively, and an excess tax benefit from employee stock option exercises of $3.0 million.</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fiscal 2012, cash provided by financing activities was $50.2 million as a result of proceeds of $38.1 million from the issuance of common stock under our equity-based incentive plans and an excess tax benefit of $12.1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118" w:right="31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2014:</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6"/>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1 - 3 years</w:t>
            </w:r>
          </w:p>
        </w:tc>
        <w:tc>
          <w:tcPr>
            <w:tcW w:w="2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260" w:type="dxa"/>
            <w:vAlign w:val="bottom"/>
          </w:tcPr>
          <w:p>
            <w:pPr>
              <w:spacing w:after="0"/>
              <w:rPr>
                <w:sz w:val="18"/>
                <w:szCs w:val="18"/>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62"/>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62,804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62,804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contracts </w:t>
            </w:r>
            <w:r>
              <w:rPr>
                <w:rFonts w:ascii="Times New Roman" w:cs="Times New Roman" w:eastAsia="Times New Roman" w:hAnsi="Times New Roman"/>
                <w:sz w:val="18"/>
                <w:szCs w:val="18"/>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126,434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92,508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26,202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contractual obligations from non-cancelable office space under operating leases.</w:t>
      </w:r>
    </w:p>
    <w:p>
      <w:pPr>
        <w:spacing w:after="0" w:line="1" w:lineRule="exact"/>
        <w:rPr>
          <w:rFonts w:ascii="Times New Roman" w:cs="Times New Roman" w:eastAsia="Times New Roman" w:hAnsi="Times New Roman"/>
          <w:sz w:val="9"/>
          <w:szCs w:val="9"/>
          <w:color w:val="auto"/>
        </w:rPr>
      </w:pPr>
    </w:p>
    <w:p>
      <w:pPr>
        <w:ind w:left="660" w:hanging="652"/>
        <w:spacing w:after="0"/>
        <w:tabs>
          <w:tab w:leader="none" w:pos="6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minimum purchase commitments with independent contract manufacturers.</w:t>
      </w:r>
    </w:p>
    <w:p>
      <w:pPr>
        <w:spacing w:after="0" w:line="1" w:lineRule="exact"/>
        <w:rPr>
          <w:rFonts w:ascii="Times New Roman" w:cs="Times New Roman" w:eastAsia="Times New Roman" w:hAnsi="Times New Roman"/>
          <w:sz w:val="9"/>
          <w:szCs w:val="9"/>
          <w:color w:val="auto"/>
        </w:rPr>
      </w:pPr>
    </w:p>
    <w:p>
      <w:pPr>
        <w:ind w:left="660" w:right="60" w:hanging="652"/>
        <w:spacing w:after="0" w:line="244" w:lineRule="auto"/>
        <w:tabs>
          <w:tab w:leader="none" w:pos="6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an estimate of all open purchase orders and contractual obligations in the ordinary course of business, other than commitments with contract manufacturers and suppliers, for which we have not received the goods or services. Purchase obligations do not include contracts that may be cancelled without penalty. Although open purchase orders are considered enforceable and legally binding, the terms generally allow us the option to cancel, reschedule, and adjust our requirements based on our business needs prior to the delivery of goods or performance of services. No tax liabilities related to uncertain tax positions have been included in the table. As of December 31, 2014, we had $45.1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fiscal 2014, fiscal 2013 and fiscal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our consolidated financial statements in Part II, Item 8 of this Annual Report on Form 10-K for a full description of recently adopted accounting pronouncements.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commercial paper, money market funds, government and corporate debt securities and certificates of deposit. The risk associated with fluctuating interest rates is limited to our investment portfolio. A 10% decrease in interest rates in fiscal 2014, fiscal 2013 and fiscal 2012 would have resulted in a decrease in our interest income in each of these periods of $0.5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These contracts typically have maturities between one and three months. We record changes in the fair value of forward exchange contracts related to balance sheet accounts as other expense, net in the consolidated statement of operations. We recognized an expense of $3.2 million in other expense, net, in fiscal 2014 due to foreign currency transaction losses.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118" w:right="27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Euro (“EUR”), British pound (“GBP”), and Chinese Renminbi (“CNY”)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$2.2 million change in the value of our foreign currency cash accounts as of December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Operations</w:t>
              </w:r>
            </w:hyperlink>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58</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Notes to Consolidated Financial Statements</w:t>
              </w:r>
            </w:hyperlink>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Part II, Item 7 of this Annual Report on Form 10-K under the caption “Quarterly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(the “Company”) as of December 31, 2014 and 2013, and the related consolidated statements of operations, comprehensive income, stockholders’ equity, and cash flows for each of the three years in the period ended December 31, 2014.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In our opinion, such consolidated financial statements present fairly, in all material respects, the financial position of Fortinet, Inc.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2015 expressed an unqualified opinion on the Company’s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118"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1020" w:type="dxa"/>
            <w:vAlign w:val="bottom"/>
          </w:tcPr>
          <w:p>
            <w:pPr>
              <w:spacing w:after="0"/>
              <w:rPr>
                <w:sz w:val="23"/>
                <w:szCs w:val="23"/>
                <w:color w:val="auto"/>
              </w:rPr>
            </w:pPr>
          </w:p>
        </w:tc>
        <w:tc>
          <w:tcPr>
            <w:tcW w:w="73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8"/>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115,873</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375,497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receivable—Net of sales returns reserve and allowance for doubtful accounts of $6,204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$4,605 as of December 31, 2014 and December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130,471</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48,672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50,980</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735,546</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351,675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36,652</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4,820</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1,424,774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1,168,464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35,599</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27,380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34,997</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21,421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293,664</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496,456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413,061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138,964</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748,808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582,704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$0.001 par value — 300,000 shares authorized; 166,443 and 161,535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as of December 31, 2014 and December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462,644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121,863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585,760</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1,424,774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1,168,464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4" w:right="239" w:bottom="1440" w:gutter="0" w:footer="0" w:header="0"/>
          <w:type w:val="continuous"/>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360,558</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278,046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248,948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409,806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337,251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284,691</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770,364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615,297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533,639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151,300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53,449</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cost of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231,009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180,643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147,420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209,258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154,977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330,097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271,219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231,242</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gross profit</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539,355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434,654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386,219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122,880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315,804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179,155</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480,031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362,564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285,744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100,475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104,996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38,160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66,836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 (Note 8):</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163,831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162,435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158,074</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169,289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166,329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66,836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income—net of taxes: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(losses) gains on investments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benefit (provision) related to items of other comprehensive income or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income—net of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23,902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69,525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4"/>
                <w:szCs w:val="4"/>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4"/>
                <w:szCs w:val="4"/>
                <w:color w:val="auto"/>
              </w:rPr>
            </w:pPr>
          </w:p>
        </w:tc>
        <w:tc>
          <w:tcPr>
            <w:tcW w:w="720" w:type="dxa"/>
            <w:vAlign w:val="bottom"/>
            <w:vMerge w:val="restart"/>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5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5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2011</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156,401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(2,995)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$317,026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43,765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358,354</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27,183</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in connection with employee stock purchase plan</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10,904</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30,690</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benefit associated with stock-based compensation</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14,278</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unrealized gain on investments - net of taxes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change in cumulative translation adjustments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66,836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66,836</w:t>
            </w:r>
          </w:p>
        </w:tc>
        <w:tc>
          <w:tcPr>
            <w:tcW w:w="0" w:type="dxa"/>
            <w:vAlign w:val="bottom"/>
          </w:tcPr>
          <w:p>
            <w:pPr>
              <w:spacing w:after="0"/>
              <w:rPr>
                <w:sz w:val="1"/>
                <w:szCs w:val="1"/>
                <w:color w:val="auto"/>
              </w:rPr>
            </w:pPr>
          </w:p>
        </w:tc>
      </w:tr>
      <w:tr>
        <w:trPr>
          <w:trHeight w:val="255"/>
        </w:trPr>
        <w:tc>
          <w:tcPr>
            <w:tcW w:w="5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2012</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161,757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(2,995)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$400,075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110,601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510,934</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12,888</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in connection with employee stock purchase plan</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12,696</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 withholding upon vesting of restricted stock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(38,949)</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43,909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43,909</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 benefit associated with stock-based compensation</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unrealized loss on investments - net of taxes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change in cumulative translation adjustments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44,273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44,273</w:t>
            </w:r>
          </w:p>
        </w:tc>
        <w:tc>
          <w:tcPr>
            <w:tcW w:w="0" w:type="dxa"/>
            <w:vAlign w:val="bottom"/>
          </w:tcPr>
          <w:p>
            <w:pPr>
              <w:spacing w:after="0"/>
              <w:rPr>
                <w:sz w:val="1"/>
                <w:szCs w:val="1"/>
                <w:color w:val="auto"/>
              </w:rPr>
            </w:pPr>
          </w:p>
        </w:tc>
      </w:tr>
      <w:tr>
        <w:trPr>
          <w:trHeight w:val="250"/>
        </w:trPr>
        <w:tc>
          <w:tcPr>
            <w:tcW w:w="5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BALANCE—December 31, 2013</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161,535</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$462,644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121,863</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585,760</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42,431</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in connection with employee stock purchase plan</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13,991</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withholding upon vesting of restricted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(10,598)</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(38,557)</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58,994</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benefit associated with stock-based compensation</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65"/>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unrealized loss on investments - net of taxes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change in cumulative translation adjustments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65"/>
        </w:trPr>
        <w:tc>
          <w:tcPr>
            <w:tcW w:w="5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25,343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25,343</w:t>
            </w:r>
          </w:p>
        </w:tc>
        <w:tc>
          <w:tcPr>
            <w:tcW w:w="0" w:type="dxa"/>
            <w:vAlign w:val="bottom"/>
          </w:tcPr>
          <w:p>
            <w:pPr>
              <w:spacing w:after="0"/>
              <w:rPr>
                <w:sz w:val="1"/>
                <w:szCs w:val="1"/>
                <w:color w:val="auto"/>
              </w:rPr>
            </w:pPr>
          </w:p>
        </w:tc>
      </w:tr>
      <w:tr>
        <w:trPr>
          <w:trHeight w:val="242"/>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2014</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166,443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$562,504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113,645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675,966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25,343</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44,273</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66,836</w:t>
            </w:r>
          </w:p>
        </w:tc>
      </w:tr>
      <w:tr>
        <w:trPr>
          <w:trHeight w:val="27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22,028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11,564</w:t>
            </w:r>
          </w:p>
        </w:tc>
      </w:tr>
      <w:tr>
        <w:trPr>
          <w:trHeight w:val="275"/>
        </w:trPr>
        <w:tc>
          <w:tcPr>
            <w:tcW w:w="7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Amortization of investment premiums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8,703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12,962</w:t>
            </w:r>
          </w:p>
        </w:tc>
      </w:tr>
      <w:tr>
        <w:trPr>
          <w:trHeight w:val="265"/>
        </w:trPr>
        <w:tc>
          <w:tcPr>
            <w:tcW w:w="7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58,994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30,690</w:t>
            </w:r>
          </w:p>
        </w:tc>
      </w:tr>
      <w:tr>
        <w:trPr>
          <w:trHeight w:val="275"/>
        </w:trPr>
        <w:tc>
          <w:tcPr>
            <w:tcW w:w="7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(12,069)</w:t>
            </w:r>
          </w:p>
        </w:tc>
      </w:tr>
      <w:tr>
        <w:trPr>
          <w:trHeight w:val="265"/>
        </w:trPr>
        <w:tc>
          <w:tcPr>
            <w:tcW w:w="7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Other non-cash items—net</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w:t>
            </w:r>
          </w:p>
        </w:tc>
      </w:tr>
      <w:tr>
        <w:trPr>
          <w:trHeight w:val="275"/>
        </w:trPr>
        <w:tc>
          <w:tcPr>
            <w:tcW w:w="7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Accounts receivable—net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(55,888)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w:t>
            </w:r>
          </w:p>
        </w:tc>
      </w:tr>
      <w:tr>
        <w:trPr>
          <w:trHeight w:val="275"/>
        </w:trPr>
        <w:tc>
          <w:tcPr>
            <w:tcW w:w="7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r>
      <w:tr>
        <w:trPr>
          <w:trHeight w:val="265"/>
        </w:trPr>
        <w:tc>
          <w:tcPr>
            <w:tcW w:w="70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9,072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r>
      <w:tr>
        <w:trPr>
          <w:trHeight w:val="275"/>
        </w:trPr>
        <w:tc>
          <w:tcPr>
            <w:tcW w:w="7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791</w:t>
            </w:r>
          </w:p>
        </w:tc>
      </w:tr>
      <w:tr>
        <w:trPr>
          <w:trHeight w:val="265"/>
        </w:trPr>
        <w:tc>
          <w:tcPr>
            <w:tcW w:w="70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2,470</w:t>
            </w:r>
          </w:p>
        </w:tc>
      </w:tr>
      <w:tr>
        <w:trPr>
          <w:trHeight w:val="275"/>
        </w:trPr>
        <w:tc>
          <w:tcPr>
            <w:tcW w:w="7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18,033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961</w:t>
            </w:r>
          </w:p>
        </w:tc>
      </w:tr>
      <w:tr>
        <w:trPr>
          <w:trHeight w:val="265"/>
        </w:trPr>
        <w:tc>
          <w:tcPr>
            <w:tcW w:w="70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2,171</w:t>
            </w:r>
          </w:p>
        </w:tc>
      </w:tr>
      <w:tr>
        <w:trPr>
          <w:trHeight w:val="275"/>
        </w:trPr>
        <w:tc>
          <w:tcPr>
            <w:tcW w:w="7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4,599</w:t>
            </w:r>
          </w:p>
        </w:tc>
      </w:tr>
      <w:tr>
        <w:trPr>
          <w:trHeight w:val="265"/>
        </w:trPr>
        <w:tc>
          <w:tcPr>
            <w:tcW w:w="70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14,318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275"/>
        </w:trPr>
        <w:tc>
          <w:tcPr>
            <w:tcW w:w="7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127,416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68,871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68,292</w:t>
            </w:r>
          </w:p>
        </w:tc>
      </w:tr>
      <w:tr>
        <w:trPr>
          <w:trHeight w:val="265"/>
        </w:trPr>
        <w:tc>
          <w:tcPr>
            <w:tcW w:w="708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22,522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28,265</w:t>
            </w:r>
          </w:p>
        </w:tc>
      </w:tr>
      <w:tr>
        <w:trPr>
          <w:trHeight w:val="255"/>
        </w:trPr>
        <w:tc>
          <w:tcPr>
            <w:tcW w:w="70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196,582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147,384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183,866</w:t>
            </w: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(497,084)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(601,087)</w:t>
            </w:r>
          </w:p>
        </w:tc>
      </w:tr>
      <w:tr>
        <w:trPr>
          <w:trHeight w:val="265"/>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Sales of investments</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41,755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26,268</w:t>
            </w:r>
          </w:p>
        </w:tc>
      </w:tr>
      <w:tr>
        <w:trPr>
          <w:trHeight w:val="27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458,193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369,659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415,440</w:t>
            </w:r>
          </w:p>
        </w:tc>
      </w:tr>
      <w:tr>
        <w:trPr>
          <w:trHeight w:val="265"/>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(22,083)</w:t>
            </w:r>
          </w:p>
        </w:tc>
      </w:tr>
      <w:tr>
        <w:trPr>
          <w:trHeight w:val="270"/>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made in connection with business acquisitions—net of cash acquired</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(182,711)</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38,087</w:t>
            </w:r>
          </w:p>
        </w:tc>
      </w:tr>
      <w:tr>
        <w:trPr>
          <w:trHeight w:val="27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12,069</w:t>
            </w:r>
          </w:p>
        </w:tc>
      </w:tr>
      <w:tr>
        <w:trPr>
          <w:trHeight w:val="270"/>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749</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50,156</w:t>
            </w:r>
          </w:p>
        </w:tc>
      </w:tr>
      <w:tr>
        <w:trPr>
          <w:trHeight w:val="25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167,381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50,985</w:t>
            </w: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EQUIVALENTS—Beginning of year</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115,873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122,975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71,990</w:t>
            </w:r>
          </w:p>
        </w:tc>
      </w:tr>
      <w:tr>
        <w:trPr>
          <w:trHeight w:val="282"/>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EQUIVALENTS—End of year</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283,254</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115,873</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122,975</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40,551</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25,445</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17,088</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Liability for purchase of property and equipment and asset retirement obligations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3,275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r>
      <w:tr>
        <w:trPr>
          <w:trHeight w:val="21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Liability incurred in connection with business acquisition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November 2000 and is a leading provider of network security appliances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enterprises, service providers and government organizations worldwide. Fortinet’s solutions are designed to integrate multiple levels of security protection, including firewall, virtual private networking, application control, anti-malware, intrusion prevention, web filtering, vulnerability management, anti-spam, wireless controller, and WAN acceleration. Our security solutions are fast and secure and designed to provide broad, high-performance protection against dynamic security threats while simplifying the IT infrastructure of our end-customers worldwide.</w:t>
      </w:r>
    </w:p>
    <w:p>
      <w:pPr>
        <w:spacing w:after="0" w:line="180"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consolidated financial statements of Fortinet and its wholly owned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Such management estimates include implicit service periods for revenue recognition, litigation and settlement costs and other loss contingencies, sales returns reserve and allowance for doubtful accounts, inventory valuation, warranty reserve, goodwill and other long-lived assets, investments, stock-based compensation, accounting for income taxes related to deferred tax asset balances and reserves, and accounting for business combinations. We base our estimates on historical experience and also on assumptions that we believe are reasonable. Actual results could differ from those estimates.</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Certain Significant Risks and Uncertainties</w:t>
      </w:r>
      <w:r>
        <w:rPr>
          <w:rFonts w:ascii="Times New Roman" w:cs="Times New Roman" w:eastAsia="Times New Roman" w:hAnsi="Times New Roman"/>
          <w:sz w:val="18"/>
          <w:szCs w:val="18"/>
          <w:color w:val="auto"/>
        </w:rPr>
        <w:t>—We are subject to certain risks and uncertainties that could have a material adverse effect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financial position or results of operations, such as the following: changes in level of demand for our products and services, the timing and success of new product and service introductions by us or our competitors, price and sales competition and our ability to adapt to changing market conditions and dynamics such as changes in end-customer, distributor or reseller requirements or market needs, changes in expenses caused, for example, by fluctuations in foreign currency exchange rates, management of inventory, internal control over financial reporting, market acceptance of our new products and services, demand for products and services in general, seasonality, failure of our channel partners to perform or other disruption in our channel, the quality of our products and services and the market perception of our response to new viruses or security breaches, general economic conditions, challenges in doing business outside of the United States, changes in customer relationships, litigation, or claims against us based on intellectual property, patent, product regulatory or other factors, product obsolescence, and our ability to attract and retain qualified employees.</w:t>
      </w:r>
    </w:p>
    <w:p>
      <w:pPr>
        <w:spacing w:after="0" w:line="18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utilize suppliers and independent contract manufacturers for certain of our components and a third-party logistics company for distribution of certain of our products, which is located outside of United States. The inability of any of these parties to fulfill our supply and logistics requirements could negatively impact our future operating results.</w:t>
      </w:r>
    </w:p>
    <w:p>
      <w:pPr>
        <w:spacing w:after="0" w:line="17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subject us to concentrations of credit risk consist primarily of cash,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and long-term investments, and accounts receivable. We maintain our cash, cash equivalents, and investments in fixed income securities with major financial institutions in order to limit the exposure of each investment. Deposits held with banks may exceed the amount of insurance provided on such deposits.</w:t>
      </w:r>
    </w:p>
    <w:p>
      <w:pPr>
        <w:spacing w:after="0" w:line="18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accounts receivables are primarily derived from our channel partners in various geographical locations. We perform ongoing credit evaluations of our customers. We generally do not require collateral on accounts receivable and we maintain reserves for estimated potential credit losses.</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and December 31, 2013, one distributor, Exclusive Networks Group accounted for 18% and 13% of total accounts receivable, respectively.</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During fiscal 2014, fiscal 2013 and fiscal 2012, one distributor, Exclusive Networks Group accounted for 15%, 12% and 11% of total revenue,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8"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Financial Instruments and Fair Value</w:t>
      </w:r>
      <w:r>
        <w:rPr>
          <w:rFonts w:ascii="Times New Roman" w:cs="Times New Roman" w:eastAsia="Times New Roman" w:hAnsi="Times New Roman"/>
          <w:sz w:val="18"/>
          <w:szCs w:val="18"/>
          <w:color w:val="auto"/>
        </w:rPr>
        <w:t>—We apply fair value accounting for all financial assets and liabilities and non-financial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liabilities, and accrued payroll and compensation.</w:t>
      </w:r>
    </w:p>
    <w:p>
      <w:pPr>
        <w:spacing w:after="0" w:line="177"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includes certain changes in equity from non-owner sources that are excluded from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unrealized gains and losses on available-for-sale investments.</w:t>
      </w:r>
    </w:p>
    <w:p>
      <w:pPr>
        <w:spacing w:after="0" w:line="15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Foreign Currency Translation and Transaction Gains and Losses</w:t>
      </w:r>
      <w:r>
        <w:rPr>
          <w:rFonts w:ascii="Times New Roman" w:cs="Times New Roman" w:eastAsia="Times New Roman" w:hAnsi="Times New Roman"/>
          <w:sz w:val="18"/>
          <w:szCs w:val="18"/>
          <w:color w:val="auto"/>
        </w:rPr>
        <w:t>—Prior to the third quarter of fiscal 2014, the assets and liabilities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subsidiaries were translated into U.S. dollars using the applicable exchange rates. The resulting foreign translation adjustments were included in the consolidated balance sheets as a component of accumulated other comprehensive income (loss) and in the consolidated statements of comprehensive income.</w:t>
      </w:r>
    </w:p>
    <w:p>
      <w:pPr>
        <w:spacing w:after="0" w:line="4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2014, we reevaluated the selected functional currency of our international subsidiaries due to the nature of our business operations and recorded the cumulative impact of the reevaluation of the functional currency in the consolidated statement of operations. Subsequently, the remeasurement of the assets and liabilities of all international subsidiaries has been recorded in the consolidated statement of operations prospectively. The impact of this reevaluation is not material for our fiscal 2014 or any of our previously issued financial statements.</w:t>
      </w:r>
    </w:p>
    <w:p>
      <w:pPr>
        <w:spacing w:after="0" w:line="12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 currency remeasurement losses of $3.2 million, $1.5 million and $0.5 million, are included in Other expense—net for fiscal 2014, fiscal 2013 and fiscal 2012, respectively.</w:t>
      </w:r>
    </w:p>
    <w:p>
      <w:pPr>
        <w:spacing w:after="0" w:line="257"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Cash, Cash Equivalents and Available-for-sale Investments</w:t>
      </w:r>
      <w:r>
        <w:rPr>
          <w:rFonts w:ascii="Times New Roman" w:cs="Times New Roman" w:eastAsia="Times New Roman" w:hAnsi="Times New Roman"/>
          <w:sz w:val="18"/>
          <w:szCs w:val="18"/>
          <w:color w:val="auto"/>
        </w:rPr>
        <w:t>—We consider all highly liquid investments, purchased with original maturities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or less, to be cash equivalents. Cash and cash equivalents consist of balances with banks and highly liquid investments in money market funds, commercial paper, and certificates of deposit and term deposits.</w:t>
      </w:r>
    </w:p>
    <w:p>
      <w:pPr>
        <w:spacing w:after="0" w:line="17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Investments</w:t>
      </w:r>
      <w:r>
        <w:rPr>
          <w:rFonts w:ascii="Times New Roman" w:cs="Times New Roman" w:eastAsia="Times New Roman" w:hAnsi="Times New Roman"/>
          <w:sz w:val="18"/>
          <w:szCs w:val="18"/>
          <w:color w:val="auto"/>
        </w:rPr>
        <w:t>—Investments in privately held companies where we own less than 20% of the voting stock and have no indicators of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influence over operating and financial policies of those companies are included in other assets in the consolidated balance sheets and are accounted for under the cost method. For these non-quoted investments, we regularly review the assumptions underlying the operating performance and cash flow forecasts based on information provided by these privately held companies. If it is determined that an other-than-temporary decline exists in an equity security, we write down the investment to its fair value and record the related impairment as an investment loss in our consolidated statements of operations.</w:t>
      </w:r>
    </w:p>
    <w:p>
      <w:pPr>
        <w:spacing w:after="0" w:line="180"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cost (using the first-in, first-out method) or market, after we give appropriate consideration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obsolescence and inventory in excess of anticipated future demand. In assessing the ultimate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72"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Evaluation units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1 - 2 years</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—We evaluate events and changes in circumstances that could indicate carrying amounts of long-lived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3"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represents the excess of purchase consideration over the estimated fair value of net assets of businesses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Goodwill acquired in a business combination are not amortized, but instead tested for impairment at least annually during the fourth quarter. We perform our annual goodwill impairment analysis at the reporting unit level. As of December 31, 2014, we had one reporting unit.</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is less than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 We have not been required to perform this second step of the process because the fair value of our reporting unit exceeded the net book value as of December 31, 2014.</w:t>
      </w:r>
    </w:p>
    <w:p>
      <w:pPr>
        <w:spacing w:after="0" w:line="1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Determining the fair value of the reporting unit requires us to make judgments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but that are unpredictable and inherently uncertain. Actual future results may differ from those estimates. We may also test goodwill for impairment between annual tests in the presence of impairment indicators.</w:t>
      </w:r>
    </w:p>
    <w:p>
      <w:pPr>
        <w:spacing w:after="0" w:line="158"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—Intangible assets with finite lives are carried at cost, less accumulated amortization. Amortization is computed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over the estimated economic lives of the assets, which range from one to five years.</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 This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security subscription and technical support services which are invoiced upfront and delivered over twelve months or longer.</w:t>
      </w:r>
    </w:p>
    <w:p>
      <w:pPr>
        <w:spacing w:after="0" w:line="155"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—We record income taxes using the asset and liability method, which requires the recognition of deferred tax assets and liabilities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w:t>
      </w:r>
    </w:p>
    <w:p>
      <w:pPr>
        <w:spacing w:after="0" w:line="16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Stock-Based Compensation Expense</w:t>
      </w:r>
      <w:r>
        <w:rPr>
          <w:rFonts w:ascii="Times New Roman" w:cs="Times New Roman" w:eastAsia="Times New Roman" w:hAnsi="Times New Roman"/>
          <w:sz w:val="18"/>
          <w:szCs w:val="18"/>
          <w:color w:val="auto"/>
        </w:rPr>
        <w:t>—We have elected to use the Black-Scholes option pricing model to determine the fair value of our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and ESPP. The fair value of RSUs is based on the closing market price of our common stock on the date of grant. Stock-based compensation expense, net of estimated forfeitures, is amortized on a straight-line basis. PSUs are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8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are included in operating expenses in the accompanying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operations. Our advertising expenses were not significant for any periods presented.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have not been capitalized as we believe our current software development process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essentially completed concurrent with the establishment of technological feasibility.</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—We derive the majority of our revenue from sales of our hardware, software, FortiGuard security subscription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FortiCare technical support services, and other services through our channel partners and a direct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when all of the following criteria have been met:</w:t>
      </w:r>
    </w:p>
    <w:p>
      <w:pPr>
        <w:spacing w:after="0" w:line="223" w:lineRule="exact"/>
        <w:rPr>
          <w:sz w:val="20"/>
          <w:szCs w:val="20"/>
          <w:color w:val="auto"/>
        </w:rPr>
      </w:pPr>
    </w:p>
    <w:p>
      <w:pPr>
        <w:ind w:left="1300" w:right="360" w:hanging="644"/>
        <w:spacing w:after="0" w:line="284"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Binding contracts or purchase orders are generally used to determine the existence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w:t>
      </w:r>
    </w:p>
    <w:p>
      <w:pPr>
        <w:spacing w:after="0" w:line="158" w:lineRule="exact"/>
        <w:rPr>
          <w:rFonts w:ascii="Times New Roman" w:cs="Times New Roman" w:eastAsia="Times New Roman" w:hAnsi="Times New Roman"/>
          <w:sz w:val="18"/>
          <w:szCs w:val="18"/>
          <w:color w:val="auto"/>
        </w:rPr>
      </w:pPr>
    </w:p>
    <w:p>
      <w:pPr>
        <w:ind w:left="1300" w:right="120" w:hanging="644"/>
        <w:spacing w:after="0" w:line="267"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Delivery occurs when we fulfill an order and title and risk of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Services revenue is deferred and recognized ratably over the contract service period, which is typically from one to three years and is generally recognized upon delivery or completion of service.</w:t>
      </w:r>
    </w:p>
    <w:p>
      <w:pPr>
        <w:spacing w:after="0" w:line="173" w:lineRule="exact"/>
        <w:rPr>
          <w:rFonts w:ascii="Times New Roman" w:cs="Times New Roman" w:eastAsia="Times New Roman" w:hAnsi="Times New Roman"/>
          <w:sz w:val="18"/>
          <w:szCs w:val="18"/>
          <w:color w:val="auto"/>
        </w:rPr>
      </w:pPr>
    </w:p>
    <w:p>
      <w:pPr>
        <w:ind w:left="1300" w:right="80" w:hanging="644"/>
        <w:spacing w:after="0" w:line="284"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price is fixed or determinable. </w:t>
      </w:r>
      <w:r>
        <w:rPr>
          <w:rFonts w:ascii="Times New Roman" w:cs="Times New Roman" w:eastAsia="Times New Roman" w:hAnsi="Times New Roman"/>
          <w:sz w:val="18"/>
          <w:szCs w:val="18"/>
          <w:color w:val="auto"/>
        </w:rPr>
        <w:t>We assess whether the sales price is fixed or determinable based on the payment terms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and when the sales price is deemed final.</w:t>
      </w:r>
    </w:p>
    <w:p>
      <w:pPr>
        <w:spacing w:after="0" w:line="158"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reasonably assured. </w:t>
      </w:r>
      <w:r>
        <w:rPr>
          <w:rFonts w:ascii="Times New Roman" w:cs="Times New Roman" w:eastAsia="Times New Roman" w:hAnsi="Times New Roman"/>
          <w:sz w:val="18"/>
          <w:szCs w:val="18"/>
          <w:color w:val="auto"/>
        </w:rPr>
        <w:t>We assess collectability based primarily on creditworthiness as determined by credit checks,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 history.</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as well as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are recognized over the term of the renewal agreement.</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offer certain sales incentives to channel partners. 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sales arrangements typically contain multiple elements, such as hardware, subscription, technical support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 TPE of selling price exist for a deliverable, we use our best estimate of selling price (“BESP”) for that deliverable. Revenue allocated to each element is then recognized when the basic revenue recognition criteria are met for each element.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We are typically not able to determine TPE for our products or services. TPE is determined based on competitor prices for similar deliverables when sold separately, which is generally unavailable. For our hardware appliances, we use BESP as our selling price. For our support and other services, we generally use VSOE as our selling price estimate.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85"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—Trade accounts receivable are recorded at the invoiced amount, net of sales returns reserve and allowances for doubtful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The sales returns reserve is determined based on specific criteria including agreements to provide rebates and other factors known at the time, as well as estimates of the amount of goods shipped that will be returned. To determine the adequacy of the sales returns reserve, we analyze historical experience of actual rebates and returns as well as current product return information. The sales returns reserves was $5.8 million and $4.6 million as of December 31, 2014 and 2013, respectively. The allowance for doubtful accounts is determined based on our assessment of the collectability of customer accounts. The allowance for doubtful accounts was $0.4 million as of December 31, 2014. The allowance for doubtful accounts is not material as of December 31, 2013.</w:t>
      </w:r>
    </w:p>
    <w:p>
      <w:pPr>
        <w:spacing w:after="0" w:line="183"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—We generally provide a 1-year warranty on hardware products and a 90-day warranty on software. A provision for estimated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related to warranty activities is recorded as a component of cost of product revenues when the product revenue is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warranty activities are summarized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balance—beginning of the period</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costs incurred</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warranty for the year, including warranty liabilities assumed in connection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an acquisition</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related to pre-existing warranties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balance—end of the period</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Foreign Currency Derivatives</w:t>
      </w:r>
      <w:r>
        <w:rPr>
          <w:rFonts w:ascii="Times New Roman" w:cs="Times New Roman" w:eastAsia="Times New Roman" w:hAnsi="Times New Roman"/>
          <w:sz w:val="18"/>
          <w:szCs w:val="18"/>
          <w:color w:val="auto"/>
        </w:rPr>
        <w:t>—Our sales contracts are primarily denominated in U.S. dollars and therefore substantially all of our revenue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expense—net in the consolidated statement of operations.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GBP and CNY could adversely impact our operating expenses in the future.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notional amount of forward exchange contracts to hedge balance sheet accounts as of December 31, 2014 and 2013 were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3"/>
        </w:trPr>
        <w:tc>
          <w:tcPr>
            <w:tcW w:w="960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Currency—As of December 31, 2014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96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6,879</w:t>
            </w:r>
          </w:p>
        </w:tc>
      </w:tr>
      <w:tr>
        <w:trPr>
          <w:trHeight w:val="29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6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Currency—As of December 31, 2013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21,867</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Beginning in fiscal 2014, the amounts previously reported as Ratable and other revenue have been combined with the amounts previously reported as Services revenue in the consolidated statements of operations. The combined amounts are now being presented as Services and other revenue in the consolidated statements of operations. The related Cost of revenue and Gross profit have also been combined to conform to the current period presentation. The Ratable and other revenue amounts are not material, and the reclassification did not have any impact on our gross margin or net income.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Accounting Standards Update No. 2014-09 </w:t>
      </w:r>
      <w:r>
        <w:rPr>
          <w:rFonts w:ascii="Times New Roman" w:cs="Times New Roman" w:eastAsia="Times New Roman" w:hAnsi="Times New Roman"/>
          <w:sz w:val="18"/>
          <w:szCs w:val="18"/>
          <w:i w:val="1"/>
          <w:iCs w:val="1"/>
          <w:color w:val="auto"/>
        </w:rPr>
        <w:t>(Topic 606) -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(“ASU 2014-09”) to create a single, joint revenue standard that is consistent across all industries and markets for companies that prepare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ASU 2014-09 is effective for us beginning on January 1, 2017. We are currently evaluating the impact ASU 2014-09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investments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589,016</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39,721</w:t>
            </w:r>
          </w:p>
        </w:tc>
      </w:tr>
      <w:tr>
        <w:trPr>
          <w:trHeight w:val="262"/>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22,854</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5,744</w:t>
            </w:r>
          </w:p>
        </w:tc>
      </w:tr>
      <w:tr>
        <w:trPr>
          <w:trHeight w:val="25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709,030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708,490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603,185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604,317</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69,363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38,843</w:t>
            </w:r>
          </w:p>
        </w:tc>
      </w:tr>
      <w:tr>
        <w:trPr>
          <w:trHeight w:val="262"/>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12,648</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r>
      <w:tr>
        <w:trPr>
          <w:trHeight w:val="25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726,001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727,172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180" w:hanging="145"/>
        <w:spacing w:after="0"/>
        <w:tabs>
          <w:tab w:leader="none" w:pos="18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The majority of our certificates of deposit and term deposits are foreign deposits.</w:t>
      </w:r>
    </w:p>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the related fair values of our investments that have been in a continuous unrealized loss position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317,011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323,022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the related fair values of our investments that have been in a continuous unrealized loss position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60" w:type="dxa"/>
            <w:vAlign w:val="bottom"/>
          </w:tcPr>
          <w:p>
            <w:pPr>
              <w:spacing w:after="0"/>
              <w:rPr>
                <w:sz w:val="18"/>
                <w:szCs w:val="18"/>
                <w:color w:val="auto"/>
              </w:rPr>
            </w:pPr>
          </w:p>
        </w:tc>
        <w:tc>
          <w:tcPr>
            <w:tcW w:w="66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6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4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205,428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56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The contractual maturities of our investments are as follows (in thousands):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3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436,766</w:t>
            </w:r>
          </w:p>
        </w:tc>
        <w:tc>
          <w:tcPr>
            <w:tcW w:w="66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375,497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w w:val="99"/>
              </w:rPr>
              <w:t>271,724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351,675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708,490</w:t>
            </w:r>
          </w:p>
        </w:tc>
        <w:tc>
          <w:tcPr>
            <w:tcW w:w="66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727,172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expense—net in our consolidated statements of operations.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from the sale of available-for-sale securities were not significant in any period presented.</w:t>
      </w:r>
    </w:p>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62" w:lineRule="exact"/>
        <w:rPr>
          <w:sz w:val="20"/>
          <w:szCs w:val="20"/>
          <w:color w:val="auto"/>
        </w:rPr>
      </w:pPr>
    </w:p>
    <w:p>
      <w:pPr>
        <w:ind w:left="1300" w:right="5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asserts in active markets, or model driven valuations using significant inputs derived from or corroborated by observable market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our financial assets and liabilities measured at fair value on a recurring basis as of December 31, 2014 and December 31, 2013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2"/>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7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78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Markets For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0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Identical</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1"/>
                <w:szCs w:val="11"/>
                <w:color w:val="auto"/>
              </w:rPr>
            </w:pPr>
          </w:p>
        </w:tc>
        <w:tc>
          <w:tcPr>
            <w:tcW w:w="78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r>
      <w:tr>
        <w:trPr>
          <w:trHeight w:val="176"/>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3"/>
              </w:rPr>
              <w:t>Inputs</w:t>
            </w:r>
          </w:p>
        </w:tc>
      </w:tr>
      <w:tr>
        <w:trPr>
          <w:trHeight w:val="224"/>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9"/>
                <w:szCs w:val="19"/>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589,016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589,016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604,317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604,317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38,843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721,801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15,309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706,492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734,896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729,172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1,850</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1,850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721,801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734,896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 ended December 31, 2014 and December 31, 2013.</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classified the fair value of contingent consideration arising from the acquisition of Coyote Point Systems, Inc. (“Coyote”) (see Note 6), as a Level 3 liability since it is based on a probability-based income approach that includes significant unobservable inputs. Significant inputs used in the determination of fair value based on the probability-weighted income approach primarily include internal cash flow projections, percentage probability of occurrence and discount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fair value of our contingent consideration liability was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2013</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change in fair value of contingent consideration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(1,850)</w:t>
            </w:r>
          </w:p>
        </w:tc>
      </w:tr>
      <w:tr>
        <w:trPr>
          <w:trHeight w:val="27"/>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2014</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9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Decreases in the projected revenues of Coyote following the acquisition resulted in reductions to the fair value of the contingent consideration and the changes are included in Research and development expense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measure certain assets, including Goodwill, Other intangible assets—net, and investments in privately-held companies at fair value on a</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nonrecurring basis when there are identifiable events or changes in circumstances that may have a significant adverse impact on the fair value of these assets.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2014, a decrease in the projected cash flow of the other intangible assets acquired from Coyote resulted in an impairment charge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to adjust the total fair value of the other intangible assets acquired from Coyote to $2.0 million. The impairment charge is included within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in the consolidated statements of operations.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2013, we did not have any assets or liabilities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8,355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40,317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48,672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Inventory includes finished goods held by distributors where revenue is recognized on a sell-through basis of $1.2 million and $0.9 million as of December 31, 2014 and 2013, respectively. Inventory also includes materials at contract manufacturers to be used in production of $4.8 million and $4.3 million as of December 31, 2014 and 2013,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the following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23,442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22,442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10,947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5,417</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78,450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36,652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2014, we moved into our new corporate headquarters and estimated the useful life of the building and related improvements to be 20 years.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$20.5 million, $13.9 million and $10.5 million in fiscal 2014, fiscal 2013 and fiscal 2012,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IN PRIVATELY-HELD COMPANIES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fiscal 2014, we invested a total of $4.4 million in the equity securities of two privately-held companies. In fiscal 2013, we invested a total of $2.0 million in the equity securities of a privately-held company.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consolidated balance sheet and would be measured at fair value if indicators of impairment exist.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no events have occurred that would adversely affect the carrying value of these investments.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Coyote Point Systems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March 21, 2013, we acquired all of the outstanding equity securities of Coyote, a provider of application delivery, load balancing and acceleration solutions, for $6.0 million in cash. The acquisition also included a contingent obligation for up to $5.5 million in future earn-out payments to former stockholders of Coyote, if specified future operational objectives, service conditions and financial results were met within two years of the acquisition date. As the future earn-out payments were contingent upon one of Coyote’s former stockholder’s employment during the earn-out period, the estimated fair value of these contingent obligations was recorded as compensation expense ratably over the earn-out periods. During fiscal 2014, we determined that the contingent earn-out payment thresholds will not be met due to decreases in the projected revenue of Coyote following the acquisition, and reversed the entire $1.9 million carrying amount of the previously recorded liability for contingent consideration.</w:t>
      </w:r>
    </w:p>
    <w:p>
      <w:pPr>
        <w:spacing w:after="0" w:line="18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assets acquired and liabilities assumed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6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6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6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6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6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6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6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0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purchase price</w:t>
            </w:r>
          </w:p>
        </w:tc>
        <w:tc>
          <w:tcPr>
            <w:tcW w:w="6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Of the total acquired finite intangible assets, we allocated $2.3 million to developed technology, $0.5 million to customer relationships, and $2.6 million to in-process research and development (“IPR&amp;D”) as of the acquisition date. Developed technology and customer relationships are being amortized on a straight-line basis, each over an initial estimated useful life of six years, as cost of revenue and sales and marketing expense, respectively. During the three months ended September 30, 2013, we completed the development of technology associated with the IPR&amp;D projects, and started amortizing this developed technology as Cost of product revenue ratably on a straight-line basis over an estimated useful life of five years. During fiscal 2014, we recorded an impairment charge of $2.4 million related to the finite-lived intangible assets as Cost of product revenue in the consolidated statements of operations.</w:t>
      </w:r>
    </w:p>
    <w:p>
      <w:pPr>
        <w:spacing w:after="0" w:line="200" w:lineRule="exact"/>
        <w:rPr>
          <w:sz w:val="20"/>
          <w:szCs w:val="20"/>
          <w:color w:val="auto"/>
        </w:rPr>
      </w:pPr>
    </w:p>
    <w:p>
      <w:pPr>
        <w:spacing w:after="0" w:line="20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goodwill of $2.8 million represents the premium we paid over the fair value of the net tangible liabilities assumed and identified intangible assets acquired, due primarily to acquire developed and in-process technology. None of the goodwill recognized as a result of the acquisition is deductible for income tax purposes. The financial results of this acquisition were considered immaterial for purposes of pro-forma financial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Fiscal 2013 Acquisition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September 2013, we acquired certain assets of Xtera Communications, Inc. (“Xtera”), including certain load balancing solutions and certain patents, for a total consideration of $1.8 million, of which $1.7 million was paid in cash on the acquisition date and $0.1 million in cash was contingent upon attainment of revenue milestones. In connection with this acquisition, we acquired net tangible assets of $0.2 million, intangible assets of $1.5 million, and recognized an estimated contingent obligation of $0.1 million payable upon attainment of revenue milestones.</w:t>
      </w:r>
    </w:p>
    <w:p>
      <w:pPr>
        <w:spacing w:after="0" w:line="261"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 results of operations of our fiscal 2013 acquisitions have been included in our consolidated statements of operations from their respective acquisition dates.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$2.8 million of goodwill from the acquisition of Coyote. There were no impairments to goodwill during fiscal 2014.</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fiscal 2014, we reassessed the fair value and the remaining useful life of the developed technologies and customer relationships acquired from Coyote. Based on this reassessment, we recorded an impairment charge of $2.4 million to adjust the total fair value of the other intangible assets to $2.0 million. The impairment charge is included within Cost of product revenue in the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7"/>
        </w:trPr>
        <w:tc>
          <w:tcPr>
            <w:tcW w:w="5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vMerge w:val="restart"/>
          </w:tcPr>
          <w:p>
            <w:pPr>
              <w:jc w:val="right"/>
              <w:ind w:right="109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6,403</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r>
      <w:tr>
        <w:trPr>
          <w:trHeight w:val="257"/>
        </w:trPr>
        <w:tc>
          <w:tcPr>
            <w:tcW w:w="5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6,841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$1.5 million, $1.7 million, and $1.0 million in fiscal 2014, fiscal 2013 and fiscal 2012, respectively. The following table summarizes estimated future amortization expense of Other intangible assets—net for future fiscal years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jc w:val="right"/>
              <w:ind w:right="831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1,091</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9140" w:type="dxa"/>
            <w:vAlign w:val="bottom"/>
          </w:tcPr>
          <w:p>
            <w:pPr>
              <w:jc w:val="right"/>
              <w:ind w:right="831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9140" w:type="dxa"/>
            <w:vAlign w:val="bottom"/>
          </w:tcPr>
          <w:p>
            <w:pPr>
              <w:jc w:val="right"/>
              <w:ind w:right="831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2,832</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and ESPP. Dilutive shares of common stock are determined by applying the treasury stock method.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as follows (in thousands, except per share amounts):</w:t>
      </w:r>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44,273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66,836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158,074</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158,074</w:t>
            </w:r>
          </w:p>
        </w:tc>
        <w:tc>
          <w:tcPr>
            <w:tcW w:w="0" w:type="dxa"/>
            <w:vAlign w:val="bottom"/>
          </w:tcPr>
          <w:p>
            <w:pPr>
              <w:spacing w:after="0"/>
              <w:rPr>
                <w:sz w:val="1"/>
                <w:szCs w:val="1"/>
                <w:color w:val="auto"/>
              </w:rPr>
            </w:pPr>
          </w:p>
        </w:tc>
      </w:tr>
      <w:tr>
        <w:trPr>
          <w:trHeight w:val="24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43"/>
        </w:trPr>
        <w:tc>
          <w:tcPr>
            <w:tcW w:w="6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RSUs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ESPP</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9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169,289</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168,183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166,329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51"/>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360" w:type="dxa"/>
            <w:vAlign w:val="bottom"/>
          </w:tcPr>
          <w:p>
            <w:pPr>
              <w:spacing w:after="0"/>
              <w:rPr>
                <w:sz w:val="20"/>
                <w:szCs w:val="20"/>
                <w:color w:val="auto"/>
              </w:rPr>
            </w:pPr>
          </w:p>
        </w:tc>
        <w:tc>
          <w:tcPr>
            <w:tcW w:w="146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3,469</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20"/>
                <w:szCs w:val="20"/>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REVENUE</w:t>
            </w: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6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554,115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429,713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558,757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432,628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293,664</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Non-current</w:t>
            </w: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189,828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138,964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558,757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432,628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future principal contractual obligations as of December 31, 2014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2,998</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2,998</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62,804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126,003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92,077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2,998</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—We lease certain facilities under various non-cancelable operating leases, which expire through 2024. Certain leases require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variable costs such as taxes, maintenance, and insurance. The terms of certain operating leases also provide for renewal options and escalation clauses. Rent expense was $10.6 million, $9.8 million and $8.7 million for fiscal 2014, fiscal 2013, and fiscal 2012, respectively. Rent expense is recognized using the straight-line method over the term of the lease.</w:t>
      </w:r>
    </w:p>
    <w:p>
      <w:pPr>
        <w:spacing w:after="0" w:line="17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Contract Manufacturer and Other Commitments</w:t>
      </w:r>
      <w:r>
        <w:rPr>
          <w:rFonts w:ascii="Times New Roman" w:cs="Times New Roman" w:eastAsia="Times New Roman" w:hAnsi="Times New Roman"/>
          <w:sz w:val="18"/>
          <w:szCs w:val="18"/>
          <w:color w:val="auto"/>
        </w:rPr>
        <w:t>—Our independent contract manufacturers procure components and build our products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2014, we had $62.8 million of open purchase orders with our independent contract manufacturers that may not be cancelable.</w:t>
      </w:r>
    </w:p>
    <w:p>
      <w:pPr>
        <w:spacing w:after="0" w:line="15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addition to commitments with contract manufacturers, we have open purchase orders and contractual obligations in the ordinary course of business for which we have not received goods or services. As of December 31, 2014, we had $21.0 million in other contractual commitments.</w:t>
      </w:r>
    </w:p>
    <w:p>
      <w:pPr>
        <w:spacing w:after="0" w:line="15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significant accrual for loss contingencies associated with such legal proceedings; determined that an unfavorable outcome is probable or reasonably possible; or determined that the amount or range of any possible loss is reasonably estimable.</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—Under the indemnification provisions of our standard sales contracts, we agree to defend our customers against third-party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stock-based compensation plans include the 2000 Stock Plan (the “2000 Plan”), the 2008 Stock Plan (the “2008 Plan”), the 2009 Equity Incentive Plan (the “2009 Plan”), and the 2011 Employee Stock Purchase Plan (the “ESPP”).</w:t>
      </w:r>
    </w:p>
    <w:p>
      <w:pPr>
        <w:spacing w:after="0" w:line="158"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2000 Stock Plan</w:t>
      </w:r>
      <w:r>
        <w:rPr>
          <w:rFonts w:ascii="Times New Roman" w:cs="Times New Roman" w:eastAsia="Times New Roman" w:hAnsi="Times New Roman"/>
          <w:sz w:val="18"/>
          <w:szCs w:val="18"/>
          <w:color w:val="auto"/>
        </w:rPr>
        <w:t>—In 2000, we adopted the 2000 Plan, which includes both incentive and non-statutory stock options. Under the 2000 Plan, we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options to purchase up to 21.5 million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80"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2008 Stock Plan</w:t>
      </w:r>
      <w:r>
        <w:rPr>
          <w:rFonts w:ascii="Times New Roman" w:cs="Times New Roman" w:eastAsia="Times New Roman" w:hAnsi="Times New Roman"/>
          <w:sz w:val="18"/>
          <w:szCs w:val="18"/>
          <w:color w:val="auto"/>
        </w:rPr>
        <w:t>—In 2008, our board of directors approved the 2008 Plan, which includes both incentive and non-statutory stock options.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aggregate number of shares which may be subject to options and sold under the 2008 Plan is 5.0 million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2008 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84"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2009 Equity Incentive Plan</w:t>
      </w:r>
      <w:r>
        <w:rPr>
          <w:rFonts w:ascii="Times New Roman" w:cs="Times New Roman" w:eastAsia="Times New Roman" w:hAnsi="Times New Roman"/>
          <w:sz w:val="18"/>
          <w:szCs w:val="18"/>
          <w:color w:val="auto"/>
        </w:rPr>
        <w:t>—In 2009, our board of directors approved the 2009 Plan, which includes awards of stock options,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restricted stock, RSUs, and Performance Stock Units (“PSUs”). The maximum aggregate number of shares that may be issued under the 2009 Plan is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9.0 million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 million shares. The shares may be authorized, but unissued or reacquired common stock. The number of shares available for issuance under the 2009 Plan will be increased on the first day of each fiscal year beginning with fiscal 2011, in an amount equal to the lesser of (i) 7.0 million shares, (ii) five percent (5%) of the outstanding shares on the last day of the immediately preceding fiscal year, or (iii) such number of shares determined by our board of directors. Under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a total of 49.4 million shares were authorized and available for issuance under the 2000 Plan, 2008 Plan and 2009 Plan.</w:t>
      </w:r>
    </w:p>
    <w:p>
      <w:pPr>
        <w:spacing w:after="0" w:line="221"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2011 Employee Stock Purchase Plan</w:t>
      </w:r>
      <w:r>
        <w:rPr>
          <w:rFonts w:ascii="Times New Roman" w:cs="Times New Roman" w:eastAsia="Times New Roman" w:hAnsi="Times New Roman"/>
          <w:sz w:val="18"/>
          <w:szCs w:val="18"/>
          <w:color w:val="auto"/>
        </w:rPr>
        <w:t>—In June 2011, our stockholders approved the ESPP. The ESPP permits eligible employees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As of December 31, 2014, 6.0 million shares were authorized and available for future issuance under the ESPP.</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Options</w:t>
      </w:r>
    </w:p>
    <w:p>
      <w:pPr>
        <w:spacing w:after="0" w:line="22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our employee stock options, we use the Black-Scholes option pricing model, which employs the following assumptions.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w:t>
      </w:r>
      <w:r>
        <w:rPr>
          <w:rFonts w:ascii="Times New Roman" w:cs="Times New Roman" w:eastAsia="Times New Roman" w:hAnsi="Times New Roman"/>
          <w:sz w:val="18"/>
          <w:szCs w:val="18"/>
          <w:color w:val="auto"/>
        </w:rPr>
        <w:t>—We estimate the fair value of stock options granted.</w:t>
      </w:r>
    </w:p>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Beginning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fiscal 2014, we changed the methodology of calculating the expected term. We believe that we have sufficient historical experience for determining the expected term of the stock option award, and therefore, we calculated our expected term based on historical experience instead of using the simplified method.</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expected volatility of our common stock has been historically based on the weighted-average implied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our and our peer group. The peer group is comprised of comparable companies in the same industry sector. As we gained more historical volatility data, the weighting of our own data in the expected volatility calculation associated with options gradually increased to 100% by the fourth quarter of fiscal 2014.</w:t>
      </w:r>
    </w:p>
    <w:p>
      <w:pPr>
        <w:spacing w:after="0" w:line="180"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the closing sales price of the common stock (or the closing bid, if no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reported) on the effective on the date of grant.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used in the Black-Scholes valuation model on the implied yield available on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zero-coupon issues with an equivalent remaining term.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zero.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40" w:type="dxa"/>
            <w:vAlign w:val="bottom"/>
          </w:tcPr>
          <w:p>
            <w:pPr>
              <w:spacing w:after="0"/>
              <w:rPr>
                <w:sz w:val="18"/>
                <w:szCs w:val="18"/>
                <w:color w:val="auto"/>
              </w:rPr>
            </w:pPr>
          </w:p>
        </w:tc>
      </w:tr>
      <w:tr>
        <w:trPr>
          <w:trHeight w:val="33"/>
        </w:trPr>
        <w:tc>
          <w:tcPr>
            <w:tcW w:w="64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480" w:type="dxa"/>
            <w:vAlign w:val="bottom"/>
          </w:tcPr>
          <w:p>
            <w:pPr>
              <w:spacing w:after="0"/>
              <w:rPr>
                <w:sz w:val="20"/>
                <w:szCs w:val="20"/>
                <w:color w:val="auto"/>
              </w:rPr>
            </w:pP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640" w:type="dxa"/>
            <w:vAlign w:val="bottom"/>
            <w:gridSpan w:val="2"/>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 – 45%</w:t>
            </w:r>
          </w:p>
        </w:tc>
        <w:tc>
          <w:tcPr>
            <w:tcW w:w="100" w:type="dxa"/>
            <w:vAlign w:val="bottom"/>
          </w:tcPr>
          <w:p>
            <w:pPr>
              <w:spacing w:after="0"/>
              <w:rPr>
                <w:sz w:val="21"/>
                <w:szCs w:val="21"/>
                <w:color w:val="auto"/>
              </w:rPr>
            </w:pPr>
          </w:p>
        </w:tc>
        <w:tc>
          <w:tcPr>
            <w:tcW w:w="19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45% – 48%</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 – 52%</w:t>
            </w:r>
          </w:p>
        </w:tc>
      </w:tr>
      <w:tr>
        <w:trPr>
          <w:trHeight w:val="27"/>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 – 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 – 0.9%</w:t>
            </w:r>
          </w:p>
        </w:tc>
      </w:tr>
      <w:tr>
        <w:trPr>
          <w:trHeight w:val="243"/>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thousands, except exercise prices and contractual life):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2011</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2012</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2013</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2014</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10,702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vest—December 31, 2014</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10,668</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167,477</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exercisable—December 31, 2014</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157,027</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pre-tax difference between the exercise price of stock options and the quoted market price of our common stock on December 31, 2014, for all in-the-money options. As of December 31, 2014, total compensation expense related to unvested stock options granted to employees but not yet recognized was $17.6 million, net of estimated forfeitures. This expense is expected to be amortized on a straight-line basis over a weighted-average period of 1.5 years.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4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2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92,323</w:t>
            </w:r>
          </w:p>
        </w:tc>
      </w:tr>
      <w:tr>
        <w:trPr>
          <w:trHeight w:val="27"/>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25,350</w:t>
            </w:r>
          </w:p>
        </w:tc>
      </w:tr>
      <w:tr>
        <w:trPr>
          <w:trHeight w:val="648"/>
        </w:trPr>
        <w:tc>
          <w:tcPr>
            <w:tcW w:w="4480" w:type="dxa"/>
            <w:vAlign w:val="bottom"/>
          </w:tcPr>
          <w:p>
            <w:pPr>
              <w:spacing w:after="0"/>
              <w:rPr>
                <w:sz w:val="24"/>
                <w:szCs w:val="24"/>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stock options as of December 31, 2014, as follows (in thousands, except exercise prices and contractual life):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4"/>
          </w:tcPr>
          <w:p>
            <w:pPr>
              <w:jc w:val="right"/>
              <w:ind w:right="1073"/>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7"/>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Range of Exercise</w:t>
            </w:r>
          </w:p>
        </w:tc>
        <w:tc>
          <w:tcPr>
            <w:tcW w:w="18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12"/>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$0.98–$1.20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3.74–4.65</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5.50–6.25</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5.66</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8.43–8.99</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15.28–19.94</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15.52</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20.13–24.92</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21.10</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26.49–26.70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26.70</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10,702</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thousands, except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370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7"/>
        </w:trPr>
        <w:tc>
          <w:tcPr>
            <w:tcW w:w="7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7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Grant-Date-Fair Value</w:t>
            </w:r>
          </w:p>
        </w:tc>
      </w:tr>
      <w:tr>
        <w:trPr>
          <w:trHeight w:val="212"/>
        </w:trPr>
        <w:tc>
          <w:tcPr>
            <w:tcW w:w="754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33"/>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2011</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23.79</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24.76</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2012</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23.73</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21.75</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21.48</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23.89</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2013</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23.13</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22.23</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2014</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22.93</w:t>
            </w: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expected to vest—December 31, 2014</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22.90</w:t>
            </w:r>
          </w:p>
        </w:tc>
      </w:tr>
    </w:tbl>
    <w:p>
      <w:pPr>
        <w:spacing w:after="0" w:line="22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2014, total compensation expense related to unvested RSUs that were granted to employees and non-employees under the 2009 Plan, but not yet recognized, was $136.4 million, net of estimated forfeitures. This expense is expected to be amortized on a straight-line basis over a weighted-average vesting period of 2.92 years.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consolidated statements of cash flows.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During fiscal 2014, we granted PSUs to certain of our executive officers.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w:t>
      </w:r>
    </w:p>
    <w:p>
      <w:pPr>
        <w:spacing w:after="0" w:line="35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36830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2"/>
          </w:tcPr>
          <w:p>
            <w:pPr>
              <w:ind w:left="880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 rate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granted 0.1 million PSUs during fiscal 2014 to our executive officers. The PSUs had a grant date fair value of $21.05 per share, and are included in the aforementioned activity for RSUs. We granted 0.2 million PSUs during fiscal 2013, of which 0.1 million shares were forfeited during fiscal 2013. The PSUs had a grant date fair value of $22.06 per share. No PSUs were granted in fiscal 2012.</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total compensation expense related to unvested PSUs that were granted to certain of our executive officers, but not yet recognized, was $3.2 million, net of estimated forfeitures. This expense is expected to be amortized on a straight-line basis over a weighted-average vesting period of 2.00 years.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common stock reserved for future issuance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8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16,993</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 for future stock option, RSU and other equity award grants</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32,431</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5,981</w:t>
            </w:r>
          </w:p>
        </w:tc>
      </w:tr>
      <w:tr>
        <w:trPr>
          <w:trHeight w:val="25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stock reserved for future issuances</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55,405</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determining the fair value of our ESPP, we use the Black-Scholes option pricing model that employs the following weighted-average assumptions:</w:t>
      </w:r>
    </w:p>
    <w:p>
      <w:pPr>
        <w:spacing w:after="0" w:line="39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36830</wp:posOffset>
            </wp:positionV>
            <wp:extent cx="3275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00" w:type="dxa"/>
            <w:vAlign w:val="bottom"/>
            <w:gridSpan w:val="2"/>
          </w:tcPr>
          <w:p>
            <w:pPr>
              <w:ind w:left="68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6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ESPP is provided below (in thousands, except per share amounts):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the ESPP</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price per share issued</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included in costs and expenses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Cost of product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 of services and other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9,226</w:t>
            </w:r>
          </w:p>
        </w:tc>
      </w:tr>
      <w:tr>
        <w:trPr>
          <w:trHeight w:val="243"/>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12,793</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4,602</w:t>
            </w:r>
          </w:p>
        </w:tc>
      </w:tr>
      <w:tr>
        <w:trPr>
          <w:trHeight w:val="257"/>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30,690</w:t>
            </w: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8140" w:type="dxa"/>
            <w:vAlign w:val="bottom"/>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9"/>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gridSpan w:val="5"/>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20" w:type="dxa"/>
            <w:vAlign w:val="bottom"/>
          </w:tcPr>
          <w:p>
            <w:pPr>
              <w:spacing w:after="0"/>
              <w:rPr>
                <w:sz w:val="24"/>
                <w:szCs w:val="24"/>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17,555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24,506</w:t>
            </w:r>
          </w:p>
        </w:tc>
      </w:tr>
      <w:tr>
        <w:trPr>
          <w:trHeight w:val="243"/>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RSUs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4,470</w:t>
            </w:r>
          </w:p>
        </w:tc>
      </w:tr>
      <w:tr>
        <w:trPr>
          <w:trHeight w:val="257"/>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30,690</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consolidated statements of operations is as follows (in thousands):</w:t>
      </w:r>
    </w:p>
    <w:p>
      <w:pPr>
        <w:spacing w:after="0" w:line="104"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36830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5,870</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December 6, 2013, our Board of Directors authorized a Share Repurchase Program (“the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On October 17, 2014, our board of directors extended the share repurchase authorization under the Program through December 31, 2015. In fiscal 2014, we repurchased 1.6 million shares of common stock under the Program in open market transactions for an aggregate purchase price of $38.6 million. As of December 31, 2014, $122.5 million remains available for future share repurchases under the Program.</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before income taxes consisted of the following (in thousands):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100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35,778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25,771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00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61,549</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104,996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17,717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27,748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48,023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Borders>
              <w:bottom w:val="single" w:sz="8" w:color="CCEEFF"/>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36,206</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31,668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38,160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21,542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36,749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2,185</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2,401</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36,206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31,668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38,160</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For fiscal 2014, income tax payable was not reduced by excess tax benefits from the exercise or vesting of stock-based awards, therefore we did not recognize a significant benefit in additional paid-in-capital. The income tax benefits for fiscal 2013 and fiscal 2012 associated with dispositions from employee stock transactions of $3.5 million, and $14.3 million, respectively, were recognized as additional paid-in capital because it reduced income taxes payable.</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we did not recognize federal and California deferred tax assets related to stock-based compensation excess tax benefits of $6.5 million and $3.3 million, respectively. Unrecognized excess tax benefits will be accounted for as a credit to additional paid-in capital when realized through a reduction in income taxes payable.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the years ended are presented below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47,341</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Nondeductible reserves and accruals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16,055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15,468</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81,038</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we had $22.9 million in federal net operating loss carryforwards to offset future income that will not expire until 2034. We also had federal tax credits of $5.5 million available to carryback and claim federal tax</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refunds from prior year. As of December 31, 2014, we had $6.9 million in California net operating loss carryforwards to offset future income that will not expire until 2030. We also had state tax credit carryforwards of $5.2 million available to offset our future state taxes. The state credits carry forward indefinitely.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policy with respect to undistributed foreign subsidiaries’ earnings is to consider those earnings to be indefinitely reinvested and, accordingly, no related provision of U.S. federal and state income taxes has been provided on such earnings. Upon distribution of those earnings in the form of dividends or otherwise, we would be subject to both U.S. income taxes (subject to an adjustment for foreign tax credits) and withholding taxes in the various foreign countries. As of December 31, 2014, we have not recorded U.S. income tax on $21.3 million of foreign earnings that are deemed to be permanently reinvested overseas.</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operate under a tax incentive agreement in Singapore, which is effective through December 31, 2023, and may be extended if certain additional requirements are satisfied. The tax incentive agreement is conditional upon our meeting certain employment and investment thresholds. We did not realize any tax savings from the Singapore tax incentives in fiscal 2014 because of net tax losses generated in fiscal 2013 for that jurisdiction.</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we had $44.2 million of unrecognized tax benefits, of which, if recognized, $43.4 million would favorably affect our effective tax rate. Our policy is to include accrued interest and penalties related to uncertain tax benefits in income tax expense. As of December 31, 2014, 2013 and 2012, accrued interest and penalties were $1.7 million, $1.0 million, and $1.5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as follows (in thousands):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00" w:type="dxa"/>
            <w:vAlign w:val="bottom"/>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29,604</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19,269</w:t>
            </w:r>
          </w:p>
        </w:tc>
      </w:tr>
      <w:tr>
        <w:trPr>
          <w:trHeight w:val="243"/>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current year</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7,550</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prior year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1,479</w:t>
            </w:r>
          </w:p>
        </w:tc>
      </w:tr>
      <w:tr>
        <w:trPr>
          <w:trHeight w:val="243"/>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the prior year</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44,151</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27,808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2013 and 2012, $45.1 million, $30.2 million, and $28.8 million, respectively, of the amounts reflected above were recorded as Income taxes payable—non-current in our consolidated balance sheet.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there was no unrecognized tax benefits that we expect would change significantly over the next 12 months.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2008. We are no longer subject to examination by U.S federal income tax authorities for tax years prior to 2010.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Plans and RRSP for fiscal 2014, fiscal 2013, and fiscal 2012 were $2.5 million, $2.1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the customer. The following tables set forth revenue and property and equipment by geographic region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200,294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1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124,365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90,459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19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324,659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252,786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208,979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184,175</w:t>
            </w:r>
          </w:p>
        </w:tc>
        <w:tc>
          <w:tcPr>
            <w:tcW w:w="0" w:type="dxa"/>
            <w:vAlign w:val="bottom"/>
          </w:tcPr>
          <w:p>
            <w:pPr>
              <w:spacing w:after="0"/>
              <w:rPr>
                <w:sz w:val="1"/>
                <w:szCs w:val="1"/>
                <w:color w:val="auto"/>
              </w:rPr>
            </w:pPr>
          </w:p>
        </w:tc>
      </w:tr>
      <w:tr>
        <w:trPr>
          <w:trHeight w:val="243"/>
        </w:trPr>
        <w:tc>
          <w:tcPr>
            <w:tcW w:w="4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Asia Pacific and Japan (“APAC”)</w:t>
            </w:r>
          </w:p>
        </w:tc>
        <w:tc>
          <w:tcPr>
            <w:tcW w:w="1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153,532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132,408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770,364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533,639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44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net</w:t>
            </w: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8"/>
        </w:trPr>
        <w:tc>
          <w:tcPr>
            <w:tcW w:w="4420" w:type="dxa"/>
            <w:vAlign w:val="bottom"/>
            <w:gridSpan w:val="4"/>
            <w:vMerge w:val="continue"/>
          </w:tcPr>
          <w:p>
            <w:pPr>
              <w:spacing w:after="0"/>
              <w:rPr>
                <w:sz w:val="15"/>
                <w:szCs w:val="15"/>
                <w:color w:val="auto"/>
              </w:rPr>
            </w:pP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8" w:lineRule="exact"/>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52"/>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1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1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33,751</w:t>
            </w:r>
          </w:p>
        </w:tc>
        <w:tc>
          <w:tcPr>
            <w:tcW w:w="0" w:type="dxa"/>
            <w:vAlign w:val="bottom"/>
          </w:tcPr>
          <w:p>
            <w:pPr>
              <w:spacing w:after="0"/>
              <w:rPr>
                <w:sz w:val="1"/>
                <w:szCs w:val="1"/>
                <w:color w:val="auto"/>
              </w:rPr>
            </w:pPr>
          </w:p>
        </w:tc>
      </w:tr>
      <w:tr>
        <w:trPr>
          <w:trHeight w:val="243"/>
        </w:trPr>
        <w:tc>
          <w:tcPr>
            <w:tcW w:w="4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1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1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for fiscal 2014 and fiscal 2013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Translation Gains and</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 and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91"/>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Translation Gains and</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Gains and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3,091</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about the reclassification out of accumulated other comprehensive (loss) income for fiscal 2014 and fiscal 2013 (in thousands):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w:t>
            </w:r>
          </w:p>
        </w:tc>
        <w:tc>
          <w:tcPr>
            <w:tcW w:w="0" w:type="dxa"/>
            <w:vAlign w:val="bottom"/>
          </w:tcPr>
          <w:p>
            <w:pPr>
              <w:spacing w:after="0"/>
              <w:rPr>
                <w:sz w:val="1"/>
                <w:szCs w:val="1"/>
                <w:color w:val="auto"/>
              </w:rPr>
            </w:pPr>
          </w:p>
        </w:tc>
      </w:tr>
      <w:tr>
        <w:trPr>
          <w:trHeight w:val="212"/>
        </w:trPr>
        <w:tc>
          <w:tcPr>
            <w:tcW w:w="65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tc>
        <w:tc>
          <w:tcPr>
            <w:tcW w:w="140" w:type="dxa"/>
            <w:vAlign w:val="bottom"/>
          </w:tcPr>
          <w:p>
            <w:pPr>
              <w:spacing w:after="0"/>
              <w:rPr>
                <w:sz w:val="18"/>
                <w:szCs w:val="18"/>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Where Net Income is Presented</w:t>
            </w:r>
          </w:p>
        </w:tc>
        <w:tc>
          <w:tcPr>
            <w:tcW w:w="0" w:type="dxa"/>
            <w:vAlign w:val="bottom"/>
          </w:tcPr>
          <w:p>
            <w:pPr>
              <w:spacing w:after="0"/>
              <w:rPr>
                <w:sz w:val="1"/>
                <w:szCs w:val="1"/>
                <w:color w:val="auto"/>
              </w:rPr>
            </w:pP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 or loss</w:t>
            </w: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w:t>
            </w:r>
          </w:p>
        </w:tc>
      </w:tr>
      <w:tr>
        <w:trPr>
          <w:trHeight w:val="212"/>
        </w:trPr>
        <w:tc>
          <w:tcPr>
            <w:tcW w:w="65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tc>
        <w:tc>
          <w:tcPr>
            <w:tcW w:w="140" w:type="dxa"/>
            <w:vAlign w:val="bottom"/>
          </w:tcPr>
          <w:p>
            <w:pPr>
              <w:spacing w:after="0"/>
              <w:rPr>
                <w:sz w:val="18"/>
                <w:szCs w:val="18"/>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Where Net Income is Presented</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r>
      <w:tr>
        <w:trPr>
          <w:trHeight w:val="243"/>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 or loss</w:t>
            </w:r>
          </w:p>
        </w:tc>
        <w:tc>
          <w:tcPr>
            <w:tcW w:w="140" w:type="dxa"/>
            <w:vAlign w:val="bottom"/>
          </w:tcPr>
          <w:p>
            <w:pPr>
              <w:spacing w:after="0"/>
              <w:rPr>
                <w:sz w:val="21"/>
                <w:szCs w:val="21"/>
                <w:color w:val="auto"/>
              </w:rPr>
            </w:pPr>
          </w:p>
        </w:tc>
        <w:tc>
          <w:tcPr>
            <w:tcW w:w="47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5   Provision for income taxes</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$1.7 million and $0.1 million in fiscal 2014 and fiscal 2013, respectively. There were no such legal services in fiscal 2012. Amounts due and payable to the law firm were $1.3 million and $0.3 million as of December 31, 2014 and December 31, 2013,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2014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 Based on this evaluation, management concluded that our internal control over financial reporting was effective as of December 31, 2014. Management reviewed the results of its assessment with our Audit Committee. The effectiveness of our internal control over financial reporting as of December 31, 2014 has been audited by Deloitte &amp; Touche LLP, an independent registered public accounting firm, as stated in its report, which appears in this Item under the heading “Report of Independent Registered Public Accounting Firm.”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or 15d-15(f) under the Exchange Act) during the fourth quarter of fiscal 2014 that have materially affected, or are reasonably likely to materially affect, our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00" w:lineRule="exact"/>
        <w:rPr>
          <w:sz w:val="20"/>
          <w:szCs w:val="20"/>
          <w:color w:val="auto"/>
        </w:rPr>
      </w:pPr>
    </w:p>
    <w:p>
      <w:pPr>
        <w:spacing w:after="0" w:line="22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Fortinet, Inc. and subsidiaries (the “Company”) as of December 31, 2014,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2014, of the Company and our report dated February 27, 2015 expressed an unqualified opinion on those consolidated financial statements and financial statement schedule.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2015 Annual Meeting of Stockholders to be filed with the SEC within 120 days after the end of the fiscal year covered by this Annual Report on Form 10-K.</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2015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60"/>
          </w:cols>
          <w:pgMar w:left="240" w:top="118" w:right="29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23" w:lineRule="exact"/>
        <w:rPr>
          <w:sz w:val="20"/>
          <w:szCs w:val="20"/>
          <w:color w:val="auto"/>
        </w:rPr>
      </w:pPr>
    </w:p>
    <w:p>
      <w:pPr>
        <w:ind w:left="1300" w:right="260" w:hanging="644"/>
        <w:spacing w:after="0" w:line="267"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information concerning Fortinet’s financial statements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r>
        <w:rPr>
          <w:rFonts w:ascii="Times New Roman" w:cs="Times New Roman" w:eastAsia="Times New Roman" w:hAnsi="Times New Roman"/>
          <w:sz w:val="18"/>
          <w:szCs w:val="18"/>
          <w:color w:val="auto"/>
        </w:rPr>
        <w:t>: The following financial statement schedule of Fortinet, Inc., for the fiscal years ended December 31,</w:t>
      </w:r>
    </w:p>
    <w:p>
      <w:pPr>
        <w:spacing w:after="0" w:line="29" w:lineRule="exact"/>
        <w:rPr>
          <w:rFonts w:ascii="Times New Roman" w:cs="Times New Roman" w:eastAsia="Times New Roman" w:hAnsi="Times New Roman"/>
          <w:sz w:val="18"/>
          <w:szCs w:val="18"/>
          <w:color w:val="auto"/>
        </w:rPr>
      </w:pPr>
    </w:p>
    <w:p>
      <w:pPr>
        <w:ind w:left="13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2013 and 2012, is filed as part of this Annual Report on Form 10-K and should be read in conjunction with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Returns Reserve: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Charged (credited) to costs and expenses, net of deductions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2,267</w:t>
            </w:r>
          </w:p>
        </w:tc>
      </w:tr>
      <w:tr>
        <w:trPr>
          <w:trHeight w:val="28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Charged (credited) to costs and expenses, net of write-offs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60" w:lineRule="exact"/>
        <w:rPr>
          <w:sz w:val="20"/>
          <w:szCs w:val="20"/>
          <w:color w:val="auto"/>
        </w:rPr>
      </w:pPr>
    </w:p>
    <w:p>
      <w:pPr>
        <w:ind w:left="1300" w:hanging="644"/>
        <w:spacing w:after="0" w:line="284"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Annual Report on Form 10-K by reference, the exhibits listed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Exhibit Index immediately following the signature page of this Annual Report on Form 10-K.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exhibit list in the Exhibit Index immediately following the signature page of this Annual Report on Form 10-K is incorporated herein by reference as the list of exhibits required by this Item 15(b).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27, 2015.</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Andrew Del Matto,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Andrew Del Matto,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6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3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 Xie</w:t>
            </w:r>
          </w:p>
        </w:tc>
        <w:tc>
          <w:tcPr>
            <w:tcW w:w="1620" w:type="dxa"/>
            <w:vAlign w:val="bottom"/>
          </w:tcPr>
          <w:p>
            <w:pPr>
              <w:spacing w:after="0"/>
              <w:rPr>
                <w:sz w:val="24"/>
                <w:szCs w:val="24"/>
                <w:color w:val="auto"/>
              </w:rPr>
            </w:pP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Ken Xie</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w w:val="98"/>
              </w:rPr>
              <w:t>Andrew Del Matto</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Andrew Del Matto</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Michael Xie</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Ming Hsieh</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3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Chenming Hu</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27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Chenming Hu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Hong Liang Lu</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27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Hong Liang Lu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7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8"/>
              </w:rPr>
              <w:t>William H. Neukom</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Christopher B. Paisley</w:t>
            </w:r>
          </w:p>
        </w:tc>
        <w:tc>
          <w:tcPr>
            <w:tcW w:w="4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80"/>
          </w:cols>
          <w:pgMar w:left="240" w:top="118" w:right="279" w:bottom="1440" w:gutter="0" w:footer="0" w:header="0"/>
          <w:type w:val="continuous"/>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95"/>
        </w:trPr>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Bylaws</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52"/>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Specimen common stock certificate of the Company</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Indemnification Agreement between the Company and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its directors and officers</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10.2</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2000 Stock Plan and forms of agreement thereunder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10.3</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2008 Stock Plan and forms of agreement thereunder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35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2009 Equity Incentive Plan and forms of restricted stock unit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 and restricted stock agreement thereunder</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10.5</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stock option agreement under 2009 Equity Incentive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10.6</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performance stock unit award agreement under 2009</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Incentive Plan</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restricted stock unit award and performance stock unit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award agreement under 2009 Equity Incentive Plan (Additional</w:t>
            </w: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10.8</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2011 Employee Stock Purchase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10.9</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Bonus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10.10</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Cash and Equity Incentive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35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10.11</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Change of Control Agreement between the Company and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S-1, as amended (File No. 001-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its directors</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34511)</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10.12</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Ken Xie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10.13</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Michael Xie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10.14</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John Whittle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10.15</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August 31, 2007,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John Whittle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10.16</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December 17, 2013,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Andrew Del Matto</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10.17</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Letter regarding stock grants, dated as of December 17, 2013,</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between the Company and Andrew Del Matto</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10.18</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of Control Severance Agreement, dated as of December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17, 2013, between registrant and Andrew Del Matto</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10.19</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Amendment 1 to Change of Control Severance Agreement, dated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of July 31, 2014, between the Company and Ken Xie</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0"/>
        </w:trPr>
        <w:tc>
          <w:tcPr>
            <w:tcW w:w="1320" w:type="dxa"/>
            <w:vAlign w:val="bottom"/>
            <w:vMerge w:val="continue"/>
          </w:tcPr>
          <w:p>
            <w:pPr>
              <w:spacing w:after="0"/>
              <w:rPr>
                <w:sz w:val="16"/>
                <w:szCs w:val="16"/>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April 21, 2014</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November 2,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February 28, 2012</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August 6, 2013</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-2625725</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June 27, 2011</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January 26, 2010</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November 5, 2013</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5"/>
              </w:rPr>
              <w:t>10.11</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10.5</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10.6</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10.8</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5"/>
              </w:rPr>
              <w:t>10.10</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December 20, 2013</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99.1</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December 20, 2013</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99.2</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December 20, 2013</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99.3</w:t>
            </w: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5, 2014</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r>
    </w:tbl>
    <w:p>
      <w:pPr>
        <w:sectPr>
          <w:pgSz w:w="11900" w:h="16838" w:orient="portrait"/>
          <w:cols w:equalWidth="0" w:num="2">
            <w:col w:w="8820" w:space="140"/>
            <w:col w:w="2260"/>
          </w:cols>
          <w:pgMar w:left="240" w:top="118" w:right="4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538"/>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10.20</w:t>
            </w:r>
            <w:r>
              <w:rPr>
                <w:rFonts w:ascii="Times New Roman" w:cs="Times New Roman" w:eastAsia="Times New Roman" w:hAnsi="Times New Roman"/>
                <w:sz w:val="8"/>
                <w:szCs w:val="8"/>
                <w:color w:val="auto"/>
              </w:rPr>
              <w:t>†</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Amendment 1 to Change of Control Severance Agreement, dated</w:t>
            </w: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Quarterly Report on Form 10-Q (File No.001-34511)</w:t>
            </w: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August 5, 2014</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10.2</w:t>
            </w:r>
          </w:p>
        </w:tc>
      </w:tr>
      <w:tr>
        <w:trPr>
          <w:trHeight w:val="188"/>
        </w:trPr>
        <w:tc>
          <w:tcPr>
            <w:tcW w:w="800" w:type="dxa"/>
            <w:vAlign w:val="bottom"/>
          </w:tcPr>
          <w:p>
            <w:pPr>
              <w:spacing w:after="0"/>
              <w:rPr>
                <w:sz w:val="16"/>
                <w:szCs w:val="16"/>
                <w:color w:val="auto"/>
              </w:rPr>
            </w:pP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as of July 31, 2014, between the Company and Michael Xie</w:t>
            </w:r>
          </w:p>
        </w:tc>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84"/>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10.21</w:t>
            </w:r>
            <w:r>
              <w:rPr>
                <w:rFonts w:ascii="Times New Roman" w:cs="Times New Roman" w:eastAsia="Times New Roman" w:hAnsi="Times New Roman"/>
                <w:sz w:val="8"/>
                <w:szCs w:val="8"/>
                <w:color w:val="auto"/>
              </w:rPr>
              <w:t>†</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Amendment 1 to Change of Control Severance Agreement, dated</w:t>
            </w: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Quarterly Report on Form 10-Q (File No.001-34511)</w:t>
            </w: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August 5, 2014</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10.3</w:t>
            </w:r>
          </w:p>
        </w:tc>
      </w:tr>
      <w:tr>
        <w:trPr>
          <w:trHeight w:val="188"/>
        </w:trPr>
        <w:tc>
          <w:tcPr>
            <w:tcW w:w="800" w:type="dxa"/>
            <w:vAlign w:val="bottom"/>
          </w:tcPr>
          <w:p>
            <w:pPr>
              <w:spacing w:after="0"/>
              <w:rPr>
                <w:sz w:val="16"/>
                <w:szCs w:val="16"/>
                <w:color w:val="auto"/>
              </w:rPr>
            </w:pP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as of July 31, 2014, between the Company and John Whittle</w:t>
            </w:r>
          </w:p>
        </w:tc>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21.1*</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List of subsidiaries</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23.1*</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24.1*</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Power of Attorney (incorporated by reference to the signature</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page of this Annual Report on Form 10-K)</w:t>
            </w:r>
          </w:p>
        </w:tc>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38"/>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31.1*</w:t>
            </w:r>
          </w:p>
        </w:tc>
        <w:tc>
          <w:tcPr>
            <w:tcW w:w="103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31.2*</w:t>
            </w:r>
          </w:p>
        </w:tc>
        <w:tc>
          <w:tcPr>
            <w:tcW w:w="103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32.1*</w:t>
            </w:r>
          </w:p>
        </w:tc>
        <w:tc>
          <w:tcPr>
            <w:tcW w:w="103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 2002</w:t>
            </w: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101.SCH*</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101.CAL*</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101.PRE*</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101.DEF*</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101.LAB*</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101.INS*</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XBRL Instance Document</w:t>
            </w:r>
          </w:p>
        </w:tc>
        <w:tc>
          <w:tcPr>
            <w:tcW w:w="3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90" w:lineRule="exact"/>
        <w:rPr>
          <w:sz w:val="20"/>
          <w:szCs w:val="20"/>
          <w:color w:val="auto"/>
        </w:rPr>
      </w:pPr>
    </w:p>
    <w:p>
      <w:pPr>
        <w:ind w:right="7140" w:firstLine="8"/>
        <w:spacing w:after="0" w:line="207" w:lineRule="auto"/>
        <w:tabs>
          <w:tab w:leader="none" w:pos="94"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Indicates management compensatory plan, contract or arrangement.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240" w:top="113"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2009 EQUITY INCENTIVE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3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the terms defined in the Fortinet, Inc. 2009 Equity Incentive Plan (the “Plan”) will have the same defined meanings in this Restricted Stock Unit Award Agreement (the “Award Agreement”).</w:t>
      </w:r>
    </w:p>
    <w:p>
      <w:pPr>
        <w:spacing w:after="0" w:line="154" w:lineRule="exact"/>
        <w:rPr>
          <w:sz w:val="20"/>
          <w:szCs w:val="20"/>
          <w:color w:val="auto"/>
        </w:rPr>
      </w:pPr>
    </w:p>
    <w:p>
      <w:pPr>
        <w:ind w:left="660" w:right="5720" w:hanging="652"/>
        <w:spacing w:after="0" w:line="448" w:lineRule="auto"/>
        <w:tabs>
          <w:tab w:leader="none" w:pos="79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NOTICE OF RESTRICTED STOCK UNIT GRANT </w:t>
      </w:r>
      <w:r>
        <w:rPr>
          <w:rFonts w:ascii="Times New Roman" w:cs="Times New Roman" w:eastAsia="Times New Roman" w:hAnsi="Times New Roman"/>
          <w:sz w:val="22"/>
          <w:szCs w:val="22"/>
          <w:b w:val="1"/>
          <w:bCs w:val="1"/>
          <w:color w:val="auto"/>
        </w:rPr>
        <w:t>Participant Name:</w:t>
      </w: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have been granted the right to receive an Award of Restricted Stock Units, subject to the terms and conditions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and this Award Agreement, as follows:</w:t>
      </w: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 will vest in accordance with the following schedule: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[INSERT VESTING SCHEDULE.]</w:t>
      </w:r>
    </w:p>
    <w:p>
      <w:pPr>
        <w:spacing w:after="0" w:line="1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Participant’s signature and the signature of the representative of Fortinet, Inc. (the “Company”) below, Participant and the Company agree that this Award of Restricted Stock Units is granted under and governed by the terms and conditions of the Plan and this Award Agreement, including the Terms and Conditions of Restricted Stock Unit Grant, attached hereto as Exhibit A and the Addendum with additional country-specific terms and conditions (the “Addendum”) attached hereto as Exhibit B, all of which are made a part of this Award Agreement. Participant has reviewed the Plan and this Award Agreement in their entirety, has had an opportunity to obtain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PARTICIPANT:</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FORTINET, INC.</w:t>
            </w:r>
          </w:p>
        </w:tc>
      </w:tr>
      <w:tr>
        <w:trPr>
          <w:trHeight w:val="663"/>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76"/>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Signature</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r>
      <w:tr>
        <w:trPr>
          <w:trHeight w:val="339"/>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76"/>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Print Name</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r>
      <w:tr>
        <w:trPr>
          <w:trHeight w:val="784"/>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Residence Address:</w:t>
            </w: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72"/>
        </w:trPr>
        <w:tc>
          <w:tcPr>
            <w:tcW w:w="4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18"/>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24" w:lineRule="exact"/>
        <w:rPr>
          <w:sz w:val="20"/>
          <w:szCs w:val="20"/>
          <w:color w:val="auto"/>
        </w:rPr>
      </w:pPr>
    </w:p>
    <w:p>
      <w:pPr>
        <w:jc w:val="both"/>
        <w:ind w:firstLine="656"/>
        <w:spacing w:after="0" w:line="260" w:lineRule="auto"/>
        <w:tabs>
          <w:tab w:leader="none" w:pos="11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individual named in the Notice of Grant attached as Part I of this Award Agreement (the “Participant”) under the Plan an Award of Restricted Stock Units, subject to all of the terms and conditions in this Award Agreement and the Plan, which is incorporated herein by reference. Subject to Section 19 of the Plan, in the event of a conflict between the terms and conditions of the Plan and the terms and conditions of this Award Agreement, the terms and conditions of the Plan will prevail.</w:t>
      </w:r>
    </w:p>
    <w:p>
      <w:pPr>
        <w:spacing w:after="0" w:line="169" w:lineRule="exact"/>
        <w:rPr>
          <w:rFonts w:ascii="Times New Roman" w:cs="Times New Roman" w:eastAsia="Times New Roman" w:hAnsi="Times New Roman"/>
          <w:sz w:val="22"/>
          <w:szCs w:val="22"/>
          <w:color w:val="auto"/>
        </w:rPr>
      </w:pPr>
    </w:p>
    <w:p>
      <w:pPr>
        <w:jc w:val="both"/>
        <w:ind w:firstLine="656"/>
        <w:spacing w:after="0" w:line="246" w:lineRule="auto"/>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Tax-Related Items as defined and as set forth in Section 6. Subject to the provisions of Section 4, such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spacing w:after="0" w:line="191" w:lineRule="exact"/>
        <w:rPr>
          <w:rFonts w:ascii="Times New Roman" w:cs="Times New Roman" w:eastAsia="Times New Roman" w:hAnsi="Times New Roman"/>
          <w:sz w:val="22"/>
          <w:szCs w:val="22"/>
          <w:color w:val="auto"/>
        </w:rPr>
      </w:pPr>
    </w:p>
    <w:p>
      <w:pPr>
        <w:jc w:val="both"/>
        <w:ind w:firstLine="656"/>
        <w:spacing w:after="0" w:line="253" w:lineRule="auto"/>
        <w:tabs>
          <w:tab w:leader="none" w:pos="102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6,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6.</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Notwithstanding anything in the Plan or this Award Agreement to the contrary, if the vesting and payment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other than due to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if (x) Participant is a U.S. taxpayer and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86" w:lineRule="exact"/>
        <w:rPr>
          <w:sz w:val="20"/>
          <w:szCs w:val="20"/>
          <w:color w:val="auto"/>
        </w:rPr>
      </w:pPr>
    </w:p>
    <w:p>
      <w:pPr>
        <w:jc w:val="both"/>
        <w:ind w:firstLine="656"/>
        <w:spacing w:after="0" w:line="257" w:lineRule="auto"/>
        <w:tabs>
          <w:tab w:leader="none" w:pos="105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Participant shall be entitled to receive the equivalent value (in cash or Shares) of any dividends paid on each Share for each Restricted Stock Unit (a “Dividend Equivalent”). Any Dividend Equivalent that becomes payable shall be paid at the same time that the underlying Restricted Stock Unit is paid pursuant to Section 2.</w:t>
      </w:r>
    </w:p>
    <w:p>
      <w:pPr>
        <w:spacing w:after="0" w:line="173" w:lineRule="exact"/>
        <w:rPr>
          <w:rFonts w:ascii="Times New Roman" w:cs="Times New Roman" w:eastAsia="Times New Roman" w:hAnsi="Times New Roman"/>
          <w:sz w:val="22"/>
          <w:szCs w:val="22"/>
          <w:color w:val="auto"/>
        </w:rPr>
      </w:pPr>
    </w:p>
    <w:p>
      <w:pPr>
        <w:jc w:val="both"/>
        <w:ind w:firstLine="656"/>
        <w:spacing w:after="0" w:line="258" w:lineRule="auto"/>
        <w:tabs>
          <w:tab w:leader="none" w:pos="1107"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upon Termination of Status as a Service Provider</w:t>
      </w:r>
      <w:r>
        <w:rPr>
          <w:rFonts w:ascii="Times New Roman" w:cs="Times New Roman" w:eastAsia="Times New Roman" w:hAnsi="Times New Roman"/>
          <w:sz w:val="21"/>
          <w:szCs w:val="21"/>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upon Participant’s termination as a Service Provider.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Restricted Stock Unit grant (including whether Participant may still be considered to be a Service Provider while on a leave of absence).</w:t>
      </w:r>
    </w:p>
    <w:p>
      <w:pPr>
        <w:spacing w:after="0" w:line="177" w:lineRule="exact"/>
        <w:rPr>
          <w:rFonts w:ascii="Times New Roman" w:cs="Times New Roman" w:eastAsia="Times New Roman" w:hAnsi="Times New Roman"/>
          <w:sz w:val="21"/>
          <w:szCs w:val="21"/>
          <w:color w:val="auto"/>
        </w:rPr>
      </w:pPr>
    </w:p>
    <w:p>
      <w:pPr>
        <w:jc w:val="both"/>
        <w:ind w:firstLine="656"/>
        <w:spacing w:after="0" w:line="259" w:lineRule="auto"/>
        <w:tabs>
          <w:tab w:leader="none" w:pos="116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 administrator or executor of Participant’s estate. Any such transferee must furnish the Company with (a) written notice of his or her status as transferee, and</w:t>
      </w:r>
    </w:p>
    <w:p>
      <w:pPr>
        <w:spacing w:after="0" w:line="4" w:lineRule="exact"/>
        <w:rPr>
          <w:rFonts w:ascii="Times New Roman" w:cs="Times New Roman" w:eastAsia="Times New Roman" w:hAnsi="Times New Roman"/>
          <w:sz w:val="21"/>
          <w:szCs w:val="21"/>
          <w:color w:val="auto"/>
        </w:rPr>
      </w:pPr>
    </w:p>
    <w:p>
      <w:pPr>
        <w:ind w:right="20" w:firstLine="8"/>
        <w:spacing w:after="0" w:line="248" w:lineRule="auto"/>
        <w:tabs>
          <w:tab w:leader="none" w:pos="33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satisfactory to the Company to establish the validity of the transfer and compliance with any laws or regulations pertaining to said transfer.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ind w:firstLine="656"/>
        <w:spacing w:after="0" w:line="245" w:lineRule="auto"/>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dividend equivalents;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Participant agrees to make adequate arrangements satisfactory to the Company and/or the Employer to satisfy all Tax-Related Items. Notwithstanding any contrary provision of this Award Agreement, no certificate representing the Shares will be issued to Participant, unless and until satisfactory arrangements (as determined by the Administrator) will have been made by Participant with respect to the payment of Tax-Related Items which the Company determines must be withheld with respect to such Shares.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Administrator, in its sole discretion and pursuant to such procedures as it may specify from time to time, may satisfy any Tax-Related Items, in whole or in part (without limitation) by (a) withholding from Participant’s wages or other cash compensation payable to Participant by the Company and/or any Parent or Subsidiary, (b) withhold otherwise deliverable Shares, or</w:t>
      </w:r>
    </w:p>
    <w:p>
      <w:pPr>
        <w:spacing w:after="0" w:line="3" w:lineRule="exact"/>
        <w:rPr>
          <w:sz w:val="20"/>
          <w:szCs w:val="20"/>
          <w:color w:val="auto"/>
        </w:rPr>
      </w:pPr>
    </w:p>
    <w:p>
      <w:pPr>
        <w:jc w:val="both"/>
        <w:ind w:firstLine="8"/>
        <w:spacing w:after="0" w:line="247" w:lineRule="auto"/>
        <w:tabs>
          <w:tab w:leader="none" w:pos="33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a sufficient number of such Shares otherwise deliverable to Participant through such means as the Company may determine in its sole discretion (whether through a broker or otherwise). Depending on the withholding method, the Company may withhold or account for Tax-Related Items by considering applicable minimum statutory withholding rates or other applicable withholding rates, including maximum applicable rates, in which case Participant will receive a refund of any over-withheld amount in cash and will have no entitlement to the Share equivalent.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 the extent determined appropriate by the Company in its discretion, it will have the right (but not the obligation) to satisfy any Tax-Related Items by reducing the number of Shares otherwise deliverable to Participant. In this case, for tax purposes, Participant will be deemed to have been issued the full number of Shares subject to the vested Restricted Stock Units, notwithstanding that a number of the Shares are held back solely for the purpose of paying the Tax-Related Items.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Participant is a Section 16 officer of the Company under the Exchange Act, then the Company will withhold in Shares upon the relevant taxable or tax withholding event, as applicable, unless the Company determines that such withholding method is problematic under Applicable Laws. In this case, Participant may elect the form of withholding from the alternatives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If Participant fails to make satisfactory arrangements for the payment of any required Tax-Related Items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81" w:lineRule="exact"/>
        <w:rPr>
          <w:sz w:val="20"/>
          <w:szCs w:val="20"/>
          <w:color w:val="auto"/>
        </w:rPr>
      </w:pPr>
    </w:p>
    <w:p>
      <w:pPr>
        <w:jc w:val="both"/>
        <w:ind w:firstLine="656"/>
        <w:spacing w:after="0" w:line="250"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656"/>
        <w:spacing w:after="0" w:line="246" w:lineRule="auto"/>
        <w:tabs>
          <w:tab w:leader="none" w:pos="11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CONTINUING AS AN ACTIVE SERVICE PROVIDER,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8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Award, Participant acknowledges, understands and agrees that:</w:t>
      </w:r>
    </w:p>
    <w:p>
      <w:pPr>
        <w:spacing w:after="0" w:line="220" w:lineRule="exact"/>
        <w:rPr>
          <w:sz w:val="20"/>
          <w:szCs w:val="20"/>
          <w:color w:val="auto"/>
        </w:rPr>
      </w:pPr>
    </w:p>
    <w:p>
      <w:pPr>
        <w:jc w:val="both"/>
        <w:ind w:left="980" w:hanging="324"/>
        <w:spacing w:after="0" w:line="257"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ind w:left="980" w:hanging="324"/>
        <w:spacing w:after="0" w:line="271" w:lineRule="auto"/>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Parent or Subsidiary of the Company.</w:t>
      </w:r>
    </w:p>
    <w:p>
      <w:pPr>
        <w:spacing w:after="0" w:line="173" w:lineRule="exact"/>
        <w:rPr>
          <w:rFonts w:ascii="Times New Roman" w:cs="Times New Roman" w:eastAsia="Times New Roman" w:hAnsi="Times New Roman"/>
          <w:sz w:val="22"/>
          <w:szCs w:val="22"/>
          <w:color w:val="auto"/>
        </w:rPr>
      </w:pPr>
    </w:p>
    <w:p>
      <w:pPr>
        <w:jc w:val="both"/>
        <w:ind w:left="980" w:hanging="324"/>
        <w:spacing w:after="0" w:line="246" w:lineRule="auto"/>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employed or rendering services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 and</w:t>
      </w:r>
    </w:p>
    <w:p>
      <w:pPr>
        <w:spacing w:after="0" w:line="189"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2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60"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186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 and</w:t>
      </w:r>
    </w:p>
    <w:p>
      <w:pPr>
        <w:spacing w:after="0" w:line="198" w:lineRule="exact"/>
        <w:rPr>
          <w:rFonts w:ascii="Times New Roman" w:cs="Times New Roman" w:eastAsia="Times New Roman" w:hAnsi="Times New Roman"/>
          <w:sz w:val="22"/>
          <w:szCs w:val="22"/>
          <w:color w:val="auto"/>
        </w:rPr>
      </w:pPr>
    </w:p>
    <w:p>
      <w:pPr>
        <w:ind w:left="660" w:firstLine="645"/>
        <w:spacing w:after="0" w:line="271" w:lineRule="auto"/>
        <w:tabs>
          <w:tab w:leader="none" w:pos="18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neither the Company, the Employer nor any Parent or Subsidiary shall be liable for any foreign exchange rate fluctuation between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214" w:lineRule="exact"/>
        <w:rPr>
          <w:sz w:val="20"/>
          <w:szCs w:val="20"/>
          <w:color w:val="auto"/>
        </w:rPr>
      </w:pPr>
    </w:p>
    <w:p>
      <w:pPr>
        <w:jc w:val="both"/>
        <w:ind w:firstLine="656"/>
        <w:spacing w:after="0" w:line="252" w:lineRule="auto"/>
        <w:tabs>
          <w:tab w:leader="none" w:pos="12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Participant hereby explicitly and unambiguously consents to the collection, use and transfer, in electronic or other form, of Participant’s personal data as described in this Award Agreement and any other Restricted Stock Unit grant materials by and among, as applicable, the Employer, the Company and any Parent or Subsidiary for the exclusive purpose of implementing, administering and managing Participant’s participation in the Plan.</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Restricted Stock Units or any other entitlement to shares of stock awarded, canceled, exercised, vested, unvested or outstanding in Participant’s favor (“Data”), for the exclusive purpose of implementing, administering and managing the Plan.</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Data will be transferred to Charles Schwab &amp; Co., Inc.,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consequence of refusing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or withdrawing Participant’s consent is that the Company would not be able to grant Participant Restricted Stock Units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2" w:lineRule="exact"/>
        <w:rPr>
          <w:sz w:val="20"/>
          <w:szCs w:val="20"/>
          <w:color w:val="auto"/>
        </w:rPr>
      </w:pPr>
    </w:p>
    <w:p>
      <w:pPr>
        <w:jc w:val="both"/>
        <w:ind w:firstLine="656"/>
        <w:spacing w:after="0" w:line="257" w:lineRule="auto"/>
        <w:tabs>
          <w:tab w:leader="none" w:pos="12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in care of Stock Administration at Fortinet, Inc., at 899 Kifer Road, Sunnyvale, CA 94086,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7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31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Authority</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of the Administrator will be personally liable for any action, determination or interpretation made in good faith with respect to the Plan or this Award Agreement.</w:t>
      </w:r>
    </w:p>
    <w:p>
      <w:pPr>
        <w:spacing w:after="0" w:line="171" w:lineRule="exact"/>
        <w:rPr>
          <w:sz w:val="20"/>
          <w:szCs w:val="20"/>
          <w:color w:val="auto"/>
        </w:rPr>
      </w:pPr>
    </w:p>
    <w:p>
      <w:pPr>
        <w:jc w:val="both"/>
        <w:ind w:firstLine="656"/>
        <w:spacing w:after="0" w:line="250" w:lineRule="auto"/>
        <w:tabs>
          <w:tab w:leader="none" w:pos="118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4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6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document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 but the Company shall not be under any obligation to make any such revision. Furthermore, nothing in this Award Agreement or the Plan shall provide a basis for any person to take action against the Company or any Parent or Subsidiary based on matters covered by Section 409A, including the tax treatment of any Restricted Stock Unit settled or amount paid or Restricted Stock Units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agree that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such litigation will be conducted in the courts of Santa Clara County, California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the federal courts for the United States for the Northern District of California, and no other courts, where this Award of Restricted Stock is made and/or to be performed.</w:t>
      </w:r>
    </w:p>
    <w:p>
      <w:pPr>
        <w:spacing w:after="0" w:line="154" w:lineRule="exact"/>
        <w:rPr>
          <w:sz w:val="20"/>
          <w:szCs w:val="20"/>
          <w:color w:val="auto"/>
        </w:rPr>
      </w:pPr>
    </w:p>
    <w:p>
      <w:pPr>
        <w:jc w:val="both"/>
        <w:ind w:firstLine="656"/>
        <w:spacing w:after="0" w:line="257" w:lineRule="auto"/>
        <w:tabs>
          <w:tab w:leader="none" w:pos="116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provisions in the Award Agreement, the Restricted Stock Unit grant shall be subject to any special terms and conditions set forth in the Addendum, attached as Exhibit B, for Participant’s country.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the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20" w:lineRule="exact"/>
        <w:rPr>
          <w:rFonts w:ascii="Times New Roman" w:cs="Times New Roman" w:eastAsia="Times New Roman" w:hAnsi="Times New Roman"/>
          <w:sz w:val="22"/>
          <w:szCs w:val="22"/>
          <w:color w:val="auto"/>
        </w:rPr>
      </w:pPr>
    </w:p>
    <w:p>
      <w:pPr>
        <w:jc w:val="both"/>
        <w:ind w:firstLine="656"/>
        <w:spacing w:after="0" w:line="248" w:lineRule="auto"/>
        <w:tabs>
          <w:tab w:leader="none" w:pos="118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 Market Abuse Restrictions</w:t>
      </w:r>
      <w:r>
        <w:rPr>
          <w:rFonts w:ascii="Times New Roman" w:cs="Times New Roman" w:eastAsia="Times New Roman" w:hAnsi="Times New Roman"/>
          <w:sz w:val="22"/>
          <w:szCs w:val="22"/>
          <w:color w:val="auto"/>
        </w:rPr>
        <w:t>. Participant may be subject to insider trading restrictions and/or market abuse laws, which may affect Participant’s ability to acquire or sell Shares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Restricted Stock Units)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is responsible for ensuring Participant’s compliance with any applicable restrictions and is advised to speak with his or her personal legal advisor on this matter.</w:t>
      </w:r>
    </w:p>
    <w:p>
      <w:pPr>
        <w:spacing w:after="0" w:line="222"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64" w:lineRule="exact"/>
        <w:rPr>
          <w:rFonts w:ascii="Times New Roman" w:cs="Times New Roman" w:eastAsia="Times New Roman" w:hAnsi="Times New Roman"/>
          <w:sz w:val="22"/>
          <w:szCs w:val="22"/>
          <w:color w:val="auto"/>
        </w:rPr>
      </w:pPr>
    </w:p>
    <w:p>
      <w:pPr>
        <w:ind w:left="5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ADDENDUM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set forth in the Plan, the Notice of Grant and/or the Terms and Conditions of Restricted Stock Unit Grant.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Participant under the Plan if Participant resides and/or works in one of the countries listed below. This Addendum forms part of the Award Agreement.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Addendum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January 2015.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vests in the Restricted Stock Units or sells Shares acquired under the Plan.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ALGERIA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Restricted Stock Units Payable Only in Cash</w:t>
      </w:r>
      <w:r>
        <w:rPr>
          <w:rFonts w:ascii="Times New Roman" w:cs="Times New Roman" w:eastAsia="Times New Roman" w:hAnsi="Times New Roman"/>
          <w:sz w:val="22"/>
          <w:szCs w:val="22"/>
          <w:color w:val="auto"/>
        </w:rPr>
        <w:t>. Notwithstanding Section 2 of the Award Agreement, the grant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does not provide any right for Participant to receive Shares. Restricted Stock Units granted to Participants in Algeria shall be paid only in cash through local payroll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ARGENTINA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Neither the Restricted Stock Units nor the underlying Shares are publicly offered or listed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exchange in Argentina. The offer is private and not subject to the supervision of any Argentine governmental authority.</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 the event that Participant transfers proceeds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paid on such Shares into Argentina within 10 days of receipt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proceeds have not been held in the offshore bank or brokerage account for at least 10 days prior to transfer), Participant must deposit 30% of the proceeds into a non-interest bearing account in Argentina for 365 days. If Participant has satisfied the 10-day holding obligation, the Argentine bank handling the transaction may request certain documentation in connection with Participant’s request to transfer proceeds into Argentina, including evidence of the sale or dividend payment and proof that no funds were remitted out of Argentina to acquire the Shares. If the bank determines that the 10-day rule or any other rule or regulation promulgated by the Argentine Central Bank has not been satisfied, it will require that 30% of the proceeds be placed in a non-interest bearing dollar denominated mandatory deposit account for a holding period of 365 days. Please note that exchange control regulations in Argentina are subject to frequent change. Participant should consult with Participant’s personal legal advisor regarding any exchange control obligations Participant may have in connection with Participant’s participation in the Plan.</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Foreign Asset/Account Information. </w:t>
      </w:r>
      <w:r>
        <w:rPr>
          <w:rFonts w:ascii="Times New Roman" w:cs="Times New Roman" w:eastAsia="Times New Roman" w:hAnsi="Times New Roman"/>
          <w:sz w:val="22"/>
          <w:szCs w:val="22"/>
          <w:color w:val="auto"/>
        </w:rPr>
        <w:t>If Participant holds Shares as of December 31 of any year, Participant is required to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holding of the Shares on his or her personal tax return for the relevant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Australian Offer Document</w:t>
      </w:r>
      <w:r>
        <w:rPr>
          <w:rFonts w:ascii="Times New Roman" w:cs="Times New Roman" w:eastAsia="Times New Roman" w:hAnsi="Times New Roman"/>
          <w:sz w:val="22"/>
          <w:szCs w:val="22"/>
          <w:color w:val="auto"/>
        </w:rPr>
        <w:t>. The offer of Restricted Stock Units is intended to comply with the provisions of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2001, ASIC Regulatory Guide 49 and ASIC Class Order CO 14/1000. Additional details are set forth in the Offer Document for the offer of Stock Units to Australian resident employees, which will be provided to Participant with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Participant acquires Shares under the Plan and Participant offers such Shares for sale to a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entity resident in Australia, the offer may be subject to disclosure requirements under Australian law. Participant should obtain legal advice as to Participant’s disclosure obligations prior to making any such offer.</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Exchange control reporting is required for cash transactions exceeding A$10,000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The Australian bank assisting with the transaction will file the report. If there is no Australian bank involved in the transfer, then Participant will be required to file the report.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holds Shares acquired under the Plan outside of Austria, Participant must submit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 to the Austrian National Bank. An exemption applies if the value of the Shares as of any given quarter is less than €30,000,000 or as of December 31 is less than €5,000,000. If the former threshold is exceeded, quarterly obligations are imposed, whereas if the latter threshold is exceeded, annual reports must be given.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When Participant sells Shares acquired under the Plan or receives a dividend payment, there may be exchange control obligations if the cash proceeds are held outside of Austria. If the transaction volume of all accounts abroad exceeds €3,000,000, the movements and balances of all accounts must be reported monthly, as of the last day of the month, on or before the fifteenth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Foreign Asset/Account Information. </w:t>
      </w:r>
      <w:r>
        <w:rPr>
          <w:rFonts w:ascii="Times New Roman" w:cs="Times New Roman" w:eastAsia="Times New Roman" w:hAnsi="Times New Roman"/>
          <w:sz w:val="22"/>
          <w:szCs w:val="22"/>
          <w:color w:val="auto"/>
        </w:rPr>
        <w:t>Participant is required to report any security or bank account opened and maintained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Belgium on Participant’s annual tax return.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By accepting the Restricted Stock Units, Participant acknowledges his or her agreement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Brazilian laws and to pay any and all applicable taxes associated with the vesting of the Restricted Stock Units, and the sale of Shares acquired under the Plan and the receipt of any dividends or Dividend Equivalents.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is resident or domiciled in Brazil, Participant will be required to submit annually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declaration of assets and rights held outside of Brazil to the Central Bank of Brazil if the aggregate value of such assets and rights is equal to or greater than US$100,000. Assets and rights that must be reported include Shares acquired under the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CAMBODIA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Restricted Stock Units Payable Only in Shares. </w:t>
      </w:r>
      <w:r>
        <w:rPr>
          <w:rFonts w:ascii="Times New Roman" w:cs="Times New Roman" w:eastAsia="Times New Roman" w:hAnsi="Times New Roman"/>
          <w:sz w:val="22"/>
          <w:szCs w:val="22"/>
          <w:color w:val="auto"/>
        </w:rPr>
        <w:t>Notwithstanding any discretion in the Plan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the grant of Restricted Stock Units does not provide any right for Participant to receive a cash payment, and the Restricted Stock Units are payable in Shares only.</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Forfeiture upon Termination of Status as a Service Provider</w:t>
      </w:r>
      <w:r>
        <w:rPr>
          <w:rFonts w:ascii="Times New Roman" w:cs="Times New Roman" w:eastAsia="Times New Roman" w:hAnsi="Times New Roman"/>
          <w:sz w:val="22"/>
          <w:szCs w:val="22"/>
          <w:color w:val="auto"/>
        </w:rPr>
        <w:t>. The following provision replaces Section 6 of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Except as otherwise provided in the Plan or the Award Agreement, the balance of the Restricted Stock Units that have not vested as of the time of Participant’s termination as a Service Provider (for any or no reason and whether or not later found to be invalid or in breach of Canadian laws or the terms of the Participant’s employment or service agreement, if any), and Participant’s right to acquire any Shares hereunder, will immediately terminate upon Participant’s termination as a Service Provider. For purposes of the preceding sentence, the Participant’s right to vest in the Restricted Stock Units will terminate effective as of the date that is the earlier of (1) the date Participant’s status as a Service Provider is terminated, (2) the date Participant receives notice of termination of service from the Employer, or (3) the date the Participant is no longer actively providing service. The right to vest in the Restricted Stock Units will not be extended by any notice period (e.g., active service would not include any contractual notice period or any period of “garden leave” or similar period mandated under Canadian laws or the terms of the Participant’s employment or service agreement, if any); the Administrator shall have the exclusive discretion to determine when the Participant is no longer actively providing service for purposes of the Restricted Stock Units grant (including whether Participant may still be considered to be a Service Provider while on a leave of absence).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The following provisions will apply if Participant is a resident of Quebec</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this Award Agreement, as well as all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expressement souhaité que la convention [“Award Agreement”], ainsi que tous les documents, avis et procédures judiciaries, éxecutés, donnés ou intentés en vertu de, ou lié, directement ou indirectement à la présente convention, soient rédigés en langue anglaise.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13 of the Award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or Subsidiary and the administrator of the Plan to disclose and discuss the Plan with their advisors. Participant further authorizes the Company and any Parent or Subsidiary to record such information and to keep such information in Participant’s file.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Participant is permitted to sell Shares acquired under the Plan through the designated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under the Plan, if any, provided the resale of Shares acquired under the Plan takes place outside of Canada through the facilities of a stock exchange on which the Shares are listed. The Shares are currently listed on the NASDAQ.</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is required to report any foreign assets (including Shares)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exceeding C$100,000 on Form T1135 (Foreign Income Verification Statement). The statement is due at the same time as Participant’s annual tax return. It is Participant’s responsibility to comply with applicable reporting obligations.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Neither the Company, the Restricted Stock Units nor the Shares issued upon vesting of the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are registered with the Chilean Registry of Securities or under the control of the Chilean Superintendence of Securities.</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and Tax Information. </w:t>
      </w:r>
      <w:r>
        <w:rPr>
          <w:rFonts w:ascii="Times New Roman" w:cs="Times New Roman" w:eastAsia="Times New Roman" w:hAnsi="Times New Roman"/>
          <w:sz w:val="22"/>
          <w:szCs w:val="22"/>
          <w:color w:val="auto"/>
        </w:rPr>
        <w:t>Participant is not required to repatriate proceeds obtained from the sale of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dividends or Dividend Equivalents to Chile; however, if Participant decides to repatriate proceeds from the sale of Shares and/or dividends or Dividend Equivalents and the amount of the proceeds to be repatriated exceeds US$10,000, Participant acknowledges that he or she must effect such repatriation through the Formal Exchange Market (i.e., a commercial bank or registered foreign exchange office).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Further, if the value of Participant’s aggregate investments held outside of Chile exceed US$5,000,000 (including the value of Shares acquired under the Plan), Participant must report the status of such investments annually to the Central Bank using Annex 3.1 of Chapter XII of the Foreign Exchange Regulations.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Participant holds Shares acquired under the Plan outside of Chile, he or 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inform the Chilean Internal Revenue Service (the “CIRS”) of the details of his or her investment in the Shares by Filing Tax Form 1851 “Annual Sworn Statement Regarding Investments Held Abroad”. Further, if Participant wishes to receive credit against Participant’s Chilean income taxes for any taxes paid abroad, Participant must report the payment of taxes abroad to the CIRS by filing Tax Form 1853 “Annual Sworn Statement Regarding Credits for Taxes Paid Abroad”. These statements must be submitted electronically through the CIRS website before March 15 of each year: www.sii.cl.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The following provisions will apply to Participants who are subject to PRC exchange control restrictions, as determined by the Company in its sole discretion</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Immediate Sale Restriction. </w:t>
      </w:r>
      <w:r>
        <w:rPr>
          <w:rFonts w:ascii="Times New Roman" w:cs="Times New Roman" w:eastAsia="Times New Roman" w:hAnsi="Times New Roman"/>
          <w:sz w:val="22"/>
          <w:szCs w:val="22"/>
          <w:color w:val="auto"/>
        </w:rPr>
        <w:t>Notwithstanding anything to the contrary in the Plan or Award Agreement, due to exchange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in China, Participant agrees that any Shares acquired at vesting of the Restricted Stock Units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 in China has not been obtained, the Company retains the discretion to postpone the issuance of the Shares subject to Participant’s vested Restricted Stock Units until such time that the sale is again permissible and to then immediately sell the Shares subject to the Restricted Stock Units.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Restricted Stock Units has been 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understands and agrees that, to facilitate compliance with exchange control laws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China, Participant may be required to immediately repatriate to China the cash proceeds from the sale of any Shares acquired at vesting of the Restricted Stock Units and any dividends or Dividend Equivalents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Plan and any dividends received in relation to the Shares may be transferred to such special account prior to being delivered to Participant.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Participant agrees to bear any currency fluctuation risk between the time the Shares are sold or dividends or Dividend Equivalents are paid and the time the proceeds are distributed to Participant through any such special account.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further agrees to comply with any other requirements that may be imposed by the Company in the future in order to facilitate compliance with exchange control requirements in China.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COLOMBIA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Laws Acknowledgement. </w:t>
      </w:r>
      <w:r>
        <w:rPr>
          <w:rFonts w:ascii="Times New Roman" w:cs="Times New Roman" w:eastAsia="Times New Roman" w:hAnsi="Times New Roman"/>
          <w:sz w:val="22"/>
          <w:szCs w:val="22"/>
          <w:color w:val="auto"/>
        </w:rPr>
        <w:t>The following provision supplements Section 11 of the Award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Participants acknowledges that pursuant to Article 128 of the Colombian Labor Code, the Plan and related benefits do not constitute a component of “salary” for any purpose.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and assets (such as Shares) held abroad must be registered with the Central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Banco de la Republica</w:t>
      </w:r>
      <w:r>
        <w:rPr>
          <w:rFonts w:ascii="Times New Roman" w:cs="Times New Roman" w:eastAsia="Times New Roman" w:hAnsi="Times New Roman"/>
          <w:sz w:val="22"/>
          <w:szCs w:val="22"/>
          <w:color w:val="auto"/>
        </w:rPr>
        <w:t>) if the value of Participant’s aggregate investments and assets abroad (as of December 31 of the relevant fiscal year) equals or exceeds US$500,000. In addition, when Participant sells or otherwise disposes of any Shares acquired under the Plan, if the investment was registered with the Central Bank, Participant must cancel the registration no later than March 31 of the year following the year in which the Shares were sold. If Participant does not cancel the registration by the above-mentioned deadline, Participant will be subject to a fine.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COSTA RICA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CZECH REPUBLIC</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The Czech National Bank (“CNB”) may require Participant to fulfill certain notification duties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relation to the opening and maintenance of a foreign account. In addition, Participant may need to report the following even in the absence of a request from the CNB: foreign direct investments with a value of CZK 2,500,000 or more in the aggregate or other foreign financial assets with a value of CZK 200,000,000 or more.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Because exchange control regulations change frequently and without notice, Participant should consult his or her personal legal advisor prior to the sale of Shares to ensure compliance with current regulations. It is Participant’s responsibility to comply with Czech exchange control laws, and neither the Company nor any Parent or Subsidiary will be liable for any resulting fines or penalties.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DENMARK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Danish Stock Option Act</w:t>
      </w:r>
      <w:r>
        <w:rPr>
          <w:rFonts w:ascii="Times New Roman" w:cs="Times New Roman" w:eastAsia="Times New Roman" w:hAnsi="Times New Roman"/>
          <w:sz w:val="22"/>
          <w:szCs w:val="22"/>
          <w:color w:val="auto"/>
        </w:rPr>
        <w:t>. By participating in the Plan, Participant acknowledges that he or she received an Employer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translated into Danish, which is being provided to comply with the Danish Stock Option Act. To the extent more favorable to Participant and required to comply with Stock Option Act, the terms set forth in the Employer Statement will apply to Participant’s participation in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The establishment of an account holding Shares or an account holding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Denmark must be reported to the Danish Tax Administration. The form which should be used in this respect may be obtained from a local bank. (Please note that these obligations are separate from and in addition to the securities/tax reporting obligations described below.)</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Securities/Tax Reporting Information. </w:t>
      </w:r>
      <w:r>
        <w:rPr>
          <w:rFonts w:ascii="Times New Roman" w:cs="Times New Roman" w:eastAsia="Times New Roman" w:hAnsi="Times New Roman"/>
          <w:sz w:val="22"/>
          <w:szCs w:val="22"/>
          <w:color w:val="auto"/>
        </w:rPr>
        <w:t>If Participant holds Shares acquired under the Plan in a brokerage account with a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bank outside Denmark, Participant is required to inform the Danish Tax Administration about the account. For this purpose, Participant must file a Form V (</w:t>
      </w:r>
      <w:r>
        <w:rPr>
          <w:rFonts w:ascii="Times New Roman" w:cs="Times New Roman" w:eastAsia="Times New Roman" w:hAnsi="Times New Roman"/>
          <w:sz w:val="22"/>
          <w:szCs w:val="22"/>
          <w:i w:val="1"/>
          <w:iCs w:val="1"/>
          <w:color w:val="auto"/>
        </w:rPr>
        <w:t>Erklaering V</w:t>
      </w:r>
      <w:r>
        <w:rPr>
          <w:rFonts w:ascii="Times New Roman" w:cs="Times New Roman" w:eastAsia="Times New Roman" w:hAnsi="Times New Roman"/>
          <w:sz w:val="22"/>
          <w:szCs w:val="22"/>
          <w:color w:val="auto"/>
        </w:rPr>
        <w:t>) with the Danish Tax Administration. Both Participant and the bank/broker must sign the Declaration V. By signing the Declaration V, the bank/broker undertakes an obligation, without further request each year and not later than on February 1 of the year following the calendar year to which the information relates, to forward certain information to the Danish Tax Administration concerning the content of the account. In the event that the applicable broker or bank with which the account is held does not wish to, or, pursuant to the laws of the country in question, is not allowed to assume such obligation to report, Participant acknowledges that he or she is solely responsible for providing certain details regarding the foreign brokerage account and Shares deposited therein to the Danish Tax Administration as part of his or her annual income tax return. By signing the Form V, Participant authorizes the Danish Tax Administration to examine the account. A sample of the Form V can be found at the following website.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addition, if Participant opens a brokerage account (or a deposit account with a U.S. bank) for the purpose of holding cash outside Denmark, Participant is also required to inform the Danish Tax Administration about this account. To do so, Participant must also file a Form K (</w:t>
      </w:r>
      <w:r>
        <w:rPr>
          <w:rFonts w:ascii="Times New Roman" w:cs="Times New Roman" w:eastAsia="Times New Roman" w:hAnsi="Times New Roman"/>
          <w:sz w:val="22"/>
          <w:szCs w:val="22"/>
          <w:i w:val="1"/>
          <w:iCs w:val="1"/>
          <w:color w:val="auto"/>
        </w:rPr>
        <w:t>Erklaering K</w:t>
      </w:r>
      <w:r>
        <w:rPr>
          <w:rFonts w:ascii="Times New Roman" w:cs="Times New Roman" w:eastAsia="Times New Roman" w:hAnsi="Times New Roman"/>
          <w:sz w:val="22"/>
          <w:szCs w:val="22"/>
          <w:color w:val="auto"/>
        </w:rPr>
        <w:t xml:space="preserve">) with the Danish Tax Administration. The Form K must be signed </w:t>
      </w:r>
      <w:r>
        <w:rPr>
          <w:rFonts w:ascii="Times New Roman" w:cs="Times New Roman" w:eastAsia="Times New Roman" w:hAnsi="Times New Roman"/>
          <w:sz w:val="22"/>
          <w:szCs w:val="22"/>
          <w:i w:val="1"/>
          <w:iCs w:val="1"/>
          <w:color w:val="auto"/>
        </w:rPr>
        <w:t>both</w:t>
      </w:r>
      <w:r>
        <w:rPr>
          <w:rFonts w:ascii="Times New Roman" w:cs="Times New Roman" w:eastAsia="Times New Roman" w:hAnsi="Times New Roman"/>
          <w:sz w:val="22"/>
          <w:szCs w:val="22"/>
          <w:color w:val="auto"/>
        </w:rPr>
        <w:t xml:space="preserve"> by Participant and by the applicable broker or bank where the account is held. By signing the Form K, the broker/bank undertakes an obligation, without further request each year and not later than on February 1 of the year following the calendar year to which the information relates, to forward certain information to the Danish Tax Administration concerning the content of the account. In the event that the applicable financial institution (broker or bank) with which the account is held, does not wish to, or, pursuant to the laws of the country in question, is not allowed to assume such obligation to report, Participant acknowledges that he or she is solely responsible for providing certain details regarding the foreign brokerage or bank account to the Danish Tax Administration as part of Participant’s annual income tax return. By signing the Form K, Participant authorizes the Danish Tax Administration to examine the account. A sample of Form K can be found at the following website: www.skat.dk.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DOMINICAN REPUBLIC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EGYPT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transfers funds into Egypt in connection with the sale of Shares or the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Participant is required to do so through a registered bank in Egypt.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French Language Provision. </w:t>
      </w:r>
      <w:r>
        <w:rPr>
          <w:rFonts w:ascii="Times New Roman" w:cs="Times New Roman" w:eastAsia="Times New Roman" w:hAnsi="Times New Roman"/>
          <w:sz w:val="22"/>
          <w:szCs w:val="22"/>
          <w:color w:val="auto"/>
        </w:rPr>
        <w:t>By accepting the Award Agreement providing for the terms and conditions of Participant’s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confirms having read and understood the documents relating to this grant (the Plan and the Award Agreement) which were provided in English language. Participant accepts the terms of those documents accordingly.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The Restricted Stock Units are not intended to be French tax-qualified Awards.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Information. </w:t>
      </w:r>
      <w:r>
        <w:rPr>
          <w:rFonts w:ascii="Times New Roman" w:cs="Times New Roman" w:eastAsia="Times New Roman" w:hAnsi="Times New Roman"/>
          <w:sz w:val="21"/>
          <w:szCs w:val="21"/>
          <w:color w:val="auto"/>
        </w:rPr>
        <w:t>If Participant retains Shares acquired under the Plan outside of France or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foreign bank account, Participant is required to report such to the French tax authorities when filing Participant’s annual tax return. Failure to comply could trigger significant penalties.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in excess of €12,500 in connection with the sale of securities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acquired under the Plan) or the receipt of any dividends must be reported monthly to the German Federal Bank. The report must be made by the 5th day of the month following the month in which the payment was received and must be filed electronically.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xml:space="preserve">”) can be accessed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and is available in both German and English. Participant is responsible for satisfying the reporting obligation.</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addition, in the unlikely event that Participant holds Shares exceeding 10% of the total capital of the Company, Participant must report Participant’s holdings in the Company on an annual basis.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Restricted Stock Units Payable Only in Shares. </w:t>
      </w:r>
      <w:r>
        <w:rPr>
          <w:rFonts w:ascii="Times New Roman" w:cs="Times New Roman" w:eastAsia="Times New Roman" w:hAnsi="Times New Roman"/>
          <w:sz w:val="22"/>
          <w:szCs w:val="22"/>
          <w:color w:val="auto"/>
        </w:rPr>
        <w:t>Notwithstanding any discretion in the Plan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the grant of Restricted Stock Units does not provide any right for Participant to receive a cash payment, and the Restricted Stock Units are payable in Shares only.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i w:val="1"/>
          <w:iCs w:val="1"/>
          <w:color w:val="auto"/>
        </w:rPr>
        <w:t>WARNING: The grant of Restricted Stock Units under the terms of the Award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Plan and the issuance of Shares at vesting of Restricted Stock Units do not constitute a public offering of securities, and they are available only to Service Providers.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Please be aware that the contents of the Award Agreement, including this Addendum, and the Plan have not been reviewed by any regulatory authority in Hong Kong. Participant is advised to exercise caution in relation to the right to acquire Shares at vesting of the Restricted Stock Units, or otherwise, under the Plan. If Participant is in any doubt about any of the contents of the Award Agreement, including this Addendum, or the Plan, Participant should obtain independent professional advice.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Shares received at vesting are accepted as a personal investment. In the event that the</w:t>
      </w:r>
      <w:r>
        <w:rPr>
          <w:rFonts w:ascii="Times New Roman" w:cs="Times New Roman" w:eastAsia="Times New Roman" w:hAnsi="Times New Roman"/>
          <w:sz w:val="22"/>
          <w:szCs w:val="22"/>
          <w:b w:val="1"/>
          <w:bCs w:val="1"/>
          <w:color w:val="auto"/>
        </w:rPr>
        <w:t xml:space="preserve"> Restricted Stock Units </w:t>
      </w:r>
      <w:r>
        <w:rPr>
          <w:rFonts w:ascii="Times New Roman" w:cs="Times New Roman" w:eastAsia="Times New Roman" w:hAnsi="Times New Roman"/>
          <w:sz w:val="22"/>
          <w:szCs w:val="22"/>
          <w:color w:val="auto"/>
        </w:rPr>
        <w:t>vest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Shares are issued to Participant within six months of the Date of Grant, Participant agrees that the Shares will not be offered to the public or otherwise disposed of prior to the six-month anniversary of the Date of Grant.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repatriate to India the proceeds from the sale of Shares acquired at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90 days and any dividends received or Dividend Equivalents in relation to the Shares within 180 days after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Participant is required to declare his or her foreign bank accounts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foreign financial assets (including Shares held outside India) in Participant’s annual tax return. It is Participant’s responsibility to comply with this reporting obligation and Participant should consult his or her personal advisor in this regard.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INDONESIA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Participant remits funds into Indonesia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proceeds from the sale of Shares), the Indonesian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through which the 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If Participant is a director, shadow director or secretary of an Irish Parent or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must notify the Irish Parent or Subsidiary in writing within five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ISLE OF MAN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Immediate Sale Restriction. </w:t>
      </w:r>
      <w:r>
        <w:rPr>
          <w:rFonts w:ascii="Times New Roman" w:cs="Times New Roman" w:eastAsia="Times New Roman" w:hAnsi="Times New Roman"/>
          <w:sz w:val="22"/>
          <w:szCs w:val="22"/>
          <w:color w:val="auto"/>
        </w:rPr>
        <w:t>Participant agrees that any Shares acquired at vesting of the Restricted Stock Units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sold at vesting. If, however, the sale of the Shares is not permissible under the Company’s insider trading policy, the Company retains the discretion to postpone the issuance of the Shares subject to Participant’s vested Restricted Stock Units until such time that the sale is again permissible and to then immediately sell the Shares subject to the Restricted Stock Units.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Notification. </w:t>
      </w:r>
      <w:r>
        <w:rPr>
          <w:rFonts w:ascii="Times New Roman" w:cs="Times New Roman" w:eastAsia="Times New Roman" w:hAnsi="Times New Roman"/>
          <w:sz w:val="22"/>
          <w:szCs w:val="22"/>
          <w:color w:val="auto"/>
        </w:rPr>
        <w:t>This notification replaces Section 13 of the Award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understands that Participant’s Employer, the Company and any Subsidiary or Affiliate may hold certain personal information about Participant, including, but not limited to, Participant’s name, home address and telephone number, date of birth, social insurance or other identification number, salary, nationality, job title, any Shares or directorships held in the Company or any Subsidiary or Affiliate, details of all Restricted Stock Units, or any other entitlement to Shares awarded, canceled, exercised, vested, unvested or outstanding in Participant’s favor (“Data”)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will process such data for the exclusive purpose of implementing, managing and administering the Plan and in compliance with applicable laws and regulations.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Participant also understands that providing the Company with Data is mandatory for compliance with local law and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Fortinet, Inc., with registered offices at 899 Kifer Road, Sunnyvale, CA 94086, U.S.A., and, pursuant to Legislative Decree no. 196/2003, its Representative in Italy for privacy purposes is Fortinet Italy, S.r.L, with registered offices at Via del Casale Solaro, 119, 00143 ROMA Italy.</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Participant understands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 Participant understands that Data may also be transferred to the independent registered public accounting firm engaged by the Company. Participant further understands that the Company and/or any Subsidiary or Affiliate will transfer Data among themselves as necessary for the purpose of implementing, administering and managing Participant’s participation in the Plan, and that the Company and/or any Subsidiary or Affiliate may each further transfer Data to third parties assisting the Company in the implementation, administration, and management of the Plan, including any requisite transfer of Data to a broker or other third party with whom Participant may elect to deposit any Shares acquired at vesting of the Restricted Stock Units. Such recipients may receive, possess, use, retain, and transfer Data in electronic or other form, for the purposes of implementing, administering, and managing Participant’s participation in the Plan. Participant understands that these recipients may be acting as Controllers, Processors or persons in charge of processing, as the case may be, in accordance with local law and may be located in or outside the European Economic Area in countries such as in the United States that may not provide the same level of protection as intended under Italian data privacy laws.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processing activity, including communication, the transfer of Data abroad, including outside of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have the right to, including but not limited to, access, delete, update, correct, or terminate,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legitimate reason, the Data processing. Participant should contact Participant’s Employer in this regard.</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Furthermore, Participant is aware that Data will not be used for direct-marketing purposes. In addition, Data provided can be reviewed and questions or complaints can be addressed by contacting Participant’s local human resources representative.</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Terms of Grant. </w:t>
      </w:r>
      <w:r>
        <w:rPr>
          <w:rFonts w:ascii="Times New Roman" w:cs="Times New Roman" w:eastAsia="Times New Roman" w:hAnsi="Times New Roman"/>
          <w:sz w:val="22"/>
          <w:szCs w:val="22"/>
          <w:color w:val="auto"/>
        </w:rPr>
        <w:t>By accepting the Restricted Stock Units, Participant acknowledges that (1) Participant has received a copy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the Award Agreement, including this Addendum; (2) Participant has reviewed those documents in their entirety and fully understands the contents thereof; and (3) Participant accepts all provisions of the Plan and the Award Agreement, including this Addendum. Participant further acknowledges that Participant has read and specifically and expressly approves, without limitation, the following sections of the Award Agreement: Section 6 – “Forfeiture upon Termination of Status as a Service Provider”; Section 8 – “Withholding of Taxes”; Section 10 – “No Guarantee of Continued Service”; Section 11 – “Nature of Grant”; Section 13 – “Data Privacy” as replaced by the above consent; Section 25 – “Governing Law and Venue”; and Section 26 – “Language.”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Italian residents who, during the fiscal year, hold investments abroad or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assets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cash, Shares, Restricted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cash, Shares, Restricted Stock Units), are beneficial owners of the investment pursuant to Italian money laundering provisions.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Tax on Foreign Financial Assets. </w:t>
      </w:r>
      <w:r>
        <w:rPr>
          <w:rFonts w:ascii="Times New Roman" w:cs="Times New Roman" w:eastAsia="Times New Roman" w:hAnsi="Times New Roman"/>
          <w:sz w:val="22"/>
          <w:szCs w:val="22"/>
          <w:color w:val="auto"/>
        </w:rPr>
        <w:t>A tax on the value of financial assets held outside of Italy by individuals resident in Italy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The taxable amount will be the fair market value of the financial assets (including Shares) assessed at the end of each calendar year.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maintains a foreign bank account outside of Japan with a value exceeding ¥50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as of December 31, Participant is required to report such to the Japanese authorities by March 15th each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realizes US$500,000 or more from the sale of Shares or the receipt of dividends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in a single transaction, Participant must repatriate the proceeds to Korea within 18 months of the receipt.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will be required to report details of any assets (including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Restricted Stock Units or Shares that Participant holds.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KUWAIT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i w:val="1"/>
                <w:iCs w:val="1"/>
                <w:color w:val="auto"/>
              </w:rPr>
              <w:t>Notifications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76"/>
        </w:trPr>
        <w:tc>
          <w:tcPr>
            <w:tcW w:w="1860" w:type="dxa"/>
            <w:vAlign w:val="bottom"/>
            <w:gridSpan w:val="2"/>
          </w:tcPr>
          <w:p>
            <w:pPr>
              <w:ind w:left="680"/>
              <w:spacing w:after="0"/>
              <w:rPr>
                <w:sz w:val="20"/>
                <w:szCs w:val="20"/>
                <w:color w:val="auto"/>
              </w:rPr>
            </w:pPr>
            <w:r>
              <w:rPr>
                <w:rFonts w:ascii="Times New Roman" w:cs="Times New Roman" w:eastAsia="Times New Roman" w:hAnsi="Times New Roman"/>
                <w:sz w:val="22"/>
                <w:szCs w:val="22"/>
                <w:b w:val="1"/>
                <w:bCs w:val="1"/>
                <w:i w:val="1"/>
                <w:iCs w:val="1"/>
                <w:color w:val="auto"/>
              </w:rPr>
              <w:t>Participant</w:t>
            </w:r>
          </w:p>
        </w:tc>
        <w:tc>
          <w:tcPr>
            <w:tcW w:w="7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hereby</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i w:val="1"/>
                <w:iCs w:val="1"/>
                <w:color w:val="auto"/>
              </w:rPr>
              <w:t>explicitly  and</w:t>
            </w:r>
          </w:p>
        </w:tc>
        <w:tc>
          <w:tcPr>
            <w:tcW w:w="17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unambiguously</w:t>
            </w:r>
          </w:p>
        </w:tc>
        <w:tc>
          <w:tcPr>
            <w:tcW w:w="5340" w:type="dxa"/>
            <w:vAlign w:val="bottom"/>
            <w:gridSpan w:val="6"/>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Peserta dengan ini secara eksplisit dan tanpa sebarang</w:t>
            </w:r>
          </w:p>
        </w:tc>
      </w:tr>
      <w:tr>
        <w:trPr>
          <w:trHeight w:val="243"/>
        </w:trPr>
        <w:tc>
          <w:tcPr>
            <w:tcW w:w="6600" w:type="dxa"/>
            <w:vAlign w:val="bottom"/>
            <w:gridSpan w:val="8"/>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consents to the collection, use and transfer, in electronic or keraguan</w:t>
            </w:r>
          </w:p>
        </w:tc>
        <w:tc>
          <w:tcPr>
            <w:tcW w:w="1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mengizinkan</w:t>
            </w:r>
          </w:p>
        </w:tc>
        <w:tc>
          <w:tcPr>
            <w:tcW w:w="14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7"/>
              </w:rPr>
              <w:t>pengumpulan,</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penggunaan</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w:t>
            </w:r>
          </w:p>
        </w:tc>
      </w:tr>
      <w:tr>
        <w:trPr>
          <w:trHeight w:val="243"/>
        </w:trPr>
        <w:tc>
          <w:tcPr>
            <w:tcW w:w="9500" w:type="dxa"/>
            <w:vAlign w:val="bottom"/>
            <w:gridSpan w:val="11"/>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other form, of Participant’s personal data as described in this pemindahan, dalam bentuk elektronik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atau lain-lain, data</w:t>
            </w:r>
          </w:p>
        </w:tc>
      </w:tr>
      <w:tr>
        <w:trPr>
          <w:trHeight w:val="243"/>
        </w:trPr>
        <w:tc>
          <w:tcPr>
            <w:tcW w:w="6600" w:type="dxa"/>
            <w:vAlign w:val="bottom"/>
            <w:gridSpan w:val="8"/>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Award Agreement and any other Restricted Stock Unit grant peribadi</w:t>
            </w:r>
          </w:p>
        </w:tc>
        <w:tc>
          <w:tcPr>
            <w:tcW w:w="478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Peserta seperti yang dinyatakan dalam Perjanjian</w:t>
            </w:r>
          </w:p>
        </w:tc>
      </w:tr>
      <w:tr>
        <w:trPr>
          <w:trHeight w:val="243"/>
        </w:trPr>
        <w:tc>
          <w:tcPr>
            <w:tcW w:w="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materials</w:t>
            </w:r>
          </w:p>
        </w:tc>
        <w:tc>
          <w:tcPr>
            <w:tcW w:w="16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by and among,</w:t>
            </w:r>
          </w:p>
        </w:tc>
        <w:tc>
          <w:tcPr>
            <w:tcW w:w="3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as</w:t>
            </w:r>
          </w:p>
        </w:tc>
        <w:tc>
          <w:tcPr>
            <w:tcW w:w="10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applicable,</w:t>
            </w:r>
          </w:p>
        </w:tc>
        <w:tc>
          <w:tcPr>
            <w:tcW w:w="3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the</w:t>
            </w:r>
          </w:p>
        </w:tc>
        <w:tc>
          <w:tcPr>
            <w:tcW w:w="452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Employer, the Penganugerahan  dan  apa-apa</w:t>
            </w:r>
          </w:p>
        </w:tc>
        <w:tc>
          <w:tcPr>
            <w:tcW w:w="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bahan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geran  Unit  Saham</w:t>
            </w:r>
          </w:p>
        </w:tc>
      </w:tr>
      <w:tr>
        <w:trPr>
          <w:trHeight w:val="273"/>
        </w:trPr>
        <w:tc>
          <w:tcPr>
            <w:tcW w:w="9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Company</w:t>
            </w: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and any</w:t>
            </w:r>
          </w:p>
        </w:tc>
        <w:tc>
          <w:tcPr>
            <w:tcW w:w="700" w:type="dxa"/>
            <w:vAlign w:val="bottom"/>
          </w:tcPr>
          <w:p>
            <w:pPr>
              <w:ind w:left="80"/>
              <w:spacing w:after="0"/>
              <w:rPr>
                <w:sz w:val="20"/>
                <w:szCs w:val="20"/>
                <w:color w:val="auto"/>
              </w:rPr>
            </w:pPr>
            <w:r>
              <w:rPr>
                <w:rFonts w:ascii="Times New Roman" w:cs="Times New Roman" w:eastAsia="Times New Roman" w:hAnsi="Times New Roman"/>
                <w:sz w:val="22"/>
                <w:szCs w:val="22"/>
                <w:b w:val="1"/>
                <w:bCs w:val="1"/>
                <w:i w:val="1"/>
                <w:iCs w:val="1"/>
                <w:color w:val="auto"/>
                <w:w w:val="98"/>
              </w:rPr>
              <w:t>Parent</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or</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w w:val="97"/>
              </w:rPr>
              <w:t>Subsidiary</w:t>
            </w: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for the exclusive Terbatas</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yang lain oleh</w:t>
            </w:r>
          </w:p>
        </w:tc>
        <w:tc>
          <w:tcPr>
            <w:tcW w:w="700" w:type="dxa"/>
            <w:vAlign w:val="bottom"/>
          </w:tcPr>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dan di</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antara, sebagaimana</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yang</w:t>
            </w:r>
          </w:p>
        </w:tc>
      </w:tr>
    </w:tbl>
    <w:p>
      <w:pPr>
        <w:jc w:val="center"/>
        <w:spacing w:after="0"/>
        <w:tabs>
          <w:tab w:leader="none" w:pos="180" w:val="left"/>
          <w:tab w:leader="none" w:pos="180" w:val="left"/>
          <w:tab w:leader="none" w:pos="180" w:val="left"/>
          <w:tab w:leader="none" w:pos="180" w:val="left"/>
          <w:tab w:leader="none" w:pos="180" w:val="left"/>
        </w:tabs>
        <w:rPr>
          <w:sz w:val="20"/>
          <w:szCs w:val="20"/>
          <w:color w:val="auto"/>
        </w:rPr>
      </w:pPr>
      <w:r>
        <w:rPr>
          <w:rFonts w:ascii="Times New Roman" w:cs="Times New Roman" w:eastAsia="Times New Roman" w:hAnsi="Times New Roman"/>
          <w:sz w:val="22"/>
          <w:szCs w:val="22"/>
          <w:b w:val="1"/>
          <w:bCs w:val="1"/>
          <w:i w:val="1"/>
          <w:iCs w:val="1"/>
          <w:color w:val="auto"/>
        </w:rPr>
        <w:t>purpose</w:t>
        <w:tab/>
        <w:t>of</w:t>
        <w:tab/>
        <w:t>implementing,</w:t>
        <w:tab/>
        <w:t>administering</w:t>
        <w:tab/>
        <w:t>and</w:t>
      </w:r>
      <w:r>
        <w:rPr>
          <w:sz w:val="20"/>
          <w:szCs w:val="20"/>
          <w:color w:val="auto"/>
        </w:rPr>
        <w:tab/>
      </w:r>
      <w:r>
        <w:rPr>
          <w:rFonts w:ascii="Times New Roman" w:cs="Times New Roman" w:eastAsia="Times New Roman" w:hAnsi="Times New Roman"/>
          <w:sz w:val="21"/>
          <w:szCs w:val="21"/>
          <w:b w:val="1"/>
          <w:bCs w:val="1"/>
          <w:i w:val="1"/>
          <w:iCs w:val="1"/>
          <w:color w:val="auto"/>
        </w:rPr>
        <w:t>managing berkenaan, Majikan, Syarikat, dan mana-mana Syarikat Induk</w:t>
      </w:r>
    </w:p>
    <w:p>
      <w:pPr>
        <w:ind w:left="40"/>
        <w:spacing w:after="0" w:line="231" w:lineRule="auto"/>
        <w:tabs>
          <w:tab w:leader="none" w:pos="5720" w:val="left"/>
        </w:tabs>
        <w:rPr>
          <w:sz w:val="20"/>
          <w:szCs w:val="20"/>
          <w:color w:val="auto"/>
        </w:rPr>
      </w:pPr>
      <w:r>
        <w:rPr>
          <w:rFonts w:ascii="Times New Roman" w:cs="Times New Roman" w:eastAsia="Times New Roman" w:hAnsi="Times New Roman"/>
          <w:sz w:val="22"/>
          <w:szCs w:val="22"/>
          <w:b w:val="1"/>
          <w:bCs w:val="1"/>
          <w:i w:val="1"/>
          <w:iCs w:val="1"/>
          <w:color w:val="auto"/>
        </w:rPr>
        <w:t>Participant’s participation in the Plan.</w:t>
      </w:r>
      <w:r>
        <w:rPr>
          <w:sz w:val="20"/>
          <w:szCs w:val="20"/>
          <w:color w:val="auto"/>
        </w:rPr>
        <w:tab/>
      </w:r>
      <w:r>
        <w:rPr>
          <w:rFonts w:ascii="Times New Roman" w:cs="Times New Roman" w:eastAsia="Times New Roman" w:hAnsi="Times New Roman"/>
          <w:sz w:val="22"/>
          <w:szCs w:val="22"/>
          <w:b w:val="1"/>
          <w:bCs w:val="1"/>
          <w:i w:val="1"/>
          <w:iCs w:val="1"/>
          <w:color w:val="auto"/>
        </w:rPr>
        <w:t>atau Anak Syarikat untuk tujuan ekslusif bagi pelaksanaan,</w:t>
      </w:r>
    </w:p>
    <w:p>
      <w:pPr>
        <w:ind w:left="57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pentadbiran dan pengurusan penyertaan Peserta dalam Pelan</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i w:val="1"/>
          <w:iCs w:val="1"/>
          <w:color w:val="auto"/>
        </w:rPr>
        <w:t>tersebut.</w:t>
      </w:r>
    </w:p>
    <w:p>
      <w:pPr>
        <w:spacing w:after="0" w:line="14" w:lineRule="exact"/>
        <w:rPr>
          <w:sz w:val="20"/>
          <w:szCs w:val="20"/>
          <w:color w:val="auto"/>
        </w:rPr>
      </w:pPr>
    </w:p>
    <w:p>
      <w:pPr>
        <w:jc w:val="both"/>
        <w:ind w:left="40" w:right="20"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Peserta memahami bahawa Syarikat dan Majikan Employer may hold certain personal information about mungkin memegang maklumat peribadi tertentu tentang Participant, including, but not limited to, Participant’s name, Peserta, termasuk, tetapi tidak terhad kepada, namanya, home address and telephone number, date of birth, social alamat rumah dan nombor telefon, tarikh lahir, nombor insurance number or other identification number, salary, insurans sosial atau nombor pengenalan lain, gaji, nationality, job title, any shares of stock or directorships held in kewarganegaraan, jawatan, apa-apa saham atau jawatan the Company, details of all Restricted Stock Units or any other pengarah yang dipegang dalam Syarikat, butir-butir semua</w:t>
      </w:r>
    </w:p>
    <w:p>
      <w:pPr>
        <w:spacing w:after="0" w:line="5" w:lineRule="exact"/>
        <w:rPr>
          <w:sz w:val="20"/>
          <w:szCs w:val="20"/>
          <w:color w:val="auto"/>
        </w:rPr>
      </w:pPr>
    </w:p>
    <w:p>
      <w:pPr>
        <w:jc w:val="both"/>
        <w:ind w:left="40" w:right="20"/>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entitlement to shares of stock awarded, canceled, exercised, Unit Saham Terbatas atau apa-apa hak lain untuk syer dalam vested, unvested or outstanding in Participant’s favor (“Data”), saham yang dianugerahkan, dibatalkan, dilaksanakan, terletak for the exclusive purpose of implementing, administering and hak, tidak diletak hak ataupun yang belum dijelaskan bagi</w:t>
      </w:r>
    </w:p>
    <w:tbl>
      <w:tblPr>
        <w:tblLayout w:type="fixed"/>
        <w:tblInd w:w="40" w:type="dxa"/>
        <w:tblCellMar>
          <w:top w:w="0" w:type="dxa"/>
          <w:left w:w="0" w:type="dxa"/>
          <w:bottom w:w="0" w:type="dxa"/>
          <w:right w:w="0" w:type="dxa"/>
        </w:tblCellMar>
      </w:tblPr>
      <w:tr>
        <w:trPr>
          <w:trHeight w:val="215"/>
        </w:trPr>
        <w:tc>
          <w:tcPr>
            <w:tcW w:w="7160" w:type="dxa"/>
            <w:vAlign w:val="bottom"/>
            <w:gridSpan w:val="2"/>
          </w:tcPr>
          <w:p>
            <w:pPr>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managing the Plan. The Data is supplied by the Employer and faedah Peserta</w:t>
            </w:r>
          </w:p>
        </w:tc>
        <w:tc>
          <w:tcPr>
            <w:tcW w:w="1000" w:type="dxa"/>
            <w:vAlign w:val="bottom"/>
          </w:tcPr>
          <w:p>
            <w:pPr>
              <w:ind w:left="40"/>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(“Data”),</w:t>
            </w:r>
          </w:p>
        </w:tc>
        <w:tc>
          <w:tcPr>
            <w:tcW w:w="580" w:type="dxa"/>
            <w:vAlign w:val="bottom"/>
          </w:tcPr>
          <w:p>
            <w:pPr>
              <w:jc w:val="center"/>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untuk</w:t>
            </w:r>
          </w:p>
        </w:tc>
        <w:tc>
          <w:tcPr>
            <w:tcW w:w="1300" w:type="dxa"/>
            <w:vAlign w:val="bottom"/>
          </w:tcPr>
          <w:p>
            <w:pPr>
              <w:ind w:left="80"/>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tujuan yang</w:t>
            </w:r>
          </w:p>
        </w:tc>
        <w:tc>
          <w:tcPr>
            <w:tcW w:w="840" w:type="dxa"/>
            <w:vAlign w:val="bottom"/>
          </w:tcPr>
          <w:p>
            <w:pPr>
              <w:jc w:val="center"/>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w w:val="99"/>
              </w:rPr>
              <w:t>eksklusif</w:t>
            </w:r>
          </w:p>
        </w:tc>
        <w:tc>
          <w:tcPr>
            <w:tcW w:w="460" w:type="dxa"/>
            <w:vAlign w:val="bottom"/>
          </w:tcPr>
          <w:p>
            <w:pPr>
              <w:jc w:val="right"/>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bagi</w:t>
            </w: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also  by  Participant  through  information  collected</w:t>
            </w:r>
          </w:p>
        </w:tc>
        <w:tc>
          <w:tcPr>
            <w:tcW w:w="18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melaksanakan,</w:t>
            </w:r>
          </w:p>
        </w:tc>
        <w:tc>
          <w:tcPr>
            <w:tcW w:w="10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mentadbir</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dan</w:t>
            </w:r>
          </w:p>
        </w:tc>
        <w:tc>
          <w:tcPr>
            <w:tcW w:w="1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menguruskan</w:t>
            </w:r>
          </w:p>
        </w:tc>
        <w:tc>
          <w:tcPr>
            <w:tcW w:w="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Pelan.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Data</w:t>
            </w: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connection with the Award Agreement and the Plan.</w:t>
            </w:r>
          </w:p>
        </w:tc>
        <w:tc>
          <w:tcPr>
            <w:tcW w:w="28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dibekalkan  oleh  Majikan</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3"/>
              </w:rPr>
              <w:t>dan</w:t>
            </w:r>
          </w:p>
        </w:tc>
        <w:tc>
          <w:tcPr>
            <w:tcW w:w="26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juga  oleh  Peserta  melalui</w:t>
            </w:r>
          </w:p>
        </w:tc>
      </w:tr>
      <w:tr>
        <w:trPr>
          <w:trHeight w:val="243"/>
        </w:trPr>
        <w:tc>
          <w:tcPr>
            <w:tcW w:w="5360" w:type="dxa"/>
            <w:vAlign w:val="bottom"/>
          </w:tcPr>
          <w:p>
            <w:pPr>
              <w:spacing w:after="0"/>
              <w:rPr>
                <w:sz w:val="21"/>
                <w:szCs w:val="21"/>
                <w:color w:val="auto"/>
              </w:rPr>
            </w:pPr>
          </w:p>
        </w:tc>
        <w:tc>
          <w:tcPr>
            <w:tcW w:w="5980" w:type="dxa"/>
            <w:vAlign w:val="bottom"/>
            <w:gridSpan w:val="6"/>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maklumat  yang  dikumpul  berkenaan  dengan  Perjanjian</w:t>
            </w:r>
          </w:p>
        </w:tc>
      </w:tr>
      <w:tr>
        <w:trPr>
          <w:trHeight w:val="289"/>
        </w:trPr>
        <w:tc>
          <w:tcPr>
            <w:tcW w:w="5360" w:type="dxa"/>
            <w:vAlign w:val="bottom"/>
          </w:tcPr>
          <w:p>
            <w:pPr>
              <w:spacing w:after="0"/>
              <w:rPr>
                <w:sz w:val="24"/>
                <w:szCs w:val="24"/>
                <w:color w:val="auto"/>
              </w:rPr>
            </w:pPr>
          </w:p>
        </w:tc>
        <w:tc>
          <w:tcPr>
            <w:tcW w:w="3380" w:type="dxa"/>
            <w:vAlign w:val="bottom"/>
            <w:gridSpan w:val="3"/>
          </w:tcPr>
          <w:p>
            <w:pPr>
              <w:ind w:left="340"/>
              <w:spacing w:after="0"/>
              <w:rPr>
                <w:sz w:val="20"/>
                <w:szCs w:val="20"/>
                <w:color w:val="auto"/>
              </w:rPr>
            </w:pPr>
            <w:r>
              <w:rPr>
                <w:rFonts w:ascii="Times New Roman" w:cs="Times New Roman" w:eastAsia="Times New Roman" w:hAnsi="Times New Roman"/>
                <w:sz w:val="22"/>
                <w:szCs w:val="22"/>
                <w:b w:val="1"/>
                <w:bCs w:val="1"/>
                <w:i w:val="1"/>
                <w:iCs w:val="1"/>
                <w:color w:val="auto"/>
              </w:rPr>
              <w:t>Penganugerahan dan Pelan.</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90"/>
        </w:trPr>
        <w:tc>
          <w:tcPr>
            <w:tcW w:w="5360" w:type="dxa"/>
            <w:vAlign w:val="bottom"/>
          </w:tcPr>
          <w:p>
            <w:pPr>
              <w:spacing w:after="0"/>
              <w:rPr>
                <w:sz w:val="24"/>
                <w:szCs w:val="24"/>
                <w:color w:val="auto"/>
              </w:rPr>
            </w:pPr>
          </w:p>
        </w:tc>
        <w:tc>
          <w:tcPr>
            <w:tcW w:w="1800" w:type="dxa"/>
            <w:vAlign w:val="bottom"/>
          </w:tcPr>
          <w:p>
            <w:pPr>
              <w:jc w:val="right"/>
              <w:ind w:right="1296"/>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be transferred to Peserta memahami bahawa Data akan dipindah kepada Charles Schwab &amp; Co., Inc., or such other stock plan service Charles Schwab &amp; Co., Inc., atau pembekal perkhidmatan provider as may be selected by the Company in the future, pelan saham lain yang mungkin dipilih oleh Syarikat pada which is assisting the Company with the implementation, masa depan yang membantu Syarikat dalam melaksanakan, administration and management of the Plan. Participant mentadbir dan menguruskan Pelan tersebut. Peserta understands that the recipients of the Data may be located in memahami bahawa penerima-penerima Data mungkin berada the United States or elsewhere, and that the recipients’ country di Amerika Syarikat atau di tempat lain, dan bahawa negara (e.g., the United States) may have different data privacy laws penerima (contohnya, Amerika Syarikat) mungkin mempunyai</w:t>
      </w:r>
    </w:p>
    <w:p>
      <w:pPr>
        <w:spacing w:after="0" w:line="2" w:lineRule="exact"/>
        <w:rPr>
          <w:sz w:val="20"/>
          <w:szCs w:val="20"/>
          <w:color w:val="auto"/>
        </w:rPr>
      </w:pPr>
    </w:p>
    <w:p>
      <w:pPr>
        <w:jc w:val="both"/>
        <w:ind w:left="5740" w:hanging="5712"/>
        <w:spacing w:after="0" w:line="237" w:lineRule="auto"/>
        <w:tabs>
          <w:tab w:leader="none" w:pos="5720" w:val="left"/>
        </w:tabs>
        <w:rPr>
          <w:sz w:val="20"/>
          <w:szCs w:val="20"/>
          <w:color w:val="auto"/>
        </w:rPr>
      </w:pPr>
      <w:r>
        <w:rPr>
          <w:rFonts w:ascii="Times New Roman" w:cs="Times New Roman" w:eastAsia="Times New Roman" w:hAnsi="Times New Roman"/>
          <w:sz w:val="22"/>
          <w:szCs w:val="22"/>
          <w:b w:val="1"/>
          <w:bCs w:val="1"/>
          <w:i w:val="1"/>
          <w:iCs w:val="1"/>
          <w:color w:val="auto"/>
        </w:rPr>
        <w:t>and protections than Participant’s country.</w:t>
      </w:r>
      <w:r>
        <w:rPr>
          <w:sz w:val="20"/>
          <w:szCs w:val="20"/>
          <w:color w:val="auto"/>
        </w:rPr>
        <w:tab/>
      </w:r>
      <w:r>
        <w:rPr>
          <w:rFonts w:ascii="Times New Roman" w:cs="Times New Roman" w:eastAsia="Times New Roman" w:hAnsi="Times New Roman"/>
          <w:sz w:val="22"/>
          <w:szCs w:val="22"/>
          <w:b w:val="1"/>
          <w:bCs w:val="1"/>
          <w:i w:val="1"/>
          <w:iCs w:val="1"/>
          <w:color w:val="auto"/>
        </w:rPr>
        <w:t>undang-undang privasi data dan perlindungan yang berbeza daripada negara Peserta.</w:t>
      </w:r>
    </w:p>
    <w:p>
      <w:pPr>
        <w:spacing w:after="0" w:line="227" w:lineRule="exact"/>
        <w:rPr>
          <w:sz w:val="20"/>
          <w:szCs w:val="20"/>
          <w:color w:val="auto"/>
        </w:rPr>
      </w:pPr>
    </w:p>
    <w:p>
      <w:pPr>
        <w:jc w:val="both"/>
        <w:ind w:left="40"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if he or she resides outside Peserta fahami bahawa sekiranya dia menetap di luar the United States, he or she may request a list with the names Amerika Syarikat, Peserta boleh meminta senarai nama dan and addresses of any potential recipients of the Data by alamat mana-mana penerima Data yang berpotensi dengan contacting his or her local human resources representative. menghubungi wakil sumber manusia tempatannya. Peserta Participant authorizes the Company, its broker and any other memberi kuasa kepada Syarikat, brokernya dan mana-mana possible recipients which may assist the Company (presently or penerima lain yang mungkin membantu Syarikat (pada masa in the future) with implementing, administering and managing kini atau masa depan) untuk melaksanakan, mentadbir dan</w:t>
      </w:r>
    </w:p>
    <w:tbl>
      <w:tblPr>
        <w:tblLayout w:type="fixed"/>
        <w:tblInd w:w="40" w:type="dxa"/>
        <w:tblCellMar>
          <w:top w:w="0" w:type="dxa"/>
          <w:left w:w="0" w:type="dxa"/>
          <w:bottom w:w="0" w:type="dxa"/>
          <w:right w:w="0" w:type="dxa"/>
        </w:tblCellMar>
      </w:tblPr>
      <w:tr>
        <w:trPr>
          <w:trHeight w:val="218"/>
        </w:trPr>
        <w:tc>
          <w:tcPr>
            <w:tcW w:w="7160" w:type="dxa"/>
            <w:vAlign w:val="bottom"/>
            <w:gridSpan w:val="5"/>
          </w:tcPr>
          <w:p>
            <w:pPr>
              <w:spacing w:after="0" w:line="218" w:lineRule="exact"/>
              <w:rPr>
                <w:sz w:val="20"/>
                <w:szCs w:val="20"/>
                <w:color w:val="auto"/>
              </w:rPr>
            </w:pPr>
            <w:r>
              <w:rPr>
                <w:rFonts w:ascii="Times New Roman" w:cs="Times New Roman" w:eastAsia="Times New Roman" w:hAnsi="Times New Roman"/>
                <w:sz w:val="22"/>
                <w:szCs w:val="22"/>
                <w:b w:val="1"/>
                <w:bCs w:val="1"/>
                <w:i w:val="1"/>
                <w:iCs w:val="1"/>
                <w:color w:val="auto"/>
              </w:rPr>
              <w:t>the Plan to receive, possess, use, retain and transfer the Data, menguruskan</w:t>
            </w:r>
          </w:p>
        </w:tc>
        <w:tc>
          <w:tcPr>
            <w:tcW w:w="1020" w:type="dxa"/>
            <w:vAlign w:val="bottom"/>
          </w:tcPr>
          <w:p>
            <w:pPr>
              <w:ind w:left="180"/>
              <w:spacing w:after="0" w:line="218" w:lineRule="exact"/>
              <w:rPr>
                <w:sz w:val="20"/>
                <w:szCs w:val="20"/>
                <w:color w:val="auto"/>
              </w:rPr>
            </w:pPr>
            <w:r>
              <w:rPr>
                <w:rFonts w:ascii="Times New Roman" w:cs="Times New Roman" w:eastAsia="Times New Roman" w:hAnsi="Times New Roman"/>
                <w:sz w:val="22"/>
                <w:szCs w:val="22"/>
                <w:b w:val="1"/>
                <w:bCs w:val="1"/>
                <w:i w:val="1"/>
                <w:iCs w:val="1"/>
                <w:color w:val="auto"/>
              </w:rPr>
              <w:t>Pelan</w:t>
            </w:r>
          </w:p>
        </w:tc>
        <w:tc>
          <w:tcPr>
            <w:tcW w:w="700" w:type="dxa"/>
            <w:vAlign w:val="bottom"/>
          </w:tcPr>
          <w:p>
            <w:pPr>
              <w:jc w:val="center"/>
              <w:spacing w:after="0" w:line="218" w:lineRule="exact"/>
              <w:rPr>
                <w:sz w:val="20"/>
                <w:szCs w:val="20"/>
                <w:color w:val="auto"/>
              </w:rPr>
            </w:pPr>
            <w:r>
              <w:rPr>
                <w:rFonts w:ascii="Times New Roman" w:cs="Times New Roman" w:eastAsia="Times New Roman" w:hAnsi="Times New Roman"/>
                <w:sz w:val="22"/>
                <w:szCs w:val="22"/>
                <w:b w:val="1"/>
                <w:bCs w:val="1"/>
                <w:i w:val="1"/>
                <w:iCs w:val="1"/>
                <w:color w:val="auto"/>
              </w:rPr>
              <w:t>untuk</w:t>
            </w:r>
          </w:p>
        </w:tc>
        <w:tc>
          <w:tcPr>
            <w:tcW w:w="1380" w:type="dxa"/>
            <w:vAlign w:val="bottom"/>
            <w:gridSpan w:val="2"/>
          </w:tcPr>
          <w:p>
            <w:pPr>
              <w:ind w:left="280"/>
              <w:spacing w:after="0" w:line="218" w:lineRule="exact"/>
              <w:rPr>
                <w:sz w:val="20"/>
                <w:szCs w:val="20"/>
                <w:color w:val="auto"/>
              </w:rPr>
            </w:pPr>
            <w:r>
              <w:rPr>
                <w:rFonts w:ascii="Times New Roman" w:cs="Times New Roman" w:eastAsia="Times New Roman" w:hAnsi="Times New Roman"/>
                <w:sz w:val="22"/>
                <w:szCs w:val="22"/>
                <w:b w:val="1"/>
                <w:bCs w:val="1"/>
                <w:i w:val="1"/>
                <w:iCs w:val="1"/>
                <w:color w:val="auto"/>
              </w:rPr>
              <w:t>menerima,</w:t>
            </w:r>
          </w:p>
        </w:tc>
        <w:tc>
          <w:tcPr>
            <w:tcW w:w="11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2"/>
                <w:szCs w:val="22"/>
                <w:b w:val="1"/>
                <w:bCs w:val="1"/>
                <w:i w:val="1"/>
                <w:iCs w:val="1"/>
                <w:color w:val="auto"/>
              </w:rPr>
              <w:t>memiliki,</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electronic</w:t>
            </w:r>
          </w:p>
        </w:tc>
        <w:tc>
          <w:tcPr>
            <w:tcW w:w="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or</w:t>
            </w:r>
          </w:p>
        </w:tc>
        <w:tc>
          <w:tcPr>
            <w:tcW w:w="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other</w:t>
            </w:r>
          </w:p>
        </w:tc>
        <w:tc>
          <w:tcPr>
            <w:tcW w:w="7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form,</w:t>
            </w:r>
          </w:p>
        </w:tc>
        <w:tc>
          <w:tcPr>
            <w:tcW w:w="8260" w:type="dxa"/>
            <w:vAlign w:val="bottom"/>
            <w:gridSpan w:val="7"/>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for  the  sole  purpose  of menggunakan, mengekalkan dan memindahkan Data, dalam</w:t>
            </w:r>
          </w:p>
        </w:tc>
      </w:tr>
      <w:tr>
        <w:trPr>
          <w:trHeight w:val="243"/>
        </w:trPr>
        <w:tc>
          <w:tcPr>
            <w:tcW w:w="81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implementing,  administering  and  managing  his  or  her bentuk  elektronik  atau</w:t>
            </w:r>
          </w:p>
        </w:tc>
        <w:tc>
          <w:tcPr>
            <w:tcW w:w="318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lain-lain,  dengan  tujuan  untuk</w:t>
            </w:r>
          </w:p>
        </w:tc>
      </w:tr>
      <w:tr>
        <w:trPr>
          <w:trHeight w:val="243"/>
        </w:trPr>
        <w:tc>
          <w:tcPr>
            <w:tcW w:w="71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participation in the Plan. Participant understands that Data melaksanakan,</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6"/>
              </w:rPr>
              <w:t>mentadbir</w:t>
            </w:r>
          </w:p>
        </w:tc>
        <w:tc>
          <w:tcPr>
            <w:tcW w:w="7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w:t>
            </w:r>
          </w:p>
        </w:tc>
        <w:tc>
          <w:tcPr>
            <w:tcW w:w="1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menguruskan</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penyertaan</w:t>
            </w:r>
          </w:p>
        </w:tc>
      </w:tr>
      <w:tr>
        <w:trPr>
          <w:trHeight w:val="243"/>
        </w:trPr>
        <w:tc>
          <w:tcPr>
            <w:tcW w:w="948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will  be  held  only  as  long  as  is  necessary  to  implement, Peserta  dalam  Pelan.  Peserta  fahami</w:t>
            </w:r>
          </w:p>
        </w:tc>
        <w:tc>
          <w:tcPr>
            <w:tcW w:w="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bahawa</w:t>
            </w:r>
          </w:p>
        </w:tc>
        <w:tc>
          <w:tcPr>
            <w:tcW w:w="5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Data</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akan</w:t>
            </w:r>
          </w:p>
        </w:tc>
      </w:tr>
      <w:tr>
        <w:trPr>
          <w:trHeight w:val="243"/>
        </w:trPr>
        <w:tc>
          <w:tcPr>
            <w:tcW w:w="818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administer and manage Participant’s participation in the Plan. dipegang  hanya  untuk</w:t>
            </w:r>
          </w:p>
        </w:tc>
        <w:tc>
          <w:tcPr>
            <w:tcW w:w="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tempoh</w:t>
            </w:r>
          </w:p>
        </w:tc>
        <w:tc>
          <w:tcPr>
            <w:tcW w:w="6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5"/>
              </w:rPr>
              <w:t>yang</w:t>
            </w:r>
          </w:p>
        </w:tc>
        <w:tc>
          <w:tcPr>
            <w:tcW w:w="1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diperlukan</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untuk</w:t>
            </w:r>
          </w:p>
        </w:tc>
      </w:tr>
      <w:tr>
        <w:trPr>
          <w:trHeight w:val="243"/>
        </w:trPr>
        <w:tc>
          <w:tcPr>
            <w:tcW w:w="71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Participant understands if he or she resides outside the United melaksanakan,</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6"/>
              </w:rPr>
              <w:t>mentadbir</w:t>
            </w:r>
          </w:p>
        </w:tc>
        <w:tc>
          <w:tcPr>
            <w:tcW w:w="7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w:t>
            </w:r>
          </w:p>
        </w:tc>
        <w:tc>
          <w:tcPr>
            <w:tcW w:w="1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menguruskan</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penyertaan</w:t>
            </w:r>
          </w:p>
        </w:tc>
      </w:tr>
      <w:tr>
        <w:trPr>
          <w:trHeight w:val="273"/>
        </w:trPr>
        <w:tc>
          <w:tcPr>
            <w:tcW w:w="1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States,  he  or</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b w:val="1"/>
                <w:bCs w:val="1"/>
                <w:i w:val="1"/>
                <w:iCs w:val="1"/>
                <w:color w:val="auto"/>
                <w:w w:val="98"/>
              </w:rPr>
              <w:t>she</w:t>
            </w: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may,</w:t>
            </w:r>
          </w:p>
        </w:tc>
        <w:tc>
          <w:tcPr>
            <w:tcW w:w="720" w:type="dxa"/>
            <w:vAlign w:val="bottom"/>
          </w:tcPr>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at  any</w:t>
            </w:r>
          </w:p>
        </w:tc>
        <w:tc>
          <w:tcPr>
            <w:tcW w:w="8260" w:type="dxa"/>
            <w:vAlign w:val="bottom"/>
            <w:gridSpan w:val="7"/>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time,  view  Data,  request Peserta dalam Pelan. Peserta fahami bahawa sekiranya dia</w:t>
            </w:r>
          </w:p>
        </w:tc>
      </w:tr>
    </w:tbl>
    <w:p>
      <w:pPr>
        <w:jc w:val="both"/>
        <w:ind w:left="40" w:right="20"/>
        <w:spacing w:after="0" w:line="368" w:lineRule="auto"/>
        <w:rPr>
          <w:sz w:val="20"/>
          <w:szCs w:val="20"/>
          <w:color w:val="auto"/>
        </w:rPr>
      </w:pPr>
      <w:r>
        <w:rPr>
          <w:rFonts w:ascii="Times New Roman" w:cs="Times New Roman" w:eastAsia="Times New Roman" w:hAnsi="Times New Roman"/>
          <w:sz w:val="22"/>
          <w:szCs w:val="22"/>
          <w:b w:val="1"/>
          <w:bCs w:val="1"/>
          <w:i w:val="1"/>
          <w:iCs w:val="1"/>
          <w:color w:val="auto"/>
        </w:rPr>
        <w:t>additional information about the storage and processing of menetap di luar Amerika Syarikat, dia boleh, pada bila-bila Data, require any necessary amendments to Data or refuse or masa, melihat Data, meminta maklumat tambahan mengenai withdraw the consents herein, in any case without cost, by penyimpanan dan pemprosesan Data, meminta bahawa contacting in writing his or her local human resources pindaan-pindaan yang diperlukan dilaksanakan ke atas Data representative at Suite 33A-02/03, Level 33A, Menara Keck atau menolak atau menarik balik persetujuan dalam ini, dalam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Seng, 203, Jalan Bukit Bintang 55100 Kuala Lumpur, mana-mana kes, tanpa kos, dengan menghubungi secara Malaysia. Further, Participant understands that he or she is bertulis wakil sumber manusia tempatannya di Suite 33A-providing the consents herein on a purely voluntary basis. 02/03, Level 33A, Menara Keck Seng, 203, Jalan Bukit Bintang 55100 Kuala Lumpur, Malaysia.</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If Participant does not consent, or if Participant later seeks to Selanjutnya,</w:t>
            </w: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auto"/>
              </w:rPr>
              <w:t>Peserta  memahami</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bahawa  dia</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memberikan</w:t>
            </w:r>
          </w:p>
        </w:tc>
      </w:tr>
      <w:tr>
        <w:trPr>
          <w:trHeight w:val="243"/>
        </w:trPr>
        <w:tc>
          <w:tcPr>
            <w:tcW w:w="6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revoke his or her consent, his or her employment status or persetujuan</w:t>
            </w:r>
          </w:p>
        </w:tc>
        <w:tc>
          <w:tcPr>
            <w:tcW w:w="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3"/>
              </w:rPr>
              <w:t>di</w:t>
            </w:r>
          </w:p>
        </w:tc>
        <w:tc>
          <w:tcPr>
            <w:tcW w:w="410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sini  secara  sukarela.  Jika  Peserta  tidak</w:t>
            </w:r>
          </w:p>
        </w:tc>
      </w:tr>
      <w:tr>
        <w:trPr>
          <w:trHeight w:val="243"/>
        </w:trPr>
        <w:tc>
          <w:tcPr>
            <w:tcW w:w="44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service and career with the Employer will not</w:t>
            </w:r>
          </w:p>
        </w:tc>
        <w:tc>
          <w:tcPr>
            <w:tcW w:w="2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be adversely bersetuju,</w:t>
            </w:r>
          </w:p>
        </w:tc>
        <w:tc>
          <w:tcPr>
            <w:tcW w:w="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atau</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jika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Peserta</w:t>
            </w:r>
          </w:p>
        </w:tc>
        <w:tc>
          <w:tcPr>
            <w:tcW w:w="12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kemudian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membatalkan</w:t>
            </w:r>
          </w:p>
        </w:tc>
      </w:tr>
      <w:tr>
        <w:trPr>
          <w:trHeight w:val="273"/>
        </w:trPr>
        <w:tc>
          <w:tcPr>
            <w:tcW w:w="4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affected; the only consequence of refusing or</w:t>
            </w:r>
          </w:p>
        </w:tc>
        <w:tc>
          <w:tcPr>
            <w:tcW w:w="28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withdrawing persetujuannya,</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status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9"/>
              </w:rPr>
              <w:t>pekerjaan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atau  perkhidmatan  dan</w:t>
            </w:r>
          </w:p>
        </w:tc>
      </w:tr>
    </w:tbl>
    <w:p>
      <w:pPr>
        <w:jc w:val="both"/>
        <w:ind w:left="40" w:right="40"/>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Participant’s consent is that the Company would not be able to kerjayanya dengan Majikan tidak akan terjejas; satunya akibat grant Participant Restricted Stock Units or other Awards or jika dia tidak bersetuju atau menarik balik persetujuannya administer or maintain such Awards. Therefore, Participant adalah bahawa Syarikat tidak akan dapat menganugerahkan understands that refusing or withdrawing his or her consent kepada Peserta Unit Saham Terbatas atau Anugerah lain atau</w:t>
      </w:r>
    </w:p>
    <w:tbl>
      <w:tblPr>
        <w:tblLayout w:type="fixed"/>
        <w:tblInd w:w="40" w:type="dxa"/>
        <w:tblCellMar>
          <w:top w:w="0" w:type="dxa"/>
          <w:left w:w="0" w:type="dxa"/>
          <w:bottom w:w="0" w:type="dxa"/>
          <w:right w:w="0" w:type="dxa"/>
        </w:tblCellMar>
      </w:tblPr>
      <w:tr>
        <w:trPr>
          <w:trHeight w:val="216"/>
        </w:trPr>
        <w:tc>
          <w:tcPr>
            <w:tcW w:w="7200" w:type="dxa"/>
            <w:vAlign w:val="bottom"/>
          </w:tcPr>
          <w:p>
            <w:pPr>
              <w:spacing w:after="0" w:line="216" w:lineRule="exact"/>
              <w:rPr>
                <w:sz w:val="20"/>
                <w:szCs w:val="20"/>
                <w:color w:val="auto"/>
              </w:rPr>
            </w:pPr>
            <w:r>
              <w:rPr>
                <w:rFonts w:ascii="Times New Roman" w:cs="Times New Roman" w:eastAsia="Times New Roman" w:hAnsi="Times New Roman"/>
                <w:sz w:val="22"/>
                <w:szCs w:val="22"/>
                <w:b w:val="1"/>
                <w:bCs w:val="1"/>
                <w:i w:val="1"/>
                <w:iCs w:val="1"/>
                <w:color w:val="auto"/>
              </w:rPr>
              <w:t>may affect Participant’s ability to participate in the Plan. For mentadbir atau</w:t>
            </w:r>
          </w:p>
        </w:tc>
        <w:tc>
          <w:tcPr>
            <w:tcW w:w="41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2"/>
                <w:szCs w:val="22"/>
                <w:b w:val="1"/>
                <w:bCs w:val="1"/>
                <w:i w:val="1"/>
                <w:iCs w:val="1"/>
                <w:color w:val="auto"/>
              </w:rPr>
              <w:t>mengekalkan Anugerah tersebut. Oleh itu,</w:t>
            </w:r>
          </w:p>
        </w:tc>
      </w:tr>
      <w:tr>
        <w:trPr>
          <w:trHeight w:val="243"/>
        </w:trPr>
        <w:tc>
          <w:tcPr>
            <w:tcW w:w="72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more information on the consequences of Participant’s refusal Peserta fahami</w:t>
            </w:r>
          </w:p>
        </w:tc>
        <w:tc>
          <w:tcPr>
            <w:tcW w:w="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bahawa</w:t>
            </w:r>
          </w:p>
        </w:tc>
        <w:tc>
          <w:tcPr>
            <w:tcW w:w="12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keengganan</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atau penarikan</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balik</w:t>
            </w:r>
          </w:p>
        </w:tc>
      </w:tr>
      <w:tr>
        <w:trPr>
          <w:trHeight w:val="243"/>
        </w:trPr>
        <w:tc>
          <w:tcPr>
            <w:tcW w:w="72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to consent or withdrawal of consent, Participant understands persetujuannya</w:t>
            </w:r>
          </w:p>
        </w:tc>
        <w:tc>
          <w:tcPr>
            <w:tcW w:w="7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boleh</w:t>
            </w:r>
          </w:p>
        </w:tc>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menjejaskan</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keupayaannya</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6"/>
              </w:rPr>
              <w:t>untuk</w:t>
            </w:r>
          </w:p>
        </w:tc>
      </w:tr>
      <w:tr>
        <w:trPr>
          <w:trHeight w:val="273"/>
        </w:trPr>
        <w:tc>
          <w:tcPr>
            <w:tcW w:w="108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rPr>
              <w:t>that he or she may contact his or her local human resources mengambil bahagian dalam Pelan. Untuk maklumat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w w:val="96"/>
              </w:rPr>
              <w:t>lanjut</w:t>
            </w:r>
          </w:p>
        </w:tc>
      </w:tr>
    </w:tbl>
    <w:p>
      <w:pPr>
        <w:ind w:left="40"/>
        <w:spacing w:after="0" w:line="230" w:lineRule="auto"/>
        <w:tabs>
          <w:tab w:leader="none" w:pos="5720" w:val="left"/>
        </w:tabs>
        <w:rPr>
          <w:sz w:val="20"/>
          <w:szCs w:val="20"/>
          <w:color w:val="auto"/>
        </w:rPr>
      </w:pPr>
      <w:r>
        <w:rPr>
          <w:rFonts w:ascii="Times New Roman" w:cs="Times New Roman" w:eastAsia="Times New Roman" w:hAnsi="Times New Roman"/>
          <w:sz w:val="22"/>
          <w:szCs w:val="22"/>
          <w:b w:val="1"/>
          <w:bCs w:val="1"/>
          <w:i w:val="1"/>
          <w:iCs w:val="1"/>
          <w:color w:val="auto"/>
        </w:rPr>
        <w:t>representative.</w:t>
      </w:r>
      <w:r>
        <w:rPr>
          <w:sz w:val="20"/>
          <w:szCs w:val="20"/>
          <w:color w:val="auto"/>
        </w:rPr>
        <w:tab/>
      </w:r>
      <w:r>
        <w:rPr>
          <w:rFonts w:ascii="Times New Roman" w:cs="Times New Roman" w:eastAsia="Times New Roman" w:hAnsi="Times New Roman"/>
          <w:sz w:val="22"/>
          <w:szCs w:val="22"/>
          <w:b w:val="1"/>
          <w:bCs w:val="1"/>
          <w:i w:val="1"/>
          <w:iCs w:val="1"/>
          <w:color w:val="auto"/>
        </w:rPr>
        <w:t>mengenai akibat keengganannya untuk memberikan keizinan</w:t>
      </w:r>
    </w:p>
    <w:p>
      <w:pPr>
        <w:ind w:left="574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atau penarikan balik keizinan, Peserta fahami bahawa dia</w:t>
      </w:r>
    </w:p>
    <w:p>
      <w:pPr>
        <w:ind w:left="5740"/>
        <w:spacing w:after="0"/>
        <w:rPr>
          <w:sz w:val="20"/>
          <w:szCs w:val="20"/>
          <w:color w:val="auto"/>
        </w:rPr>
      </w:pPr>
      <w:r>
        <w:rPr>
          <w:rFonts w:ascii="Times New Roman" w:cs="Times New Roman" w:eastAsia="Times New Roman" w:hAnsi="Times New Roman"/>
          <w:sz w:val="22"/>
          <w:szCs w:val="22"/>
          <w:b w:val="1"/>
          <w:bCs w:val="1"/>
          <w:i w:val="1"/>
          <w:iCs w:val="1"/>
          <w:color w:val="auto"/>
        </w:rPr>
        <w:t>boleh menghubungi wakil sumber manusia tempatannya.</w:t>
      </w:r>
    </w:p>
    <w:p>
      <w:pPr>
        <w:spacing w:after="0" w:line="200" w:lineRule="exact"/>
        <w:rPr>
          <w:sz w:val="20"/>
          <w:szCs w:val="20"/>
          <w:color w:val="auto"/>
        </w:rPr>
      </w:pP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If Participant is a director of a Malaysian Parent or Subsidiary, Participant is subject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notification requirements under the Malaysian Companies Act. Among these requirements is an obligation to notify the Company’s Malaysian Parent or Subsidiary in writing when Participant receive or dispose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or Shares) in the Company or any related company. This notification must be made within 14 days of receiving or disposing of any interest in the Company or any related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 Entitlement or Claims for Compensation. </w:t>
      </w:r>
      <w:r>
        <w:rPr>
          <w:rFonts w:ascii="Times New Roman" w:cs="Times New Roman" w:eastAsia="Times New Roman" w:hAnsi="Times New Roman"/>
          <w:sz w:val="22"/>
          <w:szCs w:val="22"/>
          <w:color w:val="auto"/>
        </w:rPr>
        <w:t>These provisions supplement Section 11 of the Award Agreement:</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Modification. </w:t>
      </w:r>
      <w:r>
        <w:rPr>
          <w:rFonts w:ascii="Times New Roman" w:cs="Times New Roman" w:eastAsia="Times New Roman" w:hAnsi="Times New Roman"/>
          <w:sz w:val="22"/>
          <w:szCs w:val="22"/>
          <w:color w:val="auto"/>
        </w:rPr>
        <w:t>By accepting the Restricted Stock Units, Participant understands and agrees that any modification of the Plan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or its termination shall not constitute a change or impairment of the terms and conditions of employment.</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Policy Statement. </w:t>
      </w:r>
      <w:r>
        <w:rPr>
          <w:rFonts w:ascii="Times New Roman" w:cs="Times New Roman" w:eastAsia="Times New Roman" w:hAnsi="Times New Roman"/>
          <w:sz w:val="22"/>
          <w:szCs w:val="22"/>
          <w:color w:val="auto"/>
        </w:rPr>
        <w:t>The Award of Restricted Stock Units the Company is making under the Plan is unilateral and discretionary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the Company reserves the absolute right to amend it and discontinue it at any time without any liability.</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Company, with registered offices at 899 Kifer Road, Sunnyvale, CA 94086, U.S.A., is solely responsible for the administration of the Plan and participation in the Plan and the acquisition of Shares does not, in any way, establish an employment relationship between Participant and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Company since Participant is participating in the Plan on a wholly commercial basis and the sole employer is Fortinet, Inc., located at Prol. Paseo de la Reforma 115 Int. 702, Col. Lomas de Santa Fe, Del. Alvaro Obregon, Mexico, D.F. C.P. 01219, nor does it establish any rights between Participant and the Employer.</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Plan Document Acknowledgment. </w:t>
      </w:r>
      <w:r>
        <w:rPr>
          <w:rFonts w:ascii="Times New Roman" w:cs="Times New Roman" w:eastAsia="Times New Roman" w:hAnsi="Times New Roman"/>
          <w:sz w:val="22"/>
          <w:szCs w:val="22"/>
          <w:color w:val="auto"/>
        </w:rPr>
        <w:t>By accepting the Award of Restricted Stock Units, Participant acknowledges that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received copies of the Plan, has reviewed the Plan and the Award Agreement in their entirety and fully understands and accepts all provisions of the Plan and the Award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addition, by accepting the Award Agreement, Participant further acknowledges that Participant has read and specifically and expressly approved the terms and conditions in the Award Agreement, in which the following is clearly described and established:</w:t>
      </w:r>
    </w:p>
    <w:p>
      <w:pPr>
        <w:spacing w:after="0" w:line="2" w:lineRule="exact"/>
        <w:rPr>
          <w:sz w:val="20"/>
          <w:szCs w:val="20"/>
          <w:color w:val="auto"/>
        </w:rPr>
      </w:pPr>
    </w:p>
    <w:p>
      <w:pPr>
        <w:jc w:val="both"/>
        <w:ind w:firstLine="8"/>
        <w:spacing w:after="0" w:line="246" w:lineRule="auto"/>
        <w:tabs>
          <w:tab w:leader="none" w:pos="2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does not constitute an acquired right; (ii) the Plan and participation in the Plan is offered by the Company on a wholly discretionary basis; (iii) participation in the Plan is voluntary; and (iv) the Company and any Parent or Subsidiary are not responsible for any decrease in the value of the Shares underlying the Restricted Stock Units.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Participant hereby declares that Participant does not reserve any action or right to bring any claim against the Company for any compensation or damages as a result of Participant’s participation in the Plan and therefore grants a full and broad release to the Employer, the Company and any Parent or Subsidiary with respect to any claim that may arise under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Sin derecho a compensación o reclamaciones por compensación. </w:t>
      </w:r>
      <w:r>
        <w:rPr>
          <w:rFonts w:ascii="Times New Roman" w:cs="Times New Roman" w:eastAsia="Times New Roman" w:hAnsi="Times New Roman"/>
          <w:sz w:val="22"/>
          <w:szCs w:val="22"/>
          <w:i w:val="1"/>
          <w:iCs w:val="1"/>
          <w:color w:val="auto"/>
        </w:rPr>
        <w:t>Estas disposiciones complementan el Contrato:</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Modificación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Al aceptar las Unidades de Acciones Restringidas, el Participante entiende y acuerda que cualquier modificación 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Plan o al Contrato o su terminación no constituirá un cambio o perjuicio a los términos y condiciones de empleo.</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Declaración de Política. </w:t>
      </w:r>
      <w:r>
        <w:rPr>
          <w:rFonts w:ascii="Times New Roman" w:cs="Times New Roman" w:eastAsia="Times New Roman" w:hAnsi="Times New Roman"/>
          <w:sz w:val="22"/>
          <w:szCs w:val="22"/>
          <w:i w:val="1"/>
          <w:iCs w:val="1"/>
          <w:color w:val="auto"/>
        </w:rPr>
        <w:t>El Otorgamiento de Unidades de Acciones Restringidas que la Compañía está haciendo de conformidad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con el Plan es unilateral y discrecional y, por lo tanto, la Compañía se reserva el derecho absoluto de modificar y discontinuar el mismo en cualquier momento, sin responsabilidad alguna.</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La Compañía, con oficinas registradas ubicadas en 899 Kifer Road, Sunnyvale, CA 94086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Times New Roman" w:cs="Times New Roman" w:eastAsia="Times New Roman" w:hAnsi="Times New Roman"/>
          <w:sz w:val="22"/>
          <w:szCs w:val="22"/>
          <w:color w:val="auto"/>
        </w:rPr>
        <w:t>es</w:t>
      </w:r>
      <w:r>
        <w:rPr>
          <w:rFonts w:ascii="Times New Roman" w:cs="Times New Roman" w:eastAsia="Times New Roman" w:hAnsi="Times New Roman"/>
          <w:sz w:val="22"/>
          <w:szCs w:val="22"/>
          <w:i w:val="1"/>
          <w:iCs w:val="1"/>
          <w:color w:val="auto"/>
        </w:rPr>
        <w:t xml:space="preserve"> Fortinet, Inc., Prol. Paseo de la Reforma 115 Int. 702, Col. Lomas de Santa Fe, Del. Alvaro Obregon, Mexico, D.F. C.P. 01219, y tampoco establece ningún derecho entre el Participante y el Patrón.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Reconocimiento del Documento del Plan. </w:t>
      </w:r>
      <w:r>
        <w:rPr>
          <w:rFonts w:ascii="Times New Roman" w:cs="Times New Roman" w:eastAsia="Times New Roman" w:hAnsi="Times New Roman"/>
          <w:sz w:val="22"/>
          <w:szCs w:val="22"/>
          <w:i w:val="1"/>
          <w:iCs w:val="1"/>
          <w:color w:val="auto"/>
        </w:rPr>
        <w:t>Al aceptar el Otorgamiento de las Unidades de Acciones Restringidas, el Participante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reconoce que el Participante ha recibido copias del Plan, ha revisado el Plan y el Contrato en su totalidad y entiende y acepta completamente todas las disposiciones contenidas en el Plan y en el Contrato.</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NIGERIA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PANAMA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Restricted Stock Units and any Shares which may be issued to Participant upon vesting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the Restricted Stock Units are not subject to registration under Panamanian Law as they are not intended for the public, but solely for Participant’s benefit.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offer of the Restricted Stock Units is considered a private offering in Peru; therefore, it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registration in Peru.</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PHILIPPINES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Restricted Stock Units Payable Only in Cash</w:t>
      </w:r>
      <w:r>
        <w:rPr>
          <w:rFonts w:ascii="Times New Roman" w:cs="Times New Roman" w:eastAsia="Times New Roman" w:hAnsi="Times New Roman"/>
          <w:sz w:val="22"/>
          <w:szCs w:val="22"/>
          <w:color w:val="auto"/>
        </w:rPr>
        <w:t>. Notwithstanding Section 2 of the Award Agreement, each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represents the right to receive the cash equivalent of the Fair Market Value of a Share on the date it vests. For the avoidance of doubt, Participant shall not be entitled to receive any Shares pursuant to any vested Restricted Stock Units or pursuant to Dividend Equivalents.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Polish residents holding foreign securities (including Shares) and maintaining accounts abroad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report information to the National Bank of Poland on transactions and balances of the securities and cash deposited in such accounts if the value of such securities and cash (when combined with all other assets held abroad) exceeds PLN 7,000,000. If required, the reports must be filed on a quarterly basis on special forms available on the website of the National Bank of Poland. Further, any transfer of funds in excess of a specified threshold (currently €15,000) must be effected through a bank account in Poland. Participant should maintain evidence of such foreign exchange transactions for five years, in case of a request for their production by the National Bank of Poland.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PORTUGAL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Participant hereby expressly declares that he or she has full knowledge of the English language and has read,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understood and fully accepted and agreed with the terms and conditions established in the Plan and the Award Agreement.</w:t>
      </w:r>
    </w:p>
    <w:p>
      <w:pPr>
        <w:spacing w:after="0" w:line="15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i w:val="1"/>
          <w:iCs w:val="1"/>
          <w:color w:val="auto"/>
        </w:rPr>
        <w:t>Conhecimento da Lingua. O Participante pelo presente declara expressamente que tem pleno conhecimento da língua inglesa e que leu, compreendeu e livremente aceitou e concordou com os termos e condições estabelecidas no Plano e no Acordo de Atribuição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does not hold the Shares acquired at vesting with a Portuguese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intermediary, Participant may need to file a report with the Portuguese Central Bank. If the Shares are held by a Portuguese financial intermediary, it will file the report for Participant.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QATAR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deposits the proceeds from the sale of Shares issued to him or her at vesting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the Shares or any Dividend Equivalents paid on such Shares in a bank account in Romania, Participant may be required to provide the Romanian bank with appropriate documentation explaining the source of the funds.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should consult his or her personal advisor to determine whether Participant will be required to submit such documentation to the Romanian bank.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U.S. Transaction. </w:t>
      </w:r>
      <w:r>
        <w:rPr>
          <w:rFonts w:ascii="Times New Roman" w:cs="Times New Roman" w:eastAsia="Times New Roman" w:hAnsi="Times New Roman"/>
          <w:sz w:val="22"/>
          <w:szCs w:val="22"/>
          <w:color w:val="auto"/>
        </w:rPr>
        <w:t>The Plan, the Award Agreement, including this Addendum, and all other materials Participant may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Participant’s participation in the Plan or the grant of Restricted Stock Units do not constitute advertising or an offering of securities in Russia. The issuance of Shares acquired at vesting has not and will not be registered in Russia; therefore, such Shares may not be offered or placed in public circulation in Russia.</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no event will Shares acquired at vesting be delivered to Participant in Russia; all Shares will be maintained on Participant’s behalf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is not permitted to sell Shares acquired at vesting directly to a Russian legal entity or resident.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Depending on the development of local regulatory requirements, the Company reserves the right to settle the Restricted Stock Units in cash and/or to pay any proceeds related to the Restricted Stock Units to Participant through local payroll.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This notification supplements Section 13 of the Award Agreement:</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Restricted Stock Units to Participant or other awards or administer or maintain such awards. Therefore, Participant understands that refusing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7" w:lineRule="exact"/>
        <w:rPr>
          <w:sz w:val="20"/>
          <w:szCs w:val="20"/>
          <w:color w:val="auto"/>
        </w:rPr>
      </w:pPr>
    </w:p>
    <w:p>
      <w:pPr>
        <w:ind w:right="800"/>
        <w:spacing w:after="0" w:line="449" w:lineRule="auto"/>
        <w:rPr>
          <w:sz w:val="20"/>
          <w:szCs w:val="20"/>
          <w:color w:val="auto"/>
        </w:rPr>
      </w:pPr>
      <w:r>
        <w:rPr>
          <w:rFonts w:ascii="Times New Roman" w:cs="Times New Roman" w:eastAsia="Times New Roman" w:hAnsi="Times New Roman"/>
          <w:sz w:val="22"/>
          <w:szCs w:val="22"/>
          <w:b w:val="1"/>
          <w:bCs w:val="1"/>
          <w:i w:val="1"/>
          <w:iCs w:val="1"/>
          <w:color w:val="auto"/>
        </w:rPr>
        <w:t xml:space="preserve">to complete a Consent form or withdrawing his or her consent may affect Participant’s ability to participate in the Plan. </w:t>
      </w:r>
      <w:r>
        <w:rPr>
          <w:rFonts w:ascii="Times New Roman" w:cs="Times New Roman" w:eastAsia="Times New Roman" w:hAnsi="Times New Roman"/>
          <w:sz w:val="22"/>
          <w:szCs w:val="22"/>
          <w:i w:val="1"/>
          <w:iCs w:val="1"/>
          <w:color w:val="auto"/>
        </w:rPr>
        <w:t>Notifications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repatriate the proceeds from the sale of Shares to Russia within a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 period after receipt. The sale proceeds must be initially credited to Participant through a foreign currency account opened in Participant’s name at an authorized bank in Russia. After the funds are initially received in Russia,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Participant is strongly advised to contact his or her personal advisor before Restricted Stock Units vest and Shares are sold as significant penalties may apply in the case of non-compliance with exchange control requirements and because such exchange control requirements may change.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SAUDI ARABIA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Restricted Stock Units Payable Only in Cash</w:t>
      </w:r>
      <w:r>
        <w:rPr>
          <w:rFonts w:ascii="Times New Roman" w:cs="Times New Roman" w:eastAsia="Times New Roman" w:hAnsi="Times New Roman"/>
          <w:sz w:val="22"/>
          <w:szCs w:val="22"/>
          <w:color w:val="auto"/>
        </w:rPr>
        <w:t>. Notwithstanding Section 2 of the Award Agreement, the grant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does not provide any right for Participant to receive Shares. Restricted Stock Units granted to Participants in Saudi Arabia shall be paid only in cash through local payroll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SINGAPORE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Restricted Stock Units are being granted in reliance on Section 273(1)(f) of the Securities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Futures Act (Chapter 289, 2006 Ed.) (“SFA”), under which it is exempt from the prospectus and registration requirements under the SFA. The Plan has not been lodged or registered as a prospectus with the Monetary Authority of Singapore. The Restricted Stock Units are subject to Section 257 of the SFA and the Participant should not sell, or offer for sale, Shares acquired upon vesting of the Restricted Stock Units, unless such sale or offer is made (a) after 6 months of the grant of the Restricted Stock Units to Participant; or (b) pursuant to the exemptions under Part XIII Division (1) Subdivision (4) (other than Section 280) of the SFA.</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Chief Executive Officer and Director Notification Obligation. </w:t>
      </w:r>
      <w:r>
        <w:rPr>
          <w:rFonts w:ascii="Times New Roman" w:cs="Times New Roman" w:eastAsia="Times New Roman" w:hAnsi="Times New Roman"/>
          <w:sz w:val="22"/>
          <w:szCs w:val="22"/>
          <w:color w:val="auto"/>
        </w:rPr>
        <w:t>The Chief Executive Officer and the Directors of a Singaporean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Parent or Subsidiary are subject to certain notification requirements under the Singapore Companies Act. The Chief Executive Officer and the Directors must notify the Singapore Parent or Subsidiary in writing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unvested Restricted Stock Units,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Shares, etc.) in the Company or any Parent or Subsidiary within two (2) business days of (i) its acquisition or disposal, (ii) any change in previously disclosed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when Shares acquired at vesting are sold), or (iii) becoming the CEO and/or a director.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SLOVAKIA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If Participant permanently resides in the Slovak Republic and, apart from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employed, carries on business activities as an independent entrepreneur (in Slovakian, </w:t>
      </w:r>
      <w:r>
        <w:rPr>
          <w:rFonts w:ascii="Times New Roman" w:cs="Times New Roman" w:eastAsia="Times New Roman" w:hAnsi="Times New Roman"/>
          <w:sz w:val="22"/>
          <w:szCs w:val="22"/>
          <w:i w:val="1"/>
          <w:iCs w:val="1"/>
          <w:color w:val="auto"/>
        </w:rPr>
        <w:t>podnikatel</w:t>
      </w:r>
      <w:r>
        <w:rPr>
          <w:rFonts w:ascii="Times New Roman" w:cs="Times New Roman" w:eastAsia="Times New Roman" w:hAnsi="Times New Roman"/>
          <w:sz w:val="22"/>
          <w:szCs w:val="22"/>
          <w:color w:val="auto"/>
        </w:rPr>
        <w:t>), Participant will be obligated to report his or her foreign assets (including Shares) to the National Bank of Slovakia (provided that the value of the foreign assets exceeds an amount of €2,000,000).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SLOVENIA</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Slovenian residents may be required to report the opening of bank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accounts to tax authorities within 15 days of opening such account. Participants should consult with their personal tax advisor to determine whether this requirement will be applicable to any accounts opened in connection with participation in the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Participant’s brokerage account with the Company’s designated broker).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AFRICA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Withholding Taxes. </w:t>
      </w:r>
      <w:r>
        <w:rPr>
          <w:rFonts w:ascii="Times New Roman" w:cs="Times New Roman" w:eastAsia="Times New Roman" w:hAnsi="Times New Roman"/>
          <w:sz w:val="22"/>
          <w:szCs w:val="22"/>
          <w:color w:val="auto"/>
        </w:rPr>
        <w:t>This provision supplements Section 7 of the Award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Restricted Stock Units, Participant agrees to immediately notify the Employer of the amount of any gain realized upon vesting of the Restricted Stock Units. If Participant fails to advise the Employer of the gain realized at vesting, Participant may be liable for a fine. Participant will be responsible for paying any difference between the actual tax liability and the amount withheld.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is responsible for complying with applicable South African exchange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This provision supplements Section 10 of the Award Agreement:</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By accepting the Restricted Stock Units, Participant consents to participation in the Plan and acknowledges that Participant has received a copy of the Plan.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Participant understands that the Company has unilaterally, gratuitously, and in its sole discretion decided to grant Restricted Stock Units under the Plan to individuals who may be Service Providers throughout the world. The decision is a limited decision that is entered into upon the express assumption and condition that any grant will not bind the Company or any Parent or Subsidiary, other than to the extent set forth in this Award Agreement. Consequently, Participant understands that the Restricted Stock Units are granted on the assumption and condition that the Restricted Stock Units and any Shares acquired at vesting of the Restricted Stock Units are not part of any employment or service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Restricted Stock Units shall be null and void.</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Further, except as otherwise provided in the Plan and the Award Agreement, Participant understands that he or she will not be entitled to continue vesting in any Restricted Stock Units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the Royal Decree 1382/1985. Participant acknowledges that Participant has read and specifically accepts the vesting and termination conditions in the Award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Restricted Stock Units do not qualify under Spanish Law as securities. No “offer to the public,”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defined under Spanish Law, has taken place or will take place in the Spanish territory. Neither the Plan nor the Award Agreement have been registered with the </w:t>
      </w:r>
      <w:r>
        <w:rPr>
          <w:rFonts w:ascii="Times New Roman" w:cs="Times New Roman" w:eastAsia="Times New Roman" w:hAnsi="Times New Roman"/>
          <w:sz w:val="21"/>
          <w:szCs w:val="21"/>
          <w:i w:val="1"/>
          <w:iCs w:val="1"/>
          <w:color w:val="auto"/>
        </w:rPr>
        <w:t>Comisión Nacronal del Mercado de Valores</w:t>
      </w:r>
      <w:r>
        <w:rPr>
          <w:rFonts w:ascii="Times New Roman" w:cs="Times New Roman" w:eastAsia="Times New Roman" w:hAnsi="Times New Roman"/>
          <w:sz w:val="21"/>
          <w:szCs w:val="21"/>
          <w:color w:val="auto"/>
        </w:rPr>
        <w:t xml:space="preserve"> and do not constitute a public offering prospectus.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declare the acquisition of Shares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Spanish Dirección General de Comercio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e Inversiones </w:t>
      </w:r>
      <w:r>
        <w:rPr>
          <w:rFonts w:ascii="Times New Roman" w:cs="Times New Roman" w:eastAsia="Times New Roman" w:hAnsi="Times New Roman"/>
          <w:sz w:val="22"/>
          <w:szCs w:val="22"/>
          <w:color w:val="auto"/>
        </w:rPr>
        <w:t>(the “DGCI”), the Bureau for Commerce and Investments, which is a department of the Ministry of Economy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Competitiveness. Participant must also declare ownership of any Shares by filing a Form D-6 with the Directorate of Foreign Transactions each January while the Shares are owned. In addition, the sale of Shares must also be declared on Form D-6 filed with the DGCI in January, unless the sale proceeds exceed the applicable threshold (currently €1,502,530), in which case, the filing is due within one month after the sale.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Participant is required to declare electronically to the Bank of Spain any foreign accounts (including brokerage accounts held abroad), any foreign instruments (including any Shares acquired under the Plan) and any transactions with non-Spanish residents (including any payments of Shares made to Participant by the Company) depending on the value of such accounts and instruments and the amount of the transactions during the relevant year as of December 31 of the relevant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Foreign Asset/Accounting Reporting Information. </w:t>
      </w:r>
      <w:r>
        <w:rPr>
          <w:rFonts w:ascii="Times New Roman" w:cs="Times New Roman" w:eastAsia="Times New Roman" w:hAnsi="Times New Roman"/>
          <w:sz w:val="21"/>
          <w:szCs w:val="21"/>
          <w:color w:val="auto"/>
        </w:rPr>
        <w:t>If Participant holds rights or assets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or cash held in a bank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account) outside of Spain with a value in excess of €50,000 per type of right or asset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offering of Restricted Stock Units is considered a private offering in Switzerland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not subject to registration in Switzerland.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TAIWAN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Data Privacy Acknowledgement</w:t>
      </w:r>
      <w:r>
        <w:rPr>
          <w:rFonts w:ascii="Times New Roman" w:cs="Times New Roman" w:eastAsia="Times New Roman" w:hAnsi="Times New Roman"/>
          <w:sz w:val="22"/>
          <w:szCs w:val="22"/>
          <w:color w:val="auto"/>
        </w:rPr>
        <w:t>. Participant acknowledges that he or she has read and understands the terms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collection, processing and transfer of Data contained in Section 13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that he or she will not be able to participate in the Plan if Participant fails to execute any such consent or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may acquire and remit foreign currency (including proceeds from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receipt of dividends) up to US$5,000,000 per year without justification.</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the transaction amount is TWD500,000 or more in a single transaction, Participant must submit a Foreign Exchange Transaction Form. If the transaction amount is US$500,000 or more in a single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Participant must also provide supporting documentation to the satisfaction of the remitting bank.</w:t>
      </w:r>
    </w:p>
    <w:p>
      <w:pPr>
        <w:spacing w:after="0" w:line="2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the proceeds from the sale of Shares or the receipt of dividends and Dividend Equivalents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Participant does not comply with this obligation, Participant may be subject to penalties assessed by the Bank of Thailand. Because exchange control regulations change frequently and 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TUNISIA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Settlement of Restricted Stock Units and Sale of Shares. </w:t>
      </w:r>
      <w:r>
        <w:rPr>
          <w:rFonts w:ascii="Times New Roman" w:cs="Times New Roman" w:eastAsia="Times New Roman" w:hAnsi="Times New Roman"/>
          <w:sz w:val="21"/>
          <w:szCs w:val="21"/>
          <w:color w:val="auto"/>
        </w:rPr>
        <w:t>Due to local regulatory requirements, upon the vesting of the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Participant agrees to the immediate sale of any Shares to be issued to him or her upon vesting and settlement of the Restricted Stock Units.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All proceeds from the sale of Shares as described above must be repatriated to Tunisia.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should consult his or her 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TURKEY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Under Turkish law, Participant is not permitted to sell Shares acquired under the Plan in Turkey.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are currently traded on the Nasdaq Global Select Market, which is located outside of Turkey, under the ticker symbol “FTNT” and the Shares may be sold through this exchange.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likely will be required to engage a Turkish financial intermediary to assist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Restricted Stock Units or any sale of Shares to ensure compliance.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Participation in the Plan is being offered only to selected Service Providers and is in the nature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equity incentives to Service Providers in the United 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Restricted Stock Units Payable Only in Shares. </w:t>
      </w:r>
      <w:r>
        <w:rPr>
          <w:rFonts w:ascii="Times New Roman" w:cs="Times New Roman" w:eastAsia="Times New Roman" w:hAnsi="Times New Roman"/>
          <w:sz w:val="22"/>
          <w:szCs w:val="22"/>
          <w:color w:val="auto"/>
        </w:rPr>
        <w:t>Notwithstanding any discretion in the Plan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the grant of Restricted Stock Units does not provide any right for Participant to receive a cash payment, and the Restricted Stock Units are payable in Shares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Withholding Taxes. </w:t>
      </w:r>
      <w:r>
        <w:rPr>
          <w:rFonts w:ascii="Times New Roman" w:cs="Times New Roman" w:eastAsia="Times New Roman" w:hAnsi="Times New Roman"/>
          <w:sz w:val="22"/>
          <w:szCs w:val="22"/>
          <w:color w:val="auto"/>
        </w:rPr>
        <w:t>This provision supplements Section 7 of the Award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6584426-v15\GESDMS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payment or withholding of the income tax due is not made within ninety (90) days of the end of the U.K. tax year (April 6 - April</w:t>
      </w:r>
    </w:p>
    <w:p>
      <w:pPr>
        <w:spacing w:after="0" w:line="39" w:lineRule="exact"/>
        <w:rPr>
          <w:sz w:val="20"/>
          <w:szCs w:val="20"/>
          <w:color w:val="auto"/>
        </w:rPr>
      </w:pPr>
    </w:p>
    <w:p>
      <w:pPr>
        <w:jc w:val="both"/>
        <w:ind w:firstLine="8"/>
        <w:spacing w:after="0" w:line="259" w:lineRule="auto"/>
        <w:tabs>
          <w:tab w:leader="none" w:pos="23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which such event giving rise to the income tax liability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Her Majesty’s Revenue &amp; Customs (“HMRC”), it will be immediately due and repayable, and the Company or the Employer may recover it at any time thereafter by any of the means referred to in Section 10 of the Award Agreement.</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10 of the Award Agreement.</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Joint Election for Transfer of the Employer’s Secondary Class 1 NICs Liability to the Participant. </w:t>
      </w:r>
      <w:r>
        <w:rPr>
          <w:rFonts w:ascii="Times New Roman" w:cs="Times New Roman" w:eastAsia="Times New Roman" w:hAnsi="Times New Roman"/>
          <w:sz w:val="22"/>
          <w:szCs w:val="22"/>
          <w:color w:val="auto"/>
        </w:rPr>
        <w:t>As a condition of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Restricted Stock Units, Participant agrees to accept any liability for secondary Class 1 NICs, which may be payable by the Company or the Employer in connection with the Restricted Stock Units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Restricted Stock Units. Participant further agrees to enter into such other joint elections as may be required between Participant and any successor to the Company and/or the Employer. If Participant does not enter into the Election prior to the vesting of the Restricted Stock Units, Participant shall, without any liability to the Company or any Parent or Subsidiary, not be entitled to vest in the Restricted Stock Units.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further agrees that the Company and/or the Employer may collect the Employer NICs by any of the means set forth in Section 10 of the Award Agreement, as supplemented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2009 EQUITY INCENTIVE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 AGREEMENT</w:t>
      </w:r>
    </w:p>
    <w:p>
      <w:pPr>
        <w:spacing w:after="0" w:line="33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the terms defined in the Fortinet, Inc. 2009 Equity Incentive Plan (the “Plan”) will have the same defined meanings in this Performance Stock Unit Award Agreement (the “Award Agreement”).</w:t>
      </w:r>
    </w:p>
    <w:p>
      <w:pPr>
        <w:spacing w:after="0" w:line="154" w:lineRule="exact"/>
        <w:rPr>
          <w:sz w:val="20"/>
          <w:szCs w:val="20"/>
          <w:color w:val="auto"/>
        </w:rPr>
      </w:pPr>
    </w:p>
    <w:p>
      <w:pPr>
        <w:ind w:left="660" w:right="5420" w:hanging="652"/>
        <w:spacing w:after="0" w:line="448" w:lineRule="auto"/>
        <w:tabs>
          <w:tab w:leader="none" w:pos="79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NOTICE OF PERFORMANCE STOCK UNIT GRANT </w:t>
      </w:r>
      <w:r>
        <w:rPr>
          <w:rFonts w:ascii="Times New Roman" w:cs="Times New Roman" w:eastAsia="Times New Roman" w:hAnsi="Times New Roman"/>
          <w:sz w:val="22"/>
          <w:szCs w:val="22"/>
          <w:b w:val="1"/>
          <w:bCs w:val="1"/>
          <w:color w:val="auto"/>
        </w:rPr>
        <w:t>Participant Name:</w:t>
      </w: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You have been granted the right to receive an Award of Performance Stock Units, the vesting of which is based on the attainment of performance goals (“PSUs”), subject to the terms and conditions of the Plan and this Award Agreement, as follows:</w:t>
      </w:r>
    </w:p>
    <w:p>
      <w:pPr>
        <w:spacing w:after="0" w:line="200" w:lineRule="exact"/>
        <w:rPr>
          <w:sz w:val="20"/>
          <w:szCs w:val="20"/>
          <w:color w:val="auto"/>
        </w:rPr>
      </w:pP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Performance Period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28575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Subject to any acceleration provisions contained in the Plan or in this Award Agreement, any Earned PSUs (as defined in the Performance Goal Matrix that is attached hereto as Exhibit B) will vest as to one-third (1/3) on the first, second and third anniversary of the Date of Grant,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Participant remains a Service Provider from the Date of Grant through the respective vesting date.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soon as reasonably practicable after the completion of the Performance Period, the Administrator shall determine the actual level of attainment of the performance goal (the "Performance Goal") which determines the number of Earned PSUs, if any. On the basis of the determination of the level of attainment of the Performance Goal, the number of PSUs that are eligible to vest shall be calculated. The Administrator may make such adjustment to the Performance Goal as the Administrator in its sole discretion deems appropriate.</w:t>
      </w:r>
    </w:p>
    <w:p>
      <w:pPr>
        <w:spacing w:after="0" w:line="1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otherwise provided in the Plan or in this Award Agreement, in the event Participant ceases to be a Service Provider for any or no reason before Participant vests in the PSUs, the PSUs and Participant’s right to acquire any Shares hereunder will immediately terminate.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By Participant’s signature and the signature of the representative of the Company on the signature page that follows, Participant and the Company agree that this Award of PSUs is granted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under and governed by the terms and conditions of the Plan and this Award Agreement, including the Terms and Conditions of Performance Stock Unit Grant, attached hereto as Exhibit A, the Performance Goal Matrix attached hereto as Exhibit B and the Addendum with additional country-specific terms and conditions (the “Addendum”) attached hereto as Exhibit C, all of which are made a part of this Award Agreement. Participant has reviewed the Plan and this Award 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[Signature page follows]</w:t>
            </w:r>
          </w:p>
        </w:tc>
      </w:tr>
      <w:tr>
        <w:trPr>
          <w:trHeight w:val="849"/>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PARTICIPANT:</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FORTINET, INC.</w:t>
            </w:r>
          </w:p>
        </w:tc>
      </w:tr>
      <w:tr>
        <w:trPr>
          <w:trHeight w:val="663"/>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7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Signature</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r>
      <w:tr>
        <w:trPr>
          <w:trHeight w:val="339"/>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76"/>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Print Name</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r>
      <w:tr>
        <w:trPr>
          <w:trHeight w:val="784"/>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Residence Address: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72"/>
        </w:trPr>
        <w:tc>
          <w:tcPr>
            <w:tcW w:w="4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18"/>
        </w:trPr>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PERFORMANCE STOCK UNIT GRANT</w:t>
      </w:r>
    </w:p>
    <w:p>
      <w:pPr>
        <w:spacing w:after="0" w:line="116" w:lineRule="exact"/>
        <w:rPr>
          <w:sz w:val="20"/>
          <w:szCs w:val="20"/>
          <w:color w:val="auto"/>
        </w:rPr>
      </w:pPr>
    </w:p>
    <w:p>
      <w:pPr>
        <w:jc w:val="both"/>
        <w:ind w:firstLine="656"/>
        <w:spacing w:after="0" w:line="260" w:lineRule="auto"/>
        <w:tabs>
          <w:tab w:leader="none" w:pos="110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individual named in the Notice of Grant attached as Part I of this Award Agreement (the “Participant”) under the Plan an Award of PSUs, the vesting of which is based on the attainment of the Performance Goal set forth in the Performance Goal Matrix (attached as Exhibit B), subject to all of the terms and conditions in this Award Agreement and the Plan, which are incorporated herein by reference. Capitalized terms not defined herein shall have the meanings ascribed to such terms in the Notice of Grant and the Plan.</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Section 19 of the Plan, in the event of a conflict between the terms and conditions of the Plan and the terms and conditions of this Award Agreement, the terms and conditions of the Plan will prevail; provided, however, that to the extent the PSUs are intended to constitute Qualified Performance-Based Compensation, the provisions of the Performance Award Plan will prevail to the extent necessary to ensure that the PSUs will be treated as Qualified Performance-Based Compensation.</w:t>
      </w:r>
    </w:p>
    <w:p>
      <w:pPr>
        <w:spacing w:after="0" w:line="64" w:lineRule="exact"/>
        <w:rPr>
          <w:sz w:val="20"/>
          <w:szCs w:val="20"/>
          <w:color w:val="auto"/>
        </w:rPr>
      </w:pPr>
    </w:p>
    <w:p>
      <w:pPr>
        <w:jc w:val="both"/>
        <w:ind w:firstLine="656"/>
        <w:spacing w:after="0" w:line="247" w:lineRule="auto"/>
        <w:tabs>
          <w:tab w:leader="none" w:pos="11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Unless and until the PSUs will have vested in the manner set forth in Section 3, Participant will have no right to payment of any such PSUs. Prior to actual payment of any vested PSUs, such PSU will represent an unsecured obligation of the Company, payable (if at all) only from the general assets of the Company. Any PSUs that vest in accordance with Sections 3 or 4 will be paid to Participant (or in the event of Participant’s death, to his or her estate) in whole Shares, subject to Participant satisfying any Tax-Related Items as defined and as set forth in Section 8. Subject to the provisions of Section 4, such vested PSUs will be paid in Shares as soon as practicable after vesting, but in each such case within the period ending no later than the date that is two and one-half (2½) months from the end of the Company’s tax year that includes the vesting date.</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Except as provided in Section 4, and subject to Section 6, the PSUs awarded by this Award Agreement will vest in accordance with the vesting provisions set forth in the Notice of Grant. PSUs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6.</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0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PSUs at any time, subject to the terms of the Plan, provided, however, that the vesting of PSUs that are intended to constitute Qualified Performance-Based Compensation shall not be accelerated to the extent that any such vesting acceleration would cause the PSUs to fail to constitute Qualified Performance-Based Compensation. If so accelerated, such PSUs will be considered as having vested as of the date specified by the Administrator.</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Notwithstanding anything in the Plan or this Award Agreement to the contrary, if the vesting and payment of the balance, or some lesser portion of the balance, of the PSUs that constitute nonqualified deferred compensation subject to Section 409A is accelerated in connection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with Participant’s termination as a Service Provider (provided that such termination is a “separation from service” within the meaning of Section 409A, as determined by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other than due to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if (x) Participant is a U.S. taxpayer and “specified employee” within the meaning of Section 409A at the time of such termination as a Service Provider and (y) the payment of such accelerated PSUs will result in the imposition of additional tax under Section 409A if paid to Participant on or within the six (6) month period following Participant’s termination as a Service Provider, then the payment of such accelerated PSUs will not be made until the date six (6) months and one (1) day following the date of Participant’s termination as a Service Provider, unless Participant dies following his or her termination as a Service Provider, in which case, the PSUs will be paid in Shares to the Participant’s estate not more than ninety (90) days following his or her death. It is the intent of this Award Agreement to comply with the requirements of Section 409A so that none of the PSUs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94" w:lineRule="exact"/>
        <w:rPr>
          <w:sz w:val="20"/>
          <w:szCs w:val="20"/>
          <w:color w:val="auto"/>
        </w:rPr>
      </w:pPr>
    </w:p>
    <w:p>
      <w:pPr>
        <w:jc w:val="both"/>
        <w:ind w:firstLine="656"/>
        <w:spacing w:after="0" w:line="257" w:lineRule="auto"/>
        <w:tabs>
          <w:tab w:leader="none" w:pos="105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Participant shall be entitled to receive the equivalent value (in cash or Shares) of any dividends paid on each Share for each Earned PSU (as such term is defined in Exhibit B) (a “Dividend Equivalent”). Any Dividend Equivalent that becomes payable shall be paid at the same time that the underlying PSU is paid pursuant to Section 2.</w:t>
      </w:r>
    </w:p>
    <w:p>
      <w:pPr>
        <w:spacing w:after="0" w:line="173" w:lineRule="exact"/>
        <w:rPr>
          <w:rFonts w:ascii="Times New Roman" w:cs="Times New Roman" w:eastAsia="Times New Roman" w:hAnsi="Times New Roman"/>
          <w:sz w:val="22"/>
          <w:szCs w:val="22"/>
          <w:color w:val="auto"/>
        </w:rPr>
      </w:pPr>
    </w:p>
    <w:p>
      <w:pPr>
        <w:jc w:val="both"/>
        <w:ind w:firstLine="656"/>
        <w:spacing w:after="0" w:line="245" w:lineRule="auto"/>
        <w:tabs>
          <w:tab w:leader="none" w:pos="10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of Status as a Service Provider</w:t>
      </w:r>
      <w:r>
        <w:rPr>
          <w:rFonts w:ascii="Times New Roman" w:cs="Times New Roman" w:eastAsia="Times New Roman" w:hAnsi="Times New Roman"/>
          <w:sz w:val="22"/>
          <w:szCs w:val="22"/>
          <w:color w:val="auto"/>
        </w:rPr>
        <w:t>. Except as otherwise provided in the Plan or this Award Agreement, the balance of the PSUs that have not vested as of the time of Participant’s termination as a Service Provider, for any or no reason and Participant’s right to acquire any Shares hereunder, will immediately terminate upon Participant’s termination as a Service Provider. For purposes of the PSUs,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PSUs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PSU grant (including whether Participant may still be considered to be a Service Provider while on a leave of absence).</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3" w:lineRule="exact"/>
        <w:rPr>
          <w:sz w:val="20"/>
          <w:szCs w:val="20"/>
          <w:color w:val="auto"/>
        </w:rPr>
      </w:pPr>
    </w:p>
    <w:p>
      <w:pPr>
        <w:jc w:val="both"/>
        <w:ind w:firstLine="656"/>
        <w:spacing w:after="0" w:line="245" w:lineRule="auto"/>
        <w:tabs>
          <w:tab w:leader="none" w:pos="10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or dividend equivalents; and (2) do not commit to and are under no obligation to structure the terms of the grant or any aspect of the PSUs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Participant agrees to make adequate arrangements satisfactory to the Company and/or the Employer to satisfy all Tax-Related Items. Notwithstanding any contrary provision of this Award Agreement, no certificate representing the Shares will be issued to Participant, unless and until satisfactory arrangements (as determined by the Administrator) will have been made by Participant with respect to the payment of Tax-Related Items which the Company determines must be withheld with respect to such Shares.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Administrator, in its sole discretion and pursuant to such procedures as it may specify from time to time, may satisfy any Tax-Related Items, in whole or in part (without limitation) by (a) withholding from Participant’s wages or other cash compensation payable to Participant by the Company and/or any Parent or Subsidiary, (b) withhold otherwise deliverable Shares, or</w:t>
      </w:r>
    </w:p>
    <w:p>
      <w:pPr>
        <w:spacing w:after="0" w:line="3" w:lineRule="exact"/>
        <w:rPr>
          <w:sz w:val="20"/>
          <w:szCs w:val="20"/>
          <w:color w:val="auto"/>
        </w:rPr>
      </w:pPr>
    </w:p>
    <w:p>
      <w:pPr>
        <w:jc w:val="both"/>
        <w:ind w:firstLine="8"/>
        <w:spacing w:after="0" w:line="247" w:lineRule="auto"/>
        <w:tabs>
          <w:tab w:leader="none" w:pos="3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a sufficient number of such Shares otherwise deliverable to Participant through such means as the Company may determine in its sole discretion (whether through a broker or otherwise). Depending on the withholding method, the Company may withhold or account for Tax-Related Items by considering applicable minimum statutory withholding rates or other applicable withholding rates, including maximum applicable rates, in which case Participant will receive a refund of any over-withheld amount in cash and will have no entitlement to the Share equivalent.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 the extent determined appropriate by the Company in its discretion, it will have the right (but not the obligation) to satisfy any Tax-Related Items by reducing the number of Shares otherwise deliverable to Participant. In this case, for tax purposes, Participant will be deemed to have been issued the full number of Shares subject to the vested PSUs, notwithstanding that a number of the Shares are held back solely for the purpose of paying the Tax-Related Items.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Participant is a Section 16 officer of the Company under the Exchange Act, then the Company will withhold in Shares upon the relevant taxable or tax withholding event, as applicable, unless the Company determines that such withholding method is problematic under Applicable Laws. In this case, Participant may elect the form of withholding from the alternatives above.</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If Participant fails to make satisfactory arrangements for the payment of any required Tax-Related Items obligations hereunder at the time any applicable PSUs otherwise are scheduled to vest pursuant to Sections 3 or 4, Participant will permanently forfeit such PSUs and any right to receive Shares thereunder and the PSUs will be returned to the Company at no cost to the Company.</w:t>
      </w:r>
    </w:p>
    <w:p>
      <w:pPr>
        <w:spacing w:after="0" w:line="181" w:lineRule="exact"/>
        <w:rPr>
          <w:sz w:val="20"/>
          <w:szCs w:val="20"/>
          <w:color w:val="auto"/>
        </w:rPr>
      </w:pPr>
    </w:p>
    <w:p>
      <w:pPr>
        <w:jc w:val="both"/>
        <w:ind w:firstLine="656"/>
        <w:spacing w:after="0" w:line="250" w:lineRule="auto"/>
        <w:tabs>
          <w:tab w:leader="none" w:pos="1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656"/>
        <w:spacing w:after="0" w:line="260" w:lineRule="auto"/>
        <w:tabs>
          <w:tab w:leader="none" w:pos="114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PSUs PURSUANT TO THE VESTING CONDITIONS HEREOF IS EARNED ONLY BY CONTINUING AS AN ACTIVE SERVICE PROVIDER, AND NOT THROUGH THE ACT OF BEING HIRED, BEING GRANTED THIS AWARD OF PSUs OR ACQUIRING SHARES HEREUNDER. PARTICIPANT FURTHER ACKNOWLEDGES AND AGREES THAT THIS AWARD AGREEMENT, THE TRANSACTIONS CONTEMPLATED HEREUNDER AND THE VESTING CONDITIONS SET FORTH HEREIN DO NOT CONSTITUTE AN EXPRESS OR IMPLIED PROMISE OF CONTINUED ENGAGEMENT AS A SERVICE PROVIDER FOR THE PERFORMANCE PERIOD, FOR ANY PERIOD, OR AT ALL, AND WILL NOT INTERFERE IN ANY WAY WITH PARTICIPANT’S RIGHT OR THE RIGHT OF THE COMPANY (OR THE EMPLOYER) TO TERMINATE PARTICIPANT’S RELATIONSHIP AS A SERVICE PROVIDER AT ANY TIME, WITH OR WITHOUT CAUSE.</w:t>
      </w:r>
    </w:p>
    <w:p>
      <w:pPr>
        <w:spacing w:after="0" w:line="171"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7" w:lineRule="auto"/>
        <w:tabs>
          <w:tab w:leader="none" w:pos="118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during the first calendar quarter of the Performance Period, the PSUs shall be converted into time-vested Restricted Stock Units (the "Time-Based RSUs") for the Target Number of PSUs and vest in accordance with the vesting provisions set forth in the Notice of Grant and subject to Section 3 of this Award Agreement.</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after the end of the first calendar quarter but before the end of the Performance Period, the Earned PSUs shall be determined based on the attainment of the Performance Goals as determined for purposes of the most recent quarterly accounting accrual for the PSUs. Immediately prior to the closing date of the Change in Control,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such Earned PSUs shall be converted into Time-Based RSUs and vest in accordance with the vesting provisions set forth in the Notice of Grant.</w:t>
      </w:r>
    </w:p>
    <w:p>
      <w:pPr>
        <w:spacing w:after="0" w:line="158" w:lineRule="exact"/>
        <w:rPr>
          <w:sz w:val="20"/>
          <w:szCs w:val="20"/>
          <w:color w:val="auto"/>
        </w:rPr>
      </w:pPr>
    </w:p>
    <w:p>
      <w:pPr>
        <w:jc w:val="both"/>
        <w:ind w:firstLine="656"/>
        <w:spacing w:after="0" w:line="275" w:lineRule="auto"/>
        <w:tabs>
          <w:tab w:leader="none" w:pos="109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Time-Based RSUs shall be subject to the terms of the Plan, this Award Agreement (except for the terms pertaining to the attainment of Performance Goals) and to any Change in Control agreement entered into between Participant, the Company or any Parent or Subsidiary. Any references to PSUs in this Award Agreement shall be understood to refer to the Time-Based RSUs.</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Award, Participant acknowledges, understands and agrees that:</w:t>
      </w:r>
    </w:p>
    <w:p>
      <w:pPr>
        <w:spacing w:after="0" w:line="220" w:lineRule="exact"/>
        <w:rPr>
          <w:sz w:val="20"/>
          <w:szCs w:val="20"/>
          <w:color w:val="auto"/>
        </w:rPr>
      </w:pPr>
    </w:p>
    <w:p>
      <w:pPr>
        <w:ind w:firstLine="656"/>
        <w:spacing w:after="0" w:line="271" w:lineRule="auto"/>
        <w:tabs>
          <w:tab w:leader="none" w:pos="14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PSUs is voluntary and occasional and does not create any contractual or other right to receive future grants of PSUs, or benefits in lieu of PSUs, even if PSUs have been granted in the past;</w:t>
      </w:r>
    </w:p>
    <w:p>
      <w:pPr>
        <w:spacing w:after="0" w:line="157"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PSUs or other grants, if any, will be at the sole discretion of the Company;</w:t>
      </w:r>
    </w:p>
    <w:p>
      <w:pPr>
        <w:spacing w:after="0" w:line="219"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4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and the income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4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3" w:lineRule="exact"/>
        <w:rPr>
          <w:rFonts w:ascii="Times New Roman" w:cs="Times New Roman" w:eastAsia="Times New Roman" w:hAnsi="Times New Roman"/>
          <w:sz w:val="22"/>
          <w:szCs w:val="22"/>
          <w:color w:val="auto"/>
        </w:rPr>
      </w:pPr>
    </w:p>
    <w:p>
      <w:pPr>
        <w:ind w:left="1440" w:hanging="784"/>
        <w:spacing w:after="0"/>
        <w:tabs>
          <w:tab w:leader="none" w:pos="14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4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PSUs and the Shares subject to the PSUs, and the income and value of same, are not granted as consideration for, or in connection with, the service Participant may provide as a director of any Parent or Subsidiary of the Company.</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4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PSUs resulting from the termination of Participant's status as a Service Provider (for any reason whatsoever whether or not later found to be invalid or in breach of employment laws in the jurisdiction where Participant is employed or rendering services or the terms of Participant’s employment or service agreement, if any), and in consideration of the grant of the PSUs to which Participant is otherwise not entitled, Participant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agreed not to pursue such claim and agrees to execute any and all documents necessary to request dismissal or withdrawal of such claim; and</w:t>
      </w:r>
    </w:p>
    <w:p>
      <w:pPr>
        <w:spacing w:after="0" w:line="158" w:lineRule="exact"/>
        <w:rPr>
          <w:sz w:val="20"/>
          <w:szCs w:val="20"/>
          <w:color w:val="auto"/>
        </w:rPr>
      </w:pPr>
    </w:p>
    <w:p>
      <w:pPr>
        <w:jc w:val="both"/>
        <w:ind w:firstLine="656"/>
        <w:spacing w:after="0" w:line="275" w:lineRule="auto"/>
        <w:tabs>
          <w:tab w:leader="none" w:pos="141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196" w:lineRule="exact"/>
        <w:rPr>
          <w:rFonts w:ascii="Times New Roman" w:cs="Times New Roman" w:eastAsia="Times New Roman" w:hAnsi="Times New Roman"/>
          <w:sz w:val="21"/>
          <w:szCs w:val="21"/>
          <w:color w:val="auto"/>
        </w:rPr>
      </w:pPr>
    </w:p>
    <w:p>
      <w:pPr>
        <w:ind w:left="1420" w:hanging="764"/>
        <w:spacing w:after="0"/>
        <w:tabs>
          <w:tab w:leader="none" w:pos="14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60"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subject to the PSUs are not part of normal or expected compensation or salary for any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purpose; and</w:t>
      </w:r>
    </w:p>
    <w:p>
      <w:pPr>
        <w:spacing w:after="0" w:line="236" w:lineRule="exact"/>
        <w:rPr>
          <w:rFonts w:ascii="Times New Roman" w:cs="Times New Roman" w:eastAsia="Times New Roman" w:hAnsi="Times New Roman"/>
          <w:sz w:val="21"/>
          <w:szCs w:val="21"/>
          <w:color w:val="auto"/>
        </w:rPr>
      </w:pPr>
    </w:p>
    <w:p>
      <w:pPr>
        <w:jc w:val="both"/>
        <w:ind w:firstLine="1305"/>
        <w:spacing w:after="0" w:line="252" w:lineRule="auto"/>
        <w:tabs>
          <w:tab w:leader="none" w:pos="186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neither the Company, the Employer nor any Parent or Subsidiary shall be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w:t>
      </w:r>
    </w:p>
    <w:p>
      <w:pPr>
        <w:spacing w:after="0" w:line="220" w:lineRule="exact"/>
        <w:rPr>
          <w:sz w:val="20"/>
          <w:szCs w:val="20"/>
          <w:color w:val="auto"/>
        </w:rPr>
      </w:pPr>
    </w:p>
    <w:p>
      <w:pPr>
        <w:jc w:val="both"/>
        <w:ind w:firstLine="656"/>
        <w:spacing w:after="0" w:line="252" w:lineRule="auto"/>
        <w:tabs>
          <w:tab w:leader="none" w:pos="120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Participant hereby explicitly and unambiguously consents to the collection, use and transfer, in electronic or other form, of Participant’s personal data as described in this Award Agreement and any other PSU grant materials by and among, as applicable, the Employer, the Company and any Parent or Subsidiary for the exclusive purpose of implementing, administering and managing Participant’s participation in the Plan.</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PSUs or any other entitlement to shares of stock awarded, canceled, exercised, vested, unvested or outstanding in Participant’s favor (“Data”), for the exclusive purpose of implementing, administering and managing the Plan.</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be transferred to Charles Schwab &amp; Co., Inc.,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consequence of refusing or withdrawing Participant’s consent is that the Company would not be able to grant Participant PSUs or other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4" w:lineRule="exact"/>
        <w:rPr>
          <w:sz w:val="20"/>
          <w:szCs w:val="20"/>
          <w:color w:val="auto"/>
        </w:rPr>
      </w:pPr>
    </w:p>
    <w:p>
      <w:pPr>
        <w:jc w:val="both"/>
        <w:ind w:firstLine="656"/>
        <w:spacing w:after="0" w:line="257" w:lineRule="auto"/>
        <w:tabs>
          <w:tab w:leader="none" w:pos="12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in care of Stock Administration at Fortinet, Inc., at 899 Kifer Road, Sunnyvale, CA 94086, or at such other address as the Company may hereafter designate in writing.</w:t>
      </w:r>
    </w:p>
    <w:p>
      <w:pPr>
        <w:spacing w:after="0" w:line="17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31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w:t>
      </w:r>
    </w:p>
    <w:p>
      <w:pPr>
        <w:spacing w:after="0" w:line="180" w:lineRule="exact"/>
        <w:rPr>
          <w:sz w:val="20"/>
          <w:szCs w:val="20"/>
          <w:color w:val="auto"/>
        </w:rPr>
      </w:pPr>
    </w:p>
    <w:p>
      <w:pPr>
        <w:jc w:val="both"/>
        <w:ind w:firstLine="656"/>
        <w:spacing w:after="0" w:line="257" w:lineRule="auto"/>
        <w:tabs>
          <w:tab w:leader="none" w:pos="12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6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Authority</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PSUs awarded under the Plan or future PSUs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6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document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PSUs, but the Company shall not be under any obligation to make any such revision. Furthermore, nothing in this Award Agreement or the Plan shall provide a basis for any person to take action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against the Company or any Parent or Subsidiary based on matters covered by Section 409A, including the tax treatment of any PSU settled or amount paid or PSUs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spacing w:after="0" w:line="181" w:lineRule="exact"/>
        <w:rPr>
          <w:sz w:val="20"/>
          <w:szCs w:val="20"/>
          <w:color w:val="auto"/>
        </w:rPr>
      </w:pPr>
    </w:p>
    <w:p>
      <w:pPr>
        <w:jc w:val="both"/>
        <w:ind w:firstLine="656"/>
        <w:spacing w:after="0" w:line="275" w:lineRule="auto"/>
        <w:tabs>
          <w:tab w:leader="none" w:pos="117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Participant expressly warrants that he or she has received an Award of PSUs under the Plan, and has received, read and understood a description of the Plan. Participant understands that the Plan are discretionary in nature and may be amended, suspended or terminated by the Company at any time.</w:t>
      </w:r>
    </w:p>
    <w:p>
      <w:pPr>
        <w:spacing w:after="0" w:line="155" w:lineRule="exact"/>
        <w:rPr>
          <w:rFonts w:ascii="Times New Roman" w:cs="Times New Roman" w:eastAsia="Times New Roman" w:hAnsi="Times New Roman"/>
          <w:sz w:val="21"/>
          <w:szCs w:val="21"/>
          <w:color w:val="auto"/>
        </w:rPr>
      </w:pPr>
    </w:p>
    <w:p>
      <w:pPr>
        <w:jc w:val="both"/>
        <w:ind w:firstLine="656"/>
        <w:spacing w:after="0" w:line="249" w:lineRule="auto"/>
        <w:tabs>
          <w:tab w:leader="none" w:pos="11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agree that such litigation will be conducted in the courts of Santa Clara County, California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the federal courts for the United States for the Northern District of California, and no other courts, where this Award of Restricted Stock is made and/or to be performed.</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provisions in the Award Agreement, the PSU grant shall be subject to any special terms and conditions set forth in the Addendum, attached as Exhibit C, for Participant’s country.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the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PSU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 Market Abuse Restrictions</w:t>
      </w:r>
      <w:r>
        <w:rPr>
          <w:rFonts w:ascii="Times New Roman" w:cs="Times New Roman" w:eastAsia="Times New Roman" w:hAnsi="Times New Roman"/>
          <w:sz w:val="22"/>
          <w:szCs w:val="22"/>
          <w:color w:val="auto"/>
        </w:rPr>
        <w:t>. Participant may be subject to insider trading restrictions and/or market abuse laws, which may affect Participant’s ability to acquire or sell Shares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PSUs)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policy. Participant is responsible for ensuring Participant’s compliance with any applicable restrictions and is advised to speak with his or her personal legal advisor on this matter.</w:t>
      </w:r>
    </w:p>
    <w:p>
      <w:pPr>
        <w:spacing w:after="0" w:line="198" w:lineRule="exact"/>
        <w:rPr>
          <w:sz w:val="20"/>
          <w:szCs w:val="20"/>
          <w:color w:val="auto"/>
        </w:rPr>
      </w:pPr>
    </w:p>
    <w:p>
      <w:pPr>
        <w:jc w:val="both"/>
        <w:ind w:firstLine="656"/>
        <w:spacing w:after="0" w:line="257" w:lineRule="auto"/>
        <w:tabs>
          <w:tab w:leader="none" w:pos="11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64" w:lineRule="exact"/>
        <w:rPr>
          <w:rFonts w:ascii="Times New Roman" w:cs="Times New Roman" w:eastAsia="Times New Roman" w:hAnsi="Times New Roman"/>
          <w:sz w:val="22"/>
          <w:szCs w:val="22"/>
          <w:color w:val="auto"/>
        </w:rPr>
      </w:pPr>
    </w:p>
    <w:p>
      <w:pPr>
        <w:ind w:left="5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PERFORMANCE GOAL MATRIX</w:t>
      </w:r>
    </w:p>
    <w:p>
      <w:pPr>
        <w:spacing w:after="0" w:line="32"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22"/>
          <w:szCs w:val="22"/>
          <w:b w:val="1"/>
          <w:bCs w:val="1"/>
          <w:color w:val="auto"/>
        </w:rPr>
        <w:t>PERFORMANCE STOCK UNIT AWARD AGREEMENT</w:t>
      </w:r>
    </w:p>
    <w:p>
      <w:pPr>
        <w:spacing w:after="0" w:line="196"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[INSERT]</w:t>
      </w:r>
    </w:p>
    <w:p>
      <w:pPr>
        <w:spacing w:after="0" w:line="22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Goal/Calculation of Earned PSUs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[TBD]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219"/>
          </w:cols>
          <w:pgMar w:left="240" w:top="121"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ADDENDUM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 AGREEMENT</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set forth in the Plan, the Notice of Grant and/or the Terms and Conditions of PSU Grant.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PSUs granted to Participant under the Plan if Participant resides and/or works in one of the countries listed below. This Addendum forms part of the Award Agreement. 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Addendum also includes notices regarding exchange controls and certain other issues of which Participant should be aware with respect to Participant’s participation in the Plan. The information is based on the securities, exchange control and other laws in effect in Participant’s country as of January 2015.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at the time Participant vests in the PSUs or sells Shares acquired under the Plan.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ARGENTINA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Neither the PSUs nor the underlying Shares are publicly offered or listed on any stock exchange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Argentina. The offer is private and not subject to the supervision of any Argentine governmental authority.</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 the event that Participant transfers proceeds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paid on such Shares into Argentina within 10 days of receipt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proceeds have not been held in the offshore bank or brokerage account for at least 10 days prior to transfer), Participant must deposit 30% of the proceeds into a non-interest bearing account in Argentina for 365 days. If Participant has satisfied the 10-day holding obligation, the Argentine bank handling the transaction may request certain documentation in connection with Participant’s request to transfer proceeds into Argentina, including evidence of the sale or dividend payment and proof that no funds were remitted out of Argentina to acquire the Shares. If the bank determines that the 10-day rule or any other rule or regulation promulgated by the Argentine Central Bank has not been satisfied, it will require that 30% of the proceeds be placed in a non-interest bearing dollar denominated mandatory deposit account for a holding period of 365 days. Please note that exchange control regulations in Argentina are subject to frequent change. Participant should consult with Participant’s personal legal advisor regarding any exchange control obligations Participant may have in connection with Participant’s participation in the Plan.</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Participant holds Shares as of December 31 of any year, Participant is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report the holding of the Shares on his or her personal tax return for the relevant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Australian Offer Document</w:t>
      </w:r>
      <w:r>
        <w:rPr>
          <w:rFonts w:ascii="Times New Roman" w:cs="Times New Roman" w:eastAsia="Times New Roman" w:hAnsi="Times New Roman"/>
          <w:sz w:val="22"/>
          <w:szCs w:val="22"/>
          <w:color w:val="auto"/>
        </w:rPr>
        <w:t>. The offer of PSUs is intended to comply with the provisions of the Corporations Act 2001, ASIC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Guide 49 and ASIC Class Order CO 14/1000. Additional details are set forth in the Offer Document for the offer of Stock Units to Australian resident employees, which will be provided to Participant with the Award Agreement.</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Participant acquires Shares under the Plan and Participant offers such Shares for sale to a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entity resident in Australia, the offer may be subject to disclosure requirements under Australian law. Participant should obtain legal advice as to Participant’s disclosure obligations prior to making any such offer.</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Exchange control reporting is required for cash transactions exceeding A$10,000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The Australian bank assisting with the transaction will file the report. If there is no Australian bank involved in the transfer, then Participant will be required to file the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AUSTRIA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holds Shares acquired under the Plan outside of Austria, Participant must submit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 to the Austrian National Bank. An exemption applies if the value of the Shares as of any given quarter is less than €30,000,000 or as of December 31 is less than €5,000,000. If the former threshold is exceeded, quarterly obligations are imposed, whereas if the latter threshold is exceeded, annual reports must be given.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When Participant sells Shares acquired under the Plan or receives a dividend or Dividend Equivalents payment, there may be exchange control obligations if the cash proceeds are held outside of Austria. If the transaction volume of all accounts abroad exceeds €3,000,000, the movements and balances of all accounts must be reported monthly, as of the last day of the month, on or before the fifteenth day of the following month, on the prescribed form (</w:t>
      </w:r>
      <w:r>
        <w:rPr>
          <w:rFonts w:ascii="Times New Roman" w:cs="Times New Roman" w:eastAsia="Times New Roman" w:hAnsi="Times New Roman"/>
          <w:sz w:val="21"/>
          <w:szCs w:val="21"/>
          <w:i w:val="1"/>
          <w:iCs w:val="1"/>
          <w:color w:val="auto"/>
        </w:rPr>
        <w:t>Meldungen SI-Forderungen und/oder SI-Verpflichtungen</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BELGIUM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is required to report any security or bank account opened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maintained outside Belgium on Participant’s annual tax return.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By accepting the PSUs, Participant acknowledges his or her agreement to comply with applicable Brazilian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and to pay any and all applicable taxes associated with the vesting of the PSUs, and the sale of Shares acquired under the Plan and the receipt of any dividends or Dividend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is resident or domiciled in Brazil, Participant will be required to submit annually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declaration of assets and rights held outside of Brazil to the Central Bank of Brazil if the aggregate value of such assets and rights is equal to or greater than US$100,000. Assets and rights that must be reported include Shares acquired under the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CAMBODIA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PSUs Payable Only in Shares. </w:t>
      </w:r>
      <w:r>
        <w:rPr>
          <w:rFonts w:ascii="Times New Roman" w:cs="Times New Roman" w:eastAsia="Times New Roman" w:hAnsi="Times New Roman"/>
          <w:sz w:val="22"/>
          <w:szCs w:val="22"/>
          <w:color w:val="auto"/>
        </w:rPr>
        <w:t>Notwithstanding any discretion in the Plan or anything to the contrary in the Award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PSUs does not provide any right for Participant to receive a cash payment, and the PSUs are payable in Shares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of Service</w:t>
      </w:r>
      <w:r>
        <w:rPr>
          <w:rFonts w:ascii="Times New Roman" w:cs="Times New Roman" w:eastAsia="Times New Roman" w:hAnsi="Times New Roman"/>
          <w:sz w:val="22"/>
          <w:szCs w:val="22"/>
          <w:color w:val="auto"/>
        </w:rPr>
        <w:t>. The following provision replaces Section 6 of the Award Agreement:</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Except as otherwise provided in the Plan or the Award Agreement, the balance of the PSUs that have not vested as of the time of Participant’s termination as a Service Provider (for any or no reason and whether or not later found to be invalid or in breach of Canadian laws or the terms of the Participant’s employment or service agreement, if any), and Participant’s right to acquire any Shares hereunder, will immediately terminate upon Participant’s termination as a Service Provider. For purposes of the preceding sentence, the Participant’s right to vest in the PSUs will terminate effective as of the date that is the earlier of (1) the date Participant’s status as a Service Provider is terminated, (2) the date Participant receives notice of termination of service from the Employer, or (3) the date the Participant is no longer actively providing service. The right to vest in the PSUs will not be extended by any notice period (e.g., active service would not include any contractual notice period or any period of “garden leave” or similar period mandated under Canadian laws or the terms of the Participant’s employment or service agreement, if any); the Administrator shall have the exclusive discretion to determine when the Participant is no longer actively providing service for purposes of the PSU grant (including whether Participant may still be considered to be a Service Provider while on a leave of absence).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The following provisions will apply if Participant is a resident of Quebec</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this Award Agreement, as well as all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expressement souhaité que la convention [“Award Agreement”], ainsi que tous les documents, avis et procédures judiciaries, éxecutés, donnés ou intentés en vertu de, ou lié, directement ou indirectement à la présente convention, soient rédigés en langue anglaise.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14 of the Award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any Parent or Subsidiary and the administrator of the Plan to disclose and discuss the Plan with their advisors. Participant further authorizes the Company and any Parent or Subsidiary to record such information and to keep such information in Participant’s file.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Participant is permitted to sell Shares acquired under the Plan through the designated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under the Plan, if any, provided the resale of Shares acquired under the Plan takes place outside of Canada through the facilities of a stock exchange on which the Shares are listed. The Shares are currently listed on the NASDAQ.</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is required to report any foreign assets (including Shares)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exceeding C$100,000 on Form T1135 (Foreign Income Verification Statement). It is not certain if invested RSUs will be considered as reportable foreign assets. The report is due at the same time as Participant’s annual tax return. It is Participant’s responsibility to comply with applicable reporting obligations.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Neither the Company, the PSUs nor the Shares issued upon vesting of the PSUs are registered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Chilean Registry of Securities or under the control of the Chilean Superintendence of Securities.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and Tax Information. </w:t>
      </w:r>
      <w:r>
        <w:rPr>
          <w:rFonts w:ascii="Times New Roman" w:cs="Times New Roman" w:eastAsia="Times New Roman" w:hAnsi="Times New Roman"/>
          <w:sz w:val="22"/>
          <w:szCs w:val="22"/>
          <w:color w:val="auto"/>
        </w:rPr>
        <w:t>Participant is not required to repatriate proceeds obtained from the sale of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dividends or Dividend Equivalents to Chile; however, if Participant decides to repatriate proceeds from the sale of Shares and/or dividends or Dividend Equivalents and the amount of the proceeds to be repatriated exceeds US$10,000, Participant acknowledges that he or she must effect such repatriation through the Formal Exchange Market (i.e., a commercial bank or registered foreign exchange office).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Further, if the value of Participant’s aggregate investments held outside of Chile exceed US$5,000,000 (including the value of Shares acquired under the Plan), Participant must report the status of such investments annually to the Central Bank using Annex 3.1 of Chapter XII of the Foreign Exchange Regulations.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Participant holds Shares acquired under the Plan outside of Chile, he or 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inform the Chilean Internal Revenue Service (the “CIRS”) of the details of his or her investment in the Shares by Filing Tax Form 1851 “Annual Sworn Statement Regarding Investments Held Abroad”. Further, if Participant wishes to receive credit against Participant’s Chilean income taxes for any taxes paid abroad, Participant must report the payment of taxes abroad to the CIRS by filing Tax Form 1853 “Annual Sworn Statement Regarding Credits for Taxes Paid Abroad”. These statements must be submitted electronically through the CIRS website before March 15 of each year: www.sii.cl.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The following provisions will apply to Participants who are subject to PRC exchange control restrictions, as determined by the Company in its sole discretion</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Immediate Sale Restriction. </w:t>
      </w:r>
      <w:r>
        <w:rPr>
          <w:rFonts w:ascii="Times New Roman" w:cs="Times New Roman" w:eastAsia="Times New Roman" w:hAnsi="Times New Roman"/>
          <w:sz w:val="22"/>
          <w:szCs w:val="22"/>
          <w:color w:val="auto"/>
        </w:rPr>
        <w:t>Notwithstanding anything to the contrary in the Plan or Award Agreement, due to exchange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in China, Participant agrees that any Shares acquired at vesting of the PSUs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 in China has not been obtained, the Company retains the discretion to postpone the issuance of the Shares subject to Participant’s vested PSUs until such time that the sale is again permissible and to then immediately sell the Shares subject to the PSUs.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PSUs has been 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understands and agrees that, to facilitate compliance with exchange control laws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China, Participant may be required to immediately repatriate to China the cash proceeds from the sale of any Shares acquired at vesting of the PSUs and any dividends or Dividend Equivalents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 and any dividends received in relation to the Shares may be transferred to such special account prior to being delivered to Participant.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Participant agrees to bear any currency fluctuation risk between the time the Shares are sold or dividends or Dividend Equivalents are paid and the time the proceeds are distributed to Participant through any such special account.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further agrees to comply with any other requirements that may be imposed by the Company in the future in order to facilitate compliance with exchange control requirements in China.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COLOMBIA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Laws Acknowledgement. </w:t>
      </w:r>
      <w:r>
        <w:rPr>
          <w:rFonts w:ascii="Times New Roman" w:cs="Times New Roman" w:eastAsia="Times New Roman" w:hAnsi="Times New Roman"/>
          <w:sz w:val="22"/>
          <w:szCs w:val="22"/>
          <w:color w:val="auto"/>
        </w:rPr>
        <w:t>The following provision supplements Section 12 of the Award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Participants acknowledges that pursuant to Article 128 of the Colombian Labor Code, the PSUs and related benefits do not constitute a component of “salary” for any purpose.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and assets (such as Shares) held abroad must be registered with the Central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Banco de la Republica</w:t>
      </w:r>
      <w:r>
        <w:rPr>
          <w:rFonts w:ascii="Times New Roman" w:cs="Times New Roman" w:eastAsia="Times New Roman" w:hAnsi="Times New Roman"/>
          <w:sz w:val="22"/>
          <w:szCs w:val="22"/>
          <w:color w:val="auto"/>
        </w:rPr>
        <w:t>) if the value of Participant’s aggregate investments and assets abroad (as of December 31 of the relevant fiscal year) equals or exceeds US$500,000. In addition, when Participant sells or otherwise disposes of any Shares acquired under the Plan, if the investment was registered with the Central Bank, Participant must cancel the registration no later than March 31 of the year following the year in which the Shares were sold. If Participant does not cancel the registration by the above-mentioned deadline, Participant will be subject to a fine.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COSTA RICA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CZECH REPUBLIC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The Czech National Bank (“CNB”) may require Participant to fulfill certain notification duties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relation to the opening and maintenance of a foreign account. In addition, Participant may need to report the following even in the absence of a request from the CNB: foreign direct investments with a value of CZK 2,500,000 or more in the aggregate or other foreign financial assets with a value of CZK 200,000,000 or more.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Because exchange control regulations change frequently and without notice, Participant should consult his or her personal legal advisor prior to the sale of Shares to ensure compliance with current regulations. It is Participant’s responsibility to comply with Czech exchange control laws, and neither the Company nor any Parent or Subsidiary will be liable for any resulting fines or penalties.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DOMINICAN REPUBLIC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EGYPT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transfers funds into Egypt in connection with the sale of Shares or the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Participant is required to do so through a registered bank in Egypt.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French Language Provision. </w:t>
      </w:r>
      <w:r>
        <w:rPr>
          <w:rFonts w:ascii="Times New Roman" w:cs="Times New Roman" w:eastAsia="Times New Roman" w:hAnsi="Times New Roman"/>
          <w:sz w:val="22"/>
          <w:szCs w:val="22"/>
          <w:color w:val="auto"/>
        </w:rPr>
        <w:t>By accepting the Award Agreement providing for the terms and conditions of Participant’s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confirms having read and understood the documents relating to this grant (the Plan and the Award Agreement) which were provided in English language. Participant accepts the terms of those documents accordingly.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En acceptant le Contrat d’Attribution décrivant les termes et conditions de l’attribution, le participant confirme ainsi avoir lu et compris les documents relatifs à cette attribution (le Plan U.S. et le Contrat d’Attribution) qui ont été communiqués en langue anglaise. Le participant accepte les termes en connaissance de cause.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The PSUs are not intended to be French tax-qualified Awards.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Participant retains Shares acquired under the Plan outside of France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maintains a foreign bank account, Participant is required to report such to the French tax authorities when filing Participant’s annual tax return. Failure to comply could trigger significant penalties.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Cross-border payments in excess of €12,500 in connection with the sale of securities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acquired under the Plan) or the receipt of any dividends must be reported monthly to the German Federal Bank. The report must be made by the 5th day of the month following the month in which the payment was received and must be filed electronically.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xml:space="preserve">”) can be accessed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and is available in both German and English. Participant is responsible for satisfying the reporting obligation.</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addition, in the unlikely event that Participant holds Shares exceeding 10% of the total capital of the Company, Participant must report Participant’s holdings in the Company on an annual basis.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PSUs Payable Only in Shares. </w:t>
      </w:r>
      <w:r>
        <w:rPr>
          <w:rFonts w:ascii="Times New Roman" w:cs="Times New Roman" w:eastAsia="Times New Roman" w:hAnsi="Times New Roman"/>
          <w:sz w:val="22"/>
          <w:szCs w:val="22"/>
          <w:color w:val="auto"/>
        </w:rPr>
        <w:t>Notwithstanding any discretion in the Plan or anything to the contrary in the Award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PSUs does not provide any right for Participant to receive a cash payment, and the PSUs are payable in Shares only.</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i w:val="1"/>
          <w:iCs w:val="1"/>
          <w:color w:val="auto"/>
        </w:rPr>
        <w:t>WARNING: The grant of PSUs under the terms of the Award Agreement and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issuance of Shares at vesting of PSUs do not constitute a public offering of securities, and they are available only to Service Providers.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Please be aware that the contents of the Award Agreement, including this Addendum, and the Plan have not been reviewed by any regulatory authority in Hong Kong. Participant is advised to exercise caution in relation to the right to acquire Shares at vesting of the PSUs, or otherwise, under the Plan. If Participant is in any doubt about any of the contents of the Award Agreement, including this Addendum, or the Plan, Participant should obtain independent professional advice.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Shares received at vesting are accepted as a personal investment. In the event that the PSUs vest and Shares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to Participant within six months of the Date of Grant, Participant agrees that the Shares will not be offered to the public or otherwise disposed of prior to the six-month anniversary of the Date of Grant.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repatriate to India the proceeds from the sale of Shares acquired at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90 days and any dividends or Dividend Equivalents received in relation to the Shares within 180 days after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is required to declare his or her foreign bank accounts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foreign financial assets (including Shares held outside India) in Participant’s annual tax return. It is Participant’s responsibility to comply with this reporting obligation and Participant should consult his or her personal advisor in this regard.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INDONESIA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Participant remits funds into Indonesia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proceeds from the sale of Shares), the Indonesian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through which the 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If Participant is a director, shadow director or secretary of an Irish Parent or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must notify the Irish Parent or Subsidiary in writing within five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PSUs, Shares,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ISLE OF MAN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ISRAEL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Immediate Sale Restriction. </w:t>
      </w:r>
      <w:r>
        <w:rPr>
          <w:rFonts w:ascii="Times New Roman" w:cs="Times New Roman" w:eastAsia="Times New Roman" w:hAnsi="Times New Roman"/>
          <w:sz w:val="22"/>
          <w:szCs w:val="22"/>
          <w:color w:val="auto"/>
        </w:rPr>
        <w:t>Participant agrees that any Shares acquired at vesting of the PSUs will be immediately sold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If, however, the sale of the Shares is not permissible under the Company’s insider trading policy, the Company retains the discretion to postpone the issuance of the Shares subject to Participant’s vested PSUs until such time that the sale is again permissible and to then immediately sell the Shares subject to the PSUs.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Notification. </w:t>
      </w:r>
      <w:r>
        <w:rPr>
          <w:rFonts w:ascii="Times New Roman" w:cs="Times New Roman" w:eastAsia="Times New Roman" w:hAnsi="Times New Roman"/>
          <w:sz w:val="22"/>
          <w:szCs w:val="22"/>
          <w:color w:val="auto"/>
        </w:rPr>
        <w:t>This notification replaces Section 14 of the Award Agreement:</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Participant’s Employer, the Company and any Subsidiary or Affiliate may hold certain personal information about Participant, including, but not limited to, Participant’s name, home address and telephone number, date of birth, social insurance or other identification number, salary, nationality, job title, any Shares or directorships held in the Company or any Subsidiary or Affiliate, details of all PSUs, or any other entitlement to Shares awarded, canceled, exercised, vested, unvested or outstanding in Participant’s favor (“Data”) and will process such data for the exclusive purpose of implementing, managing and administering the Plan and in compliance with applicable laws and regulations.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Participant also understands that providing the Company with Data is mandatory for compliance with local law and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Fortinet, Inc., with registered offices at 899 Kifer Road, Sunnyvale, CA 94086, U.S.A., and, pursuant to Legislative Decree no. 196/2003, its Representative in Italy for privacy purposes is Fortinet Italy, S.r.L, with registered offices at Via del Casale Solaro, 119, 00143 Roma Italy.</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 Participant understands that Data may also be transferred to the independent registered public accounting firm engaged by the Company. Participant further understands that the Company and/or any Subsidiary or Affiliate will transfer Data among themselves as necessary for the purpose of implementing, administering and managing Participant’s participation in the Plan, and that the Company and/or any Subsidiary or Affiliate may each further transfer Data to third parties assisting the Company in the implementation, administration, and management of the Plan, including any requisite transfer of Data to a broker or other third party with whom Participant may elect to deposit any Shares acquired at vesting of the PSUs. Such recipients may receive, possess, use, retain, and transfer Data in electronic or other form, for the purposes of implementing, administering, and managing Participant’s participation in the Plan. Participant understands that these recipients may be acting as Controllers, Processors or persons in charge of processing, as the case may be, in accordance with local law and may be located in or outside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the European Economic Area in countries such as in the United States that may not provide the same level of protection as intended under Italian data privacy laws.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of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have the right to, including but not limited to, access, delete, update, correct, or terminate, for legitimate reason, the Data processing. Participant should contact Participant’s Employer in this regard.</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Furthermore, Participant is aware that Data will not be used for direct-marketing purposes. In addition, Data provided can be reviewed and questions or complaints can be addressed by contacting Participant’s local human resources representative.</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Terms of Grant. </w:t>
      </w:r>
      <w:r>
        <w:rPr>
          <w:rFonts w:ascii="Times New Roman" w:cs="Times New Roman" w:eastAsia="Times New Roman" w:hAnsi="Times New Roman"/>
          <w:sz w:val="22"/>
          <w:szCs w:val="22"/>
          <w:color w:val="auto"/>
        </w:rPr>
        <w:t>By accepting the PSUs, Participant acknowledges that (1) Participant has received a copy of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including this Addendum; (2) Participant has reviewed those documents in their entirety and fully understands the contents thereof; and (3) Participant accepts all provisions of the Plan and the Award Agreement, including this Addendum. Participant further acknowledges that Participant has read and specifically and expressly approves, without limitation, the following sections of the Award Agreement: Section 3 - “Vesting Conditions”; Section 6 – “Forfeiture upon Termination of Status as a Service Provider”; Section 8 – “Withholding of Taxes”; Section 10 – “No Guarantee of Continued Service”; Section 12 – “Nature of Grant”; Section 14 – “Data Privacy” as replaced by the above consent; Section 26 – “Governing Law and Venue”; and Section 27 – “Language.”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Italian residents who, during the fiscal year, hold investments abroad or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cash, Shares, PSUs)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cash, Shares, PSUs), are beneficial owners of the investment pursuant to Italian money laundering provisions.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Tax on Foreign Financial Assets. </w:t>
      </w:r>
      <w:r>
        <w:rPr>
          <w:rFonts w:ascii="Times New Roman" w:cs="Times New Roman" w:eastAsia="Times New Roman" w:hAnsi="Times New Roman"/>
          <w:sz w:val="22"/>
          <w:szCs w:val="22"/>
          <w:color w:val="auto"/>
        </w:rPr>
        <w:t>A tax on the value of financial assets held outside of Italy by individuals resident in Italy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The taxable amount will be the fair market value of the financial assets (including Shares) assessed at the end of each calendar year.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JAPAN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will be required to report details of any assets (including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PSUs or Shares that Participant holds.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KOREA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realizes US$500,000 or more from the sale of Shares or the receipt of dividends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in a single transaction, Participant must repatriate the proceeds to Korea within 18 months of the receipt.</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Participant will be required to report details of any assets (including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 each 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PSUs or Shares that Participant holds.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MALAYSIA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0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6"/>
        </w:trPr>
        <w:tc>
          <w:tcPr>
            <w:tcW w:w="6040" w:type="dxa"/>
            <w:vAlign w:val="bottom"/>
          </w:tcPr>
          <w:p>
            <w:pPr>
              <w:ind w:left="680"/>
              <w:spacing w:after="0"/>
              <w:rPr>
                <w:sz w:val="20"/>
                <w:szCs w:val="20"/>
                <w:color w:val="auto"/>
              </w:rPr>
            </w:pPr>
            <w:r>
              <w:rPr>
                <w:rFonts w:ascii="Times New Roman" w:cs="Times New Roman" w:eastAsia="Times New Roman" w:hAnsi="Times New Roman"/>
                <w:sz w:val="22"/>
                <w:szCs w:val="22"/>
                <w:b w:val="1"/>
                <w:bCs w:val="1"/>
                <w:i w:val="1"/>
                <w:iCs w:val="1"/>
                <w:color w:val="auto"/>
              </w:rPr>
              <w:t>Participant  hereby  explicitly  and  unambiguously</w:t>
            </w:r>
          </w:p>
        </w:tc>
        <w:tc>
          <w:tcPr>
            <w:tcW w:w="534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Peserta dengan ini secara eksplisit dan tanpa sebarang</w:t>
            </w:r>
          </w:p>
        </w:tc>
      </w:tr>
      <w:tr>
        <w:trPr>
          <w:trHeight w:val="243"/>
        </w:trPr>
        <w:tc>
          <w:tcPr>
            <w:tcW w:w="6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consents to the collection, use and transfer, in electronic or keraguan</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mengizinkan</w:t>
            </w:r>
          </w:p>
        </w:tc>
        <w:tc>
          <w:tcPr>
            <w:tcW w:w="14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7"/>
              </w:rPr>
              <w:t>pengumpulan,</w:t>
            </w:r>
          </w:p>
        </w:tc>
        <w:tc>
          <w:tcPr>
            <w:tcW w:w="1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penggunaan</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w:t>
            </w:r>
          </w:p>
        </w:tc>
      </w:tr>
      <w:tr>
        <w:trPr>
          <w:trHeight w:val="243"/>
        </w:trPr>
        <w:tc>
          <w:tcPr>
            <w:tcW w:w="9500" w:type="dxa"/>
            <w:vAlign w:val="bottom"/>
            <w:gridSpan w:val="4"/>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other form, of Participant’s personal data as described in this pemindahan, dalam bentuk elektronik</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atau lain-lain,</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data</w:t>
            </w:r>
          </w:p>
        </w:tc>
      </w:tr>
      <w:tr>
        <w:trPr>
          <w:trHeight w:val="273"/>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Award Agreement and any other PSU grant materials by and peribadi</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Peserta seperti</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yang dinyatakan dalam Perjanjian</w:t>
            </w:r>
          </w:p>
        </w:tc>
      </w:tr>
    </w:tbl>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among, as applicable, the Employer, the Company and any Penganugerahan ini dan apa-apa bahan geran PSU yang lain</w:t>
      </w:r>
    </w:p>
    <w:p>
      <w:pPr>
        <w:spacing w:after="0" w:line="200" w:lineRule="exact"/>
        <w:rPr>
          <w:sz w:val="20"/>
          <w:szCs w:val="20"/>
          <w:color w:val="auto"/>
        </w:rPr>
      </w:pPr>
    </w:p>
    <w:p>
      <w:pPr>
        <w:spacing w:after="0" w:line="266" w:lineRule="exact"/>
        <w:rPr>
          <w:sz w:val="20"/>
          <w:szCs w:val="20"/>
          <w:color w:val="auto"/>
        </w:rPr>
      </w:pPr>
    </w:p>
    <w:p>
      <w:pPr>
        <w:ind w:left="40" w:right="40"/>
        <w:spacing w:after="0" w:line="242" w:lineRule="auto"/>
        <w:rPr>
          <w:sz w:val="20"/>
          <w:szCs w:val="20"/>
          <w:color w:val="auto"/>
        </w:rPr>
      </w:pPr>
      <w:r>
        <w:rPr>
          <w:rFonts w:ascii="Times New Roman" w:cs="Times New Roman" w:eastAsia="Times New Roman" w:hAnsi="Times New Roman"/>
          <w:sz w:val="22"/>
          <w:szCs w:val="22"/>
          <w:b w:val="1"/>
          <w:bCs w:val="1"/>
          <w:i w:val="1"/>
          <w:iCs w:val="1"/>
          <w:color w:val="auto"/>
        </w:rPr>
        <w:t>Parent or Subsidiary for the exclusive purpose of oleh dan di antara, sebagaimana yang berkenaan, Majikan, implementing, administering and managing Participant’s Syarikat, dan mana-mana Syarikat Induk atau Anak Syarikat participation in the Plan. untuk tujuan ekslusif bagi pelaksanaan, pentadbiran dan pengurusan penyertaan Peserta dalam Pelan tersebut.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0"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Peserta memahami bahawa Syarikat dan Majikan Employer may hold certain personal information about mungkin memegang maklumat peribadi tertentu tentang Participant, including, but not limited to, Participant’s name, Peserta, termasuk, tetapi tidak terhad kepada, namanya, home address and telephone number, date of birth, social alamat rumah dan nombor telefon, tarikh lahir, nombor insurance number or other identification number, salary, insurans sosial atau nombor pengenalan lain, gaji, nationality, job title, any shares of stock or directorships held in kewarganegaraan, jawatan, apa-apa saham atau jawatan the Company, details of all PSUs or any other entitlement to pengarah yang dipegang dalam Syarikat, butir-butir semua shares of stock awarded, canceled, exercised, vested, unvested PSUs atau apa-apa hak lain untuk syer dalam saham yang</w:t>
      </w: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or  outstanding  in  Participant’s  favor  (“Data”),  for</w:t>
            </w:r>
          </w:p>
        </w:tc>
        <w:tc>
          <w:tcPr>
            <w:tcW w:w="6080" w:type="dxa"/>
            <w:vAlign w:val="bottom"/>
            <w:gridSpan w:val="7"/>
          </w:tcPr>
          <w:p>
            <w:pPr>
              <w:jc w:val="right"/>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the dianugerahkan, dibatalkan, dilaksanakan, terletak hak, tidak</w:t>
            </w: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exclusive  purpose  of  implementing,  administering</w:t>
            </w:r>
          </w:p>
        </w:tc>
        <w:tc>
          <w:tcPr>
            <w:tcW w:w="6080" w:type="dxa"/>
            <w:vAlign w:val="bottom"/>
            <w:gridSpan w:val="7"/>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and diletak  hak  ataupun  yang  belum  dijelaskan  bagi  faedah</w:t>
            </w:r>
          </w:p>
        </w:tc>
      </w:tr>
      <w:tr>
        <w:trPr>
          <w:trHeight w:val="243"/>
        </w:trPr>
        <w:tc>
          <w:tcPr>
            <w:tcW w:w="6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managing the Plan. The Data is supplied by the Employer and Peserta</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7"/>
              </w:rPr>
              <w:t>(“Data”),</w:t>
            </w:r>
          </w:p>
        </w:tc>
        <w:tc>
          <w:tcPr>
            <w:tcW w:w="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untuk</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tujuan</w:t>
            </w:r>
          </w:p>
        </w:tc>
        <w:tc>
          <w:tcPr>
            <w:tcW w:w="17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yang  eksklusif</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bagi</w:t>
            </w: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also  by  Participant  through  information  collected</w:t>
            </w:r>
          </w:p>
        </w:tc>
        <w:tc>
          <w:tcPr>
            <w:tcW w:w="300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melaksanakan,  mentadbir</w:t>
            </w:r>
          </w:p>
        </w:tc>
        <w:tc>
          <w:tcPr>
            <w:tcW w:w="25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  menguruskan  Pelan.</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Data</w:t>
            </w: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connection with the Award Agreement and the Plan.</w:t>
            </w:r>
          </w:p>
        </w:tc>
        <w:tc>
          <w:tcPr>
            <w:tcW w:w="400" w:type="dxa"/>
            <w:vAlign w:val="bottom"/>
          </w:tcPr>
          <w:p>
            <w:pPr>
              <w:spacing w:after="0"/>
              <w:rPr>
                <w:sz w:val="21"/>
                <w:szCs w:val="21"/>
                <w:color w:val="auto"/>
              </w:rPr>
            </w:pPr>
          </w:p>
        </w:tc>
        <w:tc>
          <w:tcPr>
            <w:tcW w:w="5680" w:type="dxa"/>
            <w:vAlign w:val="bottom"/>
            <w:gridSpan w:val="6"/>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dibekalkan  oleh  Majikan  dan  juga  oleh  Peserta  melalui</w:t>
            </w:r>
          </w:p>
        </w:tc>
      </w:tr>
      <w:tr>
        <w:trPr>
          <w:trHeight w:val="243"/>
        </w:trPr>
        <w:tc>
          <w:tcPr>
            <w:tcW w:w="5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80" w:type="dxa"/>
            <w:vAlign w:val="bottom"/>
            <w:gridSpan w:val="6"/>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maklumat  yang  dikumpul  berkenaan  dengan  Perjanjian</w:t>
            </w:r>
          </w:p>
        </w:tc>
      </w:tr>
      <w:tr>
        <w:trPr>
          <w:trHeight w:val="289"/>
        </w:trPr>
        <w:tc>
          <w:tcPr>
            <w:tcW w:w="5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w w:val="98"/>
              </w:rPr>
              <w:t>Penganugerahan dan Pelan.</w:t>
            </w: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2"/>
        </w:trPr>
        <w:tc>
          <w:tcPr>
            <w:tcW w:w="5680" w:type="dxa"/>
            <w:vAlign w:val="bottom"/>
            <w:gridSpan w:val="2"/>
          </w:tcPr>
          <w:p>
            <w:pPr>
              <w:ind w:left="640"/>
              <w:spacing w:after="0" w:line="251" w:lineRule="exact"/>
              <w:rPr>
                <w:sz w:val="20"/>
                <w:szCs w:val="20"/>
                <w:color w:val="auto"/>
              </w:rPr>
            </w:pPr>
            <w:r>
              <w:rPr>
                <w:rFonts w:ascii="Times New Roman" w:cs="Times New Roman" w:eastAsia="Times New Roman" w:hAnsi="Times New Roman"/>
                <w:sz w:val="22"/>
                <w:szCs w:val="22"/>
                <w:b w:val="1"/>
                <w:bCs w:val="1"/>
                <w:i w:val="1"/>
                <w:iCs w:val="1"/>
                <w:color w:val="auto"/>
                <w:w w:val="99"/>
              </w:rPr>
              <w:t>Participant understands that Data will be transferred to</w:t>
            </w:r>
          </w:p>
        </w:tc>
        <w:tc>
          <w:tcPr>
            <w:tcW w:w="5680" w:type="dxa"/>
            <w:vAlign w:val="bottom"/>
            <w:gridSpan w:val="6"/>
          </w:tcPr>
          <w:p>
            <w:pPr>
              <w:jc w:val="right"/>
              <w:spacing w:after="0" w:line="251" w:lineRule="exact"/>
              <w:rPr>
                <w:sz w:val="20"/>
                <w:szCs w:val="20"/>
                <w:color w:val="auto"/>
              </w:rPr>
            </w:pPr>
            <w:r>
              <w:rPr>
                <w:rFonts w:ascii="Times New Roman" w:cs="Times New Roman" w:eastAsia="Times New Roman" w:hAnsi="Times New Roman"/>
                <w:sz w:val="22"/>
                <w:szCs w:val="22"/>
                <w:b w:val="1"/>
                <w:bCs w:val="1"/>
                <w:i w:val="1"/>
                <w:iCs w:val="1"/>
                <w:color w:val="auto"/>
              </w:rPr>
              <w:t>Peserta memahami bahawa Data akan dipindah kepada</w:t>
            </w:r>
          </w:p>
        </w:tc>
      </w:tr>
      <w:tr>
        <w:trPr>
          <w:trHeight w:val="273"/>
        </w:trPr>
        <w:tc>
          <w:tcPr>
            <w:tcW w:w="5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Charles Schwab &amp; Co., Inc., or such other stock plan service</w:t>
            </w:r>
          </w:p>
        </w:tc>
        <w:tc>
          <w:tcPr>
            <w:tcW w:w="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Charles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Schwab &amp;</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Co., Inc., atau</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pembekal perkhidmatan</w:t>
            </w:r>
          </w:p>
        </w:tc>
      </w:tr>
    </w:tbl>
    <w:p>
      <w:pPr>
        <w:jc w:val="both"/>
        <w:ind w:lef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provider as may be selected by the Company in the future, pelan saham lain yang mungkin dipilih oleh Syarikat pada which is assisting the Company with the implementation, masa depan yang membantu Syarikat dalam melaksanakan, administration and management of the Plan. Participant mentadbir dan menguruskan Pelan tersebut. Peserta understands that the recipients of the Data may be located in memahami bahawa penerima-penerima Data mungkin berada the United States or elsewhere, and that the recipients’ country di Amerika Syarikat atau di tempat lain, dan bahawa negara (e.g., the United States) may have different data privacy laws penerima (contohnya, Amerika Syarikat) mungkin mempunyai</w:t>
      </w:r>
    </w:p>
    <w:p>
      <w:pPr>
        <w:ind w:left="40"/>
        <w:spacing w:after="0" w:line="234" w:lineRule="auto"/>
        <w:tabs>
          <w:tab w:leader="none" w:pos="5720" w:val="left"/>
        </w:tabs>
        <w:rPr>
          <w:sz w:val="20"/>
          <w:szCs w:val="20"/>
          <w:color w:val="auto"/>
        </w:rPr>
      </w:pPr>
      <w:r>
        <w:rPr>
          <w:rFonts w:ascii="Times New Roman" w:cs="Times New Roman" w:eastAsia="Times New Roman" w:hAnsi="Times New Roman"/>
          <w:sz w:val="22"/>
          <w:szCs w:val="22"/>
          <w:b w:val="1"/>
          <w:bCs w:val="1"/>
          <w:i w:val="1"/>
          <w:iCs w:val="1"/>
          <w:color w:val="auto"/>
        </w:rPr>
        <w:t>and protections than Participant’s country.</w:t>
      </w:r>
      <w:r>
        <w:rPr>
          <w:sz w:val="20"/>
          <w:szCs w:val="20"/>
          <w:color w:val="auto"/>
        </w:rPr>
        <w:tab/>
      </w:r>
      <w:r>
        <w:rPr>
          <w:rFonts w:ascii="Times New Roman" w:cs="Times New Roman" w:eastAsia="Times New Roman" w:hAnsi="Times New Roman"/>
          <w:sz w:val="22"/>
          <w:szCs w:val="22"/>
          <w:b w:val="1"/>
          <w:bCs w:val="1"/>
          <w:i w:val="1"/>
          <w:iCs w:val="1"/>
          <w:color w:val="auto"/>
        </w:rPr>
        <w:t>undang-undang privasi data dan perlindungan yang berbeza</w:t>
      </w:r>
    </w:p>
    <w:p>
      <w:pPr>
        <w:ind w:left="5740"/>
        <w:spacing w:after="0"/>
        <w:rPr>
          <w:sz w:val="20"/>
          <w:szCs w:val="20"/>
          <w:color w:val="auto"/>
        </w:rPr>
      </w:pPr>
      <w:r>
        <w:rPr>
          <w:rFonts w:ascii="Times New Roman" w:cs="Times New Roman" w:eastAsia="Times New Roman" w:hAnsi="Times New Roman"/>
          <w:sz w:val="21"/>
          <w:szCs w:val="21"/>
          <w:b w:val="1"/>
          <w:bCs w:val="1"/>
          <w:i w:val="1"/>
          <w:iCs w:val="1"/>
          <w:color w:val="auto"/>
        </w:rPr>
        <w:t>daripada negara Peserta. Peserta fahami bahawa sekiranya dia</w:t>
      </w:r>
    </w:p>
    <w:p>
      <w:pPr>
        <w:ind w:left="5740"/>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menetap di luar Amerika Syarikat, Peserta boleh meminta</w:t>
      </w:r>
    </w:p>
    <w:p>
      <w:pPr>
        <w:ind w:left="57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senarai nama dan alamat mana-mana penerima Data yang</w:t>
      </w:r>
    </w:p>
    <w:p>
      <w:pPr>
        <w:ind w:left="5740"/>
        <w:spacing w:after="0"/>
        <w:tabs>
          <w:tab w:leader="none" w:pos="6840" w:val="left"/>
          <w:tab w:leader="none" w:pos="7660" w:val="left"/>
          <w:tab w:leader="none" w:pos="9100" w:val="left"/>
          <w:tab w:leader="none" w:pos="9760" w:val="left"/>
          <w:tab w:leader="none" w:pos="10600" w:val="left"/>
        </w:tabs>
        <w:rPr>
          <w:sz w:val="20"/>
          <w:szCs w:val="20"/>
          <w:color w:val="auto"/>
        </w:rPr>
      </w:pPr>
      <w:r>
        <w:rPr>
          <w:rFonts w:ascii="Times New Roman" w:cs="Times New Roman" w:eastAsia="Times New Roman" w:hAnsi="Times New Roman"/>
          <w:sz w:val="22"/>
          <w:szCs w:val="22"/>
          <w:b w:val="1"/>
          <w:bCs w:val="1"/>
          <w:i w:val="1"/>
          <w:iCs w:val="1"/>
          <w:color w:val="auto"/>
        </w:rPr>
        <w:t>berpotensi</w:t>
        <w:tab/>
        <w:t>dengan</w:t>
        <w:tab/>
        <w:t>menghubungi</w:t>
        <w:tab/>
        <w:t>wakil</w:t>
        <w:tab/>
        <w:t>sumber</w:t>
      </w:r>
      <w:r>
        <w:rPr>
          <w:sz w:val="20"/>
          <w:szCs w:val="20"/>
          <w:color w:val="auto"/>
        </w:rPr>
        <w:tab/>
      </w:r>
      <w:r>
        <w:rPr>
          <w:rFonts w:ascii="Times New Roman" w:cs="Times New Roman" w:eastAsia="Times New Roman" w:hAnsi="Times New Roman"/>
          <w:sz w:val="21"/>
          <w:szCs w:val="21"/>
          <w:b w:val="1"/>
          <w:bCs w:val="1"/>
          <w:i w:val="1"/>
          <w:iCs w:val="1"/>
          <w:color w:val="auto"/>
        </w:rPr>
        <w:t>manusia</w:t>
      </w:r>
    </w:p>
    <w:p>
      <w:pPr>
        <w:ind w:left="5740"/>
        <w:spacing w:after="0"/>
        <w:rPr>
          <w:sz w:val="20"/>
          <w:szCs w:val="20"/>
          <w:color w:val="auto"/>
        </w:rPr>
      </w:pPr>
      <w:r>
        <w:rPr>
          <w:rFonts w:ascii="Times New Roman" w:cs="Times New Roman" w:eastAsia="Times New Roman" w:hAnsi="Times New Roman"/>
          <w:sz w:val="22"/>
          <w:szCs w:val="22"/>
          <w:b w:val="1"/>
          <w:bCs w:val="1"/>
          <w:i w:val="1"/>
          <w:iCs w:val="1"/>
          <w:color w:val="auto"/>
        </w:rPr>
        <w:t>tempatannya.</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21" w:right="2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0" w:firstLine="648"/>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if he or she resides outside Peserta memberi kuasa kepada Syarikat, brokernya dan the United States, he or she may request a list with the names mana-mana penerima lain yang mungkin membantu Syarikat and addresses of any potential recipients of the Data by (pada masa kini atau masa depan) untuk melaksanakan, contacting his or her local human resources representative. mentadbir dan menguruskan Pelan untuk menerima, memiliki, Participant authorizes the Company, its broker and any other menggunakan, mengekalkan dan memindahkan Data, dalam</w:t>
      </w:r>
    </w:p>
    <w:tbl>
      <w:tblPr>
        <w:tblLayout w:type="fixed"/>
        <w:tblInd w:w="40" w:type="dxa"/>
        <w:tblCellMar>
          <w:top w:w="0" w:type="dxa"/>
          <w:left w:w="0" w:type="dxa"/>
          <w:bottom w:w="0" w:type="dxa"/>
          <w:right w:w="0" w:type="dxa"/>
        </w:tblCellMar>
      </w:tblPr>
      <w:tr>
        <w:trPr>
          <w:trHeight w:val="215"/>
        </w:trPr>
        <w:tc>
          <w:tcPr>
            <w:tcW w:w="6440" w:type="dxa"/>
            <w:vAlign w:val="bottom"/>
          </w:tcPr>
          <w:p>
            <w:pPr>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possible recipients which may assist the Company (presently or bentuk</w:t>
            </w:r>
          </w:p>
        </w:tc>
        <w:tc>
          <w:tcPr>
            <w:tcW w:w="1000" w:type="dxa"/>
            <w:vAlign w:val="bottom"/>
            <w:gridSpan w:val="2"/>
          </w:tcPr>
          <w:p>
            <w:pPr>
              <w:ind w:left="60"/>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elektronik</w:t>
            </w:r>
          </w:p>
        </w:tc>
        <w:tc>
          <w:tcPr>
            <w:tcW w:w="740" w:type="dxa"/>
            <w:vAlign w:val="bottom"/>
          </w:tcPr>
          <w:p>
            <w:pPr>
              <w:ind w:left="160"/>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atau</w:t>
            </w:r>
          </w:p>
        </w:tc>
        <w:tc>
          <w:tcPr>
            <w:tcW w:w="3180" w:type="dxa"/>
            <w:vAlign w:val="bottom"/>
            <w:gridSpan w:val="5"/>
          </w:tcPr>
          <w:p>
            <w:pPr>
              <w:jc w:val="right"/>
              <w:spacing w:after="0" w:line="214" w:lineRule="exact"/>
              <w:rPr>
                <w:sz w:val="20"/>
                <w:szCs w:val="20"/>
                <w:color w:val="auto"/>
              </w:rPr>
            </w:pPr>
            <w:r>
              <w:rPr>
                <w:rFonts w:ascii="Times New Roman" w:cs="Times New Roman" w:eastAsia="Times New Roman" w:hAnsi="Times New Roman"/>
                <w:sz w:val="22"/>
                <w:szCs w:val="22"/>
                <w:b w:val="1"/>
                <w:bCs w:val="1"/>
                <w:i w:val="1"/>
                <w:iCs w:val="1"/>
                <w:color w:val="auto"/>
              </w:rPr>
              <w:t>lain-lain,  dengan  tujuan  untuk</w:t>
            </w:r>
          </w:p>
        </w:tc>
      </w:tr>
      <w:tr>
        <w:trPr>
          <w:trHeight w:val="243"/>
        </w:trPr>
        <w:tc>
          <w:tcPr>
            <w:tcW w:w="71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in the future) with implementing, administering and managing melaksanakan,</w:t>
            </w:r>
          </w:p>
        </w:tc>
        <w:tc>
          <w:tcPr>
            <w:tcW w:w="1040" w:type="dxa"/>
            <w:vAlign w:val="bottom"/>
            <w:gridSpan w:val="2"/>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8"/>
              </w:rPr>
              <w:t>mentadbir</w:t>
            </w:r>
          </w:p>
        </w:tc>
        <w:tc>
          <w:tcPr>
            <w:tcW w:w="7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dan</w:t>
            </w:r>
          </w:p>
        </w:tc>
        <w:tc>
          <w:tcPr>
            <w:tcW w:w="1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menguruskan</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penyertaan</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the Plan to receive, possess, use, retain and transfer the Data, Peserta</w:t>
            </w:r>
          </w:p>
        </w:tc>
        <w:tc>
          <w:tcPr>
            <w:tcW w:w="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dalam</w:t>
            </w:r>
          </w:p>
        </w:tc>
        <w:tc>
          <w:tcPr>
            <w:tcW w:w="234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Pelan.  Peserta  fahami</w:t>
            </w:r>
          </w:p>
        </w:tc>
        <w:tc>
          <w:tcPr>
            <w:tcW w:w="7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bahawa</w:t>
            </w:r>
          </w:p>
        </w:tc>
        <w:tc>
          <w:tcPr>
            <w:tcW w:w="5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Data</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akan</w:t>
            </w:r>
          </w:p>
        </w:tc>
      </w:tr>
      <w:tr>
        <w:trPr>
          <w:trHeight w:val="243"/>
        </w:trPr>
        <w:tc>
          <w:tcPr>
            <w:tcW w:w="7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in  electronic  or  other  form,  for  the  sole  purpose  of dipegang  hanya</w:t>
            </w:r>
          </w:p>
        </w:tc>
        <w:tc>
          <w:tcPr>
            <w:tcW w:w="74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6"/>
              </w:rPr>
              <w:t>untuk</w:t>
            </w:r>
          </w:p>
        </w:tc>
        <w:tc>
          <w:tcPr>
            <w:tcW w:w="7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tempoh</w:t>
            </w:r>
          </w:p>
        </w:tc>
        <w:tc>
          <w:tcPr>
            <w:tcW w:w="6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5"/>
              </w:rPr>
              <w:t>yang</w:t>
            </w:r>
          </w:p>
        </w:tc>
        <w:tc>
          <w:tcPr>
            <w:tcW w:w="1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diperlukan</w:t>
            </w:r>
          </w:p>
        </w:tc>
        <w:tc>
          <w:tcPr>
            <w:tcW w:w="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untuk</w:t>
            </w:r>
          </w:p>
        </w:tc>
      </w:tr>
      <w:tr>
        <w:trPr>
          <w:trHeight w:val="273"/>
        </w:trPr>
        <w:tc>
          <w:tcPr>
            <w:tcW w:w="7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implementing,  administering  and  managing  his  or  her melaksanakan,</w:t>
            </w:r>
          </w:p>
        </w:tc>
        <w:tc>
          <w:tcPr>
            <w:tcW w:w="104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i w:val="1"/>
                <w:iCs w:val="1"/>
                <w:color w:val="auto"/>
                <w:w w:val="98"/>
              </w:rPr>
              <w:t>mentadbir</w:t>
            </w:r>
          </w:p>
        </w:tc>
        <w:tc>
          <w:tcPr>
            <w:tcW w:w="7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dan</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menguruskan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penyertaan</w:t>
            </w:r>
          </w:p>
        </w:tc>
      </w:tr>
    </w:tbl>
    <w:p>
      <w:pPr>
        <w:jc w:val="both"/>
        <w:ind w:lef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participation in the Plan. Participant understands that Data Peserta dalam Pelan. Peserta fahami bahawa sekiranya dia will be held only as long as is necessary to implement, menetap di luar Amerika Syarikat, dia boleh, pada bila-bila administer and manage Participant’s participation in the Plan. masa, melihat Data, meminta maklumat tambahan mengenai Participant understands if he or she resides outside the United penyimpanan dan pemprosesan Data, meminta bahawa States, he or she may, at any time, view Data, request pindaan-pindaan yang diperlukan dilaksanakan ke atas Data additional information about the storage and processing of atau menolak atau menarik balik persetujuan dalam ini, dalam Data, require any necessary amendments to Data or refuse or mana-mana kes, tanpa kos, dengan menghubungi secara withdraw the consents herein, in any case without cost, by bertulis wakil sumber manusia tempatannya di [masukkan contacting in writing his or her local human resources informasi mengenai entiti di Malaysia].</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representative at [insert Malaysian entity information].</w:t>
      </w:r>
    </w:p>
    <w:p>
      <w:pPr>
        <w:spacing w:after="0" w:line="14" w:lineRule="exact"/>
        <w:rPr>
          <w:sz w:val="20"/>
          <w:szCs w:val="20"/>
          <w:color w:val="auto"/>
        </w:rPr>
      </w:pPr>
    </w:p>
    <w:p>
      <w:pPr>
        <w:ind w:left="680"/>
        <w:spacing w:after="0"/>
        <w:tabs>
          <w:tab w:leader="none" w:pos="6380" w:val="left"/>
          <w:tab w:leader="none" w:pos="7800" w:val="left"/>
          <w:tab w:leader="none" w:pos="8780" w:val="left"/>
          <w:tab w:leader="none" w:pos="10080" w:val="left"/>
          <w:tab w:leader="none" w:pos="11100" w:val="left"/>
        </w:tabs>
        <w:rPr>
          <w:sz w:val="20"/>
          <w:szCs w:val="20"/>
          <w:color w:val="auto"/>
        </w:rPr>
      </w:pPr>
      <w:r>
        <w:rPr>
          <w:rFonts w:ascii="Times New Roman" w:cs="Times New Roman" w:eastAsia="Times New Roman" w:hAnsi="Times New Roman"/>
          <w:sz w:val="22"/>
          <w:szCs w:val="22"/>
          <w:b w:val="1"/>
          <w:bCs w:val="1"/>
          <w:i w:val="1"/>
          <w:iCs w:val="1"/>
          <w:color w:val="auto"/>
        </w:rPr>
        <w:t>Further, Participant understands that he or she is</w:t>
      </w:r>
      <w:r>
        <w:rPr>
          <w:sz w:val="20"/>
          <w:szCs w:val="20"/>
          <w:color w:val="auto"/>
        </w:rPr>
        <w:tab/>
      </w:r>
      <w:r>
        <w:rPr>
          <w:rFonts w:ascii="Times New Roman" w:cs="Times New Roman" w:eastAsia="Times New Roman" w:hAnsi="Times New Roman"/>
          <w:sz w:val="22"/>
          <w:szCs w:val="22"/>
          <w:b w:val="1"/>
          <w:bCs w:val="1"/>
          <w:i w:val="1"/>
          <w:iCs w:val="1"/>
          <w:color w:val="auto"/>
        </w:rPr>
        <w:t>Selanjutnya,</w:t>
        <w:tab/>
        <w:t>Peserta</w:t>
        <w:tab/>
        <w:t>memahami</w:t>
        <w:tab/>
        <w:t>bahawa</w:t>
      </w:r>
      <w:r>
        <w:rPr>
          <w:sz w:val="20"/>
          <w:szCs w:val="20"/>
          <w:color w:val="auto"/>
        </w:rPr>
        <w:tab/>
      </w:r>
      <w:r>
        <w:rPr>
          <w:rFonts w:ascii="Times New Roman" w:cs="Times New Roman" w:eastAsia="Times New Roman" w:hAnsi="Times New Roman"/>
          <w:sz w:val="21"/>
          <w:szCs w:val="21"/>
          <w:b w:val="1"/>
          <w:bCs w:val="1"/>
          <w:i w:val="1"/>
          <w:iCs w:val="1"/>
          <w:color w:val="auto"/>
        </w:rPr>
        <w:t>dia</w:t>
      </w:r>
    </w:p>
    <w:p>
      <w:pPr>
        <w:spacing w:after="0" w:line="20" w:lineRule="exact"/>
        <w:rPr>
          <w:sz w:val="20"/>
          <w:szCs w:val="20"/>
          <w:color w:val="auto"/>
        </w:rPr>
      </w:pPr>
    </w:p>
    <w:p>
      <w:pPr>
        <w:jc w:val="both"/>
        <w:ind w:left="40"/>
        <w:spacing w:after="0" w:line="211" w:lineRule="auto"/>
        <w:rPr>
          <w:sz w:val="20"/>
          <w:szCs w:val="20"/>
          <w:color w:val="auto"/>
        </w:rPr>
      </w:pPr>
      <w:r>
        <w:rPr>
          <w:rFonts w:ascii="Times New Roman" w:cs="Times New Roman" w:eastAsia="Times New Roman" w:hAnsi="Times New Roman"/>
          <w:sz w:val="6"/>
          <w:szCs w:val="6"/>
          <w:b w:val="1"/>
          <w:bCs w:val="1"/>
          <w:i w:val="1"/>
          <w:iCs w:val="1"/>
          <w:color w:val="auto"/>
        </w:rPr>
        <w:t>providing the consents herein on a purely voluntary basis. If memberikan persetujuan di sini secara sukarela. Jika Peserta Participant does not consent, or if Participant later seeks to tidak bersetuju, atau jika Peserta kemudian membatalkan revoke his or her consent, his or her employment status or persetujuannya, status pekerjaan atau perkhidmatan dan service and career with the Employer will not be adversely kerjayanya dengan Majikan tidak akan terjejas; satunya akibat affected; the only consequence of refusing or withdrawing jika dia tidak bersetuju atau menarik balik persetujuannya Participant’s consent is that the Company would not be able to adalah bahawa Syarikat tidak akan dapat menganugerahkan grant Participant PSUs or other Awards or administer or kepada Peserta PSUs atau Anugerah lain atau mentadbir atau maintain such Awards. Therefore, Participant understands that mengekalkan Anugerah tersebut. Oleh itu, Peserta fahami refusing or withdrawing his or her consent may affect bahawa keengganan atau penarikan balik persetujuannya Participant’s ability to participate in the Plan. For more boleh menjejaskan keupayaannya untuk mengambil bahagian information on the consequences of Participant’s refusal to dalam Pelan. Untuk maklumat lanjut mengenai akibat consent or withdrawal of consent, Participant understands that keengganannya untuk memberikan keizinan atau penarikan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he or she may contact his or her local human resources balik keizinan, Peserta fahami bahawa dia boleh menghubungi representative. wakil sumber manusia tempatannya.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If Participant is a director of a Malaysian Parent or Subsidiary, Participant is subject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notification requirements under the Malaysian Companies Act. Among these requirements is an obligation to notify the Company’s Malaysian Parent or Subsidiary in writing when Participant receive or dispose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PSUs or Shares) in the Company or any related company. This notification must be made within 14 days of receiving or disposing of any interest in the Company or any related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 Entitlement or Claims for Compensation. </w:t>
      </w:r>
      <w:r>
        <w:rPr>
          <w:rFonts w:ascii="Times New Roman" w:cs="Times New Roman" w:eastAsia="Times New Roman" w:hAnsi="Times New Roman"/>
          <w:sz w:val="22"/>
          <w:szCs w:val="22"/>
          <w:color w:val="auto"/>
        </w:rPr>
        <w:t>These provisions supplement Section 12 of the Award Agreement: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Modification. </w:t>
      </w:r>
      <w:r>
        <w:rPr>
          <w:rFonts w:ascii="Times New Roman" w:cs="Times New Roman" w:eastAsia="Times New Roman" w:hAnsi="Times New Roman"/>
          <w:sz w:val="22"/>
          <w:szCs w:val="22"/>
          <w:color w:val="auto"/>
        </w:rPr>
        <w:t>By accepting the PSUs, Participant understands and agrees that any modification of the Plan or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its termination shall not constitute a change or impairment of the terms and conditions of employment.</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Policy Statement. </w:t>
      </w:r>
      <w:r>
        <w:rPr>
          <w:rFonts w:ascii="Times New Roman" w:cs="Times New Roman" w:eastAsia="Times New Roman" w:hAnsi="Times New Roman"/>
          <w:sz w:val="22"/>
          <w:szCs w:val="22"/>
          <w:color w:val="auto"/>
        </w:rPr>
        <w:t>The Award of PSUs the Company is making under the Plan is unilateral and discretionary and, therefore,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reserves the absolute right to amend it and discontinue it at any time without any liability.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with registered offices at 899 Kifer Road, Sunnyvale, CA 94086, U.S.A., is solely responsible for the administration of the Plan and participation in the Plan and the acquisition of Shares does not, in any way, establish an employment relationship between Participant and the Company since Participant is participating in the Plan on a wholly commercial basis and the sole employer is Fortinet, Inc., located at Prol. Paseo de la Reforma 115 Int. 702, Col. Lomas de Santa Fe, Del. Alvaro Obregon, Mexico, D.F. C.P. 01219, nor does it establish any rights between Participant and the Employer.</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Plan Document Acknowledgment. </w:t>
      </w:r>
      <w:r>
        <w:rPr>
          <w:rFonts w:ascii="Times New Roman" w:cs="Times New Roman" w:eastAsia="Times New Roman" w:hAnsi="Times New Roman"/>
          <w:sz w:val="22"/>
          <w:szCs w:val="22"/>
          <w:color w:val="auto"/>
        </w:rPr>
        <w:t>By accepting the Award of PSUs, Participant acknowledges that Participant has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copies of the Plan, has reviewed the Plan and the Award Agreement in their entirety and fully understands and accepts all provisions of the Plan and the Award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addition, by accepting the Award Agreement, Participant further acknowledges that Participant has read and specifically and expressly approved the terms and conditions in the Award Agreement, in which the following is clearly described and established:</w:t>
      </w:r>
    </w:p>
    <w:p>
      <w:pPr>
        <w:spacing w:after="0" w:line="2" w:lineRule="exact"/>
        <w:rPr>
          <w:sz w:val="20"/>
          <w:szCs w:val="20"/>
          <w:color w:val="auto"/>
        </w:rPr>
      </w:pPr>
    </w:p>
    <w:p>
      <w:pPr>
        <w:jc w:val="both"/>
        <w:ind w:firstLine="8"/>
        <w:spacing w:after="0" w:line="246" w:lineRule="auto"/>
        <w:tabs>
          <w:tab w:leader="none" w:pos="28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does not constitute an acquired right; (ii) the Plan and participation in the Plan are offered by the Company on a wholly discretionary basis; (iii) participation in the Plan is voluntary; and (iv) the Company and any Parent or Subsidiary are not responsible for any decrease in the value of the Shares underlying the PSUs.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Participant hereby declares that Participant does not reserve any action or right to bring any claim against the Company for any compensation or damages as a result of Participant’s participation in the Plan and therefore grants a full and broad release to the Employer, the Company and any Parent or Subsidiary with respect to any claim that may arise under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Sin derecho a compensación o reclamaciones por compensación. </w:t>
      </w:r>
      <w:r>
        <w:rPr>
          <w:rFonts w:ascii="Times New Roman" w:cs="Times New Roman" w:eastAsia="Times New Roman" w:hAnsi="Times New Roman"/>
          <w:sz w:val="22"/>
          <w:szCs w:val="22"/>
          <w:i w:val="1"/>
          <w:iCs w:val="1"/>
          <w:color w:val="auto"/>
        </w:rPr>
        <w:t>Estas disposiciones complementan el Contrato:</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Modificación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Al aceptar las Unidades de Acciones Restringidas, el Participante entiende y acuerda que cualquier modificación 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Plan o al Contrato o su terminación no constituirá un cambio o perjuicio a los términos y condiciones de empleo.</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Declaración de Política. </w:t>
      </w:r>
      <w:r>
        <w:rPr>
          <w:rFonts w:ascii="Times New Roman" w:cs="Times New Roman" w:eastAsia="Times New Roman" w:hAnsi="Times New Roman"/>
          <w:sz w:val="22"/>
          <w:szCs w:val="22"/>
          <w:i w:val="1"/>
          <w:iCs w:val="1"/>
          <w:color w:val="auto"/>
        </w:rPr>
        <w:t>El Otorgamiento de Unidades de Acciones Restringidas que la Compañía está haciendo de conformidad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con el Plan es unilateral y discrecional y, por lo tanto, la Compañía se reserva el derecho absoluto de modificar y discontinuar el mismo en cualquier momento, sin responsabilidad alguna.</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La Compañía, con oficinas registradas ubicadas en 899 Kifer Road, Sunnyvale, CA 94086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Times New Roman" w:cs="Times New Roman" w:eastAsia="Times New Roman" w:hAnsi="Times New Roman"/>
          <w:sz w:val="22"/>
          <w:szCs w:val="22"/>
          <w:color w:val="auto"/>
        </w:rPr>
        <w:t>es</w:t>
      </w:r>
      <w:r>
        <w:rPr>
          <w:rFonts w:ascii="Times New Roman" w:cs="Times New Roman" w:eastAsia="Times New Roman" w:hAnsi="Times New Roman"/>
          <w:sz w:val="22"/>
          <w:szCs w:val="22"/>
          <w:i w:val="1"/>
          <w:iCs w:val="1"/>
          <w:color w:val="auto"/>
        </w:rPr>
        <w:t xml:space="preserve"> Fortinet, Inc., Prol. Paseo de la Reforma 115 Int. 702, Col. Lomas de Santa Fe, Del. Alvaro Obregon, Mexico, D.F. C.P. 01219, y tampoco establece ningún derecho entre el Participante y el Patrón.</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Reconocimiento del Documento del Plan. </w:t>
      </w:r>
      <w:r>
        <w:rPr>
          <w:rFonts w:ascii="Times New Roman" w:cs="Times New Roman" w:eastAsia="Times New Roman" w:hAnsi="Times New Roman"/>
          <w:sz w:val="22"/>
          <w:szCs w:val="22"/>
          <w:i w:val="1"/>
          <w:iCs w:val="1"/>
          <w:color w:val="auto"/>
        </w:rPr>
        <w:t>Al aceptar el Otorgamiento de las Unidades de Acciones Restringidas, el Participante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reconoce que el Participante ha recibido copias del Plan, ha revisado el Plan y el Contrato en su totalidad y entiende y acepta completamente todas las disposiciones contenidas en el Plan y en el Contrato.</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2"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NIGERIA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PANAMA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PSUs and any Shares which may be issued to Participant upon vesting and settlement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PSUs are not subject to registration under Panamanian Law as they are not intended for the public, but solely for Participant’s benefit.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offer of the PSUs is considered a private offering in Peru; therefore, it is not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in Peru.</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PHILIPPINES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PSUs Payable Only in Cash</w:t>
      </w:r>
      <w:r>
        <w:rPr>
          <w:rFonts w:ascii="Times New Roman" w:cs="Times New Roman" w:eastAsia="Times New Roman" w:hAnsi="Times New Roman"/>
          <w:sz w:val="22"/>
          <w:szCs w:val="22"/>
          <w:color w:val="auto"/>
        </w:rPr>
        <w:t>. Notwithstanding Section 2 of the Award Agreement, the grant of PSUs does not provide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Participant to receive Shares. PSUs granted to Participants in the Philippines shall be paid only in cash in an amount equal to the value of the Shares on the vesting date less any Tax-Related Items. Participant agrees to bear any currency fluctuation risk between the time the Restricted Stock Units vest and the time the cash payment is distributed to Participant through local payroll.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Polish residents holding foreign securities (including Shares) and maintaining accounts abroad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report information to the National Bank of Poland on transactions and balances of the securities and cash deposited in such accounts if the value of such securities and cash (when combined with all other assets held abroad) exceeds PLN 7,000,000. If required, the reports must be filed on a quarterly basis on special forms available on the website of the National Bank of Poland. Further, any transfer of funds in excess of a specified threshold (currently €15,000) must be effected through a bank account in Poland. Participant should maintain evidence of such foreign exchange transactions for five years, in case of a request for their production by the National Bank of Poland.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PORTUGAL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Participant hereby expressly declares that he or she has full knowledge of the English language and has read,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understood and fully accepted and agreed with the terms and conditions established in the Plan and the Award Agreement.</w:t>
      </w:r>
    </w:p>
    <w:p>
      <w:pPr>
        <w:spacing w:after="0" w:line="15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i w:val="1"/>
          <w:iCs w:val="1"/>
          <w:color w:val="auto"/>
        </w:rPr>
        <w:t>Conhecimento da Lingua. O Participante pelo presente declara expressamente que tem pleno conhecimento da língua inglesa e que leu, compreendeu e livremente aceitou e concordou com os termos e condições estabelecidas no Plano e no Acordo de Atribuição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does not hold the Shares acquired at vesting with a Portuguese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intermediary, Participant may need to file a report with the Portuguese Central Bank. If the Shares are held by a Portuguese financial intermediary, it will file the report for Participant.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QATAR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ROMANIA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Participant deposits the proceeds from the sale of Shares issued to him or her at vesting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the Shares or any dividends or Dividend Equivalents paid or such Shares in a bank account in Romania, Participant may be required to provide the Romanian bank with appropriate documentation explaining the source of the funds.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should consult his or her personal advisor to determine whether Participant will be required to submit such documentation to the Romanian bank.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U.S. Transaction. </w:t>
      </w:r>
      <w:r>
        <w:rPr>
          <w:rFonts w:ascii="Times New Roman" w:cs="Times New Roman" w:eastAsia="Times New Roman" w:hAnsi="Times New Roman"/>
          <w:sz w:val="22"/>
          <w:szCs w:val="22"/>
          <w:color w:val="auto"/>
        </w:rPr>
        <w:t>The Plan, the Award Agreement, including this Addendum, and all other materials Participant may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Participant’s participation in the Plan or the grant of PSUs do not constitute advertising or an offering of securities in Russia. The issuance of Shares acquired at vesting has not and will not be registered in Russia; therefore, such Shares may not be offered or placed in public circulation in Russia. In no event will Shares acquired at vesting be delivered to Participant in Russia; all Shares will be maintained on Participant’s behalf in the United States. Participant is not permitted to sell Shares acquired at vesting directly to a Russian legal entity or resident.</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Depending on the development of local regulatory requirements, the Company reserves the right to settle PSUs in cash and/or to pay any proceeds related to the PSUs to Participant through local payroll.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This notification supplements Section 14 of the Award Agreement:</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PSUs to Participant or other awards or administer or maintain such awards. Therefore, Participant understands that refusing to complete a Consent form or withdrawing his or her consent may affect Participant’s ability to participate in the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repatriate the proceeds from the sale of Shares to Russia within a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 period after receipt. The sale proceeds must be initially credited to Participant through a foreign currency account opened in Participant’s name at an authorized bank in Russia. After the funds are initially received in Russia, they may be further remitted to a foreign bank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 Participant is strongly advised to contact his or her personal advisor before PSUs vest and Shares are sold as significant penalties may apply in the case of non-compliance with exchange control requirements and because such exchange control requirements may change.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SINGAPORE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PSUs are being granted in reliance on Section 273(1)(f) of the Securities and Futures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(Chapter 289, 2006 Ed.) (“SFA”), under which it is exempt from the prospectus and registration requirements under the SFA. The Plan have not been lodged or registered as a prospectus with the Monetary Authority of Singapore. The PSUs are subject to Section 257 of the SFA and the Participant should not sell, or offer for sale, Shares acquired upon vesting of the PSUs, unless such sale or offer is made (a) after 6 months of the grant of the PSUs to Participant; or (b) pursuant to the exemptions under Part XIII Division (1) Subdivision (4) (other than Section 280) of the SFA.</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Chief Executive Officer and Director Notification Obligation. </w:t>
      </w:r>
      <w:r>
        <w:rPr>
          <w:rFonts w:ascii="Times New Roman" w:cs="Times New Roman" w:eastAsia="Times New Roman" w:hAnsi="Times New Roman"/>
          <w:sz w:val="21"/>
          <w:szCs w:val="21"/>
          <w:color w:val="auto"/>
        </w:rPr>
        <w:t>The Chief Executive Officer and the Directors of a Singaporean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Parent or Subsidiary are subject to certain notification requirements under the Singapore Companies Act. The Chief Executive Officer and the Directors must notify the Singapore Parent or Subsidiary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unvested PSUs, Shares, etc.) in the Company or any Parent or Subsidiary within two (2) business days of (i) its acquisition or disposal, (ii) any change in previously disclosed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when Shares acquired at vesting are sold), or (iii) becoming the CEO and/or a director.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SLOVENIA</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Slovenian residents may be required to report the opening of bank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accounts to tax authorities within 15 days of opening such account. Participants should consult with their personal tax advisor to determine whether this requirement will be applicable to any accounts opened in connection with participation in the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Participant’s brokerage account with the Company’s designated broker).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 AFRICA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Withholding Taxes. </w:t>
      </w:r>
      <w:r>
        <w:rPr>
          <w:rFonts w:ascii="Times New Roman" w:cs="Times New Roman" w:eastAsia="Times New Roman" w:hAnsi="Times New Roman"/>
          <w:sz w:val="22"/>
          <w:szCs w:val="22"/>
          <w:color w:val="auto"/>
        </w:rPr>
        <w:t>This provision supplements Section 8 of the Award Agreement: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accepting the PSUs, Participant agrees to immediately notify the Employer of the amount of any gain realized upon vesting of the PSUs. If Participant fails to advise the Employer of the gain realized at vesting, Participant may be liable for a fine. Participant will be responsible for paying any difference between the actual tax liability and the amount withheld.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is responsible for complying with applicable South African exchange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Company nor any Parent or Subsidiary will be liable for any fines or penalties resulting from Participant’s failure to comply with applicable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This provision supplements Section 12 of the Award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accepting the PSUs, Participant consents to participation in the Plan and acknowledges that Participant has received a copy of the Plan.</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Participant understands that the Company has unilaterally, gratuitously, and in its sole discretion decided to grant PSUs under the Plan to individuals who may be Service Providers throughout the world. The decision is a limited decision that is entered into upon the express assumption and condition that any grant will not bind the Company or any Parent or Subsidiary, other than to the extent set forth in the Plan. Consequently, Participant understands that the PSUs are granted on the assumption and condition that the PSUs and any Shares acquired at vesting of the PSUs are not part of any employment or service contract (either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PSUs shall be null and void.</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Further, except as otherwise provided in the Plan and the Award Agreement, Participant understands that he or she will not be entitled to continue vesting in any PSUs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the Royal Decree 1382/1985. Participant acknowledges that Participant has read and specifically accepts the vesting and termination conditions in the Award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PSUs do not qualify under Spanish Law as securities. No “offer to the public,” as defined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Spanish Law, has taken place or will take place in the Spanish territory. Neither the Plan nor the Award Agreement have been registered with the </w:t>
      </w:r>
      <w:r>
        <w:rPr>
          <w:rFonts w:ascii="Times New Roman" w:cs="Times New Roman" w:eastAsia="Times New Roman" w:hAnsi="Times New Roman"/>
          <w:sz w:val="22"/>
          <w:szCs w:val="22"/>
          <w:i w:val="1"/>
          <w:iCs w:val="1"/>
          <w:color w:val="auto"/>
        </w:rPr>
        <w:t>Comisión Nacronal del Mercado de Valores</w:t>
      </w:r>
      <w:r>
        <w:rPr>
          <w:rFonts w:ascii="Times New Roman" w:cs="Times New Roman" w:eastAsia="Times New Roman" w:hAnsi="Times New Roman"/>
          <w:sz w:val="22"/>
          <w:szCs w:val="22"/>
          <w:color w:val="auto"/>
        </w:rPr>
        <w:t xml:space="preserve"> and do not constitute a public offering prospectus.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2"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must declare the acquisition of Shares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Spanish Dirección General de Comercio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e Inversiones </w:t>
      </w:r>
      <w:r>
        <w:rPr>
          <w:rFonts w:ascii="Times New Roman" w:cs="Times New Roman" w:eastAsia="Times New Roman" w:hAnsi="Times New Roman"/>
          <w:sz w:val="22"/>
          <w:szCs w:val="22"/>
          <w:color w:val="auto"/>
        </w:rPr>
        <w:t>(the “DGCI”), the Bureau for Commerce and Investments, which is a department of the Ministry of Economy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Competitiveness. Participant must also declare ownership of any Shares by filing a Form D-6 with the Directorate of Foreign Transactions each January while the Shares are owned. In addition, the sale of Shares must also be declared on Form D-6 filed with the DGCI in January, unless the sale proceeds exceed the applicable threshold (currently €1,502,530), in which case, the filing is due within one month after the sale.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Participant is required to declare electronically to the Bank of Spain any foreign accounts (including brokerage accounts held abroad), any foreign instruments (including any Shares acquired under the Plan) and any transactions with non-Spanish residents (including any payments of Shares made to Participant by the Company) depending on the value of such accounts and instruments and the amount of the transactions during the relevant year as of December 31 of the relevant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Foreign Asset/Accounting Reporting Information. </w:t>
      </w:r>
      <w:r>
        <w:rPr>
          <w:rFonts w:ascii="Times New Roman" w:cs="Times New Roman" w:eastAsia="Times New Roman" w:hAnsi="Times New Roman"/>
          <w:sz w:val="21"/>
          <w:szCs w:val="21"/>
          <w:color w:val="auto"/>
        </w:rPr>
        <w:t>If Participant holds rights or assets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or cash held in a bank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brokerage account) outside of Spain with a value in excess of €50,000 per type of right or asset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offering of PSUs is considered a private offering in Switzerland and is, therefore, not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in Switzerland.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TAIWAN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Data Privacy Acknowledgement</w:t>
      </w:r>
      <w:r>
        <w:rPr>
          <w:rFonts w:ascii="Times New Roman" w:cs="Times New Roman" w:eastAsia="Times New Roman" w:hAnsi="Times New Roman"/>
          <w:sz w:val="22"/>
          <w:szCs w:val="22"/>
          <w:color w:val="auto"/>
        </w:rPr>
        <w:t>. Participant acknowledges that he or she has read and understands the terms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collection, processing and transfer of Data contained in Section 14 of the Award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understands that he or she will not be able to participate in the Plan if Participant fails to execute any such consent or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may acquire and remit foreign currency (including proceeds from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receipt of dividends or Dividend Equivalents) up to US$5,000,000 per year without justification.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the transaction amount is TWD500,000 or more in a single transaction, Participant must submit a Foreign Exchange Transaction Form. If the transaction amount is US$500,000 or more in a single transaction, Participant must also provide supporting documentation to the satisfaction of the remitting bank.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THAILAND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the proceeds from the sale of Shares or the receipt of dividends or Dividend Equivalents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to or greater than US$50,000 in a single 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Participant does not comply with this obligation, Participant may be subject to penalties assessed by the Bank of Thailand. Because exchange control regulations change frequently and 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TUNISIA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Settlement of PSUs and Sale of Shares. </w:t>
      </w:r>
      <w:r>
        <w:rPr>
          <w:rFonts w:ascii="Times New Roman" w:cs="Times New Roman" w:eastAsia="Times New Roman" w:hAnsi="Times New Roman"/>
          <w:sz w:val="22"/>
          <w:szCs w:val="22"/>
          <w:color w:val="auto"/>
        </w:rPr>
        <w:t>Due to local regulatory requirements, upon the vesting of the PSUs, Participant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immediate sale of any Shares to be issued to him or her upon vesting and settlement of the PSUs.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All proceeds from the sale of Shares as described above must be repatriated to Tunisia.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should consult his or her 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TURKEY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Under Turkish law, the Participant is not permitted to sell Shares acquired under the Plan in Turkey.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are currently traded on the Nasdaq Global Select Market, which is located outside of Turkey, under the ticker symbol “FTNT” and the Shares may be sold through this exchange.</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Participant likely will be required to engage a Turkish financial intermediary to assist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prior to the vesting of the PSUs or any sale of Shares to ensure compliance.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Notifications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Participation in the Plan is being offered only to selected Service Providers and is in the nature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equity incentives to Service Providers in the United Arab Emirates. The Plan and the Award Agreement are intended for distribution only to such Service Providers and must not be delivered to, or relied on by, any other person. Prospective purchasers of the securities offered should conduct their own due diligence on the securities. If Participant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does not understand the contents of the Plan and the Award Agreement,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Terms and Conditions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PSUs Payable Only in Shares. </w:t>
      </w:r>
      <w:r>
        <w:rPr>
          <w:rFonts w:ascii="Times New Roman" w:cs="Times New Roman" w:eastAsia="Times New Roman" w:hAnsi="Times New Roman"/>
          <w:sz w:val="22"/>
          <w:szCs w:val="22"/>
          <w:color w:val="auto"/>
        </w:rPr>
        <w:t>Notwithstanding any discretion in the Plan or anything to the contrary in the Award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PSUs does not provide any right for Participant to receive a cash payment, and the PSUs are payable in Shares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Withholding Taxes. </w:t>
      </w:r>
      <w:r>
        <w:rPr>
          <w:rFonts w:ascii="Times New Roman" w:cs="Times New Roman" w:eastAsia="Times New Roman" w:hAnsi="Times New Roman"/>
          <w:sz w:val="22"/>
          <w:szCs w:val="22"/>
          <w:color w:val="auto"/>
        </w:rPr>
        <w:t>This provision supplements Section 8 of the Award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payment or withholding of the income tax due is not made within ninety (90) days of the end of the U.K. tax year (April 6 - April</w:t>
      </w:r>
    </w:p>
    <w:p>
      <w:pPr>
        <w:spacing w:after="0" w:line="39" w:lineRule="exact"/>
        <w:rPr>
          <w:sz w:val="20"/>
          <w:szCs w:val="20"/>
          <w:color w:val="auto"/>
        </w:rPr>
      </w:pPr>
    </w:p>
    <w:p>
      <w:pPr>
        <w:jc w:val="both"/>
        <w:ind w:firstLine="8"/>
        <w:spacing w:after="0" w:line="259" w:lineRule="auto"/>
        <w:tabs>
          <w:tab w:leader="none" w:pos="23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which such event giving rise to the income tax liability occurs,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Her Majesty’s Revenue &amp; Customs (“HMRC”), it will be immediately due and repayable, and the Company or the Employer may recover it at any time thereafter by any of the means referred to in Section 8 of the Award Agreement.</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Notwithstanding the foregoing, if Participant is a director or executive officer of the Company (within the meaning of Section 13(k) of the U.S. Securities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may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8 of the Award Agreement.</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Joint Election for Transfer of the Employer’s Secondary Class 1 NICs Liability to the Participant. </w:t>
      </w:r>
      <w:r>
        <w:rPr>
          <w:rFonts w:ascii="Times New Roman" w:cs="Times New Roman" w:eastAsia="Times New Roman" w:hAnsi="Times New Roman"/>
          <w:sz w:val="22"/>
          <w:szCs w:val="22"/>
          <w:color w:val="auto"/>
        </w:rPr>
        <w:t>As a condition of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PSUs, Participant agrees to accept any liability for secondary Class 1 NICs, which may be payable by the Company or the Employer in connection with the PSUs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PSUs. Participant further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6623174-v9\GESDMS</w:t>
      </w: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agrees to enter into such other joint elections as may be required between Participant and any successor to the Company and/or the Employer. If Participant does not enter into the Election prior to the vesting of the PSUs, Participant shall, without any liability to the Company or any Parent or Subsidiary, not be entitled to vest in the PSUs.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Participant further agrees that the Company and/or the Employer may collect the Employer NICs by any of the means set forth in Section 8 of the Award Agreement, as supplemented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(Canada),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Information Technology (Tianjin) Co.,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Singapore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S.A.R.L.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GmbH</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Federal,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Mexico</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920"/>
          </w:cols>
          <w:pgMar w:left="740" w:top="833"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333-163367, 333-172459, 333-175985, 333-179751, 333-186921 and 333-194281 on Form S-8 of our reports dated February 27, 2015, relating to the consolidated financial statements and financial statement schedule of Fortinet, Inc., and the effectiveness of Fortinet, Inc.’s internal control over financial reporting, appearing in this Annual Report on Form 10-K of Fortinet, Inc. for the year ended December 31, 2014.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577"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7"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2014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27, 2015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 Xie</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 Andrew Del Matto, certify, pursuant to 18 U.S.C. Section 1350, as adopted pursuant to Section 906 of the Sarbanes-Oxley Act of 2002, that the Annual Report on Form 10-K of Fortinet, Inc. for the fiscal year ended December 31, 2014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Andrew Del Matto</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27, 2015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Del Matto</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8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2"/>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3"/>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upperLetter"/>
      <w:start w:val="9"/>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lowerLetter"/>
      <w:start w:val="1"/>
    </w:lvl>
    <w:lvl w:ilvl="1">
      <w:lvlJc w:val="left"/>
      <w:lvlText w:val="%2."/>
      <w:numFmt w:val="decimal"/>
      <w:start w:val="5"/>
    </w:lvl>
  </w:abstractNum>
  <w:abstractNum w:abstractNumId="37">
    <w:nsid w:val="374A3FE6"/>
    <w:multiLevelType w:val="hybridMultilevel"/>
    <w:lvl w:ilvl="0">
      <w:lvlJc w:val="left"/>
      <w:lvlText w:val="(%1)"/>
      <w:numFmt w:val="lowerLetter"/>
      <w:start w:val="2"/>
    </w:lvl>
    <w:lvl w:ilvl="1">
      <w:lvlJc w:val="left"/>
      <w:lvlText w:val="%2"/>
      <w:numFmt w:val="decimal"/>
      <w:start w:val="1"/>
    </w:lvl>
  </w:abstractNum>
  <w:abstractNum w:abstractNumId="38">
    <w:nsid w:val="4F4EF005"/>
    <w:multiLevelType w:val="hybridMultilevel"/>
    <w:lvl w:ilvl="0">
      <w:lvlJc w:val="left"/>
      <w:lvlText w:val="%1."/>
      <w:numFmt w:val="decimal"/>
      <w:start w:val="8"/>
    </w:lvl>
  </w:abstractNum>
  <w:abstractNum w:abstractNumId="39">
    <w:nsid w:val="23F9C13C"/>
    <w:multiLevelType w:val="hybridMultilevel"/>
    <w:lvl w:ilvl="0">
      <w:lvlJc w:val="left"/>
      <w:lvlText w:val="(%1)"/>
      <w:numFmt w:val="lowerLetter"/>
      <w:start w:val="3"/>
    </w:lvl>
  </w:abstractNum>
  <w:abstractNum w:abstractNumId="40">
    <w:nsid w:val="649BB77C"/>
    <w:multiLevelType w:val="hybridMultilevel"/>
    <w:lvl w:ilvl="0">
      <w:lvlJc w:val="left"/>
      <w:lvlText w:val="%1."/>
      <w:numFmt w:val="decimal"/>
      <w:start w:val="9"/>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4"/>
    </w:lvl>
    <w:lvl w:ilvl="1">
      <w:lvlJc w:val="left"/>
      <w:lvlText w:val="(%2)"/>
      <w:numFmt w:val="lowerRoman"/>
      <w:start w:val="1"/>
    </w:lvl>
  </w:abstractNum>
  <w:abstractNum w:abstractNumId="43">
    <w:nsid w:val="1CF10FD8"/>
    <w:multiLevelType w:val="hybridMultilevel"/>
    <w:lvl w:ilvl="0">
      <w:lvlJc w:val="left"/>
      <w:lvlText w:val="%1."/>
      <w:numFmt w:val="decimal"/>
      <w:start w:val="12"/>
    </w:lvl>
  </w:abstractNum>
  <w:abstractNum w:abstractNumId="44">
    <w:nsid w:val="180115BE"/>
    <w:multiLevelType w:val="hybridMultilevel"/>
    <w:lvl w:ilvl="0">
      <w:lvlJc w:val="left"/>
      <w:lvlText w:val="%1."/>
      <w:numFmt w:val="decimal"/>
      <w:start w:val="14"/>
    </w:lvl>
  </w:abstractNum>
  <w:abstractNum w:abstractNumId="45">
    <w:nsid w:val="235BA861"/>
    <w:multiLevelType w:val="hybridMultilevel"/>
    <w:lvl w:ilvl="0">
      <w:lvlJc w:val="left"/>
      <w:lvlText w:val="%1."/>
      <w:numFmt w:val="decimal"/>
      <w:start w:val="20"/>
    </w:lvl>
  </w:abstractNum>
  <w:abstractNum w:abstractNumId="46">
    <w:nsid w:val="47398C89"/>
    <w:multiLevelType w:val="hybridMultilevel"/>
    <w:lvl w:ilvl="0">
      <w:lvlJc w:val="left"/>
      <w:lvlText w:val="%1."/>
      <w:numFmt w:val="decimal"/>
      <w:start w:val="26"/>
    </w:lvl>
    <w:lvl w:ilvl="1">
      <w:lvlJc w:val="left"/>
      <w:lvlText w:val="*"/>
      <w:numFmt w:val="bullet"/>
      <w:start w:val="1"/>
    </w:lvl>
  </w:abstractNum>
  <w:abstractNum w:abstractNumId="47">
    <w:nsid w:val="354FE9F9"/>
    <w:multiLevelType w:val="hybridMultilevel"/>
    <w:lvl w:ilvl="0">
      <w:lvlJc w:val="left"/>
      <w:lvlText w:val="(%1)"/>
      <w:numFmt w:val="lowerRoman"/>
      <w:start w:val="1"/>
    </w:lvl>
  </w:abstractNum>
  <w:abstractNum w:abstractNumId="48">
    <w:nsid w:val="15B5AF5C"/>
    <w:multiLevelType w:val="hybridMultilevel"/>
    <w:lvl w:ilvl="0">
      <w:lvlJc w:val="left"/>
      <w:lvlText w:val="%1)"/>
      <w:numFmt w:val="decimal"/>
      <w:start w:val="5"/>
    </w:lvl>
  </w:abstractNum>
  <w:abstractNum w:abstractNumId="49">
    <w:nsid w:val="741226BB"/>
    <w:multiLevelType w:val="hybridMultilevel"/>
    <w:lvl w:ilvl="0">
      <w:lvlJc w:val="left"/>
      <w:lvlText w:val="%1."/>
      <w:numFmt w:val="upperLetter"/>
      <w:start w:val="9"/>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2"/>
    </w:lvl>
  </w:abstractNum>
  <w:abstractNum w:abstractNumId="52">
    <w:nsid w:val="3F6AB60F"/>
    <w:multiLevelType w:val="hybridMultilevel"/>
    <w:lvl w:ilvl="0">
      <w:lvlJc w:val="left"/>
      <w:lvlText w:val="%1."/>
      <w:numFmt w:val="decimal"/>
      <w:start w:val="5"/>
    </w:lvl>
  </w:abstractNum>
  <w:abstractNum w:abstractNumId="53">
    <w:nsid w:val="61574095"/>
    <w:multiLevelType w:val="hybridMultilevel"/>
    <w:lvl w:ilvl="0">
      <w:lvlJc w:val="left"/>
      <w:lvlText w:val="%1."/>
      <w:numFmt w:val="decimal"/>
      <w:start w:val="8"/>
    </w:lvl>
  </w:abstractNum>
  <w:abstractNum w:abstractNumId="54">
    <w:nsid w:val="7E0C57B1"/>
    <w:multiLevelType w:val="hybridMultilevel"/>
    <w:lvl w:ilvl="0">
      <w:lvlJc w:val="left"/>
      <w:lvlText w:val="(%1)"/>
      <w:numFmt w:val="lowerLetter"/>
      <w:start w:val="3"/>
    </w:lvl>
  </w:abstractNum>
  <w:abstractNum w:abstractNumId="55">
    <w:nsid w:val="77AE35EB"/>
    <w:multiLevelType w:val="hybridMultilevel"/>
    <w:lvl w:ilvl="0">
      <w:lvlJc w:val="left"/>
      <w:lvlText w:val="%1."/>
      <w:numFmt w:val="decimal"/>
      <w:start w:val="9"/>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3"/>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9"/>
    </w:lvl>
    <w:lvl w:ilvl="1">
      <w:lvlJc w:val="left"/>
      <w:lvlText w:val="(%2)"/>
      <w:numFmt w:val="lowerRoman"/>
      <w:start w:val="1"/>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5"/>
    </w:lvl>
  </w:abstractNum>
  <w:abstractNum w:abstractNumId="62">
    <w:nsid w:val="4AD084E9"/>
    <w:multiLevelType w:val="hybridMultilevel"/>
    <w:lvl w:ilvl="0">
      <w:lvlJc w:val="left"/>
      <w:lvlText w:val="%1."/>
      <w:numFmt w:val="decimal"/>
      <w:start w:val="19"/>
    </w:lvl>
  </w:abstractNum>
  <w:abstractNum w:abstractNumId="63">
    <w:nsid w:val="1F48EAA1"/>
    <w:multiLevelType w:val="hybridMultilevel"/>
    <w:lvl w:ilvl="0">
      <w:lvlJc w:val="left"/>
      <w:lvlText w:val="%1."/>
      <w:numFmt w:val="decimal"/>
      <w:start w:val="25"/>
    </w:lvl>
  </w:abstractNum>
  <w:abstractNum w:abstractNumId="64">
    <w:nsid w:val="1381823A"/>
    <w:multiLevelType w:val="hybridMultilevel"/>
    <w:lvl w:ilvl="0">
      <w:lvlJc w:val="left"/>
      <w:lvlText w:val="%1."/>
      <w:numFmt w:val="decimal"/>
      <w:start w:val="31"/>
    </w:lvl>
    <w:lvl w:ilvl="1">
      <w:lvlJc w:val="left"/>
      <w:lvlText w:val="*"/>
      <w:numFmt w:val="bullet"/>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2019-12-29T18:59:52Z</dcterms:created>
  <dcterms:modified xsi:type="dcterms:W3CDTF">2019-12-29T18:59:52Z</dcterms:modified>
</cp:coreProperties>
</file>