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544195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509905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61" w:lineRule="exact"/>
        <w:rPr>
          <w:sz w:val="24"/>
          <w:szCs w:val="24"/>
          <w:color w:val="auto"/>
        </w:rPr>
      </w:pPr>
    </w:p>
    <w:p>
      <w:pPr>
        <w:ind w:left="3820" w:right="1660" w:hanging="3794"/>
        <w:spacing w:after="0" w:line="394" w:lineRule="auto"/>
        <w:tabs>
          <w:tab w:leader="none" w:pos="412"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55"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2760" w:type="dxa"/>
            <w:vAlign w:val="bottom"/>
          </w:tcPr>
          <w:p>
            <w:pPr>
              <w:ind w:left="400"/>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3260" w:type="dxa"/>
            <w:vAlign w:val="bottom"/>
          </w:tcPr>
          <w:p>
            <w:pPr>
              <w:spacing w:after="0"/>
              <w:rPr>
                <w:sz w:val="17"/>
                <w:szCs w:val="17"/>
                <w:color w:val="auto"/>
              </w:rPr>
            </w:pPr>
          </w:p>
        </w:tc>
      </w:tr>
      <w:tr>
        <w:trPr>
          <w:trHeight w:val="384"/>
        </w:trPr>
        <w:tc>
          <w:tcPr>
            <w:tcW w:w="3400" w:type="dxa"/>
            <w:vAlign w:val="bottom"/>
          </w:tcPr>
          <w:p>
            <w:pPr>
              <w:spacing w:after="0"/>
              <w:rPr>
                <w:sz w:val="24"/>
                <w:szCs w:val="24"/>
                <w:color w:val="auto"/>
              </w:rPr>
            </w:pPr>
          </w:p>
        </w:tc>
        <w:tc>
          <w:tcPr>
            <w:tcW w:w="7340" w:type="dxa"/>
            <w:vAlign w:val="bottom"/>
            <w:gridSpan w:val="6"/>
          </w:tcPr>
          <w:p>
            <w:pPr>
              <w:jc w:val="center"/>
              <w:ind w:right="2817"/>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07"/>
        </w:trPr>
        <w:tc>
          <w:tcPr>
            <w:tcW w:w="3400" w:type="dxa"/>
            <w:vAlign w:val="bottom"/>
          </w:tcPr>
          <w:p>
            <w:pPr>
              <w:spacing w:after="0"/>
              <w:rPr>
                <w:sz w:val="18"/>
                <w:szCs w:val="18"/>
                <w:color w:val="auto"/>
              </w:rPr>
            </w:pPr>
          </w:p>
        </w:tc>
        <w:tc>
          <w:tcPr>
            <w:tcW w:w="4080" w:type="dxa"/>
            <w:vAlign w:val="bottom"/>
            <w:gridSpan w:val="5"/>
          </w:tcPr>
          <w:p>
            <w:pPr>
              <w:jc w:val="center"/>
              <w:ind w:left="291"/>
              <w:spacing w:after="0"/>
              <w:rPr>
                <w:sz w:val="20"/>
                <w:szCs w:val="20"/>
                <w:color w:val="auto"/>
              </w:rPr>
            </w:pPr>
            <w:r>
              <w:rPr>
                <w:rFonts w:ascii="Arial" w:cs="Arial" w:eastAsia="Arial" w:hAnsi="Arial"/>
                <w:sz w:val="18"/>
                <w:szCs w:val="18"/>
                <w:color w:val="auto"/>
                <w:w w:val="89"/>
              </w:rPr>
              <w:t>______________________________________</w:t>
            </w:r>
          </w:p>
        </w:tc>
        <w:tc>
          <w:tcPr>
            <w:tcW w:w="3260" w:type="dxa"/>
            <w:vAlign w:val="bottom"/>
          </w:tcPr>
          <w:p>
            <w:pPr>
              <w:spacing w:after="0"/>
              <w:rPr>
                <w:sz w:val="18"/>
                <w:szCs w:val="18"/>
                <w:color w:val="auto"/>
              </w:rPr>
            </w:pPr>
          </w:p>
        </w:tc>
      </w:tr>
      <w:tr>
        <w:trPr>
          <w:trHeight w:val="306"/>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25"/>
                <w:szCs w:val="25"/>
                <w:b w:val="1"/>
                <w:bCs w:val="1"/>
                <w:color w:val="auto"/>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7340" w:type="dxa"/>
            <w:vAlign w:val="bottom"/>
            <w:gridSpan w:val="6"/>
          </w:tcPr>
          <w:p>
            <w:pPr>
              <w:jc w:val="center"/>
              <w:ind w:right="279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06"/>
        </w:trPr>
        <w:tc>
          <w:tcPr>
            <w:tcW w:w="3400" w:type="dxa"/>
            <w:vAlign w:val="bottom"/>
          </w:tcPr>
          <w:p>
            <w:pPr>
              <w:spacing w:after="0"/>
              <w:rPr>
                <w:sz w:val="17"/>
                <w:szCs w:val="17"/>
                <w:color w:val="auto"/>
              </w:rPr>
            </w:pPr>
          </w:p>
        </w:tc>
        <w:tc>
          <w:tcPr>
            <w:tcW w:w="4080" w:type="dxa"/>
            <w:vAlign w:val="bottom"/>
            <w:gridSpan w:val="5"/>
          </w:tcPr>
          <w:p>
            <w:pPr>
              <w:jc w:val="center"/>
              <w:ind w:left="271"/>
              <w:spacing w:after="0"/>
              <w:rPr>
                <w:sz w:val="20"/>
                <w:szCs w:val="20"/>
                <w:color w:val="auto"/>
              </w:rPr>
            </w:pPr>
            <w:r>
              <w:rPr>
                <w:rFonts w:ascii="Arial" w:cs="Arial" w:eastAsia="Arial" w:hAnsi="Arial"/>
                <w:sz w:val="16"/>
                <w:szCs w:val="16"/>
                <w:color w:val="auto"/>
                <w:w w:val="91"/>
              </w:rPr>
              <w:t>______________________________________</w:t>
            </w:r>
          </w:p>
        </w:tc>
        <w:tc>
          <w:tcPr>
            <w:tcW w:w="3260" w:type="dxa"/>
            <w:vAlign w:val="bottom"/>
          </w:tcPr>
          <w:p>
            <w:pPr>
              <w:spacing w:after="0"/>
              <w:rPr>
                <w:sz w:val="17"/>
                <w:szCs w:val="17"/>
                <w:color w:val="auto"/>
              </w:rPr>
            </w:pPr>
          </w:p>
        </w:tc>
      </w:tr>
      <w:tr>
        <w:trPr>
          <w:trHeight w:val="762"/>
        </w:trPr>
        <w:tc>
          <w:tcPr>
            <w:tcW w:w="3400" w:type="dxa"/>
            <w:vAlign w:val="bottom"/>
          </w:tcPr>
          <w:p>
            <w:pPr>
              <w:jc w:val="center"/>
              <w:ind w:left="755"/>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1"/>
              </w:rPr>
              <w:t>77-0560389</w:t>
            </w:r>
          </w:p>
        </w:tc>
      </w:tr>
      <w:tr>
        <w:trPr>
          <w:trHeight w:val="202"/>
        </w:trPr>
        <w:tc>
          <w:tcPr>
            <w:tcW w:w="3400" w:type="dxa"/>
            <w:vAlign w:val="bottom"/>
          </w:tcPr>
          <w:p>
            <w:pPr>
              <w:jc w:val="center"/>
              <w:ind w:left="735"/>
              <w:spacing w:after="0"/>
              <w:rPr>
                <w:sz w:val="20"/>
                <w:szCs w:val="20"/>
                <w:color w:val="auto"/>
              </w:rPr>
            </w:pPr>
            <w:r>
              <w:rPr>
                <w:rFonts w:ascii="Arial" w:cs="Arial" w:eastAsia="Arial" w:hAnsi="Arial"/>
                <w:sz w:val="16"/>
                <w:szCs w:val="16"/>
                <w:b w:val="1"/>
                <w:bCs w:val="1"/>
                <w:color w:val="auto"/>
                <w:w w:val="91"/>
              </w:rPr>
              <w:t>(State or other jurisdiction of</w:t>
            </w:r>
          </w:p>
        </w:tc>
        <w:tc>
          <w:tcPr>
            <w:tcW w:w="2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3400" w:type="dxa"/>
            <w:vAlign w:val="bottom"/>
          </w:tcPr>
          <w:p>
            <w:pPr>
              <w:jc w:val="center"/>
              <w:ind w:left="755"/>
              <w:spacing w:after="0"/>
              <w:rPr>
                <w:sz w:val="20"/>
                <w:szCs w:val="20"/>
                <w:color w:val="auto"/>
              </w:rPr>
            </w:pPr>
            <w:r>
              <w:rPr>
                <w:rFonts w:ascii="Arial" w:cs="Arial" w:eastAsia="Arial" w:hAnsi="Arial"/>
                <w:sz w:val="16"/>
                <w:szCs w:val="16"/>
                <w:b w:val="1"/>
                <w:bCs w:val="1"/>
                <w:color w:val="auto"/>
                <w:w w:val="92"/>
              </w:rPr>
              <w:t>incorporation or organization)</w:t>
            </w: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6"/>
                <w:szCs w:val="16"/>
                <w:b w:val="1"/>
                <w:bCs w:val="1"/>
                <w:color w:val="auto"/>
                <w:w w:val="94"/>
              </w:rPr>
              <w:t>Identification No.)</w:t>
            </w:r>
          </w:p>
        </w:tc>
      </w:tr>
      <w:tr>
        <w:trPr>
          <w:trHeight w:val="622"/>
        </w:trPr>
        <w:tc>
          <w:tcPr>
            <w:tcW w:w="3400" w:type="dxa"/>
            <w:vAlign w:val="bottom"/>
          </w:tcPr>
          <w:p>
            <w:pPr>
              <w:spacing w:after="0"/>
              <w:rPr>
                <w:sz w:val="24"/>
                <w:szCs w:val="24"/>
                <w:color w:val="auto"/>
              </w:rPr>
            </w:pPr>
          </w:p>
        </w:tc>
        <w:tc>
          <w:tcPr>
            <w:tcW w:w="3340" w:type="dxa"/>
            <w:vAlign w:val="bottom"/>
            <w:gridSpan w:val="3"/>
          </w:tcPr>
          <w:p>
            <w:pPr>
              <w:jc w:val="center"/>
              <w:ind w:left="1031"/>
              <w:spacing w:after="0"/>
              <w:rPr>
                <w:sz w:val="20"/>
                <w:szCs w:val="20"/>
                <w:color w:val="auto"/>
              </w:rPr>
            </w:pPr>
            <w:r>
              <w:rPr>
                <w:rFonts w:ascii="Arial" w:cs="Arial" w:eastAsia="Arial" w:hAnsi="Arial"/>
                <w:sz w:val="18"/>
                <w:szCs w:val="18"/>
                <w:b w:val="1"/>
                <w:bCs w:val="1"/>
                <w:color w:val="auto"/>
                <w:w w:val="93"/>
              </w:rPr>
              <w:t>899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340" w:type="dxa"/>
            <w:vAlign w:val="bottom"/>
            <w:gridSpan w:val="3"/>
          </w:tcPr>
          <w:p>
            <w:pPr>
              <w:jc w:val="center"/>
              <w:ind w:left="1031"/>
              <w:spacing w:after="0" w:line="181" w:lineRule="exact"/>
              <w:rPr>
                <w:sz w:val="20"/>
                <w:szCs w:val="20"/>
                <w:color w:val="auto"/>
              </w:rPr>
            </w:pPr>
            <w:r>
              <w:rPr>
                <w:rFonts w:ascii="Arial" w:cs="Arial" w:eastAsia="Arial" w:hAnsi="Arial"/>
                <w:sz w:val="18"/>
                <w:szCs w:val="18"/>
                <w:b w:val="1"/>
                <w:bCs w:val="1"/>
                <w:color w:val="auto"/>
                <w:w w:val="91"/>
              </w:rPr>
              <w:t>Sunnyvale, California 94086</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0"/>
        </w:trPr>
        <w:tc>
          <w:tcPr>
            <w:tcW w:w="3400" w:type="dxa"/>
            <w:vAlign w:val="bottom"/>
          </w:tcPr>
          <w:p>
            <w:pPr>
              <w:spacing w:after="0"/>
              <w:rPr>
                <w:sz w:val="18"/>
                <w:szCs w:val="18"/>
                <w:color w:val="auto"/>
              </w:rPr>
            </w:pPr>
          </w:p>
        </w:tc>
        <w:tc>
          <w:tcPr>
            <w:tcW w:w="7340" w:type="dxa"/>
            <w:vAlign w:val="bottom"/>
            <w:gridSpan w:val="6"/>
          </w:tcPr>
          <w:p>
            <w:pPr>
              <w:jc w:val="center"/>
              <w:ind w:right="2817"/>
              <w:spacing w:after="0"/>
              <w:rPr>
                <w:sz w:val="20"/>
                <w:szCs w:val="20"/>
                <w:color w:val="auto"/>
              </w:rPr>
            </w:pPr>
            <w:r>
              <w:rPr>
                <w:rFonts w:ascii="Arial" w:cs="Arial" w:eastAsia="Arial" w:hAnsi="Arial"/>
                <w:sz w:val="16"/>
                <w:szCs w:val="16"/>
                <w:b w:val="1"/>
                <w:bCs w:val="1"/>
                <w:color w:val="auto"/>
                <w:w w:val="89"/>
              </w:rPr>
              <w:t>(Address of principal executive offices, including zip code)</w:t>
            </w:r>
          </w:p>
        </w:tc>
      </w:tr>
      <w:tr>
        <w:trPr>
          <w:trHeight w:val="424"/>
        </w:trPr>
        <w:tc>
          <w:tcPr>
            <w:tcW w:w="3400" w:type="dxa"/>
            <w:vAlign w:val="bottom"/>
          </w:tcPr>
          <w:p>
            <w:pPr>
              <w:spacing w:after="0"/>
              <w:rPr>
                <w:sz w:val="24"/>
                <w:szCs w:val="24"/>
                <w:color w:val="auto"/>
              </w:rPr>
            </w:pPr>
          </w:p>
        </w:tc>
        <w:tc>
          <w:tcPr>
            <w:tcW w:w="3300" w:type="dxa"/>
            <w:vAlign w:val="bottom"/>
            <w:gridSpan w:val="2"/>
          </w:tcPr>
          <w:p>
            <w:pPr>
              <w:jc w:val="center"/>
              <w:ind w:left="1051"/>
              <w:spacing w:after="0"/>
              <w:rPr>
                <w:sz w:val="20"/>
                <w:szCs w:val="20"/>
                <w:color w:val="auto"/>
              </w:rPr>
            </w:pPr>
            <w:r>
              <w:rPr>
                <w:rFonts w:ascii="Arial" w:cs="Arial" w:eastAsia="Arial" w:hAnsi="Arial"/>
                <w:sz w:val="18"/>
                <w:szCs w:val="18"/>
                <w:b w:val="1"/>
                <w:bCs w:val="1"/>
                <w:color w:val="auto"/>
                <w:w w:val="90"/>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0"/>
        </w:trPr>
        <w:tc>
          <w:tcPr>
            <w:tcW w:w="3400" w:type="dxa"/>
            <w:vAlign w:val="bottom"/>
          </w:tcPr>
          <w:p>
            <w:pPr>
              <w:spacing w:after="0"/>
              <w:rPr>
                <w:sz w:val="18"/>
                <w:szCs w:val="18"/>
                <w:color w:val="auto"/>
              </w:rPr>
            </w:pPr>
          </w:p>
        </w:tc>
        <w:tc>
          <w:tcPr>
            <w:tcW w:w="7340" w:type="dxa"/>
            <w:vAlign w:val="bottom"/>
            <w:gridSpan w:val="6"/>
          </w:tcPr>
          <w:p>
            <w:pPr>
              <w:jc w:val="center"/>
              <w:ind w:right="2797"/>
              <w:spacing w:after="0"/>
              <w:rPr>
                <w:sz w:val="20"/>
                <w:szCs w:val="20"/>
                <w:color w:val="auto"/>
              </w:rPr>
            </w:pPr>
            <w:r>
              <w:rPr>
                <w:rFonts w:ascii="Arial" w:cs="Arial" w:eastAsia="Arial" w:hAnsi="Arial"/>
                <w:sz w:val="16"/>
                <w:szCs w:val="16"/>
                <w:b w:val="1"/>
                <w:bCs w:val="1"/>
                <w:color w:val="auto"/>
                <w:w w:val="90"/>
              </w:rPr>
              <w:t>(Registrant’s telephone number, including area code)</w:t>
            </w:r>
          </w:p>
        </w:tc>
      </w:tr>
      <w:tr>
        <w:trPr>
          <w:trHeight w:val="317"/>
        </w:trPr>
        <w:tc>
          <w:tcPr>
            <w:tcW w:w="67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64"/>
        </w:trPr>
        <w:tc>
          <w:tcPr>
            <w:tcW w:w="3400" w:type="dxa"/>
            <w:vAlign w:val="bottom"/>
          </w:tcPr>
          <w:p>
            <w:pPr>
              <w:jc w:val="center"/>
              <w:ind w:left="175"/>
              <w:spacing w:after="0"/>
              <w:rPr>
                <w:sz w:val="20"/>
                <w:szCs w:val="20"/>
                <w:color w:val="auto"/>
              </w:rPr>
            </w:pPr>
            <w:r>
              <w:rPr>
                <w:rFonts w:ascii="Arial" w:cs="Arial" w:eastAsia="Arial" w:hAnsi="Arial"/>
                <w:sz w:val="18"/>
                <w:szCs w:val="18"/>
                <w:b w:val="1"/>
                <w:bCs w:val="1"/>
                <w:color w:val="auto"/>
                <w:w w:val="90"/>
              </w:rPr>
              <w:t>Common Stock, $0.001 Par Value</w:t>
            </w:r>
          </w:p>
        </w:tc>
        <w:tc>
          <w:tcPr>
            <w:tcW w:w="3340" w:type="dxa"/>
            <w:vAlign w:val="bottom"/>
            <w:gridSpan w:val="3"/>
          </w:tcPr>
          <w:p>
            <w:pPr>
              <w:jc w:val="center"/>
              <w:ind w:left="951"/>
              <w:spacing w:after="0"/>
              <w:rPr>
                <w:sz w:val="20"/>
                <w:szCs w:val="20"/>
                <w:color w:val="auto"/>
              </w:rPr>
            </w:pPr>
            <w:r>
              <w:rPr>
                <w:rFonts w:ascii="Arial" w:cs="Arial" w:eastAsia="Arial" w:hAnsi="Arial"/>
                <w:sz w:val="16"/>
                <w:szCs w:val="16"/>
                <w:b w:val="1"/>
                <w:bCs w:val="1"/>
                <w:color w:val="auto"/>
              </w:rPr>
              <w:t>FTNT</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60" w:type="dxa"/>
            <w:vAlign w:val="bottom"/>
          </w:tcPr>
          <w:p>
            <w:pPr>
              <w:jc w:val="center"/>
              <w:ind w:left="417"/>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0"/>
        </w:trPr>
        <w:tc>
          <w:tcPr>
            <w:tcW w:w="3400" w:type="dxa"/>
            <w:vAlign w:val="bottom"/>
          </w:tcPr>
          <w:p>
            <w:pPr>
              <w:jc w:val="center"/>
              <w:ind w:left="175"/>
              <w:spacing w:after="0"/>
              <w:rPr>
                <w:sz w:val="20"/>
                <w:szCs w:val="20"/>
                <w:color w:val="auto"/>
              </w:rPr>
            </w:pPr>
            <w:r>
              <w:rPr>
                <w:rFonts w:ascii="Arial" w:cs="Arial" w:eastAsia="Arial" w:hAnsi="Arial"/>
                <w:sz w:val="16"/>
                <w:szCs w:val="16"/>
                <w:b w:val="1"/>
                <w:bCs w:val="1"/>
                <w:color w:val="auto"/>
                <w:w w:val="90"/>
              </w:rPr>
              <w:t>(Title of each class)</w:t>
            </w:r>
          </w:p>
        </w:tc>
        <w:tc>
          <w:tcPr>
            <w:tcW w:w="3340" w:type="dxa"/>
            <w:vAlign w:val="bottom"/>
            <w:gridSpan w:val="3"/>
          </w:tcPr>
          <w:p>
            <w:pPr>
              <w:jc w:val="center"/>
              <w:ind w:left="951"/>
              <w:spacing w:after="0"/>
              <w:rPr>
                <w:sz w:val="20"/>
                <w:szCs w:val="20"/>
                <w:color w:val="auto"/>
              </w:rPr>
            </w:pPr>
            <w:r>
              <w:rPr>
                <w:rFonts w:ascii="Arial" w:cs="Arial" w:eastAsia="Arial" w:hAnsi="Arial"/>
                <w:sz w:val="16"/>
                <w:szCs w:val="16"/>
                <w:b w:val="1"/>
                <w:bCs w:val="1"/>
                <w:color w:val="auto"/>
                <w:w w:val="92"/>
              </w:rPr>
              <w:t>(Trading Symbol)</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60" w:type="dxa"/>
            <w:vAlign w:val="bottom"/>
          </w:tcPr>
          <w:p>
            <w:pPr>
              <w:jc w:val="center"/>
              <w:ind w:left="417"/>
              <w:spacing w:after="0"/>
              <w:rPr>
                <w:sz w:val="20"/>
                <w:szCs w:val="20"/>
                <w:color w:val="auto"/>
              </w:rPr>
            </w:pPr>
            <w:r>
              <w:rPr>
                <w:rFonts w:ascii="Arial" w:cs="Arial" w:eastAsia="Arial" w:hAnsi="Arial"/>
                <w:sz w:val="16"/>
                <w:szCs w:val="16"/>
                <w:b w:val="1"/>
                <w:bCs w:val="1"/>
                <w:color w:val="auto"/>
                <w:w w:val="89"/>
              </w:rPr>
              <w:t>(Name of exchange on which registered)</w:t>
            </w:r>
          </w:p>
        </w:tc>
      </w:tr>
    </w:tbl>
    <w:p>
      <w:pPr>
        <w:spacing w:after="0" w:line="329" w:lineRule="exact"/>
        <w:rPr>
          <w:sz w:val="24"/>
          <w:szCs w:val="24"/>
          <w:color w:val="auto"/>
        </w:rPr>
      </w:pPr>
    </w:p>
    <w:p>
      <w:pPr>
        <w:ind w:right="220"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40" w:firstLine="283"/>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firstLine="283"/>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283"/>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1" w:lineRule="exact"/>
        <w:rPr>
          <w:sz w:val="20"/>
          <w:szCs w:val="20"/>
          <w:color w:val="auto"/>
        </w:rPr>
      </w:pPr>
    </w:p>
    <w:p>
      <w:pPr>
        <w:ind w:left="300" w:right="1860"/>
        <w:spacing w:after="0" w:line="3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highlight w:val="black"/>
        </w:rPr>
        <w:t>☒</w:t>
      </w:r>
      <w:r>
        <w:rPr>
          <w:rFonts w:ascii="Arial" w:cs="Arial" w:eastAsia="Arial" w:hAnsi="Arial"/>
          <w:sz w:val="18"/>
          <w:szCs w:val="18"/>
          <w:color w:val="auto"/>
        </w:rPr>
        <w:t xml:space="preserve"> As of April 30, 2021, there were 163,317,652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March 31, 2021 and December 31,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 for the Three Months Ended March 31, 2021 and 2020</w:t>
              </w:r>
            </w:hyperlink>
          </w:p>
        </w:tc>
        <w:tc>
          <w:tcPr>
            <w:tcW w:w="6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560" w:type="dxa"/>
            <w:vAlign w:val="bottom"/>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 for the Three Months Ended March 31, 2021 and 2020</w:t>
              </w:r>
            </w:hyperlink>
          </w:p>
        </w:tc>
        <w:tc>
          <w:tcPr>
            <w:tcW w:w="108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560" w:type="dxa"/>
            <w:vAlign w:val="bottom"/>
            <w:gridSpan w:val="16"/>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Stockholders’ Equity for the Three Months Ended March 31, 2021 and 2020</w:t>
              </w:r>
            </w:hyperlink>
          </w:p>
        </w:tc>
        <w:tc>
          <w:tcPr>
            <w:tcW w:w="1080" w:type="dxa"/>
            <w:vAlign w:val="bottom"/>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8360" w:type="dxa"/>
            <w:vAlign w:val="bottom"/>
            <w:gridSpan w:val="15"/>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Condensed Consolidated Statements of Cash Flows for the Three Months Ended March 31, 2021 and 2020</w:t>
              </w:r>
            </w:hyperlink>
          </w:p>
        </w:tc>
        <w:tc>
          <w:tcPr>
            <w:tcW w:w="1280" w:type="dxa"/>
            <w:vAlign w:val="bottom"/>
            <w:gridSpan w:val="2"/>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7680" w:type="dxa"/>
            <w:vAlign w:val="bottom"/>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960" w:type="dxa"/>
            <w:vAlign w:val="bottom"/>
            <w:gridSpan w:val="3"/>
          </w:tcPr>
          <w:p>
            <w:pPr>
              <w:spacing w:after="0"/>
              <w:rPr>
                <w:sz w:val="18"/>
                <w:szCs w:val="18"/>
                <w:color w:val="auto"/>
              </w:rPr>
            </w:pPr>
          </w:p>
        </w:tc>
        <w:tc>
          <w:tcPr>
            <w:tcW w:w="6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964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3.</w:t>
            </w:r>
          </w:p>
        </w:tc>
        <w:tc>
          <w:tcPr>
            <w:tcW w:w="43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35</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4.</w:t>
            </w:r>
          </w:p>
        </w:tc>
        <w:tc>
          <w:tcPr>
            <w:tcW w:w="964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6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28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6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Unregistered Sales of Equity Securities and Use of Proceeds</w:t>
              </w:r>
            </w:hyperlink>
          </w:p>
        </w:tc>
        <w:tc>
          <w:tcPr>
            <w:tcW w:w="530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69</w:t>
              </w:r>
            </w:hyperlink>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Exhibits</w:t>
              </w:r>
            </w:hyperlink>
          </w:p>
        </w:tc>
        <w:tc>
          <w:tcPr>
            <w:tcW w:w="904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70</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Exhibit Index</w:t>
              </w:r>
            </w:hyperlink>
          </w:p>
        </w:tc>
        <w:tc>
          <w:tcPr>
            <w:tcW w:w="866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70</w:t>
              </w:r>
            </w:hyperlink>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Signatures</w:t>
              </w:r>
            </w:hyperlink>
          </w:p>
        </w:tc>
        <w:tc>
          <w:tcPr>
            <w:tcW w:w="640" w:type="dxa"/>
            <w:vAlign w:val="bottom"/>
            <w:gridSpan w:val="3"/>
          </w:tcPr>
          <w:p>
            <w:pPr>
              <w:jc w:val="right"/>
              <w:spacing w:after="0"/>
              <w:rPr>
                <w:rFonts w:ascii="Arial" w:cs="Arial" w:eastAsia="Arial" w:hAnsi="Arial"/>
                <w:sz w:val="18"/>
                <w:szCs w:val="18"/>
                <w:color w:val="0000FF"/>
              </w:rPr>
            </w:pPr>
            <w:hyperlink w:anchor="page73">
              <w:r>
                <w:rPr>
                  <w:rFonts w:ascii="Arial" w:cs="Arial" w:eastAsia="Arial" w:hAnsi="Arial"/>
                  <w:sz w:val="18"/>
                  <w:szCs w:val="18"/>
                  <w:color w:val="0000FF"/>
                </w:rPr>
                <w:t>71</w:t>
              </w:r>
            </w:hyperlink>
          </w:p>
        </w:tc>
        <w:tc>
          <w:tcPr>
            <w:tcW w:w="20" w:type="dxa"/>
            <w:vAlign w:val="bottom"/>
          </w:tcPr>
          <w:p>
            <w:pPr>
              <w:spacing w:after="0"/>
              <w:rPr>
                <w:sz w:val="18"/>
                <w:szCs w:val="18"/>
                <w:color w:val="auto"/>
              </w:rPr>
            </w:pPr>
          </w:p>
        </w:tc>
      </w:tr>
      <w:tr>
        <w:trPr>
          <w:trHeight w:val="1715"/>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8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806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COSTS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OTHER INTANGIBLE ASSETS—NET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payroll and compensation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8"/>
              </w:rPr>
              <w:t>Common stock, $0.001 par value—300.0 shares authorized; 163.3 and 162.5 shares issued and</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at March 31, 2021 and December 31, 2020, respectively</w:t>
            </w:r>
          </w:p>
        </w:tc>
        <w:tc>
          <w:tcPr>
            <w:tcW w:w="2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1"/>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gross profit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intellectual property matter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INTEREST INCOME (EXPENSE)—NET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 (Note 10):</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tcPr>
          <w:p>
            <w:pPr>
              <w:ind w:left="48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millions)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3"/>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r>
      <w:tr>
        <w:trPr>
          <w:trHeight w:val="22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on investments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tax benefit related to change in unrealized gains (losses) on investments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4"/>
              </w:rPr>
              <w:t>Three Months Ended March 31, 2021</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9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Other</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vMerge w:val="continue"/>
          </w:tcPr>
          <w:p>
            <w:pPr>
              <w:spacing w:after="0"/>
              <w:rPr>
                <w:sz w:val="14"/>
                <w:szCs w:val="14"/>
                <w:color w:val="auto"/>
              </w:rPr>
            </w:pP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Income</w:t>
            </w:r>
          </w:p>
        </w:tc>
        <w:tc>
          <w:tcPr>
            <w:tcW w:w="2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176"/>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BALANCE—March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w w:val="94"/>
              </w:rPr>
              <w:t>Three Months Ended March 31, 2020</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17"/>
                <w:szCs w:val="17"/>
                <w:color w:val="auto"/>
              </w:rPr>
            </w:pPr>
          </w:p>
        </w:tc>
        <w:tc>
          <w:tcPr>
            <w:tcW w:w="19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Other</w:t>
            </w:r>
          </w:p>
        </w:tc>
        <w:tc>
          <w:tcPr>
            <w:tcW w:w="18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Earnings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4"/>
                <w:szCs w:val="14"/>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7"/>
              </w:rPr>
              <w:t>Paid-In</w:t>
            </w:r>
          </w:p>
        </w:tc>
        <w:tc>
          <w:tcPr>
            <w:tcW w:w="12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0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Deficit)</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0" w:type="dxa"/>
            <w:vAlign w:val="bottom"/>
          </w:tcPr>
          <w:p>
            <w:pPr>
              <w:spacing w:after="0"/>
              <w:rPr>
                <w:sz w:val="1"/>
                <w:szCs w:val="1"/>
                <w:color w:val="auto"/>
              </w:rPr>
            </w:pPr>
          </w:p>
        </w:tc>
      </w:tr>
      <w:tr>
        <w:trPr>
          <w:trHeight w:val="176"/>
        </w:trPr>
        <w:tc>
          <w:tcPr>
            <w:tcW w:w="462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in connection with equity</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incentive plans - net of tax withholding</w:t>
            </w: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and retirement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investments - net of tax</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3"/>
                <w:szCs w:val="13"/>
                <w:color w:val="auto"/>
              </w:rPr>
            </w:pPr>
          </w:p>
        </w:tc>
        <w:tc>
          <w:tcPr>
            <w:tcW w:w="1160" w:type="dxa"/>
            <w:vAlign w:val="bottom"/>
          </w:tcPr>
          <w:p>
            <w:pPr>
              <w:jc w:val="right"/>
              <w:ind w:right="268"/>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deferred contract costs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Amortization of investment premiums (discounts)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8340" w:type="dxa"/>
            <w:vAlign w:val="bottom"/>
          </w:tcPr>
          <w:p>
            <w:pPr>
              <w:ind w:left="8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88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Accounts receivable—net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Deferred contract costs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8340" w:type="dxa"/>
            <w:vAlign w:val="bottom"/>
          </w:tcPr>
          <w:p>
            <w:pPr>
              <w:ind w:left="1440"/>
              <w:spacing w:after="0"/>
              <w:rPr>
                <w:sz w:val="20"/>
                <w:szCs w:val="20"/>
                <w:color w:val="auto"/>
              </w:rPr>
            </w:pPr>
            <w:r>
              <w:rPr>
                <w:rFonts w:ascii="Arial" w:cs="Arial" w:eastAsia="Arial" w:hAnsi="Arial"/>
                <w:sz w:val="14"/>
                <w:szCs w:val="14"/>
                <w:color w:val="auto"/>
              </w:rPr>
              <w:t>Accrued payroll and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144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18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66"/>
        </w:trPr>
        <w:tc>
          <w:tcPr>
            <w:tcW w:w="83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Sales of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Maturities of investments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investment in privately held company</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2"/>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Proceeds from long-term debt, net of discount and underwriting fees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989.4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Payments for debt issuance costs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Repurchase and retirement of common stock</w:t>
            </w:r>
          </w:p>
        </w:tc>
        <w:tc>
          <w:tcPr>
            <w:tcW w:w="2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(889.9)</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6"/>
        </w:trPr>
        <w:tc>
          <w:tcPr>
            <w:tcW w:w="8340" w:type="dxa"/>
            <w:vAlign w:val="bottom"/>
          </w:tcPr>
          <w:p>
            <w:pPr>
              <w:ind w:left="48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9"/>
        </w:trPr>
        <w:tc>
          <w:tcPr>
            <w:tcW w:w="8340" w:type="dxa"/>
            <w:vAlign w:val="bottom"/>
            <w:tcBorders>
              <w:bottom w:val="single" w:sz="8" w:color="CCEEFF"/>
            </w:tcBorders>
          </w:tcPr>
          <w:p>
            <w:pPr>
              <w:ind w:left="1840"/>
              <w:spacing w:after="0"/>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956.0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(920.4)</w:t>
            </w:r>
          </w:p>
        </w:tc>
        <w:tc>
          <w:tcPr>
            <w:tcW w:w="0" w:type="dxa"/>
            <w:vAlign w:val="bottom"/>
          </w:tcPr>
          <w:p>
            <w:pPr>
              <w:spacing w:after="0"/>
              <w:rPr>
                <w:sz w:val="1"/>
                <w:szCs w:val="1"/>
                <w:color w:val="auto"/>
              </w:rPr>
            </w:pPr>
          </w:p>
        </w:tc>
      </w:tr>
      <w:tr>
        <w:trPr>
          <w:trHeight w:val="186"/>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(596.4)</w:t>
            </w:r>
          </w:p>
        </w:tc>
        <w:tc>
          <w:tcPr>
            <w:tcW w:w="0" w:type="dxa"/>
            <w:vAlign w:val="bottom"/>
          </w:tcPr>
          <w:p>
            <w:pPr>
              <w:spacing w:after="0"/>
              <w:rPr>
                <w:sz w:val="1"/>
                <w:szCs w:val="1"/>
                <w:color w:val="auto"/>
              </w:rPr>
            </w:pPr>
          </w:p>
        </w:tc>
      </w:tr>
      <w:tr>
        <w:trPr>
          <w:trHeight w:val="18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EQUIVALENTS—Beginning of period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21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80"/>
              <w:spacing w:after="0"/>
              <w:rPr>
                <w:sz w:val="20"/>
                <w:szCs w:val="20"/>
                <w:color w:val="auto"/>
              </w:rPr>
            </w:pPr>
            <w:r>
              <w:rPr>
                <w:rFonts w:ascii="Arial" w:cs="Arial" w:eastAsia="Arial" w:hAnsi="Arial"/>
                <w:sz w:val="14"/>
                <w:szCs w:val="14"/>
                <w:color w:val="auto"/>
              </w:rPr>
              <w:t>Liability for purchase of property and equipment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Liability incurred for repurchase of common stock</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ind w:left="480"/>
              <w:spacing w:after="0"/>
              <w:rPr>
                <w:sz w:val="20"/>
                <w:szCs w:val="20"/>
                <w:color w:val="auto"/>
              </w:rPr>
            </w:pPr>
            <w:r>
              <w:rPr>
                <w:rFonts w:ascii="Arial" w:cs="Arial" w:eastAsia="Arial" w:hAnsi="Arial"/>
                <w:sz w:val="14"/>
                <w:szCs w:val="14"/>
                <w:color w:val="auto"/>
              </w:rPr>
              <w:t>Liability incurred in connection with business acquisition</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2020, contained in our Annual Report on Form 10-K filed with the SEC on February 19, 2021.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2021 are not necessarily indicative of the results for the full year or for any future periods. The condensed consolidated balance sheet as of December 31, 2020 is derived from the audited consolidated financial statements for the year ended December 31, 2020.</w:t>
      </w:r>
    </w:p>
    <w:p>
      <w:pPr>
        <w:spacing w:after="0" w:line="20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2021.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6"/>
          <w:szCs w:val="16"/>
          <w:color w:val="auto"/>
        </w:rPr>
        <w:t>In December 2019, the Financial Accounting Standards Board (the “FASB”) issued Accounting Standards Update (“ASU”) 2019-12—Income Taxes (“Topic 740”): Simplifying the Accounting for Income Taxes. The amendments in ASU 2019-12 simplify the accounting for income taxes by removing certain exceptions to the general principles in Topic 740. The amendments also improve consistent application and simplification of GAAP for other areas of Topic 740 by clarifying and amending existing guidance. ASU 2019-12 was effective for us beginning on January 1, 2021. The adoption of this guidance did not have any impact on our condensed consolidated financial statements and accompanying disclosures.</w:t>
      </w:r>
    </w:p>
    <w:p>
      <w:pPr>
        <w:spacing w:after="0" w:line="200" w:lineRule="exact"/>
        <w:rPr>
          <w:sz w:val="20"/>
          <w:szCs w:val="20"/>
          <w:color w:val="auto"/>
        </w:rPr>
      </w:pPr>
    </w:p>
    <w:p>
      <w:pPr>
        <w:spacing w:after="0" w:line="22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IMMATERIAL CORRECTION OF PRIOR PERIOD FINANCIAL STATEMENTS</w:t>
      </w:r>
    </w:p>
    <w:p>
      <w:pPr>
        <w:spacing w:after="0" w:line="256"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Subsequent to the issuance of our condensed consolidated financial statements for the period ended March 31, 2020, we identified an immaterial error related to the commencement of revenue recognition for certain FortiCare support service contracts. Rather than commencing recognition upon end user registration, we should have commenced recognition when control had passed to the distributor, which we have determined is our customer. We assessed the effect of this correction, individually and in the aggregate, on prior periods’ financial statements in accordance with the SEC’s Staff Accounting Bulletin Nos. 99 and 108 and, based on an analysis of quantitative and qualitative factors, determined that the correction was not individually material to any of our prior interim or annual consolidated financial statements.</w:t>
      </w:r>
    </w:p>
    <w:p>
      <w:pPr>
        <w:spacing w:after="0" w:line="2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financial information contained in the accompanying notes to these condensed consolidated financial statements has been revised to reflect the correction of this error.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corrections to our condensed consolidated statement of income for the three months ended March 31, 2020 were as follows (in millions, except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6"/>
          </w:tcPr>
          <w:p>
            <w:pPr>
              <w:jc w:val="center"/>
              <w:ind w:left="1312"/>
              <w:spacing w:after="0"/>
              <w:rPr>
                <w:sz w:val="20"/>
                <w:szCs w:val="20"/>
                <w:color w:val="auto"/>
              </w:rPr>
            </w:pPr>
            <w:r>
              <w:rPr>
                <w:rFonts w:ascii="Arial" w:cs="Arial" w:eastAsia="Arial" w:hAnsi="Arial"/>
                <w:sz w:val="16"/>
                <w:szCs w:val="16"/>
                <w:b w:val="1"/>
                <w:bCs w:val="1"/>
                <w:color w:val="auto"/>
                <w:w w:val="93"/>
              </w:rPr>
              <w:t>Three Months Ended March 31, 2020</w:t>
            </w:r>
          </w:p>
        </w:tc>
        <w:tc>
          <w:tcPr>
            <w:tcW w:w="150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2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Corrections</w:t>
            </w:r>
          </w:p>
        </w:tc>
        <w:tc>
          <w:tcPr>
            <w:tcW w:w="360" w:type="dxa"/>
            <w:vAlign w:val="bottom"/>
          </w:tcPr>
          <w:p>
            <w:pPr>
              <w:spacing w:after="0"/>
              <w:rPr>
                <w:sz w:val="18"/>
                <w:szCs w:val="18"/>
                <w:color w:val="auto"/>
              </w:rPr>
            </w:pPr>
          </w:p>
        </w:tc>
        <w:tc>
          <w:tcPr>
            <w:tcW w:w="1500" w:type="dxa"/>
            <w:vAlign w:val="bottom"/>
          </w:tcPr>
          <w:p>
            <w:pPr>
              <w:jc w:val="right"/>
              <w:ind w:right="391"/>
              <w:spacing w:after="0"/>
              <w:rPr>
                <w:sz w:val="20"/>
                <w:szCs w:val="20"/>
                <w:color w:val="auto"/>
              </w:rPr>
            </w:pPr>
            <w:r>
              <w:rPr>
                <w:rFonts w:ascii="Arial" w:cs="Arial" w:eastAsia="Arial" w:hAnsi="Arial"/>
                <w:sz w:val="16"/>
                <w:szCs w:val="16"/>
                <w:b w:val="1"/>
                <w:bCs w:val="1"/>
                <w:color w:val="auto"/>
                <w:w w:val="99"/>
              </w:rPr>
              <w:t>As Corrected</w:t>
            </w:r>
          </w:p>
        </w:tc>
      </w:tr>
      <w:tr>
        <w:trPr>
          <w:trHeight w:val="212"/>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5460" w:type="dxa"/>
            <w:vAlign w:val="bottom"/>
          </w:tcPr>
          <w:p>
            <w:pPr>
              <w:ind w:left="48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30"/>
        </w:trPr>
        <w:tc>
          <w:tcPr>
            <w:tcW w:w="5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r>
      <w:tr>
        <w:trPr>
          <w:trHeight w:val="230"/>
        </w:trPr>
        <w:tc>
          <w:tcPr>
            <w:tcW w:w="5460" w:type="dxa"/>
            <w:vAlign w:val="bottom"/>
          </w:tcPr>
          <w:p>
            <w:pPr>
              <w:ind w:left="880"/>
              <w:spacing w:after="0"/>
              <w:rPr>
                <w:sz w:val="20"/>
                <w:szCs w:val="20"/>
                <w:color w:val="auto"/>
              </w:rPr>
            </w:pPr>
            <w:r>
              <w:rPr>
                <w:rFonts w:ascii="Arial" w:cs="Arial" w:eastAsia="Arial" w:hAnsi="Arial"/>
                <w:sz w:val="18"/>
                <w:szCs w:val="18"/>
                <w:color w:val="auto"/>
              </w:rPr>
              <w:t>Total gross profit</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449.0</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(Note 10):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460" w:type="dxa"/>
            <w:vAlign w:val="bottom"/>
          </w:tcPr>
          <w:p>
            <w:pPr>
              <w:ind w:left="4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29"/>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corrections to our condensed consolidated statement of cash flows for the three months ended March 31, 2020 were as follows (in millions):</w:t>
      </w:r>
    </w:p>
    <w:p>
      <w:pPr>
        <w:spacing w:after="0" w:line="168"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Three Months Ended March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As Previously Reported</w:t>
            </w: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Corrections</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As Corrected</w:t>
            </w:r>
          </w:p>
        </w:tc>
      </w:tr>
      <w:tr>
        <w:trPr>
          <w:trHeight w:val="212"/>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29"/>
        </w:trPr>
        <w:tc>
          <w:tcPr>
            <w:tcW w:w="5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480" w:type="dxa"/>
            <w:vAlign w:val="bottom"/>
          </w:tcPr>
          <w:p>
            <w:pPr>
              <w:ind w:left="1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center"/>
              <w:ind w:left="1092"/>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4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072"/>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r>
    </w:tbl>
    <w:p>
      <w:pPr>
        <w:spacing w:after="0" w:line="3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For the period in which we corrected net income, we made corresponding corrections to net income and comprehensive income in our condensed consolidated statement of comprehensive income and to net income, retained earnings (accumulated deficit) and total stockholders’ equity in our condensed consolidated statements of stockholders’ equity.</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We sell cybersecurity solutions to a variety of organizations, such as enterprises, communication service providers, government organizations and small to medium-sized enterprises. Our revenue consists of product and service revenue. Product revenue is generated by our FortiGate network security products, our Fortinet Security Fabric platform products and other products. Service revenue relates to sales of our security subscription services, which mainly consists of our FortiGuard security solutions, as well as our FortiCare technical support services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3"/>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r>
      <w:tr>
        <w:trPr>
          <w:trHeight w:val="22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subscription</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30"/>
        </w:trPr>
        <w:tc>
          <w:tcPr>
            <w:tcW w:w="8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Technical support and 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r>
      <w:tr>
        <w:trPr>
          <w:trHeight w:val="223"/>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service revenue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r>
      <w:tr>
        <w:trPr>
          <w:trHeight w:val="21"/>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5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During the three months ended March 31, 2021 and March 31, 2020, we recognized $417.9 million and $343.3 million in service revenue that was included in the deferred revenue balance as of December 31, 2020 and December 31,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March 31, 2021, the aggregate amount of the transaction price allocated to remaining performance obligations was $2.75 billion, which was substantially comprised of deferred security subscription and technical support services revenue. We expect to recognize approximately $1.47 billion as revenue over the next 12 months and the remainder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Expected credit losses are recorded as general and administrative expenses on our consolidated statements of income.</w:t>
      </w:r>
    </w:p>
    <w:p>
      <w:pPr>
        <w:spacing w:after="0" w:line="175" w:lineRule="exact"/>
        <w:rPr>
          <w:sz w:val="20"/>
          <w:szCs w:val="20"/>
          <w:color w:val="auto"/>
        </w:rPr>
      </w:pPr>
    </w:p>
    <w:p>
      <w:pPr>
        <w:ind w:right="280" w:firstLine="583"/>
        <w:spacing w:after="0" w:line="246" w:lineRule="auto"/>
        <w:rPr>
          <w:sz w:val="20"/>
          <w:szCs w:val="20"/>
          <w:color w:val="auto"/>
        </w:rPr>
      </w:pPr>
      <w:r>
        <w:rPr>
          <w:rFonts w:ascii="Arial" w:cs="Arial" w:eastAsia="Arial" w:hAnsi="Arial"/>
          <w:sz w:val="18"/>
          <w:szCs w:val="18"/>
          <w:color w:val="auto"/>
        </w:rPr>
        <w:t>The allowance for credit losses was $3.1 million and $2.5 million as of March 31, 2021 and December 31, 2020, respectively. Provisions, write-offs and recoveries were not material during the three months ended March 31, 2021 and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Amortization of deferred contract costs during the three months ended March 31, 2021 and 2020 were $39.7 million and $31.3 million,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investments (in millions):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 2021</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7"/>
              </w:rPr>
              <w:t>(0.2)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426.5</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156.2</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7"/>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95"/>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8"/>
        </w:trPr>
        <w:tc>
          <w:tcPr>
            <w:tcW w:w="4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13"/>
                <w:szCs w:val="13"/>
                <w:color w:val="auto"/>
              </w:rPr>
            </w:pPr>
          </w:p>
        </w:tc>
        <w:tc>
          <w:tcPr>
            <w:tcW w:w="1160" w:type="dxa"/>
            <w:vAlign w:val="bottom"/>
          </w:tcPr>
          <w:p>
            <w:pPr>
              <w:jc w:val="center"/>
              <w:ind w:right="253"/>
              <w:spacing w:after="0" w:line="158" w:lineRule="exact"/>
              <w:rPr>
                <w:sz w:val="20"/>
                <w:szCs w:val="20"/>
                <w:color w:val="auto"/>
              </w:rPr>
            </w:pPr>
            <w:r>
              <w:rPr>
                <w:rFonts w:ascii="Arial" w:cs="Arial" w:eastAsia="Arial" w:hAnsi="Arial"/>
                <w:sz w:val="16"/>
                <w:szCs w:val="16"/>
                <w:b w:val="1"/>
                <w:bCs w:val="1"/>
                <w:color w:val="auto"/>
              </w:rPr>
              <w:t>Fair</w:t>
            </w:r>
          </w:p>
        </w:tc>
      </w:tr>
      <w:tr>
        <w:trPr>
          <w:trHeight w:val="213"/>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tcPr>
          <w:p>
            <w:pPr>
              <w:spacing w:after="0"/>
              <w:rPr>
                <w:sz w:val="18"/>
                <w:szCs w:val="18"/>
                <w:color w:val="auto"/>
              </w:rPr>
            </w:pPr>
          </w:p>
        </w:tc>
        <w:tc>
          <w:tcPr>
            <w:tcW w:w="1160" w:type="dxa"/>
            <w:vAlign w:val="bottom"/>
          </w:tcPr>
          <w:p>
            <w:pPr>
              <w:jc w:val="center"/>
              <w:ind w:right="233"/>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48"/>
        </w:trPr>
        <w:tc>
          <w:tcPr>
            <w:tcW w:w="49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700" w:hanging="154"/>
        <w:spacing w:after="0"/>
        <w:tabs>
          <w:tab w:leader="none" w:pos="7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majority of our certificates of deposit and term deposits are foreign deposits.</w:t>
      </w:r>
    </w:p>
    <w:p>
      <w:pPr>
        <w:spacing w:after="0" w:line="200" w:lineRule="exact"/>
        <w:rPr>
          <w:sz w:val="20"/>
          <w:szCs w:val="20"/>
          <w:color w:val="auto"/>
        </w:rPr>
      </w:pPr>
    </w:p>
    <w:p>
      <w:pPr>
        <w:spacing w:after="0" w:line="21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1"/>
              </w:rPr>
              <w:t>(0.2)</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060" w:type="dxa"/>
            <w:vAlign w:val="bottom"/>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1"/>
              </w:rPr>
              <w:t>(0.2)</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01"/>
        </w:trPr>
        <w:tc>
          <w:tcPr>
            <w:tcW w:w="4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0"/>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12 Months or Greater</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r>
      <w:tr>
        <w:trPr>
          <w:trHeight w:val="158"/>
        </w:trPr>
        <w:tc>
          <w:tcPr>
            <w:tcW w:w="4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3"/>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73"/>
              <w:spacing w:after="0" w:line="158" w:lineRule="exact"/>
              <w:rPr>
                <w:sz w:val="20"/>
                <w:szCs w:val="20"/>
                <w:color w:val="auto"/>
              </w:rPr>
            </w:pPr>
            <w:r>
              <w:rPr>
                <w:rFonts w:ascii="Arial" w:cs="Arial" w:eastAsia="Arial" w:hAnsi="Arial"/>
                <w:sz w:val="16"/>
                <w:szCs w:val="16"/>
                <w:b w:val="1"/>
                <w:bCs w:val="1"/>
                <w:color w:val="auto"/>
                <w:w w:val="91"/>
              </w:rPr>
              <w:t>Unrealized</w:t>
            </w:r>
          </w:p>
        </w:tc>
      </w:tr>
      <w:tr>
        <w:trPr>
          <w:trHeight w:val="213"/>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4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2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Certificates of deposit and term deposits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2020</w:t>
            </w:r>
          </w:p>
        </w:tc>
      </w:tr>
      <w:tr>
        <w:trPr>
          <w:trHeight w:val="22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r>
      <w:tr>
        <w:trPr>
          <w:trHeight w:val="229"/>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within one to three years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48"/>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Available-for-sale securities are reported at fair value, with unrealized gains and losses and the related tax impact included as a separate component of stockholders’ equity and in comprehensive income. Accrued interest receivable of $2.6 million as of March 31, 2021 was excluded from the fair value of our available-for-sale securities and was recorded in prepaid expenses and other current assets in our condensed consolidated balance sheet.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available-for-sale securities were insignificant in the periods presented.</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97" w:lineRule="exact"/>
        <w:rPr>
          <w:sz w:val="20"/>
          <w:szCs w:val="20"/>
          <w:color w:val="auto"/>
        </w:rPr>
      </w:pPr>
    </w:p>
    <w:p>
      <w:pPr>
        <w:ind w:left="1300" w:right="3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measure the fair value of money market funds and certain U.S. government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fair value of our financial assets measured at fair value on a recurring basis (in millions):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0"/>
                <w:szCs w:val="10"/>
                <w:color w:val="auto"/>
              </w:rPr>
            </w:pPr>
          </w:p>
        </w:tc>
        <w:tc>
          <w:tcPr>
            <w:tcW w:w="920" w:type="dxa"/>
            <w:vAlign w:val="bottom"/>
            <w:vMerge w:val="restart"/>
          </w:tcPr>
          <w:p>
            <w:pPr>
              <w:jc w:val="center"/>
              <w:ind w:right="62"/>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4"/>
              </w:rPr>
              <w:t>Prices in</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60" w:type="dxa"/>
            <w:vAlign w:val="bottom"/>
            <w:vMerge w:val="restart"/>
          </w:tcPr>
          <w:p>
            <w:pPr>
              <w:jc w:val="center"/>
              <w:ind w:right="76"/>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920" w:type="dxa"/>
            <w:vAlign w:val="bottom"/>
          </w:tcPr>
          <w:p>
            <w:pPr>
              <w:jc w:val="center"/>
              <w:ind w:right="82"/>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6"/>
              <w:spacing w:after="0" w:line="122"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0"/>
                <w:szCs w:val="10"/>
                <w:color w:val="auto"/>
              </w:rPr>
            </w:pPr>
          </w:p>
        </w:tc>
        <w:tc>
          <w:tcPr>
            <w:tcW w:w="760" w:type="dxa"/>
            <w:vAlign w:val="bottom"/>
          </w:tcPr>
          <w:p>
            <w:pPr>
              <w:jc w:val="center"/>
              <w:ind w:right="76"/>
              <w:spacing w:after="0" w:line="122"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0"/>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4"/>
                <w:szCs w:val="14"/>
                <w:color w:val="auto"/>
              </w:rPr>
            </w:pPr>
          </w:p>
        </w:tc>
        <w:tc>
          <w:tcPr>
            <w:tcW w:w="920" w:type="dxa"/>
            <w:vAlign w:val="bottom"/>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43"/>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2"/>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463.2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Certificates of deposit and</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deposits</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2021 and year ended December 31, 2020.</w:t>
      </w:r>
    </w:p>
    <w:p>
      <w:pPr>
        <w:spacing w:after="0" w:line="1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tab/>
        <w:t>INVENTORY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20" w:type="dxa"/>
            <w:vAlign w:val="bottom"/>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r>
      <w:tr>
        <w:trPr>
          <w:trHeight w:val="24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PROPERTY AND EQUIPMENT—Net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73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Evaluation units</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r>
      <w:tr>
        <w:trPr>
          <w:trHeight w:val="223"/>
        </w:trPr>
        <w:tc>
          <w:tcPr>
            <w:tcW w:w="7360" w:type="dxa"/>
            <w:vAlign w:val="bottom"/>
          </w:tcPr>
          <w:p>
            <w:pPr>
              <w:ind w:left="460"/>
              <w:spacing w:after="0"/>
              <w:rPr>
                <w:sz w:val="20"/>
                <w:szCs w:val="20"/>
                <w:color w:val="auto"/>
              </w:rPr>
            </w:pPr>
            <w:r>
              <w:rPr>
                <w:rFonts w:ascii="Arial" w:cs="Arial" w:eastAsia="Arial" w:hAnsi="Arial"/>
                <w:sz w:val="18"/>
                <w:szCs w:val="18"/>
                <w:color w:val="auto"/>
              </w:rPr>
              <w:t>Total property and equipment</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620.5</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(180.6)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280" w:type="dxa"/>
            <w:vAlign w:val="bottom"/>
            <w:tcBorders>
              <w:bottom w:val="single" w:sz="8" w:color="auto"/>
            </w:tcBorders>
          </w:tcPr>
          <w:p>
            <w:pPr>
              <w:jc w:val="right"/>
              <w:ind w:right="10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r>
      <w:tr>
        <w:trPr>
          <w:trHeight w:val="21"/>
        </w:trPr>
        <w:tc>
          <w:tcPr>
            <w:tcW w:w="7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Construction-in-progress consists primarily of costs incurred in connection with the construction of a second building at our headquarters campus.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$14.0 million and $13.6 million during the three months ended March 31, 2021 and 2020, respectively.</w:t>
      </w:r>
    </w:p>
    <w:p>
      <w:pPr>
        <w:spacing w:after="0" w:line="24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Linksys Holdings, Inc.</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March 19, 2021, we invested $75.0 million in cash for shares of the Series A Preferred Stock of Linksys Holdings, Inc. (“Linksys”), which provides router connectivity solutions, for a 32.6% ownership interest in the outstanding capital stock of Linksys.</w:t>
      </w:r>
    </w:p>
    <w:p>
      <w:pPr>
        <w:spacing w:after="0" w:line="197"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concluded that our investment is an in-substance common-stock investment, and, though we do not hold a controlling financial interest in Linksys, we have the ability to exercise significant influence over the operating and financial policies of Linksys. Therefore, we will account for this investment using the equity method of accounting.</w:t>
      </w:r>
    </w:p>
    <w:p>
      <w:pPr>
        <w:spacing w:after="0" w:line="211"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As of March 31, 2021, the investment was included in other assets on our condensed consolidated balance sheet. Our share of the earnings of Linksys subsequent to the acquisition date was not material for the quarter ended March 31, 2021. Transaction costs related to this investment were not material.</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other investments in the equity securities of privately held companies without readily determinable fair values totaled $1.0 million as of March 31, 2021 and December 31, 2020.</w:t>
      </w:r>
    </w:p>
    <w:p>
      <w:pPr>
        <w:spacing w:after="0" w:line="19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ShieldX Networks, Inc.</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10, 2021, we closed an acquisition of certain assets and liabilities of ShieldX Networks Inc. (“ShieldX”) for $10.8 million in cash. This acquisition was accounted for as a business combination using the acquisition method of accounting. Of the purchase price, $6.2 million was allocated to goodwill, $4.1 million was allocated to developed technology intangible asset and $0.5 million was allocated to other net assets acquired. Goodwill recorded in connection with this acquisition represents the value we expect to be created through expansion into markets within our existing business and potential cost savings and synergies. All acquired goodwill is expected to be deductible for tax purposes. Acquisition-related costs related to this acquisition were not material and were recorded as general and administrative expense.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GOODWILL AND OTHER INTANGIBLE ASSETS—Net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goodwill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 due to business combination</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three months ended March 31, 2021 or during prior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(in millions, except years):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3"/>
              </w:rPr>
              <w:t>March 31, 2021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6"/>
                <w:szCs w:val="16"/>
                <w:b w:val="1"/>
                <w:bCs w:val="1"/>
                <w:color w:val="auto"/>
                <w:w w:val="90"/>
              </w:rPr>
              <w:t>December 31, 2020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Arial" w:cs="Arial" w:eastAsia="Arial" w:hAnsi="Arial"/>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was $3.4 million and $4.0 million during the three months ended March 31, 2021 and 2020,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2021 (the remainder of 2021)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9000" w:type="dxa"/>
            <w:vAlign w:val="bottom"/>
          </w:tcPr>
          <w:p>
            <w:pPr>
              <w:ind w:left="34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9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2025</w:t>
            </w: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and stock options. Dilutive shares of common stock are determined by applying the treasury stock method.</w:t>
      </w:r>
    </w:p>
    <w:p>
      <w:pPr>
        <w:spacing w:after="0" w:line="21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12"/>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Basic shares: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Weighted-average common stock outstanding-basic</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8060" w:type="dxa"/>
            <w:vAlign w:val="bottom"/>
          </w:tcPr>
          <w:p>
            <w:pPr>
              <w:ind w:left="460"/>
              <w:spacing w:after="0"/>
              <w:rPr>
                <w:sz w:val="20"/>
                <w:szCs w:val="20"/>
                <w:color w:val="auto"/>
              </w:rPr>
            </w:pPr>
            <w:r>
              <w:rPr>
                <w:rFonts w:ascii="Arial" w:cs="Arial" w:eastAsia="Arial" w:hAnsi="Arial"/>
                <w:sz w:val="18"/>
                <w:szCs w:val="18"/>
                <w:color w:val="auto"/>
              </w:rPr>
              <w:t>Weighted-average common stock outstanding-basic</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3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Effect of potentially dilutive securities: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060" w:type="dxa"/>
            <w:vAlign w:val="bottom"/>
          </w:tcPr>
          <w:p>
            <w:pPr>
              <w:ind w:left="860"/>
              <w:spacing w:after="0"/>
              <w:rPr>
                <w:sz w:val="20"/>
                <w:szCs w:val="20"/>
                <w:color w:val="auto"/>
              </w:rPr>
            </w:pPr>
            <w:r>
              <w:rPr>
                <w:rFonts w:ascii="Arial" w:cs="Arial" w:eastAsia="Arial" w:hAnsi="Arial"/>
                <w:sz w:val="18"/>
                <w:szCs w:val="18"/>
                <w:color w:val="auto"/>
              </w:rPr>
              <w:t>RSUs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8060" w:type="dxa"/>
            <w:vAlign w:val="bottom"/>
          </w:tcPr>
          <w:p>
            <w:pPr>
              <w:ind w:left="4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90"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60" w:type="dxa"/>
            <w:vAlign w:val="bottom"/>
            <w:tcBorders>
              <w:top w:val="single" w:sz="8" w:color="auto"/>
            </w:tcBorders>
          </w:tcPr>
          <w:p>
            <w:pPr>
              <w:jc w:val="center"/>
              <w:ind w:left="239"/>
              <w:spacing w:after="0" w:line="161" w:lineRule="exact"/>
              <w:rPr>
                <w:sz w:val="20"/>
                <w:szCs w:val="20"/>
                <w:color w:val="auto"/>
              </w:rPr>
            </w:pPr>
            <w:r>
              <w:rPr>
                <w:rFonts w:ascii="Arial" w:cs="Arial" w:eastAsia="Arial" w:hAnsi="Arial"/>
                <w:sz w:val="16"/>
                <w:szCs w:val="16"/>
                <w:b w:val="1"/>
                <w:bCs w:val="1"/>
                <w:color w:val="auto"/>
                <w:w w:val="97"/>
              </w:rPr>
              <w:t>March 31,</w:t>
            </w: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314"/>
              <w:spacing w:after="0" w:line="161" w:lineRule="exact"/>
              <w:rPr>
                <w:sz w:val="20"/>
                <w:szCs w:val="20"/>
                <w:color w:val="auto"/>
              </w:rPr>
            </w:pPr>
            <w:r>
              <w:rPr>
                <w:rFonts w:ascii="Arial" w:cs="Arial" w:eastAsia="Arial" w:hAnsi="Arial"/>
                <w:sz w:val="16"/>
                <w:szCs w:val="16"/>
                <w:b w:val="1"/>
                <w:bCs w:val="1"/>
                <w:color w:val="auto"/>
              </w:rPr>
              <w:t>March 31,</w:t>
            </w:r>
          </w:p>
        </w:tc>
      </w:tr>
      <w:tr>
        <w:trPr>
          <w:trHeight w:val="213"/>
        </w:trPr>
        <w:tc>
          <w:tcPr>
            <w:tcW w:w="92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w:t>
            </w:r>
          </w:p>
        </w:tc>
        <w:tc>
          <w:tcPr>
            <w:tcW w:w="1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options</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0.7</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w:t>
      </w:r>
    </w:p>
    <w:p>
      <w:pPr>
        <w:spacing w:after="0" w:line="214"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During the year ended December 31, 2019, we entered into a finance lease with $3.6 million lease liabilities arising from obtaining right-of-use assets with a lease term of approximately two years. Our remaining finance leases were not material to our condensed consolidated financial statements. The related assumptions and further disclosures for finance leases are not material.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3"/>
                <w:szCs w:val="13"/>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0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1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0.8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7.5</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Variable lease expense for the three months ended March 31, 2021 and 2020 predominantly included common area maintenance charges and parking expense.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Classification</w:t>
            </w:r>
          </w:p>
        </w:tc>
        <w:tc>
          <w:tcPr>
            <w:tcW w:w="1720" w:type="dxa"/>
            <w:vAlign w:val="bottom"/>
          </w:tcPr>
          <w:p>
            <w:pPr>
              <w:jc w:val="right"/>
              <w:ind w:right="74"/>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20" w:type="dxa"/>
            <w:vAlign w:val="bottom"/>
          </w:tcPr>
          <w:p>
            <w:pPr>
              <w:jc w:val="right"/>
              <w:ind w:right="65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9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ROU assets - non-current</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720" w:type="dxa"/>
            <w:vAlign w:val="bottom"/>
            <w:tcBorders>
              <w:bottom w:val="single" w:sz="8" w:color="auto"/>
            </w:tcBorders>
            <w:shd w:val="clear" w:color="auto" w:fill="CCEEFF"/>
          </w:tcPr>
          <w:p>
            <w:pPr>
              <w:jc w:val="right"/>
              <w:ind w:right="153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720" w:type="dxa"/>
            <w:vAlign w:val="bottom"/>
            <w:shd w:val="clear" w:color="auto" w:fill="CCEEFF"/>
          </w:tcPr>
          <w:p>
            <w:pPr>
              <w:jc w:val="right"/>
              <w:ind w:right="153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7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3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 -</w:t>
            </w:r>
          </w:p>
        </w:tc>
        <w:tc>
          <w:tcPr>
            <w:tcW w:w="16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6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6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553"/>
        </w:trPr>
        <w:tc>
          <w:tcPr>
            <w:tcW w:w="804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44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rPr>
                <w:sz w:val="13"/>
                <w:szCs w:val="13"/>
                <w:color w:val="auto"/>
              </w:rPr>
            </w:pPr>
          </w:p>
        </w:tc>
        <w:tc>
          <w:tcPr>
            <w:tcW w:w="1600" w:type="dxa"/>
            <w:vAlign w:val="bottom"/>
          </w:tcPr>
          <w:p>
            <w:pPr>
              <w:jc w:val="center"/>
              <w:ind w:left="656"/>
              <w:spacing w:after="0" w:line="158" w:lineRule="exact"/>
              <w:rPr>
                <w:sz w:val="20"/>
                <w:szCs w:val="20"/>
                <w:color w:val="auto"/>
              </w:rPr>
            </w:pPr>
            <w:r>
              <w:rPr>
                <w:rFonts w:ascii="Arial" w:cs="Arial" w:eastAsia="Arial" w:hAnsi="Arial"/>
                <w:sz w:val="16"/>
                <w:szCs w:val="16"/>
                <w:b w:val="1"/>
                <w:bCs w:val="1"/>
                <w:color w:val="auto"/>
                <w:w w:val="94"/>
              </w:rPr>
              <w:t>March 31,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2"/>
          </w:tcPr>
          <w:p>
            <w:pPr>
              <w:jc w:val="right"/>
              <w:ind w:right="820"/>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11"/>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1600" w:type="dxa"/>
            <w:vAlign w:val="bottom"/>
            <w:tcBorders>
              <w:bottom w:val="single" w:sz="8" w:color="auto"/>
            </w:tcBorders>
          </w:tcPr>
          <w:p>
            <w:pPr>
              <w:jc w:val="right"/>
              <w:ind w:right="14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040" w:type="dxa"/>
            <w:vAlign w:val="bottom"/>
            <w:gridSpan w:val="2"/>
          </w:tcPr>
          <w:p>
            <w:pPr>
              <w:ind w:left="660"/>
              <w:spacing w:after="0"/>
              <w:rPr>
                <w:sz w:val="20"/>
                <w:szCs w:val="20"/>
                <w:color w:val="auto"/>
              </w:rPr>
            </w:pPr>
            <w:r>
              <w:rPr>
                <w:rFonts w:ascii="Arial" w:cs="Arial" w:eastAsia="Arial" w:hAnsi="Arial"/>
                <w:sz w:val="18"/>
                <w:szCs w:val="18"/>
                <w:color w:val="auto"/>
              </w:rPr>
              <w:t>Maturities of operating lease liabilities as of March 31, 2021 were as follows (in millions):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(the remainder of 2021)</w:t>
            </w:r>
          </w:p>
        </w:tc>
        <w:tc>
          <w:tcPr>
            <w:tcW w:w="16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2022</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2024</w:t>
            </w: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March 31, 2021, we had additional minimum lease payments of $2.7 million relating to operating leases for colocation space that had been signed but had not yet commenced. These leases will commence during 2021 and will have lease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terms of three years.</w:t>
      </w:r>
    </w:p>
    <w:p>
      <w:pPr>
        <w:spacing w:after="0" w:line="24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5, 2021, we issued $1.0 billion aggregate principal amount of senior notes (collectively, the “Senior Notes”), consisting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March 31, 2021, the Senior Notes were recorded as long-term debt, net of discount and issuance costs, which are amortized to interest expense over the respective contractual terms of these notes using the effective interest method.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outstanding debt is summarized below (in millions, except percentages):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Coupon Rate</w:t>
            </w:r>
          </w:p>
        </w:tc>
        <w:tc>
          <w:tcPr>
            <w:tcW w:w="170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Effective Interest</w:t>
            </w:r>
          </w:p>
        </w:tc>
        <w:tc>
          <w:tcPr>
            <w:tcW w:w="122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3"/>
              </w:rPr>
              <w:t>March 31, 2021</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700" w:type="dxa"/>
            <w:vAlign w:val="bottom"/>
            <w:gridSpan w:val="3"/>
          </w:tcPr>
          <w:p>
            <w:pPr>
              <w:jc w:val="right"/>
              <w:ind w:right="710"/>
              <w:spacing w:after="0"/>
              <w:rPr>
                <w:sz w:val="20"/>
                <w:szCs w:val="20"/>
                <w:color w:val="auto"/>
              </w:rPr>
            </w:pPr>
            <w:r>
              <w:rPr>
                <w:rFonts w:ascii="Arial" w:cs="Arial" w:eastAsia="Arial" w:hAnsi="Arial"/>
                <w:sz w:val="16"/>
                <w:szCs w:val="16"/>
                <w:b w:val="1"/>
                <w:bCs w:val="1"/>
                <w:color w:val="auto"/>
              </w:rPr>
              <w:t>Rate</w:t>
            </w: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2026 Senior Notes</w:t>
            </w:r>
          </w:p>
        </w:tc>
        <w:tc>
          <w:tcPr>
            <w:tcW w:w="1420" w:type="dxa"/>
            <w:vAlign w:val="bottom"/>
            <w:gridSpan w:val="2"/>
          </w:tcPr>
          <w:p>
            <w:pPr>
              <w:spacing w:after="0"/>
              <w:rPr>
                <w:sz w:val="20"/>
                <w:szCs w:val="20"/>
                <w:color w:val="auto"/>
              </w:rPr>
            </w:pPr>
            <w:r>
              <w:rPr>
                <w:rFonts w:ascii="Arial" w:cs="Arial" w:eastAsia="Arial" w:hAnsi="Arial"/>
                <w:sz w:val="18"/>
                <w:szCs w:val="18"/>
                <w:color w:val="auto"/>
              </w:rPr>
              <w:t>March 2026</w:t>
            </w: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1.3 %  $</w:t>
            </w: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0" w:firstLine="648"/>
        <w:spacing w:after="0" w:line="258" w:lineRule="auto"/>
        <w:rPr>
          <w:sz w:val="20"/>
          <w:szCs w:val="20"/>
          <w:color w:val="auto"/>
        </w:rPr>
      </w:pPr>
      <w:r>
        <w:rPr>
          <w:rFonts w:ascii="Arial" w:cs="Arial" w:eastAsia="Arial" w:hAnsi="Arial"/>
          <w:sz w:val="18"/>
          <w:szCs w:val="18"/>
          <w:color w:val="auto"/>
        </w:rPr>
        <w:t>As of March 31, 2021 we accrued interest payable of $1.2 million, and there are no financial covenants with which we must comply. During the quarter ended March 31, 2021 we recorded $1.3 million of total interest expense in relation to these Senior Notes.</w:t>
      </w:r>
    </w:p>
    <w:p>
      <w:pPr>
        <w:spacing w:after="0" w:line="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total estimated fair value of the outstanding Senior Notes was approximately $975.6 million, including accrued and unpaid interest, as of March 31, 2021.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MUTUAL COVENANT-NOT-TO-SUE AND RELEASE AGREEMENT</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January 2020, we entered into an agreement with a competitor in the network security industry whereby, in February 2020, the competitor party paid us a lump sum of $50.0 million for a seven-year mutual covenant-not-to-sue for patent claims. Pursuant to this agreement, at the end of this first seven-year period, either party may extend the agreement for an additional seven-year mutual covenant-not-to-sue in return for this competitor paying us an additional $50.0 million. This agreement arose after expiration of previous agreements between the parties whereby the competitor had paid us sums for a limited term license to certain of our intellectual property (“IP”) and a limited term mutual covenant-not-to-sue.</w:t>
      </w:r>
    </w:p>
    <w:p>
      <w:pPr>
        <w:spacing w:after="0" w:line="203" w:lineRule="exact"/>
        <w:rPr>
          <w:sz w:val="20"/>
          <w:szCs w:val="20"/>
          <w:color w:val="auto"/>
        </w:rPr>
      </w:pPr>
    </w:p>
    <w:p>
      <w:pPr>
        <w:ind w:right="60" w:firstLine="177"/>
        <w:spacing w:after="0" w:line="291" w:lineRule="auto"/>
        <w:rPr>
          <w:sz w:val="20"/>
          <w:szCs w:val="20"/>
          <w:color w:val="auto"/>
        </w:rPr>
      </w:pPr>
      <w:r>
        <w:rPr>
          <w:rFonts w:ascii="Arial" w:cs="Arial" w:eastAsia="Arial" w:hAnsi="Arial"/>
          <w:sz w:val="16"/>
          <w:szCs w:val="16"/>
          <w:color w:val="auto"/>
        </w:rPr>
        <w:t>We concluded that the agreement was a 14-year contract with a total transaction price of $100.0 million, and that it contained two material distinct performance obligations: (1) the right to use our existing patents, and (2) the right to use any patents that we develop over the term of the contract. We allocated $36.0 million to the functional patents, which was recognized upon commencement of the contract; the remaining $64.0 million, representing the right to utilize future patents, will be recognized over the contract term. We further concluded that our existing patents represent functional IP that should be recognized upon granting our competitor access. We also concluded that the right to receive additional functional IP that we will develop in the future represents a stand ready obligation. Therefore, the transaction price allocated to this obligation is recognized ratably over the 14-year contract term. We estimated the stand-alone selling price of each distinct performance obligation and allocated the $100.0 million transaction price.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three months ended March 31, 2021 and 2020, we recorded $1.1 million and $36.8 million gain on IP matter in our condensed consolidated statements of income, respectively. We recorded $8.7 million in accrued liabilities and other liabilities in our condensed consolidated balance sheet as of March 31, 2021.</w:t>
      </w:r>
    </w:p>
    <w:p>
      <w:pPr>
        <w:spacing w:after="0" w:line="20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inventory purchase commitments as of March 31, 2021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2021, we had $298.8 million of open purchase orders with our independent contract manufacturers that may not be cancelable.</w:t>
      </w:r>
    </w:p>
    <w:p>
      <w:pPr>
        <w:spacing w:after="0" w:line="195"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orders and contractual obligations in the ordinary course of business for which we have not received goods or services. As of March 31, 2021, we had $65.1 million in other contractual commitments having a remaining term in excess of one year that may not be cancelable.</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Litigation loss contingency accruals were not material as of March 31, 2021 and December 31, 2020.</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Indemnification and Other Matters</w:t>
      </w:r>
      <w:r>
        <w:rPr>
          <w:rFonts w:ascii="Arial" w:cs="Arial" w:eastAsia="Arial" w:hAnsi="Arial"/>
          <w:sz w:val="17"/>
          <w:szCs w:val="17"/>
          <w:color w:val="auto"/>
        </w:rPr>
        <w:t>—Under the indemnification provisions of our standard sales contracts, we agree to defend our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third-party claims asserting various allegations such as product defects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03"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Similar to other security companies and companies in other industries, we have in the past experienced, and we may in the future experience, cybersecurity threats, malicious activity directed against our information technology infrastructure or unauthorized attempts to gain access to our and our customers’ sensitive information and systems. We currently are unaware of any existing claims or proceedings related to these types of matters, including any that we believe are likely to have a material adverse effect on our financial position.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8000" w:hanging="652"/>
        <w:spacing w:after="0" w:line="566" w:lineRule="auto"/>
        <w:tabs>
          <w:tab w:leader="none" w:pos="462"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right="20" w:firstLine="648"/>
        <w:spacing w:after="0" w:line="342" w:lineRule="auto"/>
        <w:rPr>
          <w:sz w:val="20"/>
          <w:szCs w:val="20"/>
          <w:color w:val="auto"/>
        </w:rPr>
      </w:pPr>
      <w:r>
        <w:rPr>
          <w:rFonts w:ascii="Arial" w:cs="Arial" w:eastAsia="Arial" w:hAnsi="Arial"/>
          <w:sz w:val="16"/>
          <w:szCs w:val="16"/>
          <w:color w:val="auto"/>
        </w:rPr>
        <w:t>We maintain the Amended and Restated Fortinet, Inc. 2009 Equity Incentive Plan (the “Amended Plan”) pursuant to which we have granted RSUs and stock options. As of March 31, 2021, there were a total of 11.4 million shares of common stock available for grant under the Amended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Number of Shares</w:t>
            </w:r>
          </w:p>
        </w:tc>
        <w:tc>
          <w:tcPr>
            <w:tcW w:w="17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13"/>
        </w:trPr>
        <w:tc>
          <w:tcPr>
            <w:tcW w:w="758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22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760" w:type="dxa"/>
            <w:vAlign w:val="bottom"/>
            <w:tcBorders>
              <w:top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29"/>
        </w:trPr>
        <w:tc>
          <w:tcPr>
            <w:tcW w:w="7580" w:type="dxa"/>
            <w:vAlign w:val="bottom"/>
          </w:tcPr>
          <w:p>
            <w:pPr>
              <w:ind w:left="460"/>
              <w:spacing w:after="0"/>
              <w:rPr>
                <w:sz w:val="20"/>
                <w:szCs w:val="20"/>
                <w:color w:val="auto"/>
              </w:rPr>
            </w:pPr>
            <w:r>
              <w:rPr>
                <w:rFonts w:ascii="Arial" w:cs="Arial" w:eastAsia="Arial" w:hAnsi="Arial"/>
                <w:sz w:val="18"/>
                <w:szCs w:val="18"/>
                <w:color w:val="auto"/>
              </w:rPr>
              <w:t>Granted</w:t>
            </w:r>
          </w:p>
        </w:tc>
        <w:tc>
          <w:tcPr>
            <w:tcW w:w="1760" w:type="dxa"/>
            <w:vAlign w:val="bottom"/>
          </w:tcPr>
          <w:p>
            <w:pPr>
              <w:jc w:val="center"/>
              <w:ind w:left="1313"/>
              <w:spacing w:after="0"/>
              <w:rPr>
                <w:sz w:val="20"/>
                <w:szCs w:val="20"/>
                <w:color w:val="auto"/>
              </w:rPr>
            </w:pPr>
            <w:r>
              <w:rPr>
                <w:rFonts w:ascii="Arial" w:cs="Arial" w:eastAsia="Arial" w:hAnsi="Arial"/>
                <w:sz w:val="18"/>
                <w:szCs w:val="18"/>
                <w:color w:val="auto"/>
                <w:w w:val="95"/>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172.74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Arial" w:cs="Arial" w:eastAsia="Arial" w:hAnsi="Arial"/>
                <w:sz w:val="18"/>
                <w:szCs w:val="18"/>
                <w:color w:val="auto"/>
                <w:w w:val="95"/>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RSU. As of March 31, 2021, total compensation expense related to unvested RSUs granted to employees and non-employees under the Amended Plan, but not yet recognized, was $450.7 million, with a weighted-average remaining vesting period of 2.9 years.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1100" w:type="dxa"/>
            <w:vAlign w:val="bottom"/>
          </w:tcPr>
          <w:p>
            <w:pPr>
              <w:jc w:val="center"/>
              <w:ind w:left="297"/>
              <w:spacing w:after="0" w:line="158" w:lineRule="exact"/>
              <w:rPr>
                <w:sz w:val="20"/>
                <w:szCs w:val="20"/>
                <w:color w:val="auto"/>
              </w:rPr>
            </w:pPr>
            <w:r>
              <w:rPr>
                <w:rFonts w:ascii="Arial" w:cs="Arial" w:eastAsia="Arial" w:hAnsi="Arial"/>
                <w:sz w:val="16"/>
                <w:szCs w:val="16"/>
                <w:b w:val="1"/>
                <w:bCs w:val="1"/>
                <w:color w:val="auto"/>
                <w:w w:val="97"/>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Arial" w:cs="Arial" w:eastAsia="Arial" w:hAnsi="Arial"/>
                <w:sz w:val="16"/>
                <w:szCs w:val="16"/>
                <w:b w:val="1"/>
                <w:bCs w:val="1"/>
                <w:color w:val="auto"/>
                <w:w w:val="97"/>
              </w:rPr>
              <w:t>March 31,</w:t>
            </w:r>
          </w:p>
        </w:tc>
        <w:tc>
          <w:tcPr>
            <w:tcW w:w="400" w:type="dxa"/>
            <w:vAlign w:val="bottom"/>
          </w:tcPr>
          <w:p>
            <w:pPr>
              <w:spacing w:after="0"/>
              <w:rPr>
                <w:sz w:val="13"/>
                <w:szCs w:val="13"/>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2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for taxes</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Amount withheld for taxes</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41.4</w:t>
            </w:r>
          </w:p>
        </w:tc>
        <w:tc>
          <w:tcPr>
            <w:tcW w:w="120" w:type="dxa"/>
            <w:vAlign w:val="bottom"/>
          </w:tcPr>
          <w:p>
            <w:pPr>
              <w:spacing w:after="0"/>
              <w:rPr>
                <w:sz w:val="20"/>
                <w:szCs w:val="20"/>
                <w:color w:val="auto"/>
              </w:rPr>
            </w:pP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37.8</w:t>
            </w:r>
          </w:p>
        </w:tc>
      </w:tr>
    </w:tbl>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873"/>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820" w:type="dxa"/>
            <w:vAlign w:val="bottom"/>
          </w:tcPr>
          <w:p>
            <w:pPr>
              <w:spacing w:after="0"/>
              <w:rPr>
                <w:sz w:val="13"/>
                <w:szCs w:val="13"/>
                <w:color w:val="auto"/>
              </w:rPr>
            </w:pPr>
          </w:p>
        </w:tc>
        <w:tc>
          <w:tcPr>
            <w:tcW w:w="1740" w:type="dxa"/>
            <w:vAlign w:val="bottom"/>
            <w:gridSpan w:val="2"/>
          </w:tcPr>
          <w:p>
            <w:pPr>
              <w:ind w:left="440"/>
              <w:spacing w:after="0" w:line="158" w:lineRule="exact"/>
              <w:rPr>
                <w:sz w:val="20"/>
                <w:szCs w:val="20"/>
                <w:color w:val="auto"/>
              </w:rPr>
            </w:pPr>
            <w:r>
              <w:rPr>
                <w:rFonts w:ascii="Arial" w:cs="Arial" w:eastAsia="Arial" w:hAnsi="Arial"/>
                <w:sz w:val="16"/>
                <w:szCs w:val="16"/>
                <w:b w:val="1"/>
                <w:bCs w:val="1"/>
                <w:color w:val="auto"/>
              </w:rPr>
              <w:t>March 31,</w:t>
            </w:r>
          </w:p>
        </w:tc>
        <w:tc>
          <w:tcPr>
            <w:tcW w:w="1620" w:type="dxa"/>
            <w:vAlign w:val="bottom"/>
          </w:tcPr>
          <w:p>
            <w:pPr>
              <w:jc w:val="right"/>
              <w:ind w:right="373"/>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78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r>
      <w:tr>
        <w:trPr>
          <w:trHeight w:val="22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820" w:type="dxa"/>
            <w:vAlign w:val="bottom"/>
          </w:tcPr>
          <w:p>
            <w:pPr>
              <w:spacing w:after="0"/>
              <w:rPr>
                <w:sz w:val="20"/>
                <w:szCs w:val="20"/>
                <w:color w:val="auto"/>
              </w:rPr>
            </w:pPr>
            <w:r>
              <w:rPr>
                <w:rFonts w:ascii="Arial" w:cs="Arial" w:eastAsia="Arial" w:hAnsi="Arial"/>
                <w:sz w:val="18"/>
                <w:szCs w:val="18"/>
                <w:color w:val="auto"/>
              </w:rPr>
              <w:t>Volatility</w:t>
            </w:r>
          </w:p>
        </w:tc>
        <w:tc>
          <w:tcPr>
            <w:tcW w:w="1620" w:type="dxa"/>
            <w:vAlign w:val="bottom"/>
          </w:tcPr>
          <w:p>
            <w:pPr>
              <w:jc w:val="right"/>
              <w:spacing w:after="0"/>
              <w:rPr>
                <w:sz w:val="20"/>
                <w:szCs w:val="20"/>
                <w:color w:val="auto"/>
              </w:rPr>
            </w:pPr>
            <w:r>
              <w:rPr>
                <w:rFonts w:ascii="Arial" w:cs="Arial" w:eastAsia="Arial" w:hAnsi="Arial"/>
                <w:sz w:val="18"/>
                <w:szCs w:val="18"/>
                <w:color w:val="auto"/>
              </w:rPr>
              <w:t>39.5 %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33.5 %</w:t>
            </w:r>
          </w:p>
        </w:tc>
      </w:tr>
      <w:tr>
        <w:trPr>
          <w:trHeight w:val="23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Dividend rate</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29"/>
        </w:trPr>
        <w:tc>
          <w:tcPr>
            <w:tcW w:w="6240" w:type="dxa"/>
            <w:vAlign w:val="bottom"/>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171.93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line="20" w:lineRule="exact"/>
              <w:rPr>
                <w:sz w:val="1"/>
                <w:szCs w:val="1"/>
                <w:color w:val="auto"/>
              </w:rPr>
            </w:pPr>
          </w:p>
        </w:tc>
      </w:tr>
      <w:tr>
        <w:trPr>
          <w:trHeight w:val="204"/>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expected to vest—March 31, 2021</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85.66</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March 31, 2021 for all in-the-money stock options. Stock compensation expense is recognized on a straight-line basis over the vesting period of each stock option. As of March 31, 2021, total compensation expense related to unvested stock options granted to employees but not yet recognized was $54.6 million, with a weighted-average remaining vesting period of 3.2 years.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4"/>
              <w:spacing w:after="0" w:line="158" w:lineRule="exact"/>
              <w:rPr>
                <w:sz w:val="20"/>
                <w:szCs w:val="20"/>
                <w:color w:val="auto"/>
              </w:rPr>
            </w:pPr>
            <w:r>
              <w:rPr>
                <w:rFonts w:ascii="Arial" w:cs="Arial" w:eastAsia="Arial" w:hAnsi="Arial"/>
                <w:sz w:val="16"/>
                <w:szCs w:val="16"/>
                <w:b w:val="1"/>
                <w:bCs w:val="1"/>
                <w:color w:val="auto"/>
              </w:rPr>
              <w:t>March 31,</w:t>
            </w:r>
          </w:p>
        </w:tc>
      </w:tr>
      <w:tr>
        <w:trPr>
          <w:trHeight w:val="213"/>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 granted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Stock-based compensation expense, including stock-based compensation expense related to awards classified as liabilities, is included in costs and expenses as follows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10.9</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26.8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25.7</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8060" w:type="dxa"/>
            <w:vAlign w:val="bottom"/>
          </w:tcPr>
          <w:p>
            <w:pPr>
              <w:ind w:left="460"/>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50.0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45.3</w:t>
            </w:r>
          </w:p>
        </w:tc>
      </w:tr>
      <w:tr>
        <w:trPr>
          <w:trHeight w:val="20"/>
        </w:trPr>
        <w:tc>
          <w:tcPr>
            <w:tcW w:w="8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including stock-based compensation expense related to awards classified as liabilities, by award type (in millions):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9"/>
        </w:trPr>
        <w:tc>
          <w:tcPr>
            <w:tcW w:w="806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3"/>
                <w:szCs w:val="13"/>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2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42.2</w:t>
            </w:r>
          </w:p>
        </w:tc>
      </w:tr>
      <w:tr>
        <w:trPr>
          <w:trHeight w:val="229"/>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options</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45.3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income is as follows (in millions):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1100" w:type="dxa"/>
            <w:vAlign w:val="bottom"/>
          </w:tcPr>
          <w:p>
            <w:pPr>
              <w:jc w:val="center"/>
              <w:ind w:left="297"/>
              <w:spacing w:after="0" w:line="158" w:lineRule="exact"/>
              <w:rPr>
                <w:sz w:val="20"/>
                <w:szCs w:val="20"/>
                <w:color w:val="auto"/>
              </w:rPr>
            </w:pPr>
            <w:r>
              <w:rPr>
                <w:rFonts w:ascii="Arial" w:cs="Arial" w:eastAsia="Arial" w:hAnsi="Arial"/>
                <w:sz w:val="16"/>
                <w:szCs w:val="16"/>
                <w:b w:val="1"/>
                <w:bCs w:val="1"/>
                <w:color w:val="auto"/>
                <w:w w:val="97"/>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Arial" w:cs="Arial" w:eastAsia="Arial" w:hAnsi="Arial"/>
                <w:sz w:val="16"/>
                <w:szCs w:val="16"/>
                <w:b w:val="1"/>
                <w:bCs w:val="1"/>
                <w:color w:val="auto"/>
                <w:w w:val="97"/>
              </w:rPr>
              <w:t>March 31,</w:t>
            </w:r>
          </w:p>
        </w:tc>
        <w:tc>
          <w:tcPr>
            <w:tcW w:w="400" w:type="dxa"/>
            <w:vAlign w:val="bottom"/>
          </w:tcPr>
          <w:p>
            <w:pPr>
              <w:spacing w:after="0"/>
              <w:rPr>
                <w:sz w:val="13"/>
                <w:szCs w:val="13"/>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2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associated with stock-based compensation</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July 2020, under the Share Repurchase Program originally approved by our board of directors in January 2016 (the “Repurchase Program”), our board of directors approved a $500.0 million increase and extended the term to February 28, 2022, bringing the aggregate amount authorized to be repurchased to $3.0 billion.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21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There were no shares repurchased under the Repurchase Program during the three months ended March 31, 2021. As of March 31, 2021, $1.01 billion remained available for future share repurchases under the Repurchase Program.</w:t>
      </w:r>
    </w:p>
    <w:p>
      <w:pPr>
        <w:spacing w:after="0" w:line="19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effective tax rate was 10% for the three months ended March 31, 2021, compared to an effective tax rate of 11% for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rates for the periods presented are primarily comprised of U.S. federal and state taxes, withholding taxes, foreign taxes, the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foreign-derived intangible income deduction (the “FDII deduction”) and excess tax benefits from stock-based compensation expense. The tax rates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2021 and 2020 were composed of U.S. federal and state taxes, withholding taxes and foreign taxes that amounted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$35.7 million and $33.3 million, respectively. The tax rate for the three months ended March 31, 2021 was impacted by a tax benefit of $7.3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FDII deduction and by excess tax benefits from stock-based compensation expense of $16.2 million. The tax rate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was impacted by a tax benefit of $4.8 million from the FDII deduction and excess tax benefits from stock-based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$15.2 million.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2021 and December 31, 2020, unrecognized tax benefits were $81.6 million and $77.3 million, respectively. If recognized, $74.6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of the unrecognized tax benefits would favorably affect our effective tax rate. It is our policy to include accrued interest and penalties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in income tax expense. As of March 31, 2021 and December 31, 2020, accrued interest and penalties were $16.0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 million, respectively. It is reasonably possible that our gross unrecognized tax benefits will decrease by up to $4.4 million in the next 12 months,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lapse of the statute of limitations. This decrease, if recognized, would positively impact our effective tax rate, and would be recognized as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benefits.</w:t>
      </w:r>
    </w:p>
    <w:p>
      <w:pPr>
        <w:spacing w:after="0" w:line="2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Germany and several other foreign jurisdictions. The focus of these audits is the inter-company profit allocation.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6"/>
          <w:szCs w:val="16"/>
          <w:color w:val="auto"/>
        </w:rPr>
        <w:t>The Coronavirus Aid, Relief, and Economic Security Act (the “CARES Act”) was signed into law on March 27, 2020.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refundable employee retention credits. There is no material tax impact on our condensed consolidated financial statements.</w:t>
      </w:r>
    </w:p>
    <w:p>
      <w:pPr>
        <w:spacing w:after="0" w:line="18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July 9, 2020, the United States Department of the Treasury (the “U.S. Treasury”) and the Internal Revenue Service (the “IRS”) released final Section 250 regulations, providing guidance on the foreign-derived intangible income deduction and the global intangible low-taxed income. Generally, the final regulations are applicable for taxable years beginning on or after January 1, 2021. However, taxpayers may apply the final regulations for taxable years beginning on or after January 1, 2018. We have elected to apply the final regulations to the year ending December 31, 2020 and included the tax impact from the final regulations on our foreign-derived intangible income deduction calculation.</w:t>
      </w:r>
    </w:p>
    <w:p>
      <w:pPr>
        <w:spacing w:after="0" w:line="19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tax-deductible contributions. Our board of directors approved 50% matching contributions on employee contributions up to 4% of each employee’s eligible earnings. Our matching contributions to our 401(k) Plan and the RRSP for the three months ended March 31, 2021 and 2020 were $2.7 million and $2.2 million, respectively.</w:t>
      </w:r>
    </w:p>
    <w:p>
      <w:pPr>
        <w:spacing w:after="0" w:line="21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3"/>
                <w:szCs w:val="13"/>
                <w:color w:val="auto"/>
              </w:rPr>
            </w:pPr>
          </w:p>
        </w:tc>
        <w:tc>
          <w:tcPr>
            <w:tcW w:w="126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12"/>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Americas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440"/>
              <w:spacing w:after="0"/>
              <w:rPr>
                <w:sz w:val="20"/>
                <w:szCs w:val="20"/>
                <w:color w:val="auto"/>
              </w:rPr>
            </w:pPr>
            <w:r>
              <w:rPr>
                <w:rFonts w:ascii="Arial" w:cs="Arial" w:eastAsia="Arial" w:hAnsi="Arial"/>
                <w:sz w:val="18"/>
                <w:szCs w:val="18"/>
                <w:color w:val="auto"/>
              </w:rPr>
              <w:t>Total Americas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Middle East and Africa (“EMEA”)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Asia Pacific (“APAC”)</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0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7"/>
                <w:szCs w:val="17"/>
                <w:color w:val="auto"/>
              </w:rPr>
              <w:t>—</w:t>
            </w:r>
            <w:r>
              <w:rPr>
                <w:rFonts w:ascii="Arial" w:cs="Arial" w:eastAsia="Arial" w:hAnsi="Arial"/>
                <w:sz w:val="16"/>
                <w:szCs w:val="16"/>
                <w:b w:val="1"/>
                <w:bCs w:val="1"/>
                <w:color w:val="auto"/>
              </w:rPr>
              <w:t>net</w:t>
            </w:r>
          </w:p>
        </w:tc>
        <w:tc>
          <w:tcPr>
            <w:tcW w:w="160" w:type="dxa"/>
            <w:vAlign w:val="bottom"/>
          </w:tcPr>
          <w:p>
            <w:pPr>
              <w:spacing w:after="0"/>
              <w:rPr>
                <w:sz w:val="16"/>
                <w:szCs w:val="16"/>
                <w:color w:val="auto"/>
              </w:rPr>
            </w:pPr>
          </w:p>
        </w:tc>
        <w:tc>
          <w:tcPr>
            <w:tcW w:w="1480" w:type="dxa"/>
            <w:vAlign w:val="bottom"/>
            <w:gridSpan w:val="5"/>
          </w:tcPr>
          <w:p>
            <w:pPr>
              <w:ind w:left="2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394"/>
              <w:spacing w:after="0" w:line="175"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513"/>
              <w:spacing w:after="0" w:line="175"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342.7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Americas</w:t>
            </w: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4"/>
          </w:tcPr>
          <w:p>
            <w:pPr>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APAC</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4"/>
          </w:tcPr>
          <w:p>
            <w:pPr>
              <w:ind w:left="440"/>
              <w:spacing w:after="0"/>
              <w:rPr>
                <w:sz w:val="20"/>
                <w:szCs w:val="20"/>
                <w:color w:val="auto"/>
              </w:rPr>
            </w:pPr>
            <w:r>
              <w:rPr>
                <w:rFonts w:ascii="Arial" w:cs="Arial" w:eastAsia="Arial" w:hAnsi="Arial"/>
                <w:sz w:val="18"/>
                <w:szCs w:val="18"/>
                <w:color w:val="auto"/>
              </w:rPr>
              <w:t>Total property and equipment—net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494.2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gridSpan w:val="4"/>
            <w:vMerge w:val="restart"/>
          </w:tcPr>
          <w:p>
            <w:pPr>
              <w:ind w:left="620"/>
              <w:spacing w:after="0"/>
              <w:rPr>
                <w:sz w:val="20"/>
                <w:szCs w:val="20"/>
                <w:color w:val="auto"/>
              </w:rPr>
            </w:pPr>
            <w:r>
              <w:rPr>
                <w:rFonts w:ascii="Arial" w:cs="Arial" w:eastAsia="Arial" w:hAnsi="Arial"/>
                <w:sz w:val="18"/>
                <w:szCs w:val="18"/>
                <w:color w:val="auto"/>
              </w:rPr>
              <w:t>The following distributors accounted for 10% or more of our revenue:</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80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853"/>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ind w:left="80"/>
              <w:spacing w:after="0" w:line="158" w:lineRule="exact"/>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3"/>
                <w:szCs w:val="13"/>
                <w:color w:val="auto"/>
              </w:rPr>
            </w:pPr>
          </w:p>
        </w:tc>
        <w:tc>
          <w:tcPr>
            <w:tcW w:w="1360" w:type="dxa"/>
            <w:vAlign w:val="bottom"/>
          </w:tcPr>
          <w:p>
            <w:pPr>
              <w:jc w:val="right"/>
              <w:ind w:right="353"/>
              <w:spacing w:after="0" w:line="158" w:lineRule="exact"/>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Exclusive Networks Group (“Exclusive”)</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5"/>
          </w:tcPr>
          <w:p>
            <w:pPr>
              <w:ind w:left="20"/>
              <w:spacing w:after="0"/>
              <w:rPr>
                <w:sz w:val="20"/>
                <w:szCs w:val="20"/>
                <w:color w:val="auto"/>
              </w:rPr>
            </w:pPr>
            <w:r>
              <w:rPr>
                <w:rFonts w:ascii="Arial" w:cs="Arial" w:eastAsia="Arial" w:hAnsi="Arial"/>
                <w:sz w:val="18"/>
                <w:szCs w:val="18"/>
                <w:color w:val="auto"/>
              </w:rPr>
              <w:t>Ingram Micro, Inc. (“Ingram Micro”)</w:t>
            </w:r>
          </w:p>
        </w:tc>
        <w:tc>
          <w:tcPr>
            <w:tcW w:w="1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0" w:type="dxa"/>
            <w:vAlign w:val="bottom"/>
          </w:tcPr>
          <w:p>
            <w:pPr>
              <w:spacing w:after="0"/>
              <w:rPr>
                <w:sz w:val="24"/>
                <w:szCs w:val="24"/>
                <w:color w:val="auto"/>
              </w:rPr>
            </w:pPr>
          </w:p>
        </w:tc>
        <w:tc>
          <w:tcPr>
            <w:tcW w:w="8020" w:type="dxa"/>
            <w:vAlign w:val="bottom"/>
            <w:gridSpan w:val="4"/>
          </w:tcPr>
          <w:p>
            <w:pPr>
              <w:ind w:left="620"/>
              <w:spacing w:after="0"/>
              <w:rPr>
                <w:sz w:val="20"/>
                <w:szCs w:val="20"/>
                <w:color w:val="auto"/>
              </w:rPr>
            </w:pPr>
            <w:r>
              <w:rPr>
                <w:rFonts w:ascii="Arial" w:cs="Arial" w:eastAsia="Arial" w:hAnsi="Arial"/>
                <w:sz w:val="18"/>
                <w:szCs w:val="18"/>
                <w:color w:val="auto"/>
              </w:rPr>
              <w:t>The following distributors accounted for 10% or more of net accounts receivable:</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Exclusive</w:t>
            </w:r>
          </w:p>
        </w:tc>
        <w:tc>
          <w:tcPr>
            <w:tcW w:w="2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020" w:type="dxa"/>
            <w:vAlign w:val="bottom"/>
            <w:gridSpan w:val="4"/>
          </w:tcPr>
          <w:p>
            <w:pPr>
              <w:spacing w:after="0"/>
              <w:rPr>
                <w:sz w:val="20"/>
                <w:szCs w:val="20"/>
                <w:color w:val="auto"/>
              </w:rPr>
            </w:pPr>
            <w:r>
              <w:rPr>
                <w:rFonts w:ascii="Arial" w:cs="Arial" w:eastAsia="Arial" w:hAnsi="Arial"/>
                <w:sz w:val="18"/>
                <w:szCs w:val="18"/>
                <w:color w:val="auto"/>
              </w:rPr>
              <w:t>Ingram Micro</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1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duration and impact of the COVID-19 pandemic and the implementation of “return to office” plans;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52" w:lineRule="exact"/>
        <w:rPr>
          <w:rFonts w:ascii="Arial" w:cs="Arial" w:eastAsia="Arial" w:hAnsi="Arial"/>
          <w:sz w:val="18"/>
          <w:szCs w:val="18"/>
          <w:i w:val="1"/>
          <w:iCs w:val="1"/>
          <w:color w:val="auto"/>
        </w:rPr>
      </w:pPr>
    </w:p>
    <w:p>
      <w:pPr>
        <w:ind w:left="1300" w:right="46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macro-economic, geopolitical factors and other disruption on our manufacturing or sales, including the impact of the COVID-19 pandemic and other public health issues and natural disasters;</w:t>
      </w:r>
    </w:p>
    <w:p>
      <w:pPr>
        <w:spacing w:after="0" w:line="197" w:lineRule="exact"/>
        <w:rPr>
          <w:rFonts w:ascii="Arial" w:cs="Arial" w:eastAsia="Arial" w:hAnsi="Arial"/>
          <w:sz w:val="18"/>
          <w:szCs w:val="18"/>
          <w:i w:val="1"/>
          <w:iCs w:val="1"/>
          <w:color w:val="auto"/>
        </w:rPr>
      </w:pPr>
    </w:p>
    <w:p>
      <w:pPr>
        <w:ind w:left="130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effects of government regulation, tariffs and other policies;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the global chip shortage and other factors affecting our manufacturing capacity and inventory management;</w:t>
      </w:r>
    </w:p>
    <w:p>
      <w:pPr>
        <w:spacing w:after="0" w:line="252" w:lineRule="exact"/>
        <w:rPr>
          <w:rFonts w:ascii="Arial" w:cs="Arial" w:eastAsia="Arial" w:hAnsi="Arial"/>
          <w:sz w:val="18"/>
          <w:szCs w:val="18"/>
          <w:i w:val="1"/>
          <w:iCs w:val="1"/>
          <w:color w:val="auto"/>
        </w:rPr>
      </w:pPr>
    </w:p>
    <w:p>
      <w:pPr>
        <w:ind w:left="1300" w:right="5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sales productivity, functionality and value in our subscription service offerings;</w:t>
      </w:r>
    </w:p>
    <w:p>
      <w:pPr>
        <w:spacing w:after="0" w:line="197" w:lineRule="exact"/>
        <w:rPr>
          <w:rFonts w:ascii="Arial" w:cs="Arial" w:eastAsia="Arial" w:hAnsi="Arial"/>
          <w:sz w:val="18"/>
          <w:szCs w:val="18"/>
          <w:color w:val="auto"/>
        </w:rPr>
      </w:pPr>
    </w:p>
    <w:p>
      <w:pPr>
        <w:jc w:val="both"/>
        <w:ind w:left="1300" w:right="60" w:hanging="644"/>
        <w:spacing w:after="0" w:line="259"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97"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risks and expectations related to acquisitions and equity interests in private companies, including integration issues related to product plans and products, including the acquired technology;</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operating expense will increase in absolute dollars during 2021;</w:t>
      </w:r>
    </w:p>
    <w:p>
      <w:pPr>
        <w:spacing w:after="0" w:line="252" w:lineRule="exact"/>
        <w:rPr>
          <w:rFonts w:ascii="Arial" w:cs="Arial" w:eastAsia="Arial" w:hAnsi="Arial"/>
          <w:sz w:val="18"/>
          <w:szCs w:val="18"/>
          <w:i w:val="1"/>
          <w:iCs w:val="1"/>
          <w:color w:val="auto"/>
        </w:rPr>
      </w:pPr>
    </w:p>
    <w:p>
      <w:pPr>
        <w:ind w:left="1300" w:right="80" w:hanging="644"/>
        <w:spacing w:after="0" w:line="277" w:lineRule="auto"/>
        <w:tabs>
          <w:tab w:leader="none" w:pos="129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adversely impacted by the increased mix of restricted stock units versus stock options granted;</w:t>
      </w:r>
    </w:p>
    <w:p>
      <w:pPr>
        <w:spacing w:after="0" w:line="197"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estimates of a range of 2021 spending on our headquarters expansion project and of the anticipated completion timeline for the project;</w:t>
      </w:r>
    </w:p>
    <w:p>
      <w:pPr>
        <w:spacing w:after="0" w:line="275" w:lineRule="exact"/>
        <w:rPr>
          <w:rFonts w:ascii="Arial" w:cs="Arial" w:eastAsia="Arial" w:hAnsi="Arial"/>
          <w:sz w:val="16"/>
          <w:szCs w:val="16"/>
          <w:i w:val="1"/>
          <w:iCs w:val="1"/>
          <w:color w:val="auto"/>
        </w:rPr>
      </w:pPr>
    </w:p>
    <w:p>
      <w:pPr>
        <w:ind w:left="1300" w:right="260" w:hanging="644"/>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domestic and global tax rates, and the impact of the Tax Cuts and Jobs Act (the “2017 Tax Act</w:t>
      </w:r>
      <w:r>
        <w:rPr>
          <w:rFonts w:ascii="Arial" w:cs="Arial" w:eastAsia="Arial" w:hAnsi="Arial"/>
          <w:sz w:val="18"/>
          <w:szCs w:val="18"/>
          <w:color w:val="auto"/>
        </w:rPr>
        <w:t>”)</w:t>
      </w:r>
      <w:r>
        <w:rPr>
          <w:rFonts w:ascii="Arial" w:cs="Arial" w:eastAsia="Arial" w:hAnsi="Arial"/>
          <w:sz w:val="18"/>
          <w:szCs w:val="18"/>
          <w:i w:val="1"/>
          <w:iCs w:val="1"/>
          <w:color w:val="auto"/>
        </w:rPr>
        <w:t xml:space="preserve"> and the Coronavirus Aid, Relief, and Economic Security Act (the “CARES Act”);</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statements regarding expected outcomes and liabilities in litigation;</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52"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Fortinet is a global leader in cybersecurity solutions provided to a wide variety of organizations, including enterprises, communication and security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 The Fortinet Security Fabric platform leverages a common operating system or integration to this operating system across our product offerings and helps organizations secure their environments and reduce their security and network complexities. The Fortinet Security Fabric platform has an open architecture designed to connect Fortinet solutions and third-party solutions into a single ecosystem, enabling integration and automation.</w:t>
      </w:r>
    </w:p>
    <w:p>
      <w:pPr>
        <w:spacing w:after="0" w:line="19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Our product offerings consist of our FortiGate network security products and our non-FortiGate products. Our FortiGate hardware and software licenses are sold with a set of security services in addition to networking features. Our security services are enabled by FortiGuard Labs, which provides threat research and artificial intelligence capabilities from a cloud network to deliver protection services to each FortiGate appliance and virtual machine and each non-FortiGate product that is registered by the end-customer.</w:t>
      </w:r>
    </w:p>
    <w:p>
      <w:pPr>
        <w:spacing w:after="0" w:line="21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Our FortiOS operating system, associated security and networking functions, and products that run or are integrated with FortiOS are combined to form the Fortinet Security Fabric platform. This approach to security ties discrete security solutions together into an integrated whole that provides centralized management and visibility, automation and intelligence sharing to simplify network and security operations and rapid response to threats.</w:t>
      </w:r>
    </w:p>
    <w:p>
      <w:pPr>
        <w:spacing w:after="0" w:line="17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proprietary Security Processing Units (“SPUs”) are Application-Specific Integrated Circuits that are designed to enhance the security processing capabilities implemented in software by accelerating computationally intensive tasks such as firewall policy enforcement, software-defined wide-area network (“SD-WAN”), network address translation, Intrusion Prevention Systems (“IPS”), threat detection and encryption.</w:t>
      </w:r>
    </w:p>
    <w:p>
      <w:pPr>
        <w:spacing w:after="0" w:line="1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FortiOS provides the foundation for the operation of all FortiGate network security appliances, whether physical, virtual, private- or public-cloud based, and is at the heart of the Fortinet Security Fabric platform. We make regular updates to FortiOS available through our FortiCare support services. The security and networking capabilities of the Fortinet Security Fabric platform are controlled through FortiOS. FortiOS directs the operations of processors and SPUs and provides system management functions.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52" w:lineRule="exact"/>
        <w:rPr>
          <w:sz w:val="20"/>
          <w:szCs w:val="20"/>
          <w:color w:val="auto"/>
        </w:rPr>
      </w:pPr>
    </w:p>
    <w:p>
      <w:pPr>
        <w:ind w:left="660" w:hanging="328"/>
        <w:spacing w:after="0" w:line="23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Security-Driven Networking</w:t>
      </w:r>
      <w:r>
        <w:rPr>
          <w:rFonts w:ascii="Arial" w:cs="Arial" w:eastAsia="Arial" w:hAnsi="Arial"/>
          <w:sz w:val="18"/>
          <w:szCs w:val="18"/>
          <w:color w:val="auto"/>
        </w:rPr>
        <w:t>—We derive a majority of product sales from our FortiGate network security appliances. Our FortiGate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appliances include a broad set of built-in security and networking features and functionalities, including firewall, next-generation firewall, secure web gateway, secure sockets layer (“SSL”) inspection, software-defined wide area network (“SD-WAN”), Intrusion Prevention system (“IPS”), sandboxing, data leak prevention, virtual private network (“VPN”), switch and wireless controller and wide area network (“WAN”) edge. Our network security appliances are managed by our FortiOS network operating system, which provides the foundation for FortiGate security functions. We enhance the performance of our network security appliances from branch to data center by designing and implementing Security Processing Units (“SPUs”) technology within our appliances, enabling us to add security and network functionality with minimal impact to network throughput performance.</w:t>
      </w:r>
    </w:p>
    <w:p>
      <w:pPr>
        <w:spacing w:after="0" w:line="220" w:lineRule="exact"/>
        <w:rPr>
          <w:rFonts w:ascii="Arial" w:cs="Arial" w:eastAsia="Arial" w:hAnsi="Arial"/>
          <w:sz w:val="18"/>
          <w:szCs w:val="18"/>
          <w:color w:val="auto"/>
        </w:rPr>
      </w:pPr>
    </w:p>
    <w:p>
      <w:pPr>
        <w:ind w:left="660" w:right="120" w:hanging="328"/>
        <w:spacing w:after="0" w:line="24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Infrastructure Security</w:t>
      </w:r>
      <w:r>
        <w:rPr>
          <w:rFonts w:ascii="Arial" w:cs="Arial" w:eastAsia="Arial" w:hAnsi="Arial"/>
          <w:sz w:val="18"/>
          <w:szCs w:val="18"/>
          <w:color w:val="auto"/>
        </w:rPr>
        <w:t>—The Fortinet Security Fabric platform extends beyond the network to cover other attack vectors. Other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covered include Zero Trust Access solutions that provide teleworker and remote security such as FortiAuthenticator, FortiClient and FortiToken, as well as Secure Access (Wi-Fi and switch). Fortinet also extends, protects, and enables customer cloud on-ramp needs through FortiSASE, our Secure Access Service Edge (SASE) solution that is a cloud-delivered service that combines network and security functions with WAN capabilities.</w:t>
      </w:r>
    </w:p>
    <w:p>
      <w:pPr>
        <w:spacing w:after="0" w:line="216" w:lineRule="exact"/>
        <w:rPr>
          <w:rFonts w:ascii="Arial" w:cs="Arial" w:eastAsia="Arial" w:hAnsi="Arial"/>
          <w:sz w:val="18"/>
          <w:szCs w:val="18"/>
          <w:color w:val="auto"/>
        </w:rPr>
      </w:pPr>
    </w:p>
    <w:p>
      <w:pPr>
        <w:ind w:left="660" w:right="40" w:hanging="328"/>
        <w:spacing w:after="0" w:line="253"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Adaptive Cloud Security</w:t>
      </w:r>
      <w:r>
        <w:rPr>
          <w:rFonts w:ascii="Arial" w:cs="Arial" w:eastAsia="Arial" w:hAnsi="Arial"/>
          <w:sz w:val="17"/>
          <w:szCs w:val="17"/>
          <w:color w:val="auto"/>
        </w:rPr>
        <w:t>—We help customers connect securely to and across their individual, hybrid and multi-cloud environments by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through our virtual firewall and other software products and through integrated capabilities with major cloud platforms. Our public and private cloud security solutions, including virtual appliances and hosted solutions, extend the core capabilities of the Fortinet Security Fabric platform in and across cloud environments, delivering security that follows their applications and data. Our Secure SD-WAN for Multi-Cloud solution automates deployment of an overlay network across different cloud networks and offers visibility, control and centralized management that integrates functionality across multiple cloud environments. Our Cloud Security portfolio also includes securing applications, including email and web. Fortinet cloud security offerings are available for deployment in major public and private cloud environments, including Amazon Web Services, Microsoft Azure, Google Cloud, Oracle Cloud, Alibaba Cloud, IBM Cloud and VMWare Cloud. We also offer managed IPS and web application firewall (“WAF”) rules delivered by FortiGuard Labs as an overlay service to native security offerings offered by Amazon Web Services.</w:t>
      </w:r>
    </w:p>
    <w:p>
      <w:pPr>
        <w:spacing w:after="0" w:line="207" w:lineRule="exact"/>
        <w:rPr>
          <w:rFonts w:ascii="Arial" w:cs="Arial" w:eastAsia="Arial" w:hAnsi="Arial"/>
          <w:sz w:val="17"/>
          <w:szCs w:val="17"/>
          <w:color w:val="auto"/>
        </w:rPr>
      </w:pPr>
    </w:p>
    <w:p>
      <w:pPr>
        <w:ind w:left="660" w:right="40" w:hanging="328"/>
        <w:spacing w:after="0" w:line="25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Endpoint Protection, Internet of Things (“IoT”) and Operational Technology (“OT”) Security</w:t>
      </w:r>
      <w:r>
        <w:rPr>
          <w:rFonts w:ascii="Arial" w:cs="Arial" w:eastAsia="Arial" w:hAnsi="Arial"/>
          <w:sz w:val="18"/>
          <w:szCs w:val="18"/>
          <w:color w:val="auto"/>
        </w:rPr>
        <w:t>—We protect end-customers from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threats that target their devices and the data that reside on them through our advanced endpoint solutions that provide core endpoint protection, advanced threat protection, incident monitoring, and response. Additionally, the proliferation of IoT and OT devices has generated new opportunities for us to grow our business. We offer network access control solutions that provide visibility, control and automated event responses in order to secure IoT devices.</w:t>
      </w:r>
    </w:p>
    <w:p>
      <w:pPr>
        <w:spacing w:after="0" w:line="214" w:lineRule="exact"/>
        <w:rPr>
          <w:rFonts w:ascii="Arial" w:cs="Arial" w:eastAsia="Arial" w:hAnsi="Arial"/>
          <w:sz w:val="18"/>
          <w:szCs w:val="18"/>
          <w:color w:val="auto"/>
        </w:rPr>
      </w:pPr>
    </w:p>
    <w:p>
      <w:pPr>
        <w:ind w:left="660" w:right="20" w:hanging="328"/>
        <w:spacing w:after="0" w:line="294"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AI-Driven Security Operations</w:t>
      </w:r>
      <w:r>
        <w:rPr>
          <w:rFonts w:ascii="Arial" w:cs="Arial" w:eastAsia="Arial" w:hAnsi="Arial"/>
          <w:sz w:val="16"/>
          <w:szCs w:val="16"/>
          <w:color w:val="auto"/>
        </w:rPr>
        <w:t>—We develop and provide Artificial Intelligence (“AI”) driven security operations solutions, including FortiGuard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security subscription services, endpoint detection and response, and our security orchestration, automation and response (“SOAR”) capabilities and solutions, that can be applied across the entire Fortinet Security Fabric platform. These solutions deliver intelligence and insights.</w:t>
      </w:r>
    </w:p>
    <w:p>
      <w:pPr>
        <w:spacing w:after="0" w:line="17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security solutions, our customers may purchase FortiGuard and other security subscription services to receive threat intelligence updates and protection updates delivered by FortiGuard Labs, FortiCare technical support services and the support of Technical Account Managers, Resident Engineers and professional service consultants for implementations or training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Correction of Prior Period Financial Data</w:t>
      </w:r>
    </w:p>
    <w:p>
      <w:pPr>
        <w:spacing w:after="0" w:line="252"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As discussed in Note 2 of the notes to condensed consolidated financial statements included in Part I, Item 1 of this Quarterly Report on Form 10-Q, we identified an immaterial error related to the commencement of revenue recognition for certain FortiCare support service contracts, which resulted in an understatement of revenue during the three months ended March 31, 2020.</w:t>
      </w:r>
    </w:p>
    <w:p>
      <w:pPr>
        <w:spacing w:after="0" w:line="20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correction of this error resulted in an increase to service revenue, gross profit and operating income of $0.8 million for the three months ended March 31, 2020. Net income increased by $0.6 million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evaluated the effect of this correction on the previous results of operations and determined that it did not materially impact any trends previously disclosed. This correction did not impact net cash provided by operating activities, billings or free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52" w:lineRule="exact"/>
        <w:rPr>
          <w:sz w:val="20"/>
          <w:szCs w:val="20"/>
          <w:color w:val="auto"/>
        </w:rPr>
      </w:pPr>
    </w:p>
    <w:p>
      <w:pPr>
        <w:ind w:left="660" w:right="30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revenue was $710.3 million during the three months ended March 31, 2021, an increase of 23%, compared to $577.7 million in the same period last year. Product revenue was $240.7 million during the three months ended March 31, 2021, an increase of 25%, compared to $192.3 million in the same period last year. Service revenue was $469.6 million during the three months ended March 31, 2021, an increase of 22%, compared to $385.4 million in the same period last year.</w:t>
      </w:r>
    </w:p>
    <w:p>
      <w:pPr>
        <w:spacing w:after="0" w:line="21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gross profit was $553.7 million during the three months ended March 31, 2021, an increase of 23%, compared to $449.0 million in the same period last year.</w:t>
      </w:r>
    </w:p>
    <w:p>
      <w:pPr>
        <w:spacing w:after="0" w:line="197"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generated operating income of $121.6 million during the three months ended March 31, 2021, an increase of 4%, compared to $116.7 million in the same period last year. Operating income during the three months ended March 31, 2021 and 2020 included gains on an intellectual property (“IP”) matter of $1.1 million and $36.8 million, respectively.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cash equivalents and investments were $3.09 billion as of March 31, 2021.</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2021, we issued $1.0 billion of Senior Notes. Long-term debt, net of unamortized discount and debt issuance costs, was $987.0 million as of March 31, 2021. There was no such debt outstanding at December 31, 2020.</w:t>
      </w:r>
    </w:p>
    <w:p>
      <w:pPr>
        <w:spacing w:after="0" w:line="19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revenue was $2.75 billion as of March 31, 2021, an increase of $140.3 million, or 5%, from December 31, 2020. Short-term deferred revenue was $1.47 billion as of March 31, 2021, an increase of $72.3 million, or 5%, from December 31, 2020.</w:t>
      </w:r>
    </w:p>
    <w:p>
      <w:pPr>
        <w:spacing w:after="0" w:line="197"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$315.9 million during the three months ended March 31, 2021, a decrease of $3.5 million, or 1%, compared to the same period last year. The decrease was mainly due to the $50.0 million proceeds from an IP matter in the first quarter of 2020.</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revenue growth was driven by both product and service revenue. On a geographic basis, revenue continues to be diversified, which remains a key strength of our business. During the three months ended March 31, 2021, the Americas region, the Europe, Middle East and Africa (“EMEA”) region and the Asia Pacific (“APAC”) region contributed 41%, 39% and 20% of our total revenue, respectively, and increased by 20%, 25% and 26% compared to the same period last year, respectively.</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revenue grew 25% during the three months ended March 31, 2021 compared to the same period last year. We experienced revenue growth across many of our products primarily due to an increase in product revenue from our security fabric platform products, including our SD-WAN solutions, and software licenses. Service revenue growth of 22% during the three months ended March 31, 2021, compared to the same period last year, was driven by the strength of our FortiGate technical support and other service revenue and FortiGuard and other security subscription revenue, which grew 23% and 21%, respectively, compared to the same period last year.</w:t>
      </w:r>
    </w:p>
    <w:p>
      <w:pPr>
        <w:spacing w:after="0" w:line="21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billings were diversified on a geographic basis. During the three months ended March 31, 2021, approximately 50% of our billings in the aggregate were from over 80 countries that individually contributed less than 3% of our billings.</w:t>
      </w:r>
    </w:p>
    <w:p>
      <w:pPr>
        <w:spacing w:after="0" w:line="19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During the three months ended March 31, 2021 and 2020, we recognized gains of $1.1 million and $36.8 million, respectively, on an IP matter in connection with a mutual covenant-not-to-sue and release agreement with a competitor in the network security industry. Excluding the gains on the IP matter in the first quarter of 2020 and 2021, operating expenses as a percentage of revenue decreased by 2.9 percentage points during the three months ended March 31, 2021 compared to the same period last year. Headcount increased to 8,615 employees and contractors as of March 31, 2021, a 5% increase compared to 8,238 as of December 31, 2020 and a 16% increase compared to 7,448 as of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52" w:lineRule="exact"/>
        <w:rPr>
          <w:sz w:val="20"/>
          <w:szCs w:val="20"/>
          <w:color w:val="auto"/>
        </w:rPr>
      </w:pPr>
    </w:p>
    <w:p>
      <w:pPr>
        <w:jc w:val="both"/>
        <w:ind w:right="320" w:firstLine="405"/>
        <w:spacing w:after="0" w:line="248" w:lineRule="auto"/>
        <w:rPr>
          <w:sz w:val="20"/>
          <w:szCs w:val="20"/>
          <w:color w:val="auto"/>
        </w:rPr>
      </w:pPr>
      <w:r>
        <w:rPr>
          <w:rFonts w:ascii="Arial" w:cs="Arial" w:eastAsia="Arial" w:hAnsi="Arial"/>
          <w:sz w:val="18"/>
          <w:szCs w:val="18"/>
          <w:color w:val="212529"/>
        </w:rPr>
        <w:t>The United States and the global community we serve are facing unprecedented challenges posed by the COVID-19 pandemic. In response to the pandemic, we have taken a number of actions to protect our employees, including restricting travel and directing most of our employees to work from home. Where onsite work is permitted, we have implemented measures such</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212529"/>
        </w:rPr>
        <w:t>as staggered work shifts, social distancing, the use of face coverings, health safety awareness training and frequent disinfection of shared spaces. In March 2020, we implemented our readiness plans, which include steps to maintain critical internet infrastructure with many employees working remotely.</w:t>
      </w:r>
    </w:p>
    <w:p>
      <w:pPr>
        <w:spacing w:after="0" w:line="15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212529"/>
        </w:rPr>
        <w:t xml:space="preserve">We are also continuing to provide free online information technology security training for the public, aimed at helping high school and college students and professionals augment their security skill sets to open career opportunities and to help narrow the security skills gap. As of </w:t>
      </w:r>
      <w:r>
        <w:rPr>
          <w:rFonts w:ascii="Arial" w:cs="Arial" w:eastAsia="Arial" w:hAnsi="Arial"/>
          <w:sz w:val="18"/>
          <w:szCs w:val="18"/>
          <w:color w:val="000000"/>
        </w:rPr>
        <w:t>March 31, 2021</w:t>
      </w:r>
      <w:r>
        <w:rPr>
          <w:rFonts w:ascii="Arial" w:cs="Arial" w:eastAsia="Arial" w:hAnsi="Arial"/>
          <w:sz w:val="18"/>
          <w:szCs w:val="18"/>
          <w:color w:val="212529"/>
        </w:rPr>
        <w:t>, there have been over 950,000 registrations for our free online trainings since we launched the program. We will continue to provide free online trainings throughout 2021.</w:t>
      </w:r>
    </w:p>
    <w:p>
      <w:pPr>
        <w:spacing w:after="0" w:line="21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212529"/>
        </w:rPr>
        <w:t xml:space="preserve">While the broader implications of the COVID-19 pandemic on our employees and overall financial performance remain uncertain, we have seen certain impacts on our business and operations, results of operations, financial condition, cash flows, liquidity and capital and financial resources as of and during the three months ended </w:t>
      </w:r>
      <w:r>
        <w:rPr>
          <w:rFonts w:ascii="Arial" w:cs="Arial" w:eastAsia="Arial" w:hAnsi="Arial"/>
          <w:sz w:val="18"/>
          <w:szCs w:val="18"/>
          <w:color w:val="000000"/>
        </w:rPr>
        <w:t>March 31, 2021</w:t>
      </w:r>
      <w:r>
        <w:rPr>
          <w:rFonts w:ascii="Arial" w:cs="Arial" w:eastAsia="Arial" w:hAnsi="Arial"/>
          <w:sz w:val="18"/>
          <w:szCs w:val="18"/>
          <w:color w:val="212529"/>
        </w:rPr>
        <w:t xml:space="preserve">. Conversely, some aspects of our business do not appear to have been significantly affected. During the three months ended </w:t>
      </w:r>
      <w:r>
        <w:rPr>
          <w:rFonts w:ascii="Arial" w:cs="Arial" w:eastAsia="Arial" w:hAnsi="Arial"/>
          <w:sz w:val="18"/>
          <w:szCs w:val="18"/>
          <w:color w:val="000000"/>
        </w:rPr>
        <w:t>March 31, 2021</w:t>
      </w:r>
      <w:r>
        <w:rPr>
          <w:rFonts w:ascii="Arial" w:cs="Arial" w:eastAsia="Arial" w:hAnsi="Arial"/>
          <w:sz w:val="18"/>
          <w:szCs w:val="18"/>
          <w:color w:val="212529"/>
        </w:rPr>
        <w:t>, we have observed the following:</w:t>
      </w:r>
    </w:p>
    <w:p>
      <w:pPr>
        <w:spacing w:after="0" w:line="214" w:lineRule="exact"/>
        <w:rPr>
          <w:sz w:val="20"/>
          <w:szCs w:val="20"/>
          <w:color w:val="auto"/>
        </w:rPr>
      </w:pPr>
    </w:p>
    <w:p>
      <w:pPr>
        <w:ind w:left="660" w:right="140" w:hanging="328"/>
        <w:spacing w:after="0" w:line="279" w:lineRule="auto"/>
        <w:tabs>
          <w:tab w:leader="none" w:pos="655" w:val="left"/>
        </w:tabs>
        <w:numPr>
          <w:ilvl w:val="0"/>
          <w:numId w:val="24"/>
        </w:numPr>
        <w:rPr>
          <w:rFonts w:ascii="Arial" w:cs="Arial" w:eastAsia="Arial" w:hAnsi="Arial"/>
          <w:sz w:val="17"/>
          <w:szCs w:val="17"/>
          <w:color w:val="212529"/>
        </w:rPr>
      </w:pPr>
      <w:r>
        <w:rPr>
          <w:rFonts w:ascii="Arial" w:cs="Arial" w:eastAsia="Arial" w:hAnsi="Arial"/>
          <w:sz w:val="17"/>
          <w:szCs w:val="17"/>
          <w:color w:val="auto"/>
        </w:rPr>
        <w:t>In most countries, our employees’ ability to travel was reduced. In-person sales and marketing events or meetings that would normally have been held were canceled, postponed or converted into virtual events. As a result, expenses related to travel and marketing events decreased significantly. To the extent that it becomes safe for our employees to travel and for us to hold or attend marketing events, these expenses may increase in the future, although we cannot predict if or when such expenses will increase or return to pre-pandemic levels.</w:t>
      </w:r>
    </w:p>
    <w:p>
      <w:pPr>
        <w:spacing w:after="0" w:line="198" w:lineRule="exact"/>
        <w:rPr>
          <w:rFonts w:ascii="Arial" w:cs="Arial" w:eastAsia="Arial" w:hAnsi="Arial"/>
          <w:sz w:val="17"/>
          <w:szCs w:val="17"/>
          <w:color w:val="212529"/>
        </w:rPr>
      </w:pPr>
    </w:p>
    <w:p>
      <w:pPr>
        <w:ind w:left="660" w:right="30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countries and geographic regions in which we experienced the fastest billings growth in the first quarter of 2021, as compared to the first quarter of 2020, were countries and geographic regions in which the COVID-19 pandemic is generally considered to have had a comparatively shorter or less severe impact on the local population and economy during the quarter.</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noted that, for some of our customers, sales cycles appear to have lengthened, though it is unclear whether this trend will persist.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average service contract duration increased by approximately two months in the first quarter of 2021 as compared to the first quarter of 2020.</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order to mitigate supply chain risk and in anticipation of future demand, we have increased our on-hand stock of certain products.</w:t>
      </w:r>
    </w:p>
    <w:p>
      <w:pPr>
        <w:spacing w:after="0" w:line="252" w:lineRule="exact"/>
        <w:rPr>
          <w:rFonts w:ascii="Arial" w:cs="Arial" w:eastAsia="Arial" w:hAnsi="Arial"/>
          <w:sz w:val="18"/>
          <w:szCs w:val="18"/>
          <w:color w:val="auto"/>
        </w:rPr>
      </w:pPr>
    </w:p>
    <w:p>
      <w:pPr>
        <w:ind w:left="660" w:right="40" w:hanging="328"/>
        <w:spacing w:after="0" w:line="31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yield on investment-grade debt has decreased, and while the risk of credit losses on our investments and cash equivalents has not changed significantly, as the debt securities in our portfolio have matured, they have been replaced by securities with lower effective interest rates. This has contributed to a decrease in our interest income during the three months ended March 31, 2021, compared to the same period last year.</w:t>
      </w:r>
    </w:p>
    <w:p>
      <w:pPr>
        <w:spacing w:after="0" w:line="175" w:lineRule="exact"/>
        <w:rPr>
          <w:rFonts w:ascii="Arial" w:cs="Arial" w:eastAsia="Arial" w:hAnsi="Arial"/>
          <w:sz w:val="16"/>
          <w:szCs w:val="16"/>
          <w:color w:val="auto"/>
        </w:rPr>
      </w:pPr>
    </w:p>
    <w:p>
      <w:pPr>
        <w:ind w:left="660" w:right="440" w:hanging="328"/>
        <w:spacing w:after="0" w:line="24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accordance with the CARES Act, we have deferred the deposit and payment of our employer’s share of Social Security taxes. This did not materially affect net cash provided by operating activities during the period.</w:t>
      </w:r>
    </w:p>
    <w:p>
      <w:pPr>
        <w:ind w:left="660" w:right="20" w:hanging="328"/>
        <w:spacing w:after="0" w:line="23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we have noted that, in certain countries, the COVID-19 infection rates have eased which might trigger the transition back to an in-person working model. We expect our “return to office” plan to be country specific and in line with local employee health and safety protocols and other regulations.</w:t>
      </w:r>
    </w:p>
    <w:p>
      <w:pPr>
        <w:spacing w:after="0" w:line="21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212529"/>
        </w:rPr>
        <w:t>T</w:t>
      </w:r>
      <w:r>
        <w:rPr>
          <w:rFonts w:ascii="Arial" w:cs="Arial" w:eastAsia="Arial" w:hAnsi="Arial"/>
          <w:sz w:val="17"/>
          <w:szCs w:val="17"/>
          <w:color w:val="000000"/>
        </w:rPr>
        <w:t>hrough the filing of this Quarterly Report on Form 10-Q, t</w:t>
      </w:r>
      <w:r>
        <w:rPr>
          <w:rFonts w:ascii="Arial" w:cs="Arial" w:eastAsia="Arial" w:hAnsi="Arial"/>
          <w:sz w:val="17"/>
          <w:szCs w:val="17"/>
          <w:color w:val="212529"/>
        </w:rPr>
        <w:t>here have been no material changes to the trends described above. Going forward, however, the situation is uncertain, rapidly changing and hard to predict, and the COVID-19 pandemic may have a material negative impact on our future periods. If we experience significant changes in our billings growth rates, it will impact product revenue in the current quarter and FortiGuard and FortiCare service revenues in subsequent quarters, as we sell annual and multi-year service contracts that are recognized ratably over the contractual service term. In addition, the broader implications of the pandemic on our business and operations and our financial results, including the extent to which the effects of the pandemic will impact future results and growth in the cybersecurity industry, remain uncertain. The duration and severity of the economic downturn from the pandemic may negatively impact our business and operations, results of operations, financial condition, cash flows, liquidity and capital and financial resources in a material way. As a result, the effects of the pandemic may not be fully reflected in our results of operations until future periods. For further discussion, see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52" w:lineRule="exact"/>
        <w:rPr>
          <w:sz w:val="20"/>
          <w:szCs w:val="20"/>
          <w:color w:val="auto"/>
        </w:rPr>
      </w:pPr>
    </w:p>
    <w:p>
      <w:pPr>
        <w:ind w:right="260" w:firstLine="648"/>
        <w:spacing w:after="0" w:line="239" w:lineRule="auto"/>
        <w:rPr>
          <w:sz w:val="20"/>
          <w:szCs w:val="20"/>
          <w:color w:val="auto"/>
        </w:rPr>
      </w:pPr>
      <w:r>
        <w:rPr>
          <w:rFonts w:ascii="Arial" w:cs="Arial" w:eastAsia="Arial" w:hAnsi="Arial"/>
          <w:sz w:val="18"/>
          <w:szCs w:val="18"/>
          <w:color w:val="auto"/>
        </w:rPr>
        <w:t>We typically sell our security solutions to distributors that sell to networking security focused resellers and to service providers and managed security service providers (“MSSPs”), who, in turn, sell to end-customers. At times, we also sell directly to large service providers and major systems integrators who may sell to our end-customers or use our products and services to provided hosted solutions to other enterprises. Our end-customers are located in over 80 countries and include small, medium and large enterprises and government organizations across a wide range of industries, including telecommunications, government, financial services, retail, technology, education, manufacturing and healthcare. An end-customer deployment may involve as few as one or as many as thousands of appliances and other Fortinet Security Fabric platform products, depending on the end-customer’s size and security requirements.</w:t>
      </w:r>
    </w:p>
    <w:p>
      <w:pPr>
        <w:spacing w:after="0" w:line="2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also offer our products through major cloud providers, and have recognized revenue on a usage basis from Amazon Web Services, Microsoft Azure, Google Cloud, Oracle Cloud, Alibaba Cloud and IBM Cloud. We have also recognized revenue from customers who deploy our products in a bring-your-own-license (“BYOL”) arrangement in private clouds or at cloud providers. In a BYOL arrangement, a customer purchases a software license from us through our channel partners and deploys the software in a cloud provider’s environment. Similarly, customers may purchase such a license from us and deploy in third-party clouds or in their private cloud.</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customers purchase our hardware products and software licenses, as well as our FortiGuard and other security subscription and FortiCare technical support services. We generally invoice at the time of our sale for the total price of the products and security and technical support services. Standard payment terms are generally no more than 60 days, though, as noted in the COVID-19 Update above, we have offered extended payment terms to certain distributor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52"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 Or As Of</w:t>
            </w:r>
          </w:p>
        </w:tc>
      </w:tr>
      <w:tr>
        <w:trPr>
          <w:trHeight w:val="210"/>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6"/>
              </w:rPr>
              <w:t>March 31, 2021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r>
      <w:tr>
        <w:trPr>
          <w:trHeight w:val="226"/>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2,745.6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2,199.2</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Billings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315.9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319.4</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r>
    </w:tbl>
    <w:p>
      <w:pPr>
        <w:spacing w:after="0" w:line="31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our deferred revenue balance consists of the unrecognized portion of service revenue from FortiGuard and other security subscription and FortiCare technical support service contracts, which is recognized as revenue ratably over the contractual service period. We monitor our deferred revenue balance, deferred revenue growth and the mix of short-term and long-term deferred revenue because deferred revenue represents a significant portion of free cash flow and of revenue to be recognized in future periods. Deferred revenue was $2.75 billion as of March 31, 2021, an increase of $140.3 million, or 5%, from December 31, 2020.</w:t>
      </w:r>
    </w:p>
    <w:p>
      <w:pPr>
        <w:spacing w:after="0" w:line="21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GAAP plus the change in deferred revenue from the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$850.6</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three months ended March 31, 2021, an increase of 27% compared to $667.8 million in the same period last year.</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6"/>
              </w:rPr>
              <w:t>March 31, 2020</w:t>
            </w:r>
          </w:p>
        </w:tc>
      </w:tr>
      <w:tr>
        <w:trPr>
          <w:trHeight w:val="226"/>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Billings: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710.3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577.7</w:t>
            </w:r>
          </w:p>
        </w:tc>
      </w:tr>
      <w:tr>
        <w:trPr>
          <w:trHeight w:val="229"/>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Change in deferred revenue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Total billings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significant non-recurring items.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6"/>
              </w:rPr>
              <w:t>March 31, 2020</w:t>
            </w:r>
          </w:p>
        </w:tc>
      </w:tr>
      <w:tr>
        <w:trPr>
          <w:trHeight w:val="226"/>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1"/>
              <w:spacing w:after="0"/>
              <w:rPr>
                <w:sz w:val="20"/>
                <w:szCs w:val="20"/>
                <w:color w:val="auto"/>
              </w:rPr>
            </w:pPr>
            <w:r>
              <w:rPr>
                <w:rFonts w:ascii="Arial" w:cs="Arial" w:eastAsia="Arial" w:hAnsi="Arial"/>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319.4</w:t>
            </w:r>
          </w:p>
        </w:tc>
      </w:tr>
      <w:tr>
        <w:trPr>
          <w:trHeight w:val="23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Less: Purchases of property and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Less: Proceeds from IP matter</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9"/>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months ended March 31, 2021, as compared to the critical accounting policies and estimates described in our Annual Report on Form 10-K filed with the SEC on February 19, 2021 (the “Form 10-K”).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March 31,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25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1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9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6"/>
              </w:rPr>
              <w:t>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88"/>
              </w:rPr>
              <w:t>(in millions, except percentages)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48.4</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25 %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 by geography:</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48.3</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44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46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260" w:type="dxa"/>
            <w:vAlign w:val="bottom"/>
          </w:tcPr>
          <w:p>
            <w:pPr>
              <w:ind w:left="48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143.7</w:t>
            </w:r>
          </w:p>
        </w:tc>
        <w:tc>
          <w:tcPr>
            <w:tcW w:w="144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w:t>
            </w:r>
          </w:p>
        </w:tc>
        <w:tc>
          <w:tcPr>
            <w:tcW w:w="1460" w:type="dxa"/>
            <w:vAlign w:val="bottom"/>
            <w:gridSpan w:val="3"/>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c>
          <w:tcPr>
            <w:tcW w:w="1420" w:type="dxa"/>
            <w:vAlign w:val="bottom"/>
          </w:tcPr>
          <w:p>
            <w:pPr>
              <w:ind w:left="10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2"/>
              </w:rPr>
              <w:t>23 %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Total revenue increased by $132.6 million, or 23%, during the three months ended March 31, 2021 compared to the same period last year. We continued to experience largely organic revenue growth (i.e. revenue growth excluding attribution from acquisitions) with diversification of revenue geographically, and across both customer and industry segments. Revenue from all regions grew, with EMEA contributing the largest portion of the increase on an absolute dollar basis and APAC contributing the largest growth on a percentage basis.</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Product revenue increased by $48.4 million, or 25%, during the three months ended March 31, 2021 compared to the same period last year. We experienced revenue growth across many of our products primarily due to an increase in product revenue from our security fabric platform products, including our SD-WAN solutions, and software licenses.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Service revenue increased by $84.2 million, or 22%, during the three months ended March 31, 2021 compared to the same period last year. FortiGuard security subscription and FortiCare technical support and other revenues increased by $43.9 million, or 21%, and by $40.3 million, or 23%, respectively, during the three months ended March 31, 2021 compared to the same period last year. The increases were primarily due to the recognition of revenue from our growing deferred revenue balance related to FortiGuard and other security subscriptions and FortiCare technical support, including our customers moving to higher-tier support offerings.</w:t>
      </w:r>
    </w:p>
    <w:p>
      <w:pPr>
        <w:spacing w:after="0" w:line="21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Of the service revenue recognized during the three months ended March 31, 2021, 89% was included in the deferred revenue balance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83" w:right="4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16"/>
                <w:szCs w:val="16"/>
                <w:color w:val="auto"/>
              </w:rPr>
            </w:pPr>
          </w:p>
        </w:tc>
        <w:tc>
          <w:tcPr>
            <w:tcW w:w="1400" w:type="dxa"/>
            <w:vAlign w:val="bottom"/>
            <w:vMerge w:val="restart"/>
          </w:tcPr>
          <w:p>
            <w:pPr>
              <w:jc w:val="right"/>
              <w:ind w:right="532"/>
              <w:spacing w:after="0"/>
              <w:rPr>
                <w:sz w:val="20"/>
                <w:szCs w:val="20"/>
                <w:color w:val="auto"/>
              </w:rPr>
            </w:pPr>
            <w:r>
              <w:rPr>
                <w:rFonts w:ascii="Arial" w:cs="Arial" w:eastAsia="Arial" w:hAnsi="Arial"/>
                <w:sz w:val="16"/>
                <w:szCs w:val="16"/>
                <w:b w:val="1"/>
                <w:bCs w:val="1"/>
                <w:color w:val="auto"/>
              </w:rPr>
              <w:t>Change</w:t>
            </w:r>
          </w:p>
        </w:tc>
        <w:tc>
          <w:tcPr>
            <w:tcW w:w="204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ind w:left="440"/>
              <w:spacing w:after="0"/>
              <w:rPr>
                <w:sz w:val="20"/>
                <w:szCs w:val="20"/>
                <w:color w:val="auto"/>
              </w:rPr>
            </w:pPr>
            <w:r>
              <w:rPr>
                <w:rFonts w:ascii="Arial" w:cs="Arial" w:eastAsia="Arial" w:hAnsi="Arial"/>
                <w:sz w:val="16"/>
                <w:szCs w:val="16"/>
                <w:b w:val="1"/>
                <w:bCs w:val="1"/>
                <w:color w:val="auto"/>
              </w:rPr>
              <w:t>(in millions, except percentages)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3"/>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3"/>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4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40" w:type="dxa"/>
            <w:vAlign w:val="bottom"/>
          </w:tcPr>
          <w:p>
            <w:pPr>
              <w:ind w:left="1640"/>
              <w:spacing w:after="0"/>
              <w:rPr>
                <w:sz w:val="20"/>
                <w:szCs w:val="20"/>
                <w:color w:val="auto"/>
              </w:rPr>
            </w:pPr>
            <w:r>
              <w:rPr>
                <w:rFonts w:ascii="Arial" w:cs="Arial" w:eastAsia="Arial" w:hAnsi="Arial"/>
                <w:sz w:val="18"/>
                <w:szCs w:val="18"/>
                <w:color w:val="auto"/>
                <w:w w:val="92"/>
              </w:rPr>
              <w:t>22 %</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 (%):</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Arial" w:cs="Arial" w:eastAsia="Arial" w:hAnsi="Arial"/>
                <w:sz w:val="18"/>
                <w:szCs w:val="18"/>
                <w:color w:val="auto"/>
              </w:rPr>
              <w:t>Product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gross margin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Total gross margin increased by 0.3 percentage points during the three months ended March 31, 2021 compared to the same period last year, driven by improvements to product gross margins.</w:t>
      </w:r>
    </w:p>
    <w:p>
      <w:pPr>
        <w:spacing w:after="0" w:line="19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Product gross margin increased by 1.8 percentage points during the three months ended March 31, 2021 compared to the same period last year. Product gross margin benefited from lower hardware cost as a percentage of product revenue. Cost of product revenue was comprised primarily of third-party contract manufacturers’ costs and the costs of materials used in production.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Service gross margin decreased by 0.3 percentage points during the three months ended March 31, 2021 compared to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 revenue was comprised primarily of personnel costs and data center costs.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6"/>
                <w:szCs w:val="16"/>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Change</w:t>
            </w:r>
          </w:p>
        </w:tc>
        <w:tc>
          <w:tcPr>
            <w:tcW w:w="14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w w:val="96"/>
              </w:rPr>
              <w:t>(in millions, except percentages)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21 %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36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93"/>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420" w:type="dxa"/>
            <w:vAlign w:val="bottom"/>
          </w:tcPr>
          <w:p>
            <w:pPr>
              <w:ind w:left="10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IP matter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8"/>
                <w:szCs w:val="18"/>
                <w:color w:val="auto"/>
                <w:w w:val="94"/>
              </w:rPr>
              <w:t>61%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420" w:type="dxa"/>
            <w:vAlign w:val="bottom"/>
          </w:tcPr>
          <w:p>
            <w:pPr>
              <w:ind w:left="1020"/>
              <w:spacing w:after="0"/>
              <w:rPr>
                <w:sz w:val="20"/>
                <w:szCs w:val="20"/>
                <w:color w:val="auto"/>
              </w:rPr>
            </w:pPr>
            <w:r>
              <w:rPr>
                <w:rFonts w:ascii="Arial" w:cs="Arial" w:eastAsia="Arial" w:hAnsi="Arial"/>
                <w:sz w:val="18"/>
                <w:szCs w:val="18"/>
                <w:color w:val="auto"/>
                <w:w w:val="92"/>
              </w:rPr>
              <w:t>30 %</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Percentages have been rounded for presentation purposes and may differ from unrounded results.</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Research and development expense increased by $16.9 million, or 21%, during the three months ended March 31, 2021 compared to the same period last year, primarily due to an increase of $14.2 million in personnel-related costs as a result of increased headcount to support the development of new products and continued enhancements to our existing products. In addition, product development costs, such as third-party testing and prototypes, increase $3.0 million. We currently intend to continue to invest in our research and development organization, and expect research and development expense to increase in absolute dollars during the remainder of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Sales and marketing expense increased by $44.0 million, or 17%, during the three months ended March 31, 2021 compared to the same period last year, primarily due to an increase of $48.5 million in personnel-related costs as a result of increases to sales and marketing headcount in order to drive global market revenue increases. This increase was offset by savings related to decreased travel and fewer in-person marketing events as a result of the COVID-19 pandemic. We currently intend to continue to make investments in sales and marketing resources, which are critical to support our future growth, and expect sales and marketing expense to increase in absolute dollars during the remainder of 2021.</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General and administrative expense increased by $3.2 million, or 11%, during the three months ended March 31, 2021 compared to the same period last year, primarily due to an increase in personnel-related costs of $2.5 million. We currently expect general and administrative expense to increase in absolute dollars during the remainder of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on IP matter in the first quarter of 2020.</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January 2020, we entered into an agreement with a competitor in the network security industry, whereby, in February 2020, the competitor party paid us a lump sum of $50.0 million for a mutual covenant-not-to-sue for patent claims. During the three months ended March 31, 2021, we recorded $1.1 million in amortization of the deferred component as a gain on IP matter in our condensed consolidated statements of income. During the three months ended March 31, 2020, we recorded $36.0 million upfront and an additional $0.8 million in amortization of the deferred component as a gain on IP matter in our condensed consolidated statements of income. See Note 13 of the notes to condensed consolidated financial statements included in Part I, Item 1 of this Quarterly Report on Form 10-Q for additional information regarding the gain on IP matter in the first quarter of 2020.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 and margin</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generated operating income of $121.6 million during the three months ended March 31, 2021, an increase of $4.9 million, or 4%, compared to $116.7 million in the same period last year. Operating income as a percentage of revenue decreased to 17% during the three months ended March 31, 2021 compared to 20% in the same period last year. During the first quarter of 2020, we recorded a one-time upfront gain related to an IP matter, which increased our operating margin by 6.2 percentage point. Excluding the impact of this gain, our operating margin increased 3.2 percentage point primarily due to 2.2 percentage point and 0.5 percentage point decrease in sales and marketing expense and general and administrative expense as percentage of revenue, as well as 0.3 percentage point improvement in gross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515"/>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6"/>
                <w:szCs w:val="16"/>
                <w:color w:val="auto"/>
              </w:rPr>
            </w:pPr>
          </w:p>
        </w:tc>
        <w:tc>
          <w:tcPr>
            <w:tcW w:w="1460" w:type="dxa"/>
            <w:vAlign w:val="bottom"/>
          </w:tcPr>
          <w:p>
            <w:pPr>
              <w:jc w:val="center"/>
              <w:ind w:right="255"/>
              <w:spacing w:after="0"/>
              <w:rPr>
                <w:sz w:val="20"/>
                <w:szCs w:val="20"/>
                <w:color w:val="auto"/>
              </w:rPr>
            </w:pPr>
            <w:r>
              <w:rPr>
                <w:rFonts w:ascii="Arial" w:cs="Arial" w:eastAsia="Arial" w:hAnsi="Arial"/>
                <w:sz w:val="16"/>
                <w:szCs w:val="16"/>
                <w:b w:val="1"/>
                <w:bCs w:val="1"/>
                <w:color w:val="auto"/>
                <w:w w:val="97"/>
              </w:rPr>
              <w:t>March 31,</w:t>
            </w:r>
          </w:p>
        </w:tc>
        <w:tc>
          <w:tcPr>
            <w:tcW w:w="460" w:type="dxa"/>
            <w:vAlign w:val="bottom"/>
          </w:tcPr>
          <w:p>
            <w:pPr>
              <w:spacing w:after="0"/>
              <w:rPr>
                <w:sz w:val="16"/>
                <w:szCs w:val="16"/>
                <w:color w:val="auto"/>
              </w:rPr>
            </w:pPr>
          </w:p>
        </w:tc>
        <w:tc>
          <w:tcPr>
            <w:tcW w:w="17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1700" w:type="dxa"/>
            <w:vAlign w:val="bottom"/>
            <w:vMerge w:val="restart"/>
          </w:tcPr>
          <w:p>
            <w:pPr>
              <w:jc w:val="right"/>
              <w:ind w:right="51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3"/>
          </w:tcPr>
          <w:p>
            <w:pPr>
              <w:ind w:left="480"/>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(9.4)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Other expense—net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33"/>
              <w:spacing w:after="0"/>
              <w:rPr>
                <w:sz w:val="20"/>
                <w:szCs w:val="20"/>
                <w:color w:val="auto"/>
              </w:rPr>
            </w:pPr>
            <w:r>
              <w:rPr>
                <w:rFonts w:ascii="Arial" w:cs="Arial" w:eastAsia="Arial" w:hAnsi="Arial"/>
                <w:sz w:val="18"/>
                <w:szCs w:val="18"/>
                <w:color w:val="auto"/>
              </w:rPr>
              <w:t>6.0</w:t>
            </w:r>
          </w:p>
        </w:tc>
        <w:tc>
          <w:tcPr>
            <w:tcW w:w="17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change in interest income (expense)—net during the three months ended March 31, 2021 compared to the same period last year was primarily due to the decrease in interest income of $8.1 million, as a result of lower interest rates. Interest income—net varies depending on our average investment balances during the period, types and mix of investments, and market interest rates. In addition, interest expense increased $1.3 million, due to the senior notes issued in the first quarter of 2021. We expect interest expense to increase during the remainder of 2021 as a result of the debt issued in March 2021. The change in other expense—net during the three months ended March 31, 2021 compared to the same period last year was the result of a $4.3 million impairment charge on an investment in a privately held company in the first quarter of 2020. In addition, foreign currency exchange losses decreased by $1.5 million compared to the same period last year.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32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280" w:type="dxa"/>
            <w:vAlign w:val="bottom"/>
          </w:tcPr>
          <w:p>
            <w:pPr>
              <w:jc w:val="center"/>
              <w:ind w:left="477"/>
              <w:spacing w:after="0"/>
              <w:rPr>
                <w:sz w:val="20"/>
                <w:szCs w:val="20"/>
                <w:color w:val="auto"/>
              </w:rPr>
            </w:pPr>
            <w:r>
              <w:rPr>
                <w:rFonts w:ascii="Arial" w:cs="Arial" w:eastAsia="Arial" w:hAnsi="Arial"/>
                <w:sz w:val="16"/>
                <w:szCs w:val="16"/>
                <w:b w:val="1"/>
                <w:bCs w:val="1"/>
                <w:color w:val="auto"/>
                <w:w w:val="97"/>
              </w:rPr>
              <w:t>March 31,</w:t>
            </w:r>
          </w:p>
        </w:tc>
        <w:tc>
          <w:tcPr>
            <w:tcW w:w="600" w:type="dxa"/>
            <w:vAlign w:val="bottom"/>
          </w:tcPr>
          <w:p>
            <w:pPr>
              <w:spacing w:after="0"/>
              <w:rPr>
                <w:sz w:val="16"/>
                <w:szCs w:val="16"/>
                <w:color w:val="auto"/>
              </w:rPr>
            </w:pPr>
          </w:p>
        </w:tc>
        <w:tc>
          <w:tcPr>
            <w:tcW w:w="1360" w:type="dxa"/>
            <w:vAlign w:val="bottom"/>
          </w:tcPr>
          <w:p>
            <w:pPr>
              <w:ind w:left="640"/>
              <w:spacing w:after="0"/>
              <w:rPr>
                <w:sz w:val="20"/>
                <w:szCs w:val="20"/>
                <w:color w:val="auto"/>
              </w:rPr>
            </w:pPr>
            <w:r>
              <w:rPr>
                <w:rFonts w:ascii="Arial" w:cs="Arial" w:eastAsia="Arial" w:hAnsi="Arial"/>
                <w:sz w:val="16"/>
                <w:szCs w:val="16"/>
                <w:b w:val="1"/>
                <w:bCs w:val="1"/>
                <w:color w:val="auto"/>
                <w:w w:val="94"/>
              </w:rPr>
              <w:t>March 31,</w:t>
            </w:r>
          </w:p>
        </w:tc>
        <w:tc>
          <w:tcPr>
            <w:tcW w:w="560" w:type="dxa"/>
            <w:vAlign w:val="bottom"/>
          </w:tcPr>
          <w:p>
            <w:pPr>
              <w:spacing w:after="0"/>
              <w:rPr>
                <w:sz w:val="16"/>
                <w:szCs w:val="16"/>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rPr>
              <w:t>Change</w:t>
            </w:r>
          </w:p>
        </w:tc>
        <w:tc>
          <w:tcPr>
            <w:tcW w:w="80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28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60" w:type="dxa"/>
            <w:vAlign w:val="bottom"/>
            <w:gridSpan w:val="3"/>
          </w:tcPr>
          <w:p>
            <w:pPr>
              <w:ind w:left="820"/>
              <w:spacing w:after="0"/>
              <w:rPr>
                <w:sz w:val="20"/>
                <w:szCs w:val="20"/>
                <w:color w:val="auto"/>
              </w:rPr>
            </w:pPr>
            <w:r>
              <w:rPr>
                <w:rFonts w:ascii="Arial" w:cs="Arial" w:eastAsia="Arial" w:hAnsi="Arial"/>
                <w:sz w:val="16"/>
                <w:szCs w:val="16"/>
                <w:b w:val="1"/>
                <w:bCs w:val="1"/>
                <w:color w:val="auto"/>
                <w:w w:val="97"/>
              </w:rPr>
              <w:t>(in millions, except percentages)</w:t>
            </w: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80" w:type="dxa"/>
            <w:vAlign w:val="bottom"/>
            <w:shd w:val="clear" w:color="auto" w:fill="CCEEFF"/>
          </w:tcPr>
          <w:p>
            <w:pPr>
              <w:jc w:val="right"/>
              <w:ind w:right="109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1"/>
              </w:rPr>
              <w:t>12.2</w:t>
            </w:r>
          </w:p>
        </w:tc>
        <w:tc>
          <w:tcPr>
            <w:tcW w:w="1360" w:type="dxa"/>
            <w:vAlign w:val="bottom"/>
            <w:shd w:val="clear" w:color="auto" w:fill="CCEEFF"/>
          </w:tcPr>
          <w:p>
            <w:pPr>
              <w:jc w:val="right"/>
              <w:ind w:right="109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13.3</w:t>
            </w:r>
          </w:p>
        </w:tc>
        <w:tc>
          <w:tcPr>
            <w:tcW w:w="13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10 %</w:t>
            </w:r>
          </w:p>
        </w:tc>
        <w:tc>
          <w:tcPr>
            <w:tcW w:w="1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80" w:firstLine="648"/>
        <w:spacing w:after="0" w:line="262" w:lineRule="auto"/>
        <w:rPr>
          <w:sz w:val="20"/>
          <w:szCs w:val="20"/>
          <w:color w:val="auto"/>
        </w:rPr>
      </w:pPr>
      <w:r>
        <w:rPr>
          <w:rFonts w:ascii="Arial" w:cs="Arial" w:eastAsia="Arial" w:hAnsi="Arial"/>
          <w:sz w:val="17"/>
          <w:szCs w:val="17"/>
          <w:color w:val="auto"/>
        </w:rPr>
        <w:t>Our effective tax rate was 10% for the three months ended March 31, 2021 compared to an effective tax rate of 11% for the same period last year. The provision for income taxes for the three months ended March 31, 2021 was primarily comprised of U.S. federal and state taxes, withholding taxes and foreign taxes that were $35.7 million. This tax provision for income taxes was favorably affected by a tax benefit of $7.3 million from the foreign-derived intangible income deduction and excess tax benefits from stock-based compensation expense of $16.2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975"/>
              <w:spacing w:after="0"/>
              <w:rPr>
                <w:sz w:val="20"/>
                <w:szCs w:val="20"/>
                <w:color w:val="auto"/>
              </w:rPr>
            </w:pPr>
            <w:r>
              <w:rPr>
                <w:rFonts w:ascii="Arial" w:cs="Arial" w:eastAsia="Arial" w:hAnsi="Arial"/>
                <w:sz w:val="16"/>
                <w:szCs w:val="16"/>
                <w:b w:val="1"/>
                <w:bCs w:val="1"/>
                <w:color w:val="auto"/>
                <w:w w:val="89"/>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Arial" w:cs="Arial" w:eastAsia="Arial" w:hAnsi="Arial"/>
                <w:sz w:val="16"/>
                <w:szCs w:val="16"/>
                <w:b w:val="1"/>
                <w:bCs w:val="1"/>
                <w:color w:val="auto"/>
                <w:w w:val="90"/>
              </w:rPr>
              <w:t>December 31,</w:t>
            </w:r>
          </w:p>
        </w:tc>
      </w:t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ind w:left="20"/>
              <w:spacing w:after="0" w:line="203" w:lineRule="exact"/>
              <w:rPr>
                <w:sz w:val="20"/>
                <w:szCs w:val="20"/>
                <w:color w:val="auto"/>
              </w:rPr>
            </w:pPr>
            <w:r>
              <w:rPr>
                <w:rFonts w:ascii="Arial" w:cs="Arial" w:eastAsia="Arial" w:hAnsi="Arial"/>
                <w:sz w:val="18"/>
                <w:szCs w:val="18"/>
                <w:color w:val="auto"/>
              </w:rPr>
              <w:t>Working capital</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910.9</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436"/>
        </w:trPr>
        <w:tc>
          <w:tcPr>
            <w:tcW w:w="8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6"/>
                <w:szCs w:val="16"/>
                <w:b w:val="1"/>
                <w:bCs w:val="1"/>
                <w:color w:val="auto"/>
                <w:w w:val="93"/>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3"/>
                <w:szCs w:val="13"/>
                <w:color w:val="auto"/>
              </w:rPr>
            </w:pPr>
          </w:p>
        </w:tc>
        <w:tc>
          <w:tcPr>
            <w:tcW w:w="130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7"/>
              </w:rPr>
              <w:t>March 31,</w:t>
            </w:r>
          </w:p>
        </w:tc>
      </w:tr>
      <w:tr>
        <w:trPr>
          <w:trHeight w:val="213"/>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2020</w:t>
            </w:r>
          </w:p>
        </w:tc>
      </w:tr>
      <w:tr>
        <w:trPr>
          <w:trHeight w:val="210"/>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91"/>
              </w:rPr>
              <w:t>(in millions)</w:t>
            </w:r>
          </w:p>
        </w:tc>
      </w:tr>
      <w:tr>
        <w:trPr>
          <w:trHeight w:val="23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w:t>
            </w:r>
          </w:p>
        </w:tc>
      </w:tr>
      <w:tr>
        <w:trPr>
          <w:trHeight w:val="21"/>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Liquidity and capital resources may be impacted by our operating activities, as well as by our stock repurchases, proceeds from the issuance of common stock under Amended and Restated Fortinet, Inc. 2009 Equity Incentive Plan (the “Amended Plan”), investment grade debt issuance and payment of taxes in connection with the net settlement of equity awards, real estate and other capital expenditures and business acquisitions.</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recent years, we have received significant capital resources from our billings to customers and, to some extent, from the exercise of stock options by our employees. Additional increases in billings may depend on a number of factors, including demand for our products and services, competition, market or industry changes, macroeconomic events such as the COVID-19 pandemic and our ability to execute. We expect proceeds from the exercise of stock options in future years to be impacted by the increased mix of restricted stock units versus stock options granted to our employees and to vary based on our share price.</w:t>
      </w:r>
    </w:p>
    <w:p>
      <w:pPr>
        <w:spacing w:after="0" w:line="21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February 2020, we received a cash payment of $50.0 million pursuant to a mutual covenant-not-to-sue and release agreement with a competitor in the network security industry.</w:t>
      </w:r>
    </w:p>
    <w:p>
      <w:pPr>
        <w:spacing w:after="0" w:line="19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There were no shares repurchased under the Repurchase Program during the three months ended March 31, 2021. As of March 31, 2021, $1.01 billion remained available for future share repurchases under the Repurchase Program.</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In March 2021, we issued $1.0 billion aggregate principal amount of senior notes, consisting of $500.0 million aggregate principal amount of 1.0% notes due March 15, 2026 and $500.0 million aggregate principal amount of 2.2% notes due March 15, 2031, in an underwritten registered public offering.</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believe that our cash provided by operating activities, together with our existing cash, cash equivalents and investments will be sufficient to meet our anticipated cash needs and do not intend to retire these Notes early. Refer to Note 12. Debt in Part I, Item 1 of this Quarterly Report on Form 10-Q for information on the Notes. As of March 31, 2021, the long-term debt, net of unamortized discount and debt issuance costs, was $987.0 million.</w:t>
      </w:r>
    </w:p>
    <w:p>
      <w:pPr>
        <w:spacing w:after="0" w:line="17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Construction of a second building at our headquarters campus started in the fourth quarter of 2018 and related spending will continue in 2021 and until project completion. We estimate 2021 spending on the second building of our headquarters campus project to be between $50.0 million and</w:t>
      </w:r>
    </w:p>
    <w:p>
      <w:pPr>
        <w:ind w:right="220"/>
        <w:spacing w:after="0" w:line="260" w:lineRule="auto"/>
        <w:rPr>
          <w:sz w:val="20"/>
          <w:szCs w:val="20"/>
          <w:color w:val="auto"/>
        </w:rPr>
      </w:pPr>
      <w:r>
        <w:rPr>
          <w:rFonts w:ascii="Arial" w:cs="Arial" w:eastAsia="Arial" w:hAnsi="Arial"/>
          <w:sz w:val="18"/>
          <w:szCs w:val="18"/>
          <w:color w:val="auto"/>
        </w:rPr>
        <w:t>$60.0 million, which was moved from 2020 due to a delay to the project schedule as a result of the COVID-19 pandemic. We estimate construction to be completed in the first half of 2021.</w:t>
      </w:r>
    </w:p>
    <w:p>
      <w:pPr>
        <w:spacing w:after="0" w:line="21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March 31, 2021, our cash, cash equivalents and investments of $3.09 billion were invested primarily in deposit accounts, money market funds, corporate debt securities, commercial paper, certificates of deposit and term deposits and U.S. government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21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amount of cash, cash equivalents and investments held by our international subsidiaries was $115.5 million as of March 31, 2021 and $119.8 million as of December 31, 2020.</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share repurchases, the expansion of sales and marketing activities, the introduction of new and enhanced products and services offerings, the continuing market acceptance of our products, the timing and extent of spending to support development efforts, our investments in purchasing or leasing real estate and macroeconomic impacts such as the COVID-19 pandemic.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stock-based compensation, amortization of deferred contract costs and depreciation and amortization. Changes in operating assets and liabilities consist primarily of changes in deferred revenue, deferred contract costs and accounts receivable.</w:t>
      </w:r>
    </w:p>
    <w:p>
      <w:pPr>
        <w:spacing w:after="0" w:line="21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operating activities during the three months ended March 31, 2021 provided cash flows of $315.9 million as a result of the continued growth of our business and our ability to successfully manage our working capital. Changes in operating assets and liabilities primarily resulted from an increase in sales of our FortiGuard and other security subscription services and FortiCare technical support services to new and existing customers, as reflected by an increase in our deferred revenue. Our total deferred revenue balance grew $140.3 million, or 5%, during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ownership decision related to our larger facilities, we have considered various factors including financial metrics and the impact on our engineers and other employees. In certain cases, we have elected to own a facility if we believed that ownership rather than leasing is more in line with our long-term strategy. We expect to make similar decisions in the future. We may also make cash payments in connection with future business combinations.</w:t>
      </w:r>
    </w:p>
    <w:p>
      <w:pPr>
        <w:spacing w:after="0" w:line="2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three months ended March 31, 2021, cash used in investing activities was $473.5 million, driven by $336.1 million spent for purchases of investments, net of maturities and sales of investments, $75.0 million used for purchases of investment in a privately held company, $52.1 million of purchases of property and equipment, a large portion of which relates to our headquarters building construction, and $10.3 million used for the acquisition of ShieldX Networks, Inc. (“ShieldX”), net of cash acquisition.</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taxes paid related to net share settlement of equity awards, net of proceeds from the issuance of common stock under the Amended Plan and the issuance of long-term notes, net of discount and underwriting.</w:t>
      </w:r>
    </w:p>
    <w:p>
      <w:pPr>
        <w:spacing w:after="0" w:line="21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During the three months ended March 31, 2021, cash provided by financing activities was $956.0 million, primarily driven by $989.4 million in cash proceeds from long-term investment grade debt, net of discount and underwriting fees, partially offset by $31.5 million used to pay tax withholding, net of proceeds from the issuance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52"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three months ended March 31, 2021 to the contractual obligations and commitments disclosed in Management’s Discussion and Analysis of Financial Condition and Results of Operations, set forth in Part II, Item 7, of the Form 10-K. See Note 14 of the notes to condensed consolidated financial statements included in Part I, Item 1 of this Quarterly Report on Form 10-Q for additional information regarding contractual obligations and commitments.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March 31, 2021,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2021 compared to the disclosures in Part II, Item 7A of the Form 10-K.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March 31, 2021.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9"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March 31, 2021 to provide reasonable assurance that information we are required to disclose in reports that we file or submit under the Exchange Act is recorded, processed, summarized and reported within the time periods specified in </w:t>
      </w:r>
      <w:r>
        <w:rPr>
          <w:rFonts w:ascii="Arial" w:cs="Arial" w:eastAsia="Arial" w:hAnsi="Arial"/>
          <w:sz w:val="18"/>
          <w:szCs w:val="18"/>
          <w:i w:val="1"/>
          <w:iCs w:val="1"/>
          <w:color w:val="auto"/>
        </w:rPr>
        <w:t>SEC</w:t>
      </w:r>
      <w:r>
        <w:rPr>
          <w:rFonts w:ascii="Arial" w:cs="Arial" w:eastAsia="Arial" w:hAnsi="Arial"/>
          <w:sz w:val="18"/>
          <w:szCs w:val="18"/>
          <w:color w:val="auto"/>
        </w:rPr>
        <w:t xml:space="preserve"> rules and forms, and that such information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material risks that we face include:</w:t>
      </w:r>
    </w:p>
    <w:p>
      <w:pPr>
        <w:spacing w:after="0" w:line="22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operating results are likely to vary significantly and be unpredictable.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Adverse economic conditions or reduced information technology spending may adversely impact our business.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billings, revenue, operating margin and free cash flow growth may slow or may not continue.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COVID-19 pandemic could adversely affect our business in a material way.</w:t>
      </w:r>
    </w:p>
    <w:p>
      <w:pPr>
        <w:spacing w:after="0" w:line="255"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rely on third-party channel partners for substantially all of our revenue and a small number of distributors represents a large percentage of our revenue and gross accounts receivable.</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1"/>
          <w:szCs w:val="21"/>
          <w:color w:val="auto"/>
        </w:rPr>
      </w:pPr>
      <w:r>
        <w:rPr>
          <w:rFonts w:ascii="Arial" w:cs="Arial" w:eastAsia="Arial" w:hAnsi="Arial"/>
          <w:sz w:val="17"/>
          <w:szCs w:val="17"/>
          <w:color w:val="auto"/>
        </w:rPr>
        <w:t>Reliance on a concentration of shipments at the end of the quarter could cause our billings and revenue to fall below expected levels.</w:t>
      </w:r>
    </w:p>
    <w:p>
      <w:pPr>
        <w:spacing w:after="0" w:line="255" w:lineRule="exact"/>
        <w:rPr>
          <w:rFonts w:ascii="Arial" w:cs="Arial" w:eastAsia="Arial" w:hAnsi="Arial"/>
          <w:sz w:val="21"/>
          <w:szCs w:val="21"/>
          <w:color w:val="auto"/>
        </w:rPr>
      </w:pPr>
    </w:p>
    <w:p>
      <w:pPr>
        <w:ind w:left="660" w:right="12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rely significantly on revenue from FortiGuard security subscription and FortiCare technical support services, and revenue from these services may decline or fluctuate.</w:t>
      </w:r>
    </w:p>
    <w:p>
      <w:pPr>
        <w:spacing w:after="0" w:line="243" w:lineRule="exact"/>
        <w:rPr>
          <w:rFonts w:ascii="Arial" w:cs="Arial" w:eastAsia="Arial" w:hAnsi="Arial"/>
          <w:sz w:val="22"/>
          <w:szCs w:val="22"/>
          <w:color w:val="auto"/>
        </w:rPr>
      </w:pPr>
    </w:p>
    <w:p>
      <w:pPr>
        <w:ind w:left="660" w:right="68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are dependent on the continued services and performance of our senior management, as well as our ability to hire, retain and motivate qualified personnel, particularly for our sales organization.</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generate a majority of revenue from sales outside of the United States.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 may not be successful in executing our strategy to increase our sales to large- and medium-sized end-customers.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 portion of our revenue is generated by sales to government organizations, which are subject to a number of challenges and risks.</w:t>
      </w:r>
    </w:p>
    <w:p>
      <w:pPr>
        <w:spacing w:after="0" w:line="255" w:lineRule="exact"/>
        <w:rPr>
          <w:rFonts w:ascii="Arial" w:cs="Arial" w:eastAsia="Arial" w:hAnsi="Arial"/>
          <w:sz w:val="22"/>
          <w:szCs w:val="22"/>
          <w:color w:val="auto"/>
        </w:rPr>
      </w:pPr>
    </w:p>
    <w:p>
      <w:pPr>
        <w:ind w:left="660" w:right="22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industry is highly competitive and we must accurately predict, prepare for and respond promptly to technological and market developments and changing end-customer needs, including by introducing products and product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enhancements and innovations that address a fast-changing technology and threat landscape and that achieve sufficient market acceptance, in order to maintain or improve our competitive position.</w:t>
      </w:r>
    </w:p>
    <w:p>
      <w:pPr>
        <w:spacing w:after="0" w:line="225" w:lineRule="exact"/>
        <w:rPr>
          <w:sz w:val="20"/>
          <w:szCs w:val="20"/>
          <w:color w:val="auto"/>
        </w:rPr>
      </w:pPr>
    </w:p>
    <w:p>
      <w:pPr>
        <w:ind w:left="660" w:right="20" w:hanging="328"/>
        <w:spacing w:after="0" w:line="297" w:lineRule="auto"/>
        <w:tabs>
          <w:tab w:leader="none" w:pos="655" w:val="left"/>
        </w:tabs>
        <w:numPr>
          <w:ilvl w:val="0"/>
          <w:numId w:val="26"/>
        </w:numPr>
        <w:rPr>
          <w:rFonts w:ascii="Arial" w:cs="Arial" w:eastAsia="Arial" w:hAnsi="Arial"/>
          <w:sz w:val="19"/>
          <w:szCs w:val="19"/>
          <w:color w:val="auto"/>
        </w:rPr>
      </w:pPr>
      <w:r>
        <w:rPr>
          <w:rFonts w:ascii="Arial" w:cs="Arial" w:eastAsia="Arial" w:hAnsi="Arial"/>
          <w:sz w:val="16"/>
          <w:szCs w:val="16"/>
          <w:color w:val="auto"/>
        </w:rPr>
        <w:t>Insufficient inventory or components, including component or inventory shortages based on the COVID-19 pandemic or other factors affecting the global supply chain, may result in lost sales opportunities or delayed revenue, while excess inventory may harm our gross margins.</w:t>
      </w:r>
    </w:p>
    <w:p>
      <w:pPr>
        <w:spacing w:after="0" w:line="179" w:lineRule="exact"/>
        <w:rPr>
          <w:rFonts w:ascii="Arial" w:cs="Arial" w:eastAsia="Arial" w:hAnsi="Arial"/>
          <w:sz w:val="19"/>
          <w:szCs w:val="19"/>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We depend on several third-party manufacturers to build our products and are susceptible to manufacturing delays and cost increases.</w:t>
      </w:r>
    </w:p>
    <w:p>
      <w:pPr>
        <w:spacing w:after="0" w:line="255" w:lineRule="exact"/>
        <w:rPr>
          <w:rFonts w:ascii="Arial" w:cs="Arial" w:eastAsia="Arial" w:hAnsi="Arial"/>
          <w:sz w:val="21"/>
          <w:szCs w:val="21"/>
          <w:color w:val="auto"/>
        </w:rPr>
      </w:pPr>
    </w:p>
    <w:p>
      <w:pPr>
        <w:ind w:left="660" w:right="14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are susceptible to supply shortages and disruptions, long lead times for components and supply changes because some of the key components in our products come from limited sources of supply.</w:t>
      </w:r>
    </w:p>
    <w:p>
      <w:pPr>
        <w:spacing w:after="0" w:line="243"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We are susceptible to defects or vulnerabilities in our products or services, as well as reputational harm from the failure or misuse of our products or services.</w:t>
      </w:r>
    </w:p>
    <w:p>
      <w:pPr>
        <w:spacing w:after="0" w:line="216" w:lineRule="exact"/>
        <w:rPr>
          <w:rFonts w:ascii="Arial" w:cs="Arial" w:eastAsia="Arial" w:hAnsi="Arial"/>
          <w:sz w:val="22"/>
          <w:szCs w:val="22"/>
          <w:color w:val="auto"/>
        </w:rPr>
      </w:pPr>
    </w:p>
    <w:p>
      <w:pPr>
        <w:ind w:left="660" w:right="18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our suppliers are susceptible to cyber threats and to exploits of vulnerabilities that could affect our systems, as well as the security of our products and services and of our customers’ infrastructure.</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Our proprietary rights may be difficult to enforce and we may be subject to claims by others that we infringe their proprietary technology.</w:t>
      </w:r>
    </w:p>
    <w:p>
      <w:pPr>
        <w:spacing w:after="0" w:line="255" w:lineRule="exact"/>
        <w:rPr>
          <w:rFonts w:ascii="Arial" w:cs="Arial" w:eastAsia="Arial" w:hAnsi="Arial"/>
          <w:sz w:val="21"/>
          <w:szCs w:val="21"/>
          <w:color w:val="auto"/>
        </w:rPr>
      </w:pPr>
    </w:p>
    <w:p>
      <w:pPr>
        <w:ind w:left="660" w:right="14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Global economic uncertainty and weakening product demand caused by political instability, changes in trade agreements and other conflict could adversely affect our business and financial performance.</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Our inability to successfully acquire and integrate other businesses, products or technologies could seriously harm our competitive position.</w:t>
      </w:r>
    </w:p>
    <w:p>
      <w:pPr>
        <w:spacing w:after="0" w:line="255" w:lineRule="exact"/>
        <w:rPr>
          <w:rFonts w:ascii="Arial" w:cs="Arial" w:eastAsia="Arial" w:hAnsi="Arial"/>
          <w:sz w:val="21"/>
          <w:szCs w:val="21"/>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trading price of our common stock may be volatile, which volatility may be exacerbated by share repurchases under our Repurchase Program.</w:t>
      </w:r>
    </w:p>
    <w:p>
      <w:pPr>
        <w:spacing w:after="0" w:line="267" w:lineRule="exact"/>
        <w:rPr>
          <w:rFonts w:ascii="Arial" w:cs="Arial" w:eastAsia="Arial" w:hAnsi="Arial"/>
          <w:sz w:val="19"/>
          <w:szCs w:val="19"/>
          <w:color w:val="auto"/>
        </w:rPr>
      </w:pPr>
    </w:p>
    <w:p>
      <w:pPr>
        <w:ind w:left="660" w:right="14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Anti-takeover provisions contained in our certificate of incorporation and bylaws, as well as provisions of Delaware law, could impair a takeover attempt.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38" w:lineRule="exact"/>
        <w:rPr>
          <w:rFonts w:ascii="Arial" w:cs="Arial" w:eastAsia="Arial" w:hAnsi="Arial"/>
          <w:sz w:val="18"/>
          <w:szCs w:val="18"/>
          <w:color w:val="auto"/>
        </w:rPr>
      </w:pPr>
    </w:p>
    <w:p>
      <w:pPr>
        <w:ind w:left="1300" w:right="60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 and may be impacted by the COVID-19 pandemic in ways that we are not able to foresee;</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50" w:lineRule="exact"/>
        <w:rPr>
          <w:rFonts w:ascii="Arial" w:cs="Arial" w:eastAsia="Arial" w:hAnsi="Arial"/>
          <w:sz w:val="17"/>
          <w:szCs w:val="17"/>
          <w:color w:val="auto"/>
        </w:rPr>
      </w:pPr>
    </w:p>
    <w:p>
      <w:pPr>
        <w:ind w:left="1300" w:right="120" w:hanging="644"/>
        <w:spacing w:after="0" w:line="261"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to our business, the global economy, disruption of global supply chains and creation of significant volatility and disruption of the financial markets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38" w:lineRule="exact"/>
        <w:rPr>
          <w:rFonts w:ascii="Arial" w:cs="Arial" w:eastAsia="Arial" w:hAnsi="Arial"/>
          <w:sz w:val="18"/>
          <w:szCs w:val="18"/>
          <w:color w:val="auto"/>
        </w:rPr>
      </w:pPr>
    </w:p>
    <w:p>
      <w:pPr>
        <w:ind w:left="1300" w:right="200" w:hanging="644"/>
        <w:spacing w:after="0" w:line="24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component and product inventory shortages, including those caused by factors outside of our control such as the COVID-19 pandemic, international trade disputes or tariffs, natural disasters, health emergencies, power outages, civil unrest, labor disruption, international conflicts, terrorism, wars and critical infrastructure attacks;</w:t>
      </w:r>
    </w:p>
    <w:p>
      <w:pPr>
        <w:spacing w:after="0" w:line="208" w:lineRule="exact"/>
        <w:rPr>
          <w:rFonts w:ascii="Arial" w:cs="Arial" w:eastAsia="Arial" w:hAnsi="Arial"/>
          <w:sz w:val="18"/>
          <w:szCs w:val="18"/>
          <w:color w:val="auto"/>
        </w:rPr>
      </w:pPr>
    </w:p>
    <w:p>
      <w:pPr>
        <w:ind w:left="1300" w:right="1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97" w:lineRule="exact"/>
        <w:rPr>
          <w:rFonts w:ascii="Arial" w:cs="Arial" w:eastAsia="Arial" w:hAnsi="Arial"/>
          <w:sz w:val="18"/>
          <w:szCs w:val="18"/>
          <w:color w:val="auto"/>
        </w:rPr>
      </w:pPr>
    </w:p>
    <w:p>
      <w:pPr>
        <w:ind w:left="1300" w:right="48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97" w:lineRule="exact"/>
        <w:rPr>
          <w:rFonts w:ascii="Arial" w:cs="Arial" w:eastAsia="Arial" w:hAnsi="Arial"/>
          <w:sz w:val="18"/>
          <w:szCs w:val="18"/>
          <w:color w:val="auto"/>
        </w:rPr>
      </w:pPr>
    </w:p>
    <w:p>
      <w:pPr>
        <w:ind w:left="1300" w:right="120" w:hanging="644"/>
        <w:spacing w:after="0" w:line="24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decreases in demand by channel partners or end-customers, including any such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214" w:lineRule="exact"/>
        <w:rPr>
          <w:rFonts w:ascii="Arial" w:cs="Arial" w:eastAsia="Arial" w:hAnsi="Arial"/>
          <w:sz w:val="18"/>
          <w:szCs w:val="18"/>
          <w:color w:val="auto"/>
        </w:rPr>
      </w:pPr>
    </w:p>
    <w:p>
      <w:pPr>
        <w:ind w:left="1300" w:right="1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97" w:lineRule="exact"/>
        <w:rPr>
          <w:rFonts w:ascii="Arial" w:cs="Arial" w:eastAsia="Arial" w:hAnsi="Arial"/>
          <w:sz w:val="18"/>
          <w:szCs w:val="18"/>
          <w:color w:val="auto"/>
        </w:rPr>
      </w:pPr>
    </w:p>
    <w:p>
      <w:pPr>
        <w:ind w:left="1300" w:right="20" w:hanging="644"/>
        <w:spacing w:after="0" w:line="24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214" w:lineRule="exact"/>
        <w:rPr>
          <w:rFonts w:ascii="Arial" w:cs="Arial" w:eastAsia="Arial" w:hAnsi="Arial"/>
          <w:sz w:val="18"/>
          <w:szCs w:val="18"/>
          <w:color w:val="auto"/>
        </w:rPr>
      </w:pPr>
    </w:p>
    <w:p>
      <w:pPr>
        <w:ind w:left="1300" w:right="20" w:hanging="644"/>
        <w:spacing w:after="0" w:line="24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network security and SD-WAN, infrastructure security, cloud security and endpoint protection, IoT and OT security opportunities;</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38" w:lineRule="exact"/>
        <w:rPr>
          <w:rFonts w:ascii="Arial" w:cs="Arial" w:eastAsia="Arial" w:hAnsi="Arial"/>
          <w:sz w:val="18"/>
          <w:szCs w:val="18"/>
          <w:color w:val="auto"/>
        </w:rPr>
      </w:pPr>
    </w:p>
    <w:p>
      <w:pPr>
        <w:ind w:left="1300" w:right="12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revenue recognition for our sales, including any impacts resulting from extension of payment terms to distributors;</w:t>
      </w:r>
    </w:p>
    <w:p>
      <w:pPr>
        <w:spacing w:after="0" w:line="209"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38" w:lineRule="exact"/>
        <w:rPr>
          <w:rFonts w:ascii="Arial" w:cs="Arial" w:eastAsia="Arial" w:hAnsi="Arial"/>
          <w:sz w:val="18"/>
          <w:szCs w:val="18"/>
          <w:color w:val="auto"/>
        </w:rPr>
      </w:pPr>
    </w:p>
    <w:p>
      <w:pPr>
        <w:ind w:left="1300" w:right="2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such as SD-WAN, for which we sell products and services;</w:t>
      </w:r>
    </w:p>
    <w:p>
      <w:pPr>
        <w:spacing w:after="0" w:line="157" w:lineRule="exact"/>
        <w:rPr>
          <w:rFonts w:ascii="Arial" w:cs="Arial" w:eastAsia="Arial" w:hAnsi="Arial"/>
          <w:sz w:val="18"/>
          <w:szCs w:val="18"/>
          <w:color w:val="auto"/>
        </w:rPr>
      </w:pPr>
    </w:p>
    <w:p>
      <w:pPr>
        <w:ind w:left="1300" w:right="280" w:hanging="644"/>
        <w:spacing w:after="0" w:line="291"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22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57" w:lineRule="exact"/>
        <w:rPr>
          <w:rFonts w:ascii="Arial" w:cs="Arial" w:eastAsia="Arial" w:hAnsi="Arial"/>
          <w:sz w:val="18"/>
          <w:szCs w:val="18"/>
          <w:color w:val="auto"/>
        </w:rPr>
      </w:pPr>
    </w:p>
    <w:p>
      <w:pPr>
        <w:ind w:left="1300" w:right="100" w:hanging="644"/>
        <w:spacing w:after="0" w:line="294" w:lineRule="auto"/>
        <w:tabs>
          <w:tab w:leader="none" w:pos="12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74"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existing laws and regulations;</w:t>
      </w:r>
    </w:p>
    <w:p>
      <w:pPr>
        <w:spacing w:after="0" w:line="238" w:lineRule="exact"/>
        <w:rPr>
          <w:rFonts w:ascii="Arial" w:cs="Arial" w:eastAsia="Arial" w:hAnsi="Arial"/>
          <w:sz w:val="18"/>
          <w:szCs w:val="18"/>
          <w:color w:val="auto"/>
        </w:rPr>
      </w:pPr>
    </w:p>
    <w:p>
      <w:pPr>
        <w:ind w:left="1300" w:right="38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permits and clearances, that are applicable to our ability to conduct business with the public sector, including the U.S. federal government, and other sectors;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198" w:lineRule="exact"/>
        <w:rPr>
          <w:rFonts w:ascii="Arial" w:cs="Arial" w:eastAsia="Arial" w:hAnsi="Arial"/>
          <w:sz w:val="18"/>
          <w:szCs w:val="18"/>
          <w:color w:val="auto"/>
        </w:rPr>
      </w:pPr>
    </w:p>
    <w:p>
      <w:pPr>
        <w:ind w:left="1300" w:right="66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price competition and increased competitiveness in our market, including the competitive pressure caused by product refresh cycles;</w:t>
      </w:r>
    </w:p>
    <w:p>
      <w:pPr>
        <w:spacing w:after="0" w:line="261"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customer renewal rates or attach rates for our services;</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service contracts or the contractual term of service contracts sold;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timing of our billings and collections for our contracts with service providers and distributors;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38" w:lineRule="exact"/>
        <w:rPr>
          <w:rFonts w:ascii="Arial" w:cs="Arial" w:eastAsia="Arial" w:hAnsi="Arial"/>
          <w:sz w:val="18"/>
          <w:szCs w:val="18"/>
          <w:color w:val="auto"/>
        </w:rPr>
      </w:pPr>
    </w:p>
    <w:p>
      <w:pPr>
        <w:ind w:left="1300" w:right="12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198"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57" w:lineRule="exact"/>
        <w:rPr>
          <w:rFonts w:ascii="Arial" w:cs="Arial" w:eastAsia="Arial" w:hAnsi="Arial"/>
          <w:sz w:val="18"/>
          <w:szCs w:val="18"/>
          <w:color w:val="auto"/>
        </w:rPr>
      </w:pPr>
    </w:p>
    <w:p>
      <w:pPr>
        <w:ind w:left="1300" w:right="180" w:hanging="644"/>
        <w:spacing w:after="0" w:line="261"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7" w:lineRule="exact"/>
        <w:rPr>
          <w:rFonts w:ascii="Arial" w:cs="Arial" w:eastAsia="Arial" w:hAnsi="Arial"/>
          <w:sz w:val="18"/>
          <w:szCs w:val="18"/>
          <w:color w:val="auto"/>
        </w:rPr>
      </w:pPr>
    </w:p>
    <w:p>
      <w:pPr>
        <w:ind w:left="1300" w:right="640" w:hanging="644"/>
        <w:spacing w:after="0" w:line="291" w:lineRule="auto"/>
        <w:tabs>
          <w:tab w:leader="none" w:pos="1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38"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as well as the significant costs that may be incurred to adopt and comply with these new pronouncements;</w:t>
      </w:r>
    </w:p>
    <w:p>
      <w:pPr>
        <w:spacing w:after="0" w:line="197" w:lineRule="exact"/>
        <w:rPr>
          <w:rFonts w:ascii="Arial" w:cs="Arial" w:eastAsia="Arial" w:hAnsi="Arial"/>
          <w:sz w:val="18"/>
          <w:szCs w:val="18"/>
          <w:color w:val="auto"/>
        </w:rPr>
      </w:pPr>
    </w:p>
    <w:p>
      <w:pPr>
        <w:ind w:left="1300" w:right="74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97" w:lineRule="exact"/>
        <w:rPr>
          <w:rFonts w:ascii="Arial" w:cs="Arial" w:eastAsia="Arial" w:hAnsi="Arial"/>
          <w:sz w:val="18"/>
          <w:szCs w:val="18"/>
          <w:color w:val="auto"/>
        </w:rPr>
      </w:pPr>
    </w:p>
    <w:p>
      <w:pPr>
        <w:ind w:left="1300" w:right="60" w:hanging="644"/>
        <w:spacing w:after="0" w:line="261"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including the effects of the COVID-19 pandemic on the foregoing issues,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12"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as a result of the COVID-19 pandemic,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profitability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25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COVID-19 pandemic has negatively impacted the global economy, disrupted global supply chains and demand for certain solutions and created significant volatility in, and disruption of, global financial markets. The extent of the future impact of the COVID-19 pandemic on our operational and financial performance, including on demand for our products and services, our ability to source components, and our ability to execute our business strategies and initiatives in the expected time frame, will depend on future developments, including the duration and spread of the COVID-19 pandemic and related restrictions on, and disruptions of, business and world economies, all of which are uncertain and difficult to predict. An extended period of global supply chain disruption, demand reduction and economic slowdown would materially negatively affect our overall business and our operating results, including billings, revenue, gross margins, operating margins, cash flows and other operating results. If the spread of the COVID-19 pandemic limits the availability of our products, either by limiting components available, by limiting the actual manufacture and assembly or by limiting or restricting shipping of components and products, this likely would result in increased product backlog, lower billings, lower revenue and decreased profitability and would negatively impact, and may materially negatively impact, our operating results and business. In addition, we may also face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personnel-related risks as restrictions related to the COVID-19 pandemic begin to ease and we transition back to an in-person working model, including that our “return to office” plan may be viewed negatively by employees and lead to attrition or to difficulty in hiring.</w:t>
      </w:r>
    </w:p>
    <w:p>
      <w:pPr>
        <w:spacing w:after="0" w:line="19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Moreover, the COVID-19 pandemic has created a reduction in certain business activity and demand for certain solutions, which we believe has negatively impacted our billings and may in the future materially and negatively affect the rate and amount of our billings. The COVID-19 pandemic may adversely affect certain of our partners’ and customers’ ability or willingness to purchase our products and services, delay certain customers’ purchasing decisions and increase customer attrition rates, all of which will adversely affect our future sales and operating results, possibly in a material way. As a result, we may experience extended sales cycles; our ability to close transactions with new and existing customers and partners may be negatively impacted; our ability to recognize revenue from sales we do close may be negatively impacted; certain businesses will not buy our products and services when they otherwise would have; certain current partners, customers and customer prospects may go out of business or face significant business challenges, thereby negatively impacting our sales; due to product or component shortages, implementation delays or other factors; and our ability to provide technical and other support to our customers may be affected. We have also offered, and may continue to offer, payment terms in excess of our contractual agreements to some of our distributor customers, which may decrease the likelihood that we will be able to collect from these customers. In addition, the COVID-19 pandemic has caused an increase in certain of our expenses, including increased shipping costs, increased cancellation charges and reduced attendance fees due to the cancellation of several of our 2020 Accelerate sales conferences, and it may result in increased component and product manufacturing costs. The COVID-19 pandemic has limited certain demand generation activities, such as conferences and in-person sales meetings, which may reduce our costs, but also may reduce leads that could result in closed sales. The full impact of the COVID-19 pandemic is unknown at this time. While we continue to monitor developments and the potential effect on our business, it is clear that the COVID-19 pandemic will negatively impact certain sales and may have a material negative impact on our operating results in the near term and longer term.</w:t>
      </w:r>
    </w:p>
    <w:p>
      <w:pPr>
        <w:spacing w:after="0" w:line="20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gross accounts receivable, and one distributor accounted for 31% of our total net accounts receivable as of March 31, 2021.</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w:t>
      </w:r>
    </w:p>
    <w:p>
      <w:pPr>
        <w:spacing w:after="0" w:line="19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184"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Exclusive Networks Group (“Exclusive”) accounted for 31% and 34% of our total net accounts receivable as of March 31, 2021 and December 31, 2020, respectively, and six distributor customers accounted for 70% of our total net accounts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receivable in the aggregate, respectively. During the three months ended March 31, 2021 and 2020, Exclusive accounted for 32% and 31% of our total revenue, respectively. In addition to other risks associated with the concentration of accounts receivable and revenue from these distributors, Exclusive is a private equity-backed company and we may not have sufficient information to assess its financial condition and, accordingly, if Exclusive were to experience financial difficulties, we might not have advance notice. Additionally, Exclusive may face liquidity risk, which may harm our ability to collect on our accounts receivable.</w:t>
      </w:r>
    </w:p>
    <w:p>
      <w:pPr>
        <w:spacing w:after="0" w:line="21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with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our largest distributor Exclusive, and we may not have sufficient information to assess their financial condition. If our channel partners’ financial condition or operations weaken, their ability to sell our product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64"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or we have system issues that prevent processing in time to realize service billings in a quarter, we will not be able to bill and realize billings for those services until the following quarter,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for any reason or our ability to fulfill orders at the end of any quarter is hindered for any reason, including, among others:</w:t>
      </w:r>
    </w:p>
    <w:p>
      <w:pPr>
        <w:spacing w:after="0" w:line="20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anticipated purchase orders to materialize;</w:t>
      </w:r>
    </w:p>
    <w:p>
      <w:pPr>
        <w:spacing w:after="0" w:line="252"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logistics partners’ failure or inability to ship products prior to quarter-end to fulfill purchase orders received near the end of the quarter;</w:t>
      </w:r>
    </w:p>
    <w:p>
      <w:pPr>
        <w:spacing w:after="0" w:line="224" w:lineRule="exact"/>
        <w:rPr>
          <w:rFonts w:ascii="Arial" w:cs="Arial" w:eastAsia="Arial" w:hAnsi="Arial"/>
          <w:sz w:val="18"/>
          <w:szCs w:val="18"/>
          <w:color w:val="auto"/>
        </w:rPr>
      </w:pPr>
    </w:p>
    <w:p>
      <w:pPr>
        <w:ind w:left="1300" w:right="180" w:hanging="644"/>
        <w:spacing w:after="0" w:line="232" w:lineRule="auto"/>
        <w:tabs>
          <w:tab w:leader="none" w:pos="1295" w:val="left"/>
        </w:tabs>
        <w:numPr>
          <w:ilvl w:val="0"/>
          <w:numId w:val="31"/>
        </w:numPr>
        <w:rPr>
          <w:rFonts w:ascii="Arial" w:cs="Arial" w:eastAsia="Arial" w:hAnsi="Arial"/>
          <w:sz w:val="22"/>
          <w:szCs w:val="22"/>
          <w:color w:val="auto"/>
        </w:rPr>
      </w:pPr>
      <w:r>
        <w:rPr>
          <w:rFonts w:ascii="Arial" w:cs="Arial" w:eastAsia="Arial" w:hAnsi="Arial"/>
          <w:sz w:val="18"/>
          <w:szCs w:val="18"/>
          <w:color w:val="auto"/>
        </w:rPr>
        <w:t>disruption in manufacturing or shipping based on power outages, system failures, labor disputes, natural disasters or widespread public health problems including pandemics and epidemics such as the COVID-19 pandemic;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accurately forecast our inventory requirements and to appropriately manage inventory to meet demand;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release new products on schedule;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of our systems related to order review and processing; and</w:t>
      </w:r>
    </w:p>
    <w:p>
      <w:pPr>
        <w:spacing w:after="0" w:line="252"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delays in shipments due to trade compliance requirements, labor disputes or logistics changes at shipping ports, airline strikes, severe weather or otherwise.</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rely significantly on revenue from FortiGuard and other security subscription and FortiCare technical support services, and revenue from these services may decline or fluctuate. Because we recognize revenue from these services over the term of the relevant service period, downturns or upturns in sales of FortiGuard and other security subscription and FortiCare technical support services are not immediately reflected in full in our operating results.</w:t>
      </w:r>
    </w:p>
    <w:p>
      <w:pPr>
        <w:spacing w:after="0" w:line="21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and other security subscription and FortiCare technical support services revenue has historically accounted for a significant percentage of our total revenue. Revenue from the sale of new, or from the renewal of existing, FortiGuard and other security subscription and FortiCare technical support service contracts may decline and fluctuate as a result of a number of factors, including fluctuations in purchases of FortiGate appliances or our Fortinet Security Fabric platform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and other security subscription and FortiCare technical support service contracts decline, our revenue and revenue growth may decline and our business could suffer. In addition, in the event significant customers require payment terms for FortiGuard and other security subscription and FortiCare technical support services in arrears or for shorter periods of time than annually, such as monthly or quarterly, this may negatively impact our billings and revenue. Furthermore, we recognize FortiGuard and other security subscription and FortiCare technical support services revenue monthly over the term of the relevant service period, which is typically from one to five years. As a result, much of the FortiGuard and other security subscription and FortiCare technical support services revenue we report each quarter is the recognition of deferred revenue from FortiGuard and other security subscription and FortiCare technical support services contracts entered into during previous quarters or years. Consequently, a decline in new or renewed FortiGuard and other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and other security subscription and FortiCare technical support services is not reflected in full in our statements of income until future periods. Our FortiGuard and other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9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including the COVID-19 pandemic, could adversely affect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12"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retain highly skilled personnel will be critical to our future success.</w:t>
      </w:r>
    </w:p>
    <w:p>
      <w:pPr>
        <w:spacing w:after="0" w:line="25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The COVID-19 pandemic may also decelerate our hiring and increase the challenge of recruiting qualified personnel to leave their current positions to join us.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indebtedness and may incur other debt in the future, which may adversely affect our financial condition and future financial results.</w:t>
      </w:r>
    </w:p>
    <w:p>
      <w:pPr>
        <w:spacing w:after="0" w:line="273"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As of March 31, 2021, we had an aggregate of $1.0 billion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11"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increasing our vulnerability to downturns in our business, to competitive pressures and to adverse economic and industry conditions;</w:t>
      </w:r>
    </w:p>
    <w:p>
      <w:pPr>
        <w:spacing w:after="0" w:line="46" w:lineRule="exact"/>
        <w:rPr>
          <w:rFonts w:ascii="Arial" w:cs="Arial" w:eastAsia="Arial" w:hAnsi="Arial"/>
          <w:sz w:val="16"/>
          <w:szCs w:val="16"/>
          <w:color w:val="auto"/>
        </w:rPr>
      </w:pPr>
    </w:p>
    <w:p>
      <w:pPr>
        <w:ind w:left="660" w:right="260" w:firstLine="320"/>
        <w:spacing w:after="0" w:line="265" w:lineRule="auto"/>
        <w:tabs>
          <w:tab w:leader="none" w:pos="13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our industries;</w:t>
      </w:r>
    </w:p>
    <w:p>
      <w:pPr>
        <w:spacing w:after="0" w:line="23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19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changes by any rating agency to our credit rating may negatively impact the value and liquidity of both our debt and equity securities. If our credit ratings are downgraded or other negative action is taken, the interest rate payable by us under our unsecured revolving credit facility may increase. In addition, any downgrades in our credit ratings may affect our ability to obtain additional financing in the future and may negatively impact the terms of any such financing.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Sales and End-Customers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52" w:lineRule="exact"/>
        <w:rPr>
          <w:rFonts w:ascii="Arial" w:cs="Arial" w:eastAsia="Arial" w:hAnsi="Arial"/>
          <w:sz w:val="18"/>
          <w:szCs w:val="18"/>
          <w:color w:val="auto"/>
        </w:rPr>
      </w:pPr>
    </w:p>
    <w:p>
      <w:pPr>
        <w:ind w:left="1300" w:hanging="644"/>
        <w:spacing w:after="0" w:line="261"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 or as a result of the COVID-19 pandemic and related travel and gathering restrictions;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uncertainty of protection for IP rights in some countries;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97" w:lineRule="exact"/>
        <w:rPr>
          <w:rFonts w:ascii="Arial" w:cs="Arial" w:eastAsia="Arial" w:hAnsi="Arial"/>
          <w:sz w:val="18"/>
          <w:szCs w:val="18"/>
          <w:color w:val="auto"/>
        </w:rPr>
      </w:pPr>
    </w:p>
    <w:p>
      <w:pPr>
        <w:ind w:left="1300" w:right="160" w:hanging="644"/>
        <w:spacing w:after="0" w:line="284" w:lineRule="auto"/>
        <w:tabs>
          <w:tab w:leader="none" w:pos="1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disruption in manufacturing or shipping or decreases in demand by channel partners or end-customers, including any such disruption or decreases caused by factors outside of our control such as natural disasters and health emergencies, including earthquakes, fires, power outages, typhoons, floods, pandemics or epidemics such as the COVID-19 pandemic and manmade events such as civil unrest, labor disruption, international trade disputes, international conflicts, terrorism, wars and critical infrastructure attacks;</w:t>
      </w:r>
    </w:p>
    <w:p>
      <w:pPr>
        <w:spacing w:after="0" w:line="182" w:lineRule="exact"/>
        <w:rPr>
          <w:rFonts w:ascii="Arial" w:cs="Arial" w:eastAsia="Arial" w:hAnsi="Arial"/>
          <w:sz w:val="16"/>
          <w:szCs w:val="16"/>
          <w:color w:val="auto"/>
        </w:rPr>
      </w:pPr>
    </w:p>
    <w:p>
      <w:pPr>
        <w:ind w:left="1300" w:right="200" w:hanging="644"/>
        <w:spacing w:after="0" w:line="243"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U.S. (for example, over the past year, our revenue from sales in China has been insignificant, totaling less than 1% of aggregate revenue, possibly based in part on a preference in China to do business with Chinese businesses over U.S. businesses like Fortinet);</w:t>
      </w:r>
    </w:p>
    <w:p>
      <w:pPr>
        <w:spacing w:after="0" w:line="187" w:lineRule="exact"/>
        <w:rPr>
          <w:rFonts w:ascii="Arial" w:cs="Arial" w:eastAsia="Arial" w:hAnsi="Arial"/>
          <w:sz w:val="18"/>
          <w:szCs w:val="18"/>
          <w:color w:val="auto"/>
        </w:rPr>
      </w:pPr>
    </w:p>
    <w:p>
      <w:pPr>
        <w:ind w:left="1300" w:right="100" w:hanging="644"/>
        <w:spacing w:after="0" w:line="259"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import and export control laws, trade laws and regulations, tariffs and retaliatory measures, trade barriers and economic sanctions;</w:t>
      </w:r>
    </w:p>
    <w:p>
      <w:pPr>
        <w:spacing w:after="0" w:line="213"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97" w:lineRule="exact"/>
        <w:rPr>
          <w:rFonts w:ascii="Arial" w:cs="Arial" w:eastAsia="Arial" w:hAnsi="Arial"/>
          <w:sz w:val="18"/>
          <w:szCs w:val="18"/>
          <w:color w:val="auto"/>
        </w:rPr>
      </w:pPr>
    </w:p>
    <w:p>
      <w:pPr>
        <w:ind w:left="1300" w:right="220" w:hanging="644"/>
        <w:spacing w:after="0" w:line="259"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effectively implement and maintain adequate internal controls to properly manage our international sales and operations;</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ongoing effects of the COVID-19 pandemic may enhance the severity and unpredictability of a number of the foregoing risks, and the risks to our business presented by the COVID-19 pandemic may be more significant and for a longer term in certain international geographies where we do meaningful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0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91" w:lineRule="exact"/>
        <w:rPr>
          <w:sz w:val="20"/>
          <w:szCs w:val="20"/>
          <w:color w:val="auto"/>
        </w:rPr>
      </w:pPr>
    </w:p>
    <w:p>
      <w:pPr>
        <w:ind w:left="1300" w:right="22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52" w:lineRule="exact"/>
        <w:rPr>
          <w:rFonts w:ascii="Arial" w:cs="Arial" w:eastAsia="Arial" w:hAnsi="Arial"/>
          <w:sz w:val="18"/>
          <w:szCs w:val="18"/>
          <w:color w:val="auto"/>
        </w:rPr>
      </w:pPr>
    </w:p>
    <w:p>
      <w:pPr>
        <w:ind w:left="1300" w:right="120" w:hanging="644"/>
        <w:spacing w:after="0" w:line="263"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3" w:lineRule="exact"/>
        <w:rPr>
          <w:rFonts w:ascii="Arial" w:cs="Arial" w:eastAsia="Arial" w:hAnsi="Arial"/>
          <w:sz w:val="18"/>
          <w:szCs w:val="18"/>
          <w:color w:val="auto"/>
        </w:rPr>
      </w:pPr>
    </w:p>
    <w:p>
      <w:pPr>
        <w:ind w:left="1300" w:right="86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9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97"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the current COVID-19 pandemic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0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addition, mitigation and containment measures adopted by government authorities to contain the spread of COVID-19 in the United States and internationally, including travel restrictions and other requirements that limit in-person meetings, could limit our ability to establish and maintain relationships with new and existing customers, which may exacerbate the risks described above.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97" w:lineRule="exact"/>
        <w:rPr>
          <w:sz w:val="20"/>
          <w:szCs w:val="20"/>
          <w:color w:val="auto"/>
        </w:rPr>
      </w:pPr>
    </w:p>
    <w:p>
      <w:pPr>
        <w:ind w:right="140" w:firstLine="648"/>
        <w:spacing w:after="0" w:line="251"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especially in light of the COVID-19 pandemic,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may not be able to achieve sustained growth, and our business, financial condition and results of operations may be adversely affected. We are also limited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our marketing efforts as a result of the COVID-19 pandemic, as mitigation and containment measures adopted by government authorities to contain the spread of COVID-19, including travel restrictions and other requirements that limit in-person meetings, could limit our ability to establish and maintain relationships with new and existing customers and negatively affect our sales and marketing efforts.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portion of our revenue is generated by sales to government organizations, which are subject to a number of challenges and risks.</w:t>
      </w:r>
    </w:p>
    <w:p>
      <w:pPr>
        <w:spacing w:after="0" w:line="26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97"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52"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97" w:lineRule="exact"/>
        <w:rPr>
          <w:rFonts w:ascii="Arial" w:cs="Arial" w:eastAsia="Arial" w:hAnsi="Arial"/>
          <w:sz w:val="18"/>
          <w:szCs w:val="18"/>
          <w:color w:val="auto"/>
        </w:rPr>
      </w:pPr>
    </w:p>
    <w:p>
      <w:pPr>
        <w:jc w:val="both"/>
        <w:ind w:left="1300" w:right="20" w:hanging="644"/>
        <w:spacing w:after="0" w:line="248" w:lineRule="auto"/>
        <w:tabs>
          <w:tab w:leader="none" w:pos="12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government shutdowns and trade protectionism and other political dynamics that may adversely affect our ability to sell in certain locations or obtain the requisite permits and clearances required for certain purchases by government organizations of our products and services; and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spending may also be negatively impacted by the COVID-19 pandemic.</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of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decision by one government agency that our products do not meet certain standards, may cause reputational harm and cause concern with other government agencies, governments and businesses and cause them to not buy our products and services and/or lead to a decrease in demand for our products generally. Finally, purchases by the U.S. government may require certain products to be manufactured in the United States and other high cost manufacturing locations, and we may not manufacture all products in locations that meet the requirements of the U.S. government and may not successfully obtain all certifications or clearances required for certain U.S. government purchases.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Customers,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We face many competitors across the different cybersecurity markets. Our competitors include companies such as Barracuda Networks, Inc., Check Point Software Technologies Ltd., Cisco Systems, Inc. (“Cisco”), CrowdStrike Holdings, Inc., F5 Networks, Inc. , FireEye, Inc., Forcepoint LLC, Imperva, Inc., Juniper Networks,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(“Juniper”), McAfee, LLC, Palo Alto Networks, Inc., Proofpoint, Inc., SonicWALL, Inc., Sophos Group Plc, Trend Micro Incorporated and Zscaler, Inc.</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our existing and potential competitors enjoy competitive advantages such as:</w:t>
      </w:r>
    </w:p>
    <w:p>
      <w:pPr>
        <w:spacing w:after="0" w:line="212"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name recognition and/or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stronger U.S. government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For example, certain of our competitors are focusing on delivering security services from the cloud.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our new products and product enhancements do not achieve sufficient market acceptance, our results of operations and competitive position will suffer.</w:t>
      </w:r>
    </w:p>
    <w:p>
      <w:pPr>
        <w:spacing w:after="0" w:line="19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or components may result in lost sales opportunities or delayed revenue, while excess inventory may harm our gross margins.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source components, manufacture or ship certain products increases for any reason, inventory shortfalls could result. If we cannot manufacture and ship our products due to, for example, global chip shortages, natural disasters and health emergencies such as earthquakes, fires, power outages, typhoons, floods, pandemics and epidemics such as the COVID-19 pandemic or manmade events such as civil unrest, labor disruption, international trade disputes, international conflicts, terrorism, wars and critical infrastructure attacks, our business and financial results could be materially and adversely impacted. For example, the global chip shortage caused by the COVID-19 pandemic and other factors affecting manufacturing capacity in Asia has continued into 2021 and may have an adverse impact on our ability to manage our inventory and to meet product demand in a timely fashion. This shortage may persist for an indefinite period of time.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 The COVID-19 pandemic has resulted in challenges to obtaining components and inventory, as well as increases to freight and shipping costs, and may result in a material adverse effect on our results of operations. In order to mitigate supply chain risk from COVID-19, we have increased our on-hand stock of certain products. If we are unable to sell these products, we would be required to write-off excess inventory, which would have an adverse impact on our results of operations.</w:t>
      </w:r>
    </w:p>
    <w:p>
      <w:pPr>
        <w:spacing w:after="0" w:line="17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inventory. If we are unable to effectively manage our inventory and that of our channel partners, our results of operations could be adversely affected.</w:t>
      </w:r>
    </w:p>
    <w:p>
      <w:pPr>
        <w:spacing w:after="0" w:line="26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Wistron, Senao, ADLINK and IBASE. Our reliance on our third-party manufacturers in Asia and elsewhere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approximately 85% of our hardware is manufactured in Taiwan. Any increase in tensions between China and Taiwan, including threats of military actions or escalation of military activities, could adversely affect our manufacturing operations in Taiwan.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proprietary SPUs, which are key to the performance of our appliances, are built by contract manufacturers including Renesas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Toshiba. These contract manufacturers use foundries operated by TSMC or Renesas on a purchase-order basis, and these foundries do not guarantee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and could delay orders or increase their pricing. Accordingly, the foundries are not obligated to continue to fulfill our supply requirements,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the long lead time that a new foundry would require, we could suffer inventory shortages of our SPU as well as increased costs. In addition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proprietary SPU, we also purchase off-the-shelf ASICs or integrated circuits from vendors for which we have experienced, and may continue to experience,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long lead times. Our suppliers may also prioritize orders by other companies that order higher volumes or more profitable products. If any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manufacturers materially delays its supply of ASICs or specific product models to us, or requires us to find an alternate supplier and we are not able to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 on a timely and reasonable basis, or if these foundries materially increase their prices for fabrication of our SPU or ASICs, our business would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23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7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may discontinue or modify components used in our products. We have in the past experienced, and are currently experiencing, shortages and long lead times for certain components.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For example, the global chip shortage caused by the COVID-19 pandemic and other factors affecting manufacturing capacity in Asia has continued into 2021 and continues to affect the manufacturing capacity of us and our contract manufacturers. This shortage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global chip shortages, natural disasters and health emergencies such as earthquakes, fires, power outages, typhoons, floods, health pandemics and epidemics such as the COVID-19 pandemic, and manmade events such as civil unrest, labor disruption, international trade disputes, international conflicts, terrorism, wars, critical infrastructure attacks and other factors. Our reliance on a limited number of suppliers involves several additional risks, including:</w:t>
      </w:r>
    </w:p>
    <w:p>
      <w:pPr>
        <w:spacing w:after="0" w:line="21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infringement or misappropriation of our IP;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in component quality;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ship products on a timely basis.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cause them to fail to help secure our customers or cause our products or services to allow unauthorized access to our customers’ networks. Additionally, any perception that our products have product vulnerabilities, whether or not accurate, may cause reputation harm. 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program, then the security and integrity of our products and the updates to those products that our customers receive could be exploited by third parties or insiders.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adverse security events.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 or FortiCare updates or our Fortinet appliances and operating systems could result in a failure of our FortiGuard and other security subscription services to effectively update end-customers’ Fortinet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65" w:lineRule="exact"/>
        <w:rPr>
          <w:sz w:val="20"/>
          <w:szCs w:val="20"/>
          <w:color w:val="auto"/>
        </w:rPr>
      </w:pPr>
    </w:p>
    <w:p>
      <w:pPr>
        <w:ind w:left="1300" w:right="8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may be harmed.</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may be harmed.</w:t>
      </w:r>
    </w:p>
    <w:p>
      <w:pPr>
        <w:spacing w:after="0" w:line="19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Moreover, business models based on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7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FortiGuard and other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Systems and Technology</w:t>
      </w:r>
    </w:p>
    <w:p>
      <w:pPr>
        <w:spacing w:after="0" w:line="243" w:lineRule="exact"/>
        <w:rPr>
          <w:sz w:val="20"/>
          <w:szCs w:val="20"/>
          <w:color w:val="auto"/>
        </w:rPr>
      </w:pPr>
    </w:p>
    <w:p>
      <w:pPr>
        <w:jc w:val="both"/>
        <w:ind w:right="240"/>
        <w:spacing w:after="0" w:line="327" w:lineRule="auto"/>
        <w:rPr>
          <w:sz w:val="20"/>
          <w:szCs w:val="20"/>
          <w:color w:val="auto"/>
        </w:rPr>
      </w:pPr>
      <w:r>
        <w:rPr>
          <w:rFonts w:ascii="Arial" w:cs="Arial" w:eastAsia="Arial" w:hAnsi="Arial"/>
          <w:sz w:val="15"/>
          <w:szCs w:val="15"/>
          <w:b w:val="1"/>
          <w:bCs w:val="1"/>
          <w:i w:val="1"/>
          <w:iCs w:val="1"/>
          <w:color w:val="auto"/>
        </w:rPr>
        <w:t>If our internal enterprise IT networks, on which we conduct internal business and interface externally, our operational networks, through which we connect to customer systems and provide services, or our research and development networks, our back-end labs and cloud stacks through which we research and develop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167" w:lineRule="exact"/>
        <w:rPr>
          <w:sz w:val="20"/>
          <w:szCs w:val="20"/>
          <w:color w:val="auto"/>
        </w:rPr>
      </w:pPr>
    </w:p>
    <w:p>
      <w:pPr>
        <w:ind w:firstLine="648"/>
        <w:spacing w:after="0" w:line="251"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networks, systems and websites, we are still vulnerable to computer viruses, break-ins, phishing attacks, attempts to overload our servers with denial-of-service, vulnerabilities in vendor hardware and software that we leverage, and other cyber-attacks and similar disruptions from unauthorized access to our internal networks, systems or websites.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 our product software in an effort to gain entry into our customers’ networks. These and other hacking efforts against us and our customers may be ongoing and may recur in the future. Although we take numerous measures and implement multiple layers of security to protect our networks and our customers’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0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addition, due to the COVID-19 pandemic, a substantial majority of our employees are temporarily working remotely, which may pose additional data security risks. For example, there has been an increase in phishing attempts and spam emails as well as social engineering attempts from hackers hoping to use the recent COVID-19 pandemic to their advantage. The risks described above could therefore be exacerbated by the COVID-19 pandemic.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86"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92" w:lineRule="exact"/>
        <w:rPr>
          <w:sz w:val="20"/>
          <w:szCs w:val="20"/>
          <w:color w:val="auto"/>
        </w:rPr>
      </w:pPr>
    </w:p>
    <w:p>
      <w:pPr>
        <w:ind w:right="460" w:firstLine="648"/>
        <w:spacing w:after="0" w:line="296" w:lineRule="auto"/>
        <w:rPr>
          <w:sz w:val="20"/>
          <w:szCs w:val="20"/>
          <w:color w:val="auto"/>
        </w:rPr>
      </w:pPr>
      <w:r>
        <w:rPr>
          <w:rFonts w:ascii="Arial" w:cs="Arial" w:eastAsia="Arial" w:hAnsi="Arial"/>
          <w:sz w:val="16"/>
          <w:szCs w:val="16"/>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products contain software modules licensed to us by third-party authors under “open source” licenses, including the GNU Public License, the GNU Lesser Public License, the BSD License, the Apache License, the MIT X License and the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Mozilla Public License. From time to time, there have been claims against companies that distribute or use open source software in their products and services, asserting that open source software infringes the claimants’ IP rights. We could be subject to suits by parties claiming infringement of IP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9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4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and additional patent lawsuits have been filed against us since.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Financial Position</w:t>
      </w:r>
    </w:p>
    <w:p>
      <w:pPr>
        <w:spacing w:after="0" w:line="24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9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6"/>
          <w:szCs w:val="16"/>
          <w:color w:val="auto"/>
        </w:rPr>
        <w:t>For example,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 In July 2020, the European Court of Justice issued a judgment declaring invalid the EU-U.S. Privacy Shield Framework (the “Privacy Shield”) as a mechanism for exportation of personal data from the European Economic Area to the United States. Though we are not participants of the Privacy Shield, and instead employ alternative mechanisms for personal data transfers, the ruling raises questions as to GDPR implications and adequate data protection in the United States, and may have an impact on our European customers and related business operations.</w:t>
      </w:r>
    </w:p>
    <w:p>
      <w:pPr>
        <w:spacing w:after="0" w:line="19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became effective on January 1, 2020. The CCPA was expanded pursuant to the California Privacy Rights Act, which was passed in 2020 and which will become effective in 2023. The costs of compliance with and the penalties for violations of the GDPR and CCPA, along with other burdens imposed by these regulations, may limit the use and adoption of our products and services and could have an adverse impact on our business.</w:t>
      </w:r>
    </w:p>
    <w:p>
      <w:pPr>
        <w:spacing w:after="0" w:line="216"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Selling our solutions to the U.S. government,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the U.S. government or one of its divisions, as well as other penalties, damages and reputational harms, which</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36"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with the public sector could have an adverse effect on our business and operating results.</w:t>
      </w:r>
    </w:p>
    <w:p>
      <w:pPr>
        <w:spacing w:after="0" w:line="2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95"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2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1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and on most of Chinese imported goods. As a result, China and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response to the tariffs, the cost of our products could increase, our operations could be disrupted or we could be required to raise our prices, which may result in the loss of customers and harm to our reputation and operating performance.</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environmental requirements, our business, financial condition, operating results and reputation could be adversely affected.</w:t>
      </w:r>
    </w:p>
    <w:p>
      <w:pPr>
        <w:spacing w:after="0" w:line="287" w:lineRule="exact"/>
        <w:rPr>
          <w:sz w:val="20"/>
          <w:szCs w:val="20"/>
          <w:color w:val="auto"/>
        </w:rPr>
      </w:pPr>
    </w:p>
    <w:p>
      <w:pPr>
        <w:ind w:firstLine="648"/>
        <w:spacing w:after="0" w:line="276"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(“EEE”).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costs associated with assuring the supply of compliant components and costs associated with writing off scrapped noncompliant inventory.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1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database of hazardous substances established under the WFD and managed by the European Chemicals Agency. We expect to incur costs in order to comply with this new requirement.</w:t>
      </w:r>
    </w:p>
    <w:p>
      <w:pPr>
        <w:spacing w:after="0" w:line="21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acquire and integrate other businesses, products or technologies could seriously harm our competitive position.</w:t>
      </w:r>
    </w:p>
    <w:p>
      <w:pPr>
        <w:spacing w:after="0" w:line="275" w:lineRule="exact"/>
        <w:rPr>
          <w:sz w:val="20"/>
          <w:szCs w:val="20"/>
          <w:color w:val="auto"/>
        </w:rPr>
      </w:pPr>
    </w:p>
    <w:p>
      <w:pPr>
        <w:ind w:right="60" w:firstLine="648"/>
        <w:spacing w:after="0" w:line="268"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IP, such as patents. For example, we acquired ShieldX in 2021. For any possible future acquisitions, we may not be successful in negotiating the terms of the acquisition or financing the acquisition. For both our prior and future acquisitions, we may not be successful in effectively integrating the acquired business, product, technology or IP and sales force into our existing business and operations. We may have difficulty incorporating acquired technologies, IP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IP,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IP could significantly divert management time and resources.</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There is an increasing focus from certain investors, employees and other stakeholders concerning corporate responsibility, specifically related to environmental, social and governance matters. Some investors may use these factors to guide their investment strategies and, in some cases, may choose not to invest in us if they believe our policies relating to corporate responsibility are inadequate. Third-party providers of corporate responsibility ratings and reports on companies have increased to meet growing investor demand for measurement of corporate responsibility performance. The criteria by which our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social responsibility are inadequate. We may face reputational damage in the event that our corporate social responsibility procedures or standards do not meet the standards set by various constituencies.</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operating results and financial condition could be adversely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Finance, Accounting and Tax Matters</w:t>
      </w:r>
    </w:p>
    <w:p>
      <w:pPr>
        <w:spacing w:after="0" w:line="2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and commission expense, valuation of inventory, accounting for business combination, contingent liabilities and accounting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portion of our operating expenses are incurred outside the United States. These expenses are denominated in foreign currencies and are subject to fluctuations due to changes in foreign currency exchange rates, particularly changes in the Euro, Canadian dollar and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7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51"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the corporate tax rate, including the increase proposed in 2021;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availability of tax credits and/or tax deductions;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52"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97" w:lineRule="exact"/>
        <w:rPr>
          <w:rFonts w:ascii="Arial" w:cs="Arial" w:eastAsia="Arial" w:hAnsi="Arial"/>
          <w:sz w:val="18"/>
          <w:szCs w:val="18"/>
          <w:color w:val="auto"/>
        </w:rPr>
      </w:pPr>
    </w:p>
    <w:p>
      <w:pPr>
        <w:ind w:left="1300" w:right="840" w:hanging="644"/>
        <w:spacing w:after="0" w:line="27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97"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 between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0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that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 For example, in April 2021, legislation was proposed that would increase the corporate tax rate to 28% from its current 21%. If passed, this legislation would increase our tax rate in the United States.</w:t>
      </w:r>
    </w:p>
    <w:p>
      <w:pPr>
        <w:spacing w:after="0" w:line="2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04"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Organisation for Economic Co-operation and Development (the “OECD”), an international association comprised of 37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2020, our internal controls over financial reporting were effective, we cannot predict the outcome of our testing in 2021 or future periods. We may incur additional expenses and commitment of management’s time in connection with further evaluations, both of which could materially increase our operating expenses and accordingly reduce our operating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97"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20" w:firstLine="648"/>
        <w:spacing w:after="0" w:line="262" w:lineRule="auto"/>
        <w:rPr>
          <w:sz w:val="20"/>
          <w:szCs w:val="20"/>
          <w:color w:val="auto"/>
        </w:rPr>
      </w:pPr>
      <w:r>
        <w:rPr>
          <w:rFonts w:ascii="Arial" w:cs="Arial" w:eastAsia="Arial" w:hAnsi="Arial"/>
          <w:sz w:val="17"/>
          <w:szCs w:val="17"/>
          <w:color w:val="auto"/>
        </w:rPr>
        <w:t>The market price of our common stock may be subject to wide fluctuations in response to, among other things, the risk factors described in this periodic report, news about us and our financial results, the impact of the COVID-19 pandemic, news about our competitors and their results, and other factors such as rumors or fluctuations in the valuation of companies perceived by investors to be comparable to us. For example, during the three months ended March 31, 2021, the closing price of our common stock ranged from $138.11 to $192.03 per share.</w:t>
      </w:r>
    </w:p>
    <w:p>
      <w:pPr>
        <w:spacing w:after="0" w:line="199" w:lineRule="exact"/>
        <w:rPr>
          <w:sz w:val="20"/>
          <w:szCs w:val="20"/>
          <w:color w:val="auto"/>
        </w:rPr>
      </w:pPr>
    </w:p>
    <w:p>
      <w:pPr>
        <w:ind w:right="160" w:firstLine="693"/>
        <w:spacing w:after="0" w:line="279" w:lineRule="auto"/>
        <w:rPr>
          <w:sz w:val="20"/>
          <w:szCs w:val="20"/>
          <w:color w:val="auto"/>
        </w:rPr>
      </w:pPr>
      <w:r>
        <w:rPr>
          <w:rFonts w:ascii="Arial" w:cs="Arial" w:eastAsia="Arial" w:hAnsi="Arial"/>
          <w:sz w:val="17"/>
          <w:szCs w:val="17"/>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 In addition, the market price of our common stock and the market price of the common stock of many other companies have fallen significantly since the outbreak of the COVID-19 pandemic. The extent to which the COVID-19 pandemic may impact the market price of our common stock is unclear, and the market price of our common stock may fluctuate significantly as a result of the COVID-19 pandemic.</w:t>
      </w:r>
    </w:p>
    <w:p>
      <w:pPr>
        <w:spacing w:after="0" w:line="21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5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July 2020, our board of directors approved a $500.0 million increase in the authorized stock repurchase amount under the Repurchase Program and extended the term of the Repurchase Program to February 28, 2022, bringing the aggregate amount authorized to be repurchased to $3.0 billion. As of March 31, 2021, $1.01 billion remained available for future share repurchases under the Repurchase Program.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19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73" w:lineRule="exact"/>
        <w:rPr>
          <w:sz w:val="20"/>
          <w:szCs w:val="20"/>
          <w:color w:val="auto"/>
        </w:rPr>
      </w:pPr>
    </w:p>
    <w:p>
      <w:pPr>
        <w:ind w:left="1300" w:right="360" w:hanging="644"/>
        <w:spacing w:after="0" w:line="277"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2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9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Economic uncertainty in various global markets caused by political instability and conflict and economic challenges caused by the COVID-19 pandemic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China and other countries. The continuing effect of any or all of these events could adversely impact demand for our products, harm our operations and weaken our financial results.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40"/>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power outages, typhoon, floods, virus outbreaks and other broad health-related challenges and other catastrophic events, and to interruption by manmade problems such as civil unrest, labor disruption, critical infrastructure attack and terrorism.</w:t>
      </w:r>
    </w:p>
    <w:p>
      <w:pPr>
        <w:spacing w:after="0" w:line="12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A significant natural disaster, such as an earthquake,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ship products and could result in delays and reductions in billings and revenues, and the COVID-19 pandemic will negatively impact our ability to manufacture and ship products, possibly in a material way, and could result in delays and reductions in billings and revenues, also possibly in a material way.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financial accounting standards may cause adverse unexpected fluctuations and affect our reported results of operations.</w:t>
      </w:r>
    </w:p>
    <w:p>
      <w:pPr>
        <w:spacing w:after="0" w:line="2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accounting for credit losses on financial instruments (which became effective for us on January 1, 2020),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equity investments are required to be measured at fair value (with subsequent changes in fair value recognized in net income), which may increase the volatility of our earnings.</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shares repurchased under the Repurchase Program during the three months ended March 31, 2021. As of March 31, 2021, $1.01 billion remained available for future share repurchases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Incorporated by reference herein</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Exhibit Number</w:t>
            </w:r>
          </w:p>
        </w:tc>
        <w:tc>
          <w:tcPr>
            <w:tcW w:w="0" w:type="dxa"/>
            <w:vAlign w:val="bottom"/>
          </w:tcPr>
          <w:p>
            <w:pPr>
              <w:spacing w:after="0"/>
              <w:rPr>
                <w:sz w:val="1"/>
                <w:szCs w:val="1"/>
                <w:color w:val="auto"/>
              </w:rPr>
            </w:pPr>
          </w:p>
        </w:tc>
      </w:tr>
      <w:tr>
        <w:trPr>
          <w:trHeight w:val="184"/>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83">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Amended and Restated Bylaws</w:t>
            </w:r>
          </w:p>
        </w:tc>
        <w:tc>
          <w:tcPr>
            <w:tcW w:w="2160" w:type="dxa"/>
            <w:vAlign w:val="bottom"/>
            <w:gridSpan w:val="2"/>
          </w:tcPr>
          <w:p>
            <w:pPr>
              <w:spacing w:after="0"/>
              <w:rPr>
                <w:sz w:val="20"/>
                <w:szCs w:val="20"/>
                <w:color w:val="auto"/>
              </w:rPr>
            </w:pPr>
            <w:r>
              <w:rPr>
                <w:rFonts w:ascii="Arial" w:cs="Arial" w:eastAsia="Arial" w:hAnsi="Arial"/>
                <w:sz w:val="14"/>
                <w:szCs w:val="14"/>
                <w:color w:val="auto"/>
              </w:rPr>
              <w:t>Form 8-K</w:t>
            </w:r>
          </w:p>
        </w:tc>
        <w:tc>
          <w:tcPr>
            <w:tcW w:w="1460" w:type="dxa"/>
            <w:vAlign w:val="bottom"/>
            <w:gridSpan w:val="2"/>
          </w:tcPr>
          <w:p>
            <w:pPr>
              <w:spacing w:after="0"/>
              <w:rPr>
                <w:sz w:val="20"/>
                <w:szCs w:val="20"/>
                <w:color w:val="auto"/>
              </w:rPr>
            </w:pPr>
            <w:r>
              <w:rPr>
                <w:rFonts w:ascii="Arial" w:cs="Arial" w:eastAsia="Arial" w:hAnsi="Arial"/>
                <w:sz w:val="14"/>
                <w:szCs w:val="14"/>
                <w:color w:val="auto"/>
              </w:rPr>
              <w:t>April 28, 2021</w:t>
            </w:r>
          </w:p>
        </w:tc>
        <w:tc>
          <w:tcPr>
            <w:tcW w:w="13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3"/>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84">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Indenture, dated as of March 5, 2021, between Fortinet and Wells Fargo Bank, National</w:t>
            </w:r>
          </w:p>
        </w:tc>
        <w:tc>
          <w:tcPr>
            <w:tcW w:w="2160" w:type="dxa"/>
            <w:vAlign w:val="bottom"/>
            <w:gridSpan w:val="2"/>
          </w:tcPr>
          <w:p>
            <w:pPr>
              <w:spacing w:after="0"/>
              <w:rPr>
                <w:sz w:val="20"/>
                <w:szCs w:val="20"/>
                <w:color w:val="auto"/>
              </w:rPr>
            </w:pPr>
            <w:r>
              <w:rPr>
                <w:rFonts w:ascii="Arial" w:cs="Arial" w:eastAsia="Arial" w:hAnsi="Arial"/>
                <w:sz w:val="14"/>
                <w:szCs w:val="14"/>
                <w:color w:val="auto"/>
              </w:rPr>
              <w:t>Form 8-K</w:t>
            </w:r>
          </w:p>
        </w:tc>
        <w:tc>
          <w:tcPr>
            <w:tcW w:w="1460" w:type="dxa"/>
            <w:vAlign w:val="bottom"/>
            <w:gridSpan w:val="2"/>
          </w:tcPr>
          <w:p>
            <w:pPr>
              <w:spacing w:after="0"/>
              <w:rPr>
                <w:sz w:val="20"/>
                <w:szCs w:val="20"/>
                <w:color w:val="auto"/>
              </w:rPr>
            </w:pPr>
            <w:r>
              <w:rPr>
                <w:rFonts w:ascii="Arial" w:cs="Arial" w:eastAsia="Arial" w:hAnsi="Arial"/>
                <w:sz w:val="14"/>
                <w:szCs w:val="14"/>
                <w:color w:val="auto"/>
              </w:rPr>
              <w:t>March 5, 2021</w:t>
            </w:r>
          </w:p>
        </w:tc>
        <w:tc>
          <w:tcPr>
            <w:tcW w:w="13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23"/>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85">
              <w:r>
                <w:rPr>
                  <w:rFonts w:ascii="Arial" w:cs="Arial" w:eastAsia="Arial" w:hAnsi="Arial"/>
                  <w:sz w:val="14"/>
                  <w:szCs w:val="14"/>
                  <w:color w:val="0000FF"/>
                  <w:w w:val="81"/>
                </w:rPr>
                <w:t>4.</w:t>
              </w:r>
              <w:r>
                <w:rPr>
                  <w:rFonts w:ascii="Arial" w:cs="Arial" w:eastAsia="Arial" w:hAnsi="Arial"/>
                  <w:sz w:val="14"/>
                  <w:szCs w:val="14"/>
                  <w:u w:val="single" w:color="auto"/>
                  <w:color w:val="0000FF"/>
                  <w:w w:val="81"/>
                </w:rPr>
                <w:t>3</w:t>
              </w:r>
            </w:hyperlink>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Form of 1.000% Note due 2026</w:t>
            </w:r>
          </w:p>
        </w:tc>
        <w:tc>
          <w:tcPr>
            <w:tcW w:w="2160" w:type="dxa"/>
            <w:vAlign w:val="bottom"/>
            <w:gridSpan w:val="2"/>
          </w:tcPr>
          <w:p>
            <w:pPr>
              <w:spacing w:after="0"/>
              <w:rPr>
                <w:sz w:val="20"/>
                <w:szCs w:val="20"/>
                <w:color w:val="auto"/>
              </w:rPr>
            </w:pPr>
            <w:r>
              <w:rPr>
                <w:rFonts w:ascii="Arial" w:cs="Arial" w:eastAsia="Arial" w:hAnsi="Arial"/>
                <w:sz w:val="14"/>
                <w:szCs w:val="14"/>
                <w:color w:val="auto"/>
              </w:rPr>
              <w:t>Form 8-K</w:t>
            </w:r>
          </w:p>
        </w:tc>
        <w:tc>
          <w:tcPr>
            <w:tcW w:w="1460" w:type="dxa"/>
            <w:vAlign w:val="bottom"/>
            <w:gridSpan w:val="2"/>
          </w:tcPr>
          <w:p>
            <w:pPr>
              <w:spacing w:after="0"/>
              <w:rPr>
                <w:sz w:val="20"/>
                <w:szCs w:val="20"/>
                <w:color w:val="auto"/>
              </w:rPr>
            </w:pPr>
            <w:r>
              <w:rPr>
                <w:rFonts w:ascii="Arial" w:cs="Arial" w:eastAsia="Arial" w:hAnsi="Arial"/>
                <w:sz w:val="14"/>
                <w:szCs w:val="14"/>
                <w:color w:val="auto"/>
              </w:rPr>
              <w:t>March 5, 2021</w:t>
            </w:r>
          </w:p>
        </w:tc>
        <w:tc>
          <w:tcPr>
            <w:tcW w:w="13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3"/>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85">
              <w:r>
                <w:rPr>
                  <w:rFonts w:ascii="Arial" w:cs="Arial" w:eastAsia="Arial" w:hAnsi="Arial"/>
                  <w:sz w:val="14"/>
                  <w:szCs w:val="14"/>
                  <w:color w:val="0000FF"/>
                  <w:w w:val="81"/>
                </w:rPr>
                <w:t>4.</w:t>
              </w:r>
              <w:r>
                <w:rPr>
                  <w:rFonts w:ascii="Arial" w:cs="Arial" w:eastAsia="Arial" w:hAnsi="Arial"/>
                  <w:sz w:val="14"/>
                  <w:szCs w:val="14"/>
                  <w:u w:val="single" w:color="auto"/>
                  <w:color w:val="0000FF"/>
                  <w:w w:val="81"/>
                </w:rPr>
                <w:t>4</w:t>
              </w:r>
            </w:hyperlink>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Form of 2.200% Note due 2031</w:t>
            </w:r>
          </w:p>
        </w:tc>
        <w:tc>
          <w:tcPr>
            <w:tcW w:w="2160" w:type="dxa"/>
            <w:vAlign w:val="bottom"/>
            <w:gridSpan w:val="2"/>
          </w:tcPr>
          <w:p>
            <w:pPr>
              <w:spacing w:after="0"/>
              <w:rPr>
                <w:sz w:val="20"/>
                <w:szCs w:val="20"/>
                <w:color w:val="auto"/>
              </w:rPr>
            </w:pPr>
            <w:r>
              <w:rPr>
                <w:rFonts w:ascii="Arial" w:cs="Arial" w:eastAsia="Arial" w:hAnsi="Arial"/>
                <w:sz w:val="14"/>
                <w:szCs w:val="14"/>
                <w:color w:val="auto"/>
              </w:rPr>
              <w:t>Form 8-K</w:t>
            </w:r>
          </w:p>
        </w:tc>
        <w:tc>
          <w:tcPr>
            <w:tcW w:w="1460" w:type="dxa"/>
            <w:vAlign w:val="bottom"/>
            <w:gridSpan w:val="2"/>
          </w:tcPr>
          <w:p>
            <w:pPr>
              <w:spacing w:after="0"/>
              <w:rPr>
                <w:sz w:val="20"/>
                <w:szCs w:val="20"/>
                <w:color w:val="auto"/>
              </w:rPr>
            </w:pPr>
            <w:r>
              <w:rPr>
                <w:rFonts w:ascii="Arial" w:cs="Arial" w:eastAsia="Arial" w:hAnsi="Arial"/>
                <w:sz w:val="14"/>
                <w:szCs w:val="14"/>
                <w:color w:val="auto"/>
              </w:rPr>
              <w:t>March 5, 2021</w:t>
            </w:r>
          </w:p>
        </w:tc>
        <w:tc>
          <w:tcPr>
            <w:tcW w:w="13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7"/>
        </w:trPr>
        <w:tc>
          <w:tcPr>
            <w:tcW w:w="680" w:type="dxa"/>
            <w:vAlign w:val="bottom"/>
            <w:gridSpan w:val="3"/>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5540" w:type="dxa"/>
            <w:vAlign w:val="bottom"/>
          </w:tcPr>
          <w:p>
            <w:pPr>
              <w:ind w:left="60"/>
              <w:spacing w:after="0"/>
              <w:rPr>
                <w:sz w:val="20"/>
                <w:szCs w:val="20"/>
                <w:color w:val="auto"/>
              </w:rPr>
            </w:pPr>
            <w:r>
              <w:rPr>
                <w:rFonts w:ascii="Arial" w:cs="Arial" w:eastAsia="Arial" w:hAnsi="Arial"/>
                <w:sz w:val="14"/>
                <w:szCs w:val="14"/>
                <w:color w:val="auto"/>
                <w:w w:val="96"/>
              </w:rPr>
              <w:t>Certification of Chief Executive Officer pursuant to Exchange Act Rules 13a-14(a) and 15d-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540" w:type="dxa"/>
            <w:vAlign w:val="bottom"/>
          </w:tcPr>
          <w:p>
            <w:pPr>
              <w:ind w:left="60"/>
              <w:spacing w:after="0" w:line="155" w:lineRule="exact"/>
              <w:rPr>
                <w:sz w:val="20"/>
                <w:szCs w:val="20"/>
                <w:color w:val="auto"/>
              </w:rPr>
            </w:pPr>
            <w:r>
              <w:rPr>
                <w:rFonts w:ascii="Arial" w:cs="Arial" w:eastAsia="Arial" w:hAnsi="Arial"/>
                <w:sz w:val="14"/>
                <w:szCs w:val="14"/>
                <w:color w:val="auto"/>
              </w:rPr>
              <w:t>14(a), as adopted pursuant to Section 302 of the Sarbanes-Oxley Act of 2002</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5540" w:type="dxa"/>
            <w:vAlign w:val="bottom"/>
          </w:tcPr>
          <w:p>
            <w:pPr>
              <w:ind w:left="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540" w:type="dxa"/>
            <w:vAlign w:val="bottom"/>
            <w:vMerge w:val="restart"/>
          </w:tcPr>
          <w:p>
            <w:pPr>
              <w:ind w:left="60"/>
              <w:spacing w:after="0"/>
              <w:rPr>
                <w:sz w:val="20"/>
                <w:szCs w:val="20"/>
                <w:color w:val="auto"/>
              </w:rPr>
            </w:pPr>
            <w:r>
              <w:rPr>
                <w:rFonts w:ascii="Arial" w:cs="Arial" w:eastAsia="Arial" w:hAnsi="Arial"/>
                <w:sz w:val="14"/>
                <w:szCs w:val="14"/>
                <w:color w:val="auto"/>
              </w:rPr>
              <w:t>14(a), as adopted pursuant to Section 302 of the Sarbanes-Oxley Act of 2002</w:t>
            </w: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80" w:type="dxa"/>
            <w:vAlign w:val="bottom"/>
            <w:gridSpan w:val="3"/>
            <w:vMerge w:val="restart"/>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8"/>
                <w:szCs w:val="18"/>
                <w:color w:val="000000"/>
                <w:vertAlign w:val="superscript"/>
              </w:rPr>
              <w:t>#</w:t>
            </w:r>
          </w:p>
        </w:tc>
        <w:tc>
          <w:tcPr>
            <w:tcW w:w="554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0" w:type="dxa"/>
            <w:vAlign w:val="bottom"/>
            <w:gridSpan w:val="3"/>
            <w:vMerge w:val="continue"/>
          </w:tcPr>
          <w:p>
            <w:pPr>
              <w:spacing w:after="0"/>
              <w:rPr>
                <w:sz w:val="17"/>
                <w:szCs w:val="17"/>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w w:val="99"/>
              </w:rPr>
              <w:t>Certifications of Chief Executive Officer and Chief Financial Officer pursuant to 18 U.S.C.</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540" w:type="dxa"/>
            <w:vAlign w:val="bottom"/>
          </w:tcPr>
          <w:p>
            <w:pPr>
              <w:ind w:left="60"/>
              <w:spacing w:after="0" w:line="155" w:lineRule="exact"/>
              <w:rPr>
                <w:sz w:val="20"/>
                <w:szCs w:val="20"/>
                <w:color w:val="auto"/>
              </w:rPr>
            </w:pPr>
            <w:r>
              <w:rPr>
                <w:rFonts w:ascii="Arial" w:cs="Arial" w:eastAsia="Arial" w:hAnsi="Arial"/>
                <w:sz w:val="14"/>
                <w:szCs w:val="14"/>
                <w:color w:val="auto"/>
              </w:rPr>
              <w:t>Section 1350, as adopted pursuant to Section 906 of the Sarbanes-Oxley Act of 2002</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0" w:type="dxa"/>
            <w:vAlign w:val="bottom"/>
            <w:gridSpan w:val="3"/>
          </w:tcPr>
          <w:p>
            <w:pPr>
              <w:spacing w:after="0"/>
              <w:rPr>
                <w:sz w:val="20"/>
                <w:szCs w:val="20"/>
                <w:color w:val="auto"/>
              </w:rPr>
            </w:pPr>
            <w:r>
              <w:rPr>
                <w:rFonts w:ascii="Arial" w:cs="Arial" w:eastAsia="Arial" w:hAnsi="Arial"/>
                <w:sz w:val="14"/>
                <w:szCs w:val="14"/>
                <w:color w:val="auto"/>
              </w:rPr>
              <w:t>101.INS*</w:t>
            </w:r>
          </w:p>
        </w:tc>
        <w:tc>
          <w:tcPr>
            <w:tcW w:w="5540" w:type="dxa"/>
            <w:vAlign w:val="bottom"/>
          </w:tcPr>
          <w:p>
            <w:pPr>
              <w:ind w:left="60"/>
              <w:spacing w:after="0"/>
              <w:rPr>
                <w:sz w:val="20"/>
                <w:szCs w:val="20"/>
                <w:color w:val="auto"/>
              </w:rPr>
            </w:pPr>
            <w:r>
              <w:rPr>
                <w:rFonts w:ascii="Arial" w:cs="Arial" w:eastAsia="Arial" w:hAnsi="Arial"/>
                <w:sz w:val="14"/>
                <w:szCs w:val="14"/>
                <w:color w:val="auto"/>
                <w:w w:val="97"/>
              </w:rPr>
              <w:t>Inline XBRL Instance Document - the instance document does not appear in the interactive</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80" w:type="dxa"/>
            <w:vAlign w:val="bottom"/>
            <w:gridSpan w:val="3"/>
          </w:tcPr>
          <w:p>
            <w:pPr>
              <w:spacing w:after="0"/>
              <w:rPr>
                <w:sz w:val="20"/>
                <w:szCs w:val="20"/>
                <w:color w:val="auto"/>
              </w:rPr>
            </w:pPr>
            <w:r>
              <w:rPr>
                <w:rFonts w:ascii="Arial" w:cs="Arial" w:eastAsia="Arial" w:hAnsi="Arial"/>
                <w:sz w:val="14"/>
                <w:szCs w:val="14"/>
                <w:color w:val="auto"/>
              </w:rPr>
              <w:t>101.SCH*</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Schema Document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101.CAL*</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Calculation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101.DEF*</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Definition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101.LAB*</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Label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gridSpan w:val="3"/>
          </w:tcPr>
          <w:p>
            <w:pPr>
              <w:spacing w:after="0"/>
              <w:rPr>
                <w:sz w:val="20"/>
                <w:szCs w:val="20"/>
                <w:color w:val="auto"/>
              </w:rPr>
            </w:pPr>
            <w:r>
              <w:rPr>
                <w:rFonts w:ascii="Arial" w:cs="Arial" w:eastAsia="Arial" w:hAnsi="Arial"/>
                <w:sz w:val="14"/>
                <w:szCs w:val="14"/>
                <w:color w:val="auto"/>
              </w:rPr>
              <w:t>101.PRE*</w:t>
            </w:r>
          </w:p>
        </w:tc>
        <w:tc>
          <w:tcPr>
            <w:tcW w:w="5540" w:type="dxa"/>
            <w:vAlign w:val="bottom"/>
          </w:tcPr>
          <w:p>
            <w:pPr>
              <w:ind w:left="60"/>
              <w:spacing w:after="0"/>
              <w:rPr>
                <w:sz w:val="20"/>
                <w:szCs w:val="20"/>
                <w:color w:val="auto"/>
              </w:rPr>
            </w:pPr>
            <w:r>
              <w:rPr>
                <w:rFonts w:ascii="Arial" w:cs="Arial" w:eastAsia="Arial" w:hAnsi="Arial"/>
                <w:sz w:val="14"/>
                <w:szCs w:val="14"/>
                <w:color w:val="auto"/>
              </w:rPr>
              <w:t>Inline XBRL Taxonomy Extension Presentation Linkbase Document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80" w:type="dxa"/>
            <w:vAlign w:val="bottom"/>
            <w:gridSpan w:val="3"/>
          </w:tcPr>
          <w:p>
            <w:pPr>
              <w:spacing w:after="0"/>
              <w:rPr>
                <w:sz w:val="20"/>
                <w:szCs w:val="20"/>
                <w:color w:val="auto"/>
              </w:rPr>
            </w:pPr>
            <w:r>
              <w:rPr>
                <w:rFonts w:ascii="Arial" w:cs="Arial" w:eastAsia="Arial" w:hAnsi="Arial"/>
                <w:sz w:val="14"/>
                <w:szCs w:val="14"/>
                <w:color w:val="auto"/>
              </w:rPr>
              <w:t>104*</w:t>
            </w:r>
          </w:p>
        </w:tc>
        <w:tc>
          <w:tcPr>
            <w:tcW w:w="5540" w:type="dxa"/>
            <w:vAlign w:val="bottom"/>
          </w:tcPr>
          <w:p>
            <w:pPr>
              <w:ind w:left="60"/>
              <w:spacing w:after="0"/>
              <w:rPr>
                <w:sz w:val="20"/>
                <w:szCs w:val="20"/>
                <w:color w:val="auto"/>
              </w:rPr>
            </w:pPr>
            <w:r>
              <w:rPr>
                <w:rFonts w:ascii="Arial" w:cs="Arial" w:eastAsia="Arial" w:hAnsi="Arial"/>
                <w:sz w:val="14"/>
                <w:szCs w:val="14"/>
                <w:color w:val="auto"/>
                <w:w w:val="96"/>
              </w:rPr>
              <w:t>Cover Page Interactive Data File - the cover page from the Company’s Quarterly Report on</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Arial" w:cs="Arial" w:eastAsia="Arial" w:hAnsi="Arial"/>
                <w:sz w:val="14"/>
                <w:szCs w:val="14"/>
                <w:color w:val="auto"/>
              </w:rPr>
              <w:t>Form 10-Q for the quarter ended March 31, 2021 is formatted in inline XBRL.</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35"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1" w:lineRule="auto"/>
        <w:tabs>
          <w:tab w:leader="none" w:pos="100" w:val="left"/>
        </w:tabs>
        <w:numPr>
          <w:ilvl w:val="0"/>
          <w:numId w:val="45"/>
        </w:numPr>
        <w:rPr>
          <w:rFonts w:ascii="Arial" w:cs="Arial" w:eastAsia="Arial" w:hAnsi="Arial"/>
          <w:sz w:val="23"/>
          <w:szCs w:val="23"/>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7140" w:val="left"/>
          <w:tab w:leader="none" w:pos="7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189" w:lineRule="exact"/>
        <w:rPr>
          <w:sz w:val="20"/>
          <w:szCs w:val="20"/>
          <w:color w:val="auto"/>
        </w:rPr>
      </w:pPr>
    </w:p>
    <w:p>
      <w:pPr>
        <w:ind w:left="3540"/>
        <w:spacing w:after="0"/>
        <w:tabs>
          <w:tab w:leader="none" w:pos="6800" w:val="left"/>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45345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1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27" w:lineRule="exact"/>
        <w:rPr>
          <w:sz w:val="20"/>
          <w:szCs w:val="20"/>
          <w:color w:val="auto"/>
        </w:rPr>
      </w:pPr>
    </w:p>
    <w:p>
      <w:pPr>
        <w:jc w:val="center"/>
        <w:ind w:left="40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20" w:top="283" w:right="3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14605</wp:posOffset>
            </wp:positionV>
            <wp:extent cx="2922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Ken Xie</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922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Keith Jensen</w:t>
      </w:r>
    </w:p>
    <w:p>
      <w:pPr>
        <w:spacing w:after="0" w:line="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ind w:left="63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2021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Xie</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Date:   May 3, 2021</w:t>
            </w:r>
          </w:p>
        </w:tc>
        <w:tc>
          <w:tcPr>
            <w:tcW w:w="2900" w:type="dxa"/>
            <w:vAlign w:val="bottom"/>
          </w:tcPr>
          <w:p>
            <w:pPr>
              <w:ind w:left="22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176"/>
        </w:trPr>
        <w:tc>
          <w:tcPr>
            <w:tcW w:w="3720" w:type="dxa"/>
            <w:vAlign w:val="bottom"/>
          </w:tcPr>
          <w:p>
            <w:pPr>
              <w:spacing w:after="0"/>
              <w:rPr>
                <w:sz w:val="15"/>
                <w:szCs w:val="15"/>
                <w:color w:val="auto"/>
              </w:rPr>
            </w:pPr>
          </w:p>
        </w:tc>
        <w:tc>
          <w:tcPr>
            <w:tcW w:w="2900" w:type="dxa"/>
            <w:vAlign w:val="bottom"/>
          </w:tcPr>
          <w:p>
            <w:pPr>
              <w:ind w:left="22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March 31, 2021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Jensen</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Date:   May 3, 2021</w:t>
            </w:r>
          </w:p>
        </w:tc>
        <w:tc>
          <w:tcPr>
            <w:tcW w:w="2900" w:type="dxa"/>
            <w:vAlign w:val="bottom"/>
          </w:tcPr>
          <w:p>
            <w:pPr>
              <w:ind w:left="220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176"/>
        </w:trPr>
        <w:tc>
          <w:tcPr>
            <w:tcW w:w="3720" w:type="dxa"/>
            <w:vAlign w:val="bottom"/>
          </w:tcPr>
          <w:p>
            <w:pPr>
              <w:spacing w:after="0"/>
              <w:rPr>
                <w:sz w:val="15"/>
                <w:szCs w:val="15"/>
                <w:color w:val="auto"/>
              </w:rPr>
            </w:pPr>
          </w:p>
        </w:tc>
        <w:tc>
          <w:tcPr>
            <w:tcW w:w="2900" w:type="dxa"/>
            <w:vAlign w:val="bottom"/>
          </w:tcPr>
          <w:p>
            <w:pPr>
              <w:ind w:left="2200"/>
              <w:spacing w:after="0" w:line="176" w:lineRule="exact"/>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w w:val="95"/>
              </w:rPr>
              <w:t>(Principal Financial Officer and Principal Accounting Officer)</w:t>
            </w:r>
          </w:p>
        </w:tc>
      </w:tr>
    </w:tbl>
    <w:p>
      <w:pPr>
        <w:spacing w:after="0" w:line="200" w:lineRule="exact"/>
        <w:rPr>
          <w:sz w:val="20"/>
          <w:szCs w:val="20"/>
          <w:color w:val="auto"/>
        </w:rPr>
      </w:pPr>
    </w:p>
    <w:p>
      <w:pPr>
        <w:spacing w:after="0" w:line="28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7"/>
    </w:lvl>
  </w:abstractNum>
  <w:abstractNum w:abstractNumId="8">
    <w:nsid w:val="2CA88611"/>
    <w:multiLevelType w:val="hybridMultilevel"/>
    <w:lvl w:ilvl="0">
      <w:lvlJc w:val="left"/>
      <w:lvlText w:val="%1."/>
      <w:numFmt w:val="decimal"/>
      <w:start w:val="8"/>
    </w:lvl>
  </w:abstractNum>
  <w:abstractNum w:abstractNumId="9">
    <w:nsid w:val="836C40E"/>
    <w:multiLevelType w:val="hybridMultilevel"/>
    <w:lvl w:ilvl="0">
      <w:lvlJc w:val="left"/>
      <w:lvlText w:val="%1."/>
      <w:numFmt w:val="decimal"/>
      <w:start w:val="10"/>
    </w:lvl>
  </w:abstractNum>
  <w:abstractNum w:abstractNumId="10">
    <w:nsid w:val="2901D82"/>
    <w:multiLevelType w:val="hybridMultilevel"/>
    <w:lvl w:ilvl="0">
      <w:lvlJc w:val="left"/>
      <w:lvlText w:val="%1."/>
      <w:numFmt w:val="decimal"/>
      <w:start w:val="1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2"/>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1."/>
      <w:numFmt w:val="decimal"/>
      <w:start w:val="15"/>
    </w:lvl>
  </w:abstractNum>
  <w:abstractNum w:abstractNumId="16">
    <w:nsid w:val="6CEAF087"/>
    <w:multiLevelType w:val="hybridMultilevel"/>
    <w:lvl w:ilvl="0">
      <w:lvlJc w:val="left"/>
      <w:lvlText w:val="%1."/>
      <w:numFmt w:val="decimal"/>
      <w:start w:val="16"/>
    </w:lvl>
  </w:abstractNum>
  <w:abstractNum w:abstractNumId="17">
    <w:nsid w:val="22221A70"/>
    <w:multiLevelType w:val="hybridMultilevel"/>
    <w:lvl w:ilvl="0">
      <w:lvlJc w:val="left"/>
      <w:lvlText w:val="%1."/>
      <w:numFmt w:val="decimal"/>
      <w:start w:val="17"/>
    </w:lvl>
  </w:abstractNum>
  <w:abstractNum w:abstractNumId="18">
    <w:nsid w:val="4516DDE9"/>
    <w:multiLevelType w:val="hybridMultilevel"/>
    <w:lvl w:ilvl="0">
      <w:lvlJc w:val="left"/>
      <w:lvlText w:val="%1."/>
      <w:numFmt w:val="decimal"/>
      <w:start w:val="18"/>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3" Type="http://schemas.openxmlformats.org/officeDocument/2006/relationships/hyperlink" Target="https://www.sec.gov/Archives/edgar/data/1262039/000110465921056360/tm2114350d1_ex3-1.htm" TargetMode="External"/><Relationship Id="rId84" Type="http://schemas.openxmlformats.org/officeDocument/2006/relationships/hyperlink" Target="https://www.sec.gov/Archives/edgar/data/1262039/000119312521071498/d101443dex41.htm" TargetMode="External"/><Relationship Id="rId85" Type="http://schemas.openxmlformats.org/officeDocument/2006/relationships/hyperlink" Target="https://www.sec.gov/Archives/edgar/data/1262039/000119312521071498/d10144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2021-05-03T16:17:42Z</dcterms:created>
  <dcterms:modified xsi:type="dcterms:W3CDTF">2021-05-03T16:17:42Z</dcterms:modified>
</cp:coreProperties>
</file>