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758825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673100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740" w:right="1760" w:hanging="3705"/>
        <w:spacing w:after="0" w:line="461"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2014</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p>
      <w:pPr>
        <w:ind w:left="38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-7620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14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00"/>
          </w:cols>
          <w:pgMar w:left="240" w:top="229" w:right="35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400"/>
          </w:cols>
          <w:pgMar w:left="240" w:top="229" w:right="35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400"/>
          </w:cols>
          <w:pgMar w:left="240" w:top="229" w:right="3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3">
            <w:col w:w="7700" w:space="180"/>
            <w:col w:w="440" w:space="220"/>
            <w:col w:w="2760"/>
          </w:cols>
          <w:pgMar w:left="240" w:top="229" w:right="3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As of October 31, 2014, there were 164,855,943 shares of the registrant’s common stock outstanding.</w:t>
      </w:r>
    </w:p>
    <w:p>
      <w:pPr>
        <w:sectPr>
          <w:pgSz w:w="11900" w:h="16838" w:orient="portrait"/>
          <w:cols w:equalWidth="0" w:num="1">
            <w:col w:w="11300"/>
          </w:cols>
          <w:pgMar w:left="240" w:top="229" w:right="3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September 30, 2014</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40" w:type="dxa"/>
            <w:vAlign w:val="bottom"/>
            <w:gridSpan w:val="6"/>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280" w:type="dxa"/>
            <w:vAlign w:val="bottom"/>
            <w:gridSpan w:val="9"/>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2014 and December 31, 2013</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Statements of Operations for the Three and Nine Months Ended September 30, 2014 and 2013</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Comprehensive Income for the Three and Nine Months Ended September 30, 2014 and</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2013</w:t>
              </w:r>
            </w:hyperlink>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9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2014 and 2013</w:t>
              </w:r>
            </w:hyperlink>
          </w:p>
        </w:tc>
        <w:tc>
          <w:tcPr>
            <w:tcW w:w="150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440" w:type="dxa"/>
            <w:vAlign w:val="bottom"/>
            <w:gridSpan w:val="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0"/>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334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4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588"/>
        </w:trPr>
        <w:tc>
          <w:tcPr>
            <w:tcW w:w="9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420" w:type="dxa"/>
            <w:vAlign w:val="bottom"/>
          </w:tcPr>
          <w:p>
            <w:pPr>
              <w:spacing w:after="0"/>
              <w:rPr>
                <w:sz w:val="21"/>
                <w:szCs w:val="21"/>
                <w:color w:val="auto"/>
              </w:rPr>
            </w:pPr>
          </w:p>
        </w:tc>
        <w:tc>
          <w:tcPr>
            <w:tcW w:w="846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Exhibits</w:t>
              </w:r>
            </w:hyperlink>
          </w:p>
        </w:tc>
        <w:tc>
          <w:tcPr>
            <w:tcW w:w="3740" w:type="dxa"/>
            <w:vAlign w:val="bottom"/>
            <w:gridSpan w:val="7"/>
          </w:tcPr>
          <w:p>
            <w:pPr>
              <w:spacing w:after="0"/>
              <w:rPr>
                <w:sz w:val="21"/>
                <w:szCs w:val="21"/>
                <w:color w:val="auto"/>
              </w:rPr>
            </w:pPr>
          </w:p>
        </w:tc>
        <w:tc>
          <w:tcPr>
            <w:tcW w:w="54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3"/>
              </w:rPr>
            </w:pPr>
            <w:hyperlink w:anchor="page60">
              <w:r>
                <w:rPr>
                  <w:rFonts w:ascii="Arial" w:cs="Arial" w:eastAsia="Arial" w:hAnsi="Arial"/>
                  <w:sz w:val="18"/>
                  <w:szCs w:val="18"/>
                  <w:color w:val="0000EE"/>
                  <w:w w:val="83"/>
                </w:rPr>
                <w:t>Signatures</w:t>
              </w:r>
            </w:hyperlink>
          </w:p>
        </w:tc>
        <w:tc>
          <w:tcPr>
            <w:tcW w:w="902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rPr>
              <w:t>Part I</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30"/>
        </w:trPr>
        <w:tc>
          <w:tcPr>
            <w:tcW w:w="83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rPr>
              <w:t>FORTINET, INC.</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9"/>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340" w:type="dxa"/>
            <w:vAlign w:val="bottom"/>
          </w:tcPr>
          <w:p>
            <w:pPr>
              <w:jc w:val="center"/>
              <w:ind w:left="301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115,873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402,495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375,497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Accounts receivable—Net of allowance for doubtful accounts and sales returns of $5,537 and $4,605 as of</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September 30, 2014 and December 31, 2013,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130,471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48,672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16,826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14,053</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896,440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735,546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303,168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351,675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30,058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INTANGIBLE ASSETS—Net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6,841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4,820</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1,312,601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1,168,464</w:t>
            </w:r>
          </w:p>
        </w:tc>
      </w:tr>
      <w:tr>
        <w:trPr>
          <w:trHeight w:val="176"/>
        </w:trPr>
        <w:tc>
          <w:tcPr>
            <w:tcW w:w="8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36,520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35,599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Accrued payroll and compensation</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40,692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34,997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329,132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293,664</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170,880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138,964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582,704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3"/>
              </w:rPr>
              <w:t>Common stock, $0.001 par value — 300,000 shares authorized; 164,904 and 161,535 shares issued and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500"/>
              <w:spacing w:after="0"/>
              <w:rPr>
                <w:sz w:val="20"/>
                <w:szCs w:val="20"/>
                <w:color w:val="auto"/>
              </w:rPr>
            </w:pPr>
            <w:r>
              <w:rPr>
                <w:rFonts w:ascii="Arial" w:cs="Arial" w:eastAsia="Arial" w:hAnsi="Arial"/>
                <w:sz w:val="18"/>
                <w:szCs w:val="18"/>
                <w:color w:val="auto"/>
              </w:rPr>
              <w:t>outstanding as of September 30, 2014 and December 31, 2013, respectively</w:t>
            </w:r>
          </w:p>
        </w:tc>
        <w:tc>
          <w:tcPr>
            <w:tcW w:w="1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462,644</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1,092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121,863</w:t>
            </w: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649,226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585,760</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1,312,601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1,168,464</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87,731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69,687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249,880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194,162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85,012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243,785</w:t>
            </w:r>
          </w:p>
        </w:tc>
        <w:tc>
          <w:tcPr>
            <w:tcW w:w="0" w:type="dxa"/>
            <w:vAlign w:val="bottom"/>
          </w:tcPr>
          <w:p>
            <w:pPr>
              <w:spacing w:after="0"/>
              <w:rPr>
                <w:sz w:val="1"/>
                <w:szCs w:val="1"/>
                <w:color w:val="auto"/>
              </w:rPr>
            </w:pPr>
          </w:p>
        </w:tc>
      </w:tr>
      <w:tr>
        <w:trPr>
          <w:trHeight w:val="237"/>
        </w:trPr>
        <w:tc>
          <w:tcPr>
            <w:tcW w:w="562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193,348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154,699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546,395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437,947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35,636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105,230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77,032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49,734</w:t>
            </w:r>
          </w:p>
        </w:tc>
        <w:tc>
          <w:tcPr>
            <w:tcW w:w="0" w:type="dxa"/>
            <w:vAlign w:val="bottom"/>
          </w:tcPr>
          <w:p>
            <w:pPr>
              <w:spacing w:after="0"/>
              <w:rPr>
                <w:sz w:val="1"/>
                <w:szCs w:val="1"/>
                <w:color w:val="auto"/>
              </w:rPr>
            </w:pPr>
          </w:p>
        </w:tc>
      </w:tr>
      <w:tr>
        <w:trPr>
          <w:trHeight w:val="237"/>
        </w:trPr>
        <w:tc>
          <w:tcPr>
            <w:tcW w:w="562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56,885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43,930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165,385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126,766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52,095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42,561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144,650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117,130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194,051</w:t>
            </w:r>
          </w:p>
        </w:tc>
        <w:tc>
          <w:tcPr>
            <w:tcW w:w="0" w:type="dxa"/>
            <w:vAlign w:val="bottom"/>
          </w:tcPr>
          <w:p>
            <w:pPr>
              <w:spacing w:after="0"/>
              <w:rPr>
                <w:sz w:val="1"/>
                <w:szCs w:val="1"/>
                <w:color w:val="auto"/>
              </w:rPr>
            </w:pPr>
          </w:p>
        </w:tc>
      </w:tr>
      <w:tr>
        <w:trPr>
          <w:trHeight w:val="237"/>
        </w:trPr>
        <w:tc>
          <w:tcPr>
            <w:tcW w:w="562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136,463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110,769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381,010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311,181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30,790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89,783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74,913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222,576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162,660</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9,789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26,161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92,490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341,602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263,734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50,399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11,729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22,901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18,142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32,257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 (Note 7):</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164,294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162,906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163,289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162,150</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168,666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168,735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168,054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32,257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income—net of taxes: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(losses) gains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(losses) gains on investments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Tax benefit (provision) related to items of other comprehensive loss or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income—net of taxes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12,332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30,819</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8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2013</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18,530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32,257</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16,519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11,511</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8,900</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42,313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31,784</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stock-based compensation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Other non-cash items—net</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3,801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520</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13,140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589</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(31,344)</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(12,186)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(14,806)</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893</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11,054</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2,818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3,630</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5,651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1,400</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36,425</w:t>
            </w:r>
          </w:p>
        </w:tc>
      </w:tr>
      <w:tr>
        <w:trPr>
          <w:trHeight w:val="264"/>
        </w:trPr>
        <w:tc>
          <w:tcPr>
            <w:tcW w:w="834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11,202</w:t>
            </w:r>
          </w:p>
        </w:tc>
      </w:tr>
      <w:tr>
        <w:trPr>
          <w:trHeight w:val="256"/>
        </w:trPr>
        <w:tc>
          <w:tcPr>
            <w:tcW w:w="83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161,218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100,716</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(388,808)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(419,124)</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Sales of investments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27,282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25,488</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Maturities of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371,837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303,852</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(26,802)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(6,729)</w:t>
            </w: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made in connection with acquisitions—net of cash acquired</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(7,635)</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(16,508)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(104,148)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40,529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24,470</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Excess tax benefit from stock-based compensation</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4,325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2,504</w:t>
            </w: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(38,235)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provided by financing activities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26,008</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0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142,223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21,571</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115,873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122,975</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258,096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144,546</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for income taxes—net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38,755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19,721</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1,349</w:t>
            </w:r>
          </w:p>
        </w:tc>
      </w:tr>
      <w:tr>
        <w:trPr>
          <w:trHeight w:val="21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incurred for repurchase of common stock</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8340" w:type="dxa"/>
            <w:vAlign w:val="bottom"/>
          </w:tcPr>
          <w:p>
            <w:pPr>
              <w:ind w:left="500"/>
              <w:spacing w:after="0"/>
              <w:rPr>
                <w:sz w:val="20"/>
                <w:szCs w:val="20"/>
                <w:color w:val="auto"/>
              </w:rPr>
            </w:pPr>
            <w:r>
              <w:rPr>
                <w:rFonts w:ascii="Arial" w:cs="Arial" w:eastAsia="Arial" w:hAnsi="Arial"/>
                <w:sz w:val="14"/>
                <w:szCs w:val="14"/>
                <w:color w:val="auto"/>
              </w:rPr>
              <w:t>Liability incurred in connection with business acquisition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100</w:t>
            </w:r>
          </w:p>
        </w:tc>
      </w:tr>
      <w:tr>
        <w:trPr>
          <w:trHeight w:val="20"/>
        </w:trPr>
        <w:tc>
          <w:tcPr>
            <w:tcW w:w="8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94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948"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(“GAAP”) in the United States (“U.S.”) for interim financial information as well as the instructions to Form 10-Q pursuant to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fiscal year ended December 31, 2013, contained in our Annual Report on Form 10-K (“Form 10-K”) filed with the SEC on March 3, 2014. In the opinion of management, all adjustments, which includes normal recurring adjustments, considered necessary for a fair presentation have been included. All intercompany balances, transactions and cash flows have been eliminated. The results of operations for the three and nine months ended September 30, 2014 are not necessarily indicative of the operating results for the full year or for any future periods. The condensed consolidated balance sheets as of December 31, 2013 are derived from the audited consolidated financial statements for the year ended December 31, 2013.</w:t>
      </w:r>
    </w:p>
    <w:p>
      <w:pPr>
        <w:spacing w:after="0" w:line="18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There have been no material changes to our significant accounting policies as of and for the three and nine months ended September 30, 2014. During the first quarter of fiscal 2014, we prospectively modified the expected term calculation used in accounting for stock-based compensation expense and the estimated useful lives of building improvements, and furniture and fixtures. During the third quarter of fiscal 2014, we reevaluated the functional currency selection for certain of our international subsidiaries and prospectively applied the U.S. dollar.</w:t>
      </w:r>
    </w:p>
    <w:p>
      <w:pPr>
        <w:spacing w:after="0" w:line="183"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Stock-Based Compensation Expense</w:t>
      </w:r>
      <w:r>
        <w:rPr>
          <w:rFonts w:ascii="Arial" w:cs="Arial" w:eastAsia="Arial" w:hAnsi="Arial"/>
          <w:sz w:val="18"/>
          <w:szCs w:val="18"/>
          <w:color w:val="auto"/>
        </w:rPr>
        <w:t>—Beginning in the first quarter of fiscal 2014, we changed the methodology of calculating the expected term,</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one of the assumptions used in determining the fair value of our employee stock options under the Black Scholes option pricing model. The expected term represents the period that our stock-based awards are estimated to be outstanding. We believe that we have sufficient historical experience since becoming a publicly-traded company for estimating the expected term of the stock option awards, and therefore, we calculated our expected term based on historical experience instead of using the simplified method.</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Currency Translation Adjustment</w:t>
      </w:r>
      <w:r>
        <w:rPr>
          <w:rFonts w:ascii="Arial" w:cs="Arial" w:eastAsia="Arial" w:hAnsi="Arial"/>
          <w:sz w:val="17"/>
          <w:szCs w:val="17"/>
          <w:color w:val="auto"/>
        </w:rPr>
        <w:t>—Prior to the third quarter of fiscal 2014, the assets and liabilities of our international subsidiaries were</w:t>
      </w:r>
      <w:r>
        <w:rPr>
          <w:rFonts w:ascii="Arial" w:cs="Arial" w:eastAsia="Arial" w:hAnsi="Arial"/>
          <w:sz w:val="17"/>
          <w:szCs w:val="17"/>
          <w:b w:val="1"/>
          <w:bCs w:val="1"/>
          <w:color w:val="auto"/>
        </w:rPr>
        <w:t xml:space="preserve"> </w:t>
      </w:r>
      <w:r>
        <w:rPr>
          <w:rFonts w:ascii="Arial" w:cs="Arial" w:eastAsia="Arial" w:hAnsi="Arial"/>
          <w:sz w:val="17"/>
          <w:szCs w:val="17"/>
          <w:color w:val="auto"/>
        </w:rPr>
        <w:t>translated into U.S. dollars using the applicable exchange rates. The resulting foreign translation adjustments were included in the consolidated balance sheets as a component of accumulated other comprehensive income (loss) and in the consolidated statements of comprehensive income.</w:t>
      </w:r>
    </w:p>
    <w:p>
      <w:pPr>
        <w:spacing w:after="0" w:line="16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reevaluated the selected functional currency of our international subsidiaries due to the nature of our business operations. We recorded the cumulative impact of the reevaluation of the functional currency in the condensed consolidated statement of operations for the three months ended September 30, 2014. The remeasurement of the assets and liabilities of all international subsidiaries will be recorded in the consolidated statement of operations prospectively. The impact of this reevaluation is not material for any of our previously issued financial statements.</w:t>
      </w:r>
    </w:p>
    <w:p>
      <w:pPr>
        <w:spacing w:after="0" w:line="167"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equipment—net is stated at cost less accumulated depreciation. Depreciation is computed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 over the estimated useful lives of the assets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00" w:type="dxa"/>
            <w:vAlign w:val="bottom"/>
          </w:tcPr>
          <w:p>
            <w:pPr>
              <w:jc w:val="right"/>
              <w:ind w:right="771"/>
              <w:spacing w:after="0"/>
              <w:rPr>
                <w:sz w:val="20"/>
                <w:szCs w:val="20"/>
                <w:color w:val="auto"/>
              </w:rPr>
            </w:pPr>
            <w:r>
              <w:rPr>
                <w:rFonts w:ascii="Arial" w:cs="Arial" w:eastAsia="Arial" w:hAnsi="Arial"/>
                <w:sz w:val="16"/>
                <w:szCs w:val="16"/>
                <w:b w:val="1"/>
                <w:bCs w:val="1"/>
                <w:color w:val="auto"/>
              </w:rPr>
              <w:t>Estimated Useful Lives</w:t>
            </w:r>
          </w:p>
        </w:tc>
      </w:tr>
      <w:tr>
        <w:trPr>
          <w:trHeight w:val="33"/>
        </w:trPr>
        <w:tc>
          <w:tcPr>
            <w:tcW w:w="418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9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Evaluation units</w:t>
            </w:r>
          </w:p>
        </w:tc>
        <w:tc>
          <w:tcPr>
            <w:tcW w:w="3940" w:type="dxa"/>
            <w:vAlign w:val="bottom"/>
          </w:tcPr>
          <w:p>
            <w:pPr>
              <w:spacing w:after="0"/>
              <w:rPr>
                <w:sz w:val="21"/>
                <w:szCs w:val="21"/>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 year</w:t>
            </w:r>
          </w:p>
        </w:tc>
      </w:tr>
      <w:tr>
        <w:trPr>
          <w:trHeight w:val="27"/>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9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years</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940" w:type="dxa"/>
            <w:vAlign w:val="bottom"/>
          </w:tcPr>
          <w:p>
            <w:pPr>
              <w:spacing w:after="0"/>
              <w:rPr>
                <w:sz w:val="21"/>
                <w:szCs w:val="21"/>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9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r>
        <w:trPr>
          <w:trHeight w:val="459"/>
        </w:trPr>
        <w:tc>
          <w:tcPr>
            <w:tcW w:w="4180" w:type="dxa"/>
            <w:vAlign w:val="bottom"/>
          </w:tcPr>
          <w:p>
            <w:pPr>
              <w:spacing w:after="0"/>
              <w:rPr>
                <w:sz w:val="24"/>
                <w:szCs w:val="24"/>
                <w:color w:val="auto"/>
              </w:rPr>
            </w:pPr>
          </w:p>
        </w:tc>
        <w:tc>
          <w:tcPr>
            <w:tcW w:w="3940" w:type="dxa"/>
            <w:vAlign w:val="bottom"/>
          </w:tcPr>
          <w:p>
            <w:pPr>
              <w:jc w:val="right"/>
              <w:ind w:right="2270"/>
              <w:spacing w:after="0"/>
              <w:rPr>
                <w:sz w:val="20"/>
                <w:szCs w:val="20"/>
                <w:color w:val="auto"/>
              </w:rPr>
            </w:pPr>
            <w:r>
              <w:rPr>
                <w:rFonts w:ascii="Arial" w:cs="Arial" w:eastAsia="Arial" w:hAnsi="Arial"/>
                <w:sz w:val="18"/>
                <w:szCs w:val="18"/>
                <w:color w:val="auto"/>
              </w:rPr>
              <w:t>7</w:t>
            </w:r>
          </w:p>
        </w:tc>
        <w:tc>
          <w:tcPr>
            <w:tcW w:w="3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March 2014, we moved into our new corporate headquarters and estimated the useful life of the building and related improvements to be 20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useful life of furniture and fixtures placed in service in the new building is estimated to be 3 to 5 years.</w:t>
      </w:r>
    </w:p>
    <w:p>
      <w:pPr>
        <w:spacing w:after="0" w:line="220" w:lineRule="exact"/>
        <w:rPr>
          <w:sz w:val="20"/>
          <w:szCs w:val="20"/>
          <w:color w:val="auto"/>
        </w:rPr>
      </w:pPr>
    </w:p>
    <w:p>
      <w:pPr>
        <w:ind w:firstLine="648"/>
        <w:spacing w:after="0" w:line="315" w:lineRule="auto"/>
        <w:rPr>
          <w:sz w:val="20"/>
          <w:szCs w:val="20"/>
          <w:color w:val="auto"/>
        </w:rPr>
      </w:pPr>
      <w:r>
        <w:rPr>
          <w:rFonts w:ascii="Arial" w:cs="Arial" w:eastAsia="Arial" w:hAnsi="Arial"/>
          <w:sz w:val="16"/>
          <w:szCs w:val="16"/>
          <w:b w:val="1"/>
          <w:bCs w:val="1"/>
          <w:color w:val="auto"/>
        </w:rPr>
        <w:t>Reclassification</w:t>
      </w:r>
      <w:r>
        <w:rPr>
          <w:rFonts w:ascii="Arial" w:cs="Arial" w:eastAsia="Arial" w:hAnsi="Arial"/>
          <w:sz w:val="16"/>
          <w:szCs w:val="16"/>
          <w:color w:val="auto"/>
        </w:rPr>
        <w:t>—Beginning in the first quarter of 2014, the amounts previously reported as Ratable and other revenue have been combined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previously reported as Services revenue in the condensed consolidated statements of operations. The combined amounts are now being presented as Services and other revenue in the condensed consolidated statements of operations. The related Cost of revenue and Gross profit, including prior period amounts, have also been combined to conform to the current period presentation. The Ratable and other revenue amounts, including the related Cost of revenue and Gross profit amounts, are not material, and the reclassification did not have any impact on our gross margin or net income.</w:t>
      </w:r>
    </w:p>
    <w:p>
      <w:pPr>
        <w:spacing w:after="0" w:line="15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Recent Accounting Pronouncement</w:t>
      </w:r>
      <w:r>
        <w:rPr>
          <w:rFonts w:ascii="Arial" w:cs="Arial" w:eastAsia="Arial" w:hAnsi="Arial"/>
          <w:sz w:val="18"/>
          <w:szCs w:val="18"/>
          <w:color w:val="auto"/>
        </w:rPr>
        <w:t>—In May 2014, the Financial Accounting Standards Board issued Accounting Standards Update No. 2014-09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(Topic 606) - Revenue from Contracts with Customers </w:t>
      </w:r>
      <w:r>
        <w:rPr>
          <w:rFonts w:ascii="Arial" w:cs="Arial" w:eastAsia="Arial" w:hAnsi="Arial"/>
          <w:sz w:val="18"/>
          <w:szCs w:val="18"/>
          <w:color w:val="auto"/>
        </w:rPr>
        <w:t>(“ASU 2014-09”) to create a single, joint revenue standard that is consistent across all industries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for companies that prepare their financial statements in accordance with U.S. GAAP. Under ASU 2014-09, an entity is required to recognize revenue upon the transfer of promised goods or services to customers in an amount that reflects the consideration the entity expects to be entitled to receive in exchange for those goods or services. ASU 2014-09 is effective for us beginning on January 1, 2017. We are currently evaluating the impact of ASU 2014-09 on our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as of September 30, 2014 and December 31, 2013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September 30, 2014</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587,087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587,244</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58,250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58,253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33,277</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21,144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5,745</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705,488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705,663</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6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604,317</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69,356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69,363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38,843</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12,645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12,648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726,001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727,172</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September 30, 2014 and December 31, 2013 (in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September 30, 2014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244,554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245,571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2,396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263,896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266,913</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75"/>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 2013</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183,295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400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205,428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205,928</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are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402,495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375,497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303,168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351,675</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705,663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727,172</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expense—net in our condensed consolidated statements of operations.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declines in market value are attributable to changes in market conditions and not credit quality, and because we have concluded currently that we neither intend to sell nor it is more likely than not that we will be required to sell these investments prior to a recovery of par value, we do not consider these investments to be other-than temporarily impaired as of September 30, 2014.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from the sale of available-for-sale securities were not significant in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the fair value of our financial assets and liabilities measured at fair value on a recurring basis as of September 30, 2014 and December 31, 2013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September 30, 2014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2013</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7"/>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Unobservable</w:t>
            </w: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87"/>
              </w:rPr>
              <w:t>Inputs</w:t>
            </w:r>
          </w:p>
        </w:tc>
      </w:tr>
      <w:tr>
        <w:trPr>
          <w:trHeight w:val="224"/>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900" w:type="dxa"/>
            <w:vAlign w:val="bottom"/>
          </w:tcPr>
          <w:p>
            <w:pPr>
              <w:jc w:val="center"/>
              <w:ind w:right="40"/>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587,244</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0"/>
              <w:spacing w:after="0"/>
              <w:rPr>
                <w:sz w:val="20"/>
                <w:szCs w:val="20"/>
                <w:color w:val="auto"/>
              </w:rPr>
            </w:pPr>
            <w:r>
              <w:rPr>
                <w:rFonts w:ascii="Arial" w:cs="Arial" w:eastAsia="Arial" w:hAnsi="Arial"/>
                <w:sz w:val="18"/>
                <w:szCs w:val="18"/>
                <w:color w:val="auto"/>
                <w:w w:val="98"/>
              </w:rPr>
              <w:t>587,244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604,317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0"/>
              <w:spacing w:after="0"/>
              <w:rPr>
                <w:sz w:val="20"/>
                <w:szCs w:val="20"/>
                <w:color w:val="auto"/>
              </w:rPr>
            </w:pPr>
            <w:r>
              <w:rPr>
                <w:rFonts w:ascii="Arial" w:cs="Arial" w:eastAsia="Arial" w:hAnsi="Arial"/>
                <w:sz w:val="18"/>
                <w:szCs w:val="18"/>
                <w:color w:val="auto"/>
                <w:w w:val="98"/>
              </w:rPr>
              <w:t>604,317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58,253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71,363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Arial" w:cs="Arial" w:eastAsia="Arial" w:hAnsi="Arial"/>
                <w:sz w:val="18"/>
                <w:szCs w:val="18"/>
                <w:color w:val="auto"/>
              </w:rPr>
              <w:t>33,277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38,843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Certificates of deposit and term</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deposits</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21,144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12,648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20,125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U.S. government and agency</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725,788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22,123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98"/>
              </w:rPr>
              <w:t>703,665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734,896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w w:val="98"/>
              </w:rPr>
              <w:t>729,172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1,850</w:t>
            </w:r>
          </w:p>
        </w:tc>
      </w:tr>
      <w:tr>
        <w:trPr>
          <w:trHeight w:val="27"/>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1,850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402,495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375,497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303,168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351,675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725,788</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734,896</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transfers between Level 1 and Level 2 of the fair value hierarchy during the three and nine months ended September 30, 2014.</w:t>
      </w:r>
    </w:p>
    <w:p>
      <w:pPr>
        <w:spacing w:after="0" w:line="23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We classified the fair value of contingent consideration arising from the acquisition of Coyote Point Systems, Inc. (“Coyote”) (see Note 5), as a Level 3 liability since it is based on a probability-based income approach that includes significant unobservable inputs. The significant unobservable inputs include projected revenues and the percentage probability of occurrence to determine the fair value of the payment.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fair value of our contingent consideration liability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change in fair value of contingent consideration</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(1,143)</w:t>
            </w:r>
          </w:p>
        </w:tc>
      </w:tr>
      <w:tr>
        <w:trPr>
          <w:trHeight w:val="27"/>
        </w:trPr>
        <w:tc>
          <w:tcPr>
            <w:tcW w:w="94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2014</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707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change in fair value of contingent consideration</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(707)</w:t>
            </w:r>
          </w:p>
        </w:tc>
      </w:tr>
      <w:tr>
        <w:trPr>
          <w:trHeight w:val="27"/>
        </w:trPr>
        <w:tc>
          <w:tcPr>
            <w:tcW w:w="94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2014</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r>
      <w:tr>
        <w:trPr>
          <w:trHeight w:val="20"/>
        </w:trPr>
        <w:tc>
          <w:tcPr>
            <w:tcW w:w="9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Decreases in the projected revenues of Coyote following the acquisition resulted in reductions to the fair value of the contingent consideration and the changes are included in research and development expense in the condensed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measure certain assets, including Goodwill, Other intangible assets—net, and investments in privately-held companies at fair value on a</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nonrecurring basis when there are identifiable events or changes in circumstances that may have a significant adverse impact on the fair value of these assets.</w:t>
      </w:r>
    </w:p>
    <w:p>
      <w:pPr>
        <w:spacing w:after="0" w:line="234"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During the nine months ended September 30, 2014, a decrease in the projected cash flow from Coyote resulted in an impairment charge of $2.4 million to adjust the total fair value of the other intangible assets acquired from Coyote to $2.0 million. The impairment charge is included within Cost of product revenue in the condensed consolidated statements of operations.</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classified the intangible assets acquired from Coyote as Level 3 assets due to the lack of observable inputs to determine fair value. Significant inputs used in the determination of fair value based on the probability-weighted income approach primarily include internal cash flow projections and discount rates.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we did not have any assets or liabilities measured at fair value on a nonrecurring basis.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7"/>
                <w:szCs w:val="17"/>
                <w:color w:val="auto"/>
              </w:rPr>
            </w:pPr>
          </w:p>
        </w:tc>
        <w:tc>
          <w:tcPr>
            <w:tcW w:w="1640" w:type="dxa"/>
            <w:vAlign w:val="bottom"/>
          </w:tcPr>
          <w:p>
            <w:pPr>
              <w:jc w:val="right"/>
              <w:ind w:right="43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3"/>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5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40,370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40,093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Consigned inventory</w:t>
            </w:r>
          </w:p>
        </w:tc>
        <w:tc>
          <w:tcPr>
            <w:tcW w:w="3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8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51,344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48,672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60" w:type="dxa"/>
            <w:vAlign w:val="bottom"/>
            <w:vMerge w:val="restart"/>
          </w:tcPr>
          <w:p>
            <w:pPr>
              <w:jc w:val="right"/>
              <w:ind w:right="155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5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thousands):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7"/>
                <w:szCs w:val="17"/>
                <w:color w:val="auto"/>
              </w:rPr>
            </w:pPr>
          </w:p>
        </w:tc>
        <w:tc>
          <w:tcPr>
            <w:tcW w:w="1620" w:type="dxa"/>
            <w:vAlign w:val="bottom"/>
          </w:tcPr>
          <w:p>
            <w:pPr>
              <w:jc w:val="right"/>
              <w:ind w:right="41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ind w:right="711"/>
              <w:spacing w:after="0"/>
              <w:rPr>
                <w:sz w:val="20"/>
                <w:szCs w:val="20"/>
                <w:color w:val="auto"/>
              </w:rPr>
            </w:pPr>
            <w:r>
              <w:rPr>
                <w:rFonts w:ascii="Arial" w:cs="Arial" w:eastAsia="Arial" w:hAnsi="Arial"/>
                <w:sz w:val="16"/>
                <w:szCs w:val="16"/>
                <w:b w:val="1"/>
                <w:bCs w:val="1"/>
                <w:color w:val="auto"/>
              </w:rPr>
              <w:t>2013</w:t>
            </w:r>
          </w:p>
        </w:tc>
      </w:tr>
      <w:tr>
        <w:trPr>
          <w:trHeight w:val="33"/>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Building and building improvements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17,546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Evaluation units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31,010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23,556</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10,947</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4,303</w:t>
            </w:r>
          </w:p>
        </w:tc>
      </w:tr>
      <w:tr>
        <w:trPr>
          <w:trHeight w:val="237"/>
        </w:trPr>
        <w:tc>
          <w:tcPr>
            <w:tcW w:w="7400" w:type="dxa"/>
            <w:vAlign w:val="bottom"/>
          </w:tcPr>
          <w:p>
            <w:pPr>
              <w:ind w:left="480"/>
              <w:spacing w:after="0"/>
              <w:rPr>
                <w:sz w:val="20"/>
                <w:szCs w:val="20"/>
                <w:color w:val="auto"/>
              </w:rPr>
            </w:pPr>
            <w:r>
              <w:rPr>
                <w:rFonts w:ascii="Arial" w:cs="Arial" w:eastAsia="Arial" w:hAnsi="Arial"/>
                <w:sz w:val="18"/>
                <w:szCs w:val="18"/>
                <w:color w:val="auto"/>
              </w:rPr>
              <w:t>Total property and equipment</w:t>
            </w: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109,208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78,450</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(41,798)</w:t>
            </w: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Property and equipment—net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56,812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36,652</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Beginning in the first quarter of 2014, we reclassified certain fixed assets between categories in the table above to better reflect the nature of these fixed assets. Prior period amounts have also been reclassified to conform to the current period presentation. The impact of the reclassification is not material.</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Depreciation expense was $5.4 million and $3.8 million during the three months ended September 30, 2014 and September 30, 2013,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$15.3 million and $10.4 million during the nine months ended September 30, 2014 and September 30, 2013, respectively.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Coyote Point Systems</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On March 21, 2013, we acquired all of the outstanding equity securities of Coyote, a provider of application delivery, load balancing and acceleration solutions, for $6.0 million in cash. The acquisition also included a contingent obligation for up to $5.5 million in future earn-out payments to former stockholders of Coyote, if specified future operational objectives, service conditions and financial results are met within two years of the acquisition date. As of September 30, 2014, we have estimated that no contingent earn-out payment thresholds will be met.</w:t>
      </w:r>
    </w:p>
    <w:p>
      <w:pPr>
        <w:spacing w:after="0" w:line="17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accounted for this acquisition as a purchase of a business and, accordingly, the total purchase price was allocated to Coyote’s identifiable tangible and intangible assets acquired and liabilities assumed based on their estimated fair values as of the acquisition date. The fair value assigned to the intangible assets acquired was determined using the income approach which discounts expected cash flows to present value using our estimates and assumptions.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 of assets acquired and liabilities assumed (in thousands):</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Indefinite-lived intangible assets</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9,019</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1,030</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r>
      <w:tr>
        <w:trPr>
          <w:trHeight w:val="237"/>
        </w:trPr>
        <w:tc>
          <w:tcPr>
            <w:tcW w:w="946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3,034</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5,985</w:t>
            </w:r>
          </w:p>
        </w:tc>
      </w:tr>
      <w:tr>
        <w:trPr>
          <w:trHeight w:val="20"/>
        </w:trPr>
        <w:tc>
          <w:tcPr>
            <w:tcW w:w="9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Of the total acquired identified intangible assets, we allocated $2.3 million to developed technology, $0.5 million to customer relationships, and $2.6 million to in-process research and development (“IPR&amp;D”) as of the acquisition date. Identified finite-lived intangible assets consist of developed technology and customer relationships that are being amortized as cost of revenue and sales and marketing expense, respectively, ratably on a straight-line basis, each over an estimated useful life of six years. The goodwill of $2.8 million represents the premium we paid over the fair value of the net tangible liabilities assumed and identified intangible assets acquired, due primarily to acquire developed and in-process technology. None of the goodwill recognized as a result of the acquisition is deductible for income tax purposes. The financial results of this acquisition were considered immaterial for purposes of pro-forma financial disclosures. During the three months ended September 30, 2013, we completed the development of technology associated with the IPR&amp;D projects, and started amortizing this developed technology as cost of revenue ratably on a straight-line basis over an estimated remaining useful life of approximately five years.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ASSETS—Net</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recorded $2.8 million of goodwill from the acquisition of Coyote. There were no impairments to goodwill during the three and nine months ended September 30, 2014.</w:t>
      </w:r>
    </w:p>
    <w:p>
      <w:pPr>
        <w:spacing w:after="0" w:line="25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nine months ended September 30, 2014, we reassessed the fair value and the remaining useful life of the developed technologies acquired from Coyote. Based on this reassessment, we recorded an impairment charge of $2.4 million to adjust the total fair value of the other intangible assets acquired from Coyote to $2.0 million. The impairment charge is included within Cost of product revenue in the condensed consolidated statements of operations. Subsequent to the impairment, the remaining carrying value of the Coyote developed technologies will be amortized on a straight-line basis over an estimated remaining useful life of approximately five years.</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6"/>
                <w:szCs w:val="16"/>
                <w:b w:val="1"/>
                <w:bCs w:val="1"/>
                <w:color w:val="auto"/>
                <w:w w:val="96"/>
              </w:rPr>
              <w:t>September 30, 2014</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jc w:val="center"/>
              <w:ind w:right="4790"/>
              <w:spacing w:after="0"/>
              <w:rPr>
                <w:sz w:val="20"/>
                <w:szCs w:val="20"/>
                <w:color w:val="auto"/>
              </w:rPr>
            </w:pPr>
            <w:r>
              <w:rPr>
                <w:rFonts w:ascii="Arial" w:cs="Arial" w:eastAsia="Arial" w:hAnsi="Arial"/>
                <w:sz w:val="18"/>
                <w:szCs w:val="18"/>
                <w:color w:val="auto"/>
                <w:w w:val="90"/>
              </w:rPr>
              <w:t>Developed technology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5,606</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2,729</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jc w:val="center"/>
              <w:ind w:right="4750"/>
              <w:spacing w:after="0"/>
              <w:rPr>
                <w:sz w:val="20"/>
                <w:szCs w:val="20"/>
                <w:color w:val="auto"/>
              </w:rPr>
            </w:pPr>
            <w:r>
              <w:rPr>
                <w:rFonts w:ascii="Arial" w:cs="Arial" w:eastAsia="Arial" w:hAnsi="Arial"/>
                <w:sz w:val="18"/>
                <w:szCs w:val="18"/>
                <w:color w:val="auto"/>
                <w:w w:val="90"/>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r>
      <w:tr>
        <w:trPr>
          <w:trHeight w:val="257"/>
        </w:trPr>
        <w:tc>
          <w:tcPr>
            <w:tcW w:w="7060" w:type="dxa"/>
            <w:vAlign w:val="bottom"/>
          </w:tcPr>
          <w:p>
            <w:pPr>
              <w:ind w:left="480"/>
              <w:spacing w:after="0"/>
              <w:rPr>
                <w:sz w:val="20"/>
                <w:szCs w:val="20"/>
                <w:color w:val="auto"/>
              </w:rPr>
            </w:pPr>
            <w:r>
              <w:rPr>
                <w:rFonts w:ascii="Arial" w:cs="Arial" w:eastAsia="Arial" w:hAnsi="Arial"/>
                <w:sz w:val="18"/>
                <w:szCs w:val="18"/>
                <w:color w:val="auto"/>
              </w:rPr>
              <w:t>Total other intangible assets—net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6,106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3,104</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37"/>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2013</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jc w:val="center"/>
              <w:ind w:right="4830"/>
              <w:spacing w:after="0"/>
              <w:rPr>
                <w:sz w:val="20"/>
                <w:szCs w:val="20"/>
                <w:color w:val="auto"/>
              </w:rPr>
            </w:pPr>
            <w:r>
              <w:rPr>
                <w:rFonts w:ascii="Arial" w:cs="Arial" w:eastAsia="Arial" w:hAnsi="Arial"/>
                <w:sz w:val="18"/>
                <w:szCs w:val="18"/>
                <w:color w:val="auto"/>
                <w:w w:val="90"/>
              </w:rPr>
              <w:t>Other intangible assets—net: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jc w:val="center"/>
              <w:ind w:right="4790"/>
              <w:spacing w:after="0"/>
              <w:rPr>
                <w:sz w:val="20"/>
                <w:szCs w:val="20"/>
                <w:color w:val="auto"/>
              </w:rPr>
            </w:pPr>
            <w:r>
              <w:rPr>
                <w:rFonts w:ascii="Arial" w:cs="Arial" w:eastAsia="Arial" w:hAnsi="Arial"/>
                <w:sz w:val="18"/>
                <w:szCs w:val="18"/>
                <w:color w:val="auto"/>
                <w:w w:val="90"/>
              </w:rPr>
              <w:t>Developed technology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8,971</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6,403</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jc w:val="center"/>
              <w:ind w:right="4750"/>
              <w:spacing w:after="0"/>
              <w:rPr>
                <w:sz w:val="20"/>
                <w:szCs w:val="20"/>
                <w:color w:val="auto"/>
              </w:rPr>
            </w:pPr>
            <w:r>
              <w:rPr>
                <w:rFonts w:ascii="Arial" w:cs="Arial" w:eastAsia="Arial" w:hAnsi="Arial"/>
                <w:sz w:val="18"/>
                <w:szCs w:val="18"/>
                <w:color w:val="auto"/>
                <w:w w:val="90"/>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r>
      <w:tr>
        <w:trPr>
          <w:trHeight w:val="257"/>
        </w:trPr>
        <w:tc>
          <w:tcPr>
            <w:tcW w:w="7060" w:type="dxa"/>
            <w:vAlign w:val="bottom"/>
          </w:tcPr>
          <w:p>
            <w:pPr>
              <w:ind w:left="480"/>
              <w:spacing w:after="0"/>
              <w:rPr>
                <w:sz w:val="20"/>
                <w:szCs w:val="20"/>
                <w:color w:val="auto"/>
              </w:rPr>
            </w:pPr>
            <w:r>
              <w:rPr>
                <w:rFonts w:ascii="Arial" w:cs="Arial" w:eastAsia="Arial" w:hAnsi="Arial"/>
                <w:sz w:val="18"/>
                <w:szCs w:val="18"/>
                <w:color w:val="auto"/>
              </w:rPr>
              <w:t>Total other intangible assets—net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9,471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6,841</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Amortization expense was $0.2 million and $0.4 million during the three months ended September 30, 2014 and September 30, 2013, respectively. Amortization expense was $1.2 million and $1.1 million for the nine months ended September 30, 2014 and September 30, 2013, respectively. The following table summarizes estimated future amortization expense of Other intangible assets—net (in thousands):</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jc w:val="right"/>
              <w:ind w:right="75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9120" w:type="dxa"/>
            <w:vAlign w:val="bottom"/>
          </w:tcPr>
          <w:p>
            <w:pPr>
              <w:ind w:left="380"/>
              <w:spacing w:after="0"/>
              <w:rPr>
                <w:sz w:val="20"/>
                <w:szCs w:val="20"/>
                <w:color w:val="auto"/>
              </w:rPr>
            </w:pPr>
            <w:r>
              <w:rPr>
                <w:rFonts w:ascii="Arial" w:cs="Arial" w:eastAsia="Arial" w:hAnsi="Arial"/>
                <w:sz w:val="18"/>
                <w:szCs w:val="18"/>
                <w:color w:val="auto"/>
              </w:rPr>
              <w:t>2014 (remainder)</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273</w:t>
            </w:r>
          </w:p>
        </w:tc>
      </w:tr>
      <w:tr>
        <w:trPr>
          <w:trHeight w:val="27"/>
        </w:trPr>
        <w:tc>
          <w:tcPr>
            <w:tcW w:w="9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w:t>
            </w:r>
          </w:p>
        </w:tc>
      </w:tr>
      <w:tr>
        <w:trPr>
          <w:trHeight w:val="243"/>
        </w:trPr>
        <w:tc>
          <w:tcPr>
            <w:tcW w:w="9120" w:type="dxa"/>
            <w:vAlign w:val="bottom"/>
          </w:tcPr>
          <w:p>
            <w:pPr>
              <w:ind w:left="38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785</w:t>
            </w:r>
          </w:p>
        </w:tc>
      </w:tr>
      <w:tr>
        <w:trPr>
          <w:trHeight w:val="27"/>
        </w:trPr>
        <w:tc>
          <w:tcPr>
            <w:tcW w:w="9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r>
      <w:tr>
        <w:trPr>
          <w:trHeight w:val="243"/>
        </w:trPr>
        <w:tc>
          <w:tcPr>
            <w:tcW w:w="9120" w:type="dxa"/>
            <w:vAlign w:val="bottom"/>
          </w:tcPr>
          <w:p>
            <w:pPr>
              <w:ind w:left="38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425</w:t>
            </w:r>
          </w:p>
        </w:tc>
      </w:tr>
      <w:tr>
        <w:trPr>
          <w:trHeight w:val="27"/>
        </w:trPr>
        <w:tc>
          <w:tcPr>
            <w:tcW w:w="9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3,104</w:t>
            </w:r>
          </w:p>
        </w:tc>
      </w:tr>
      <w:tr>
        <w:trPr>
          <w:trHeight w:val="20"/>
        </w:trPr>
        <w:tc>
          <w:tcPr>
            <w:tcW w:w="9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25"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PER SHARE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restricted stock units (“RSUs”), and the employee stock purchase plan (“ESPP”). Dilutive shares of common stock are determined by applying the treasury stock method.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thousands, except per 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11,029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18,530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32,257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164,294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162,906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163,289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162,150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Diluted shares:</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164,294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162,150</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43"/>
        </w:trPr>
        <w:tc>
          <w:tcPr>
            <w:tcW w:w="5620" w:type="dxa"/>
            <w:vAlign w:val="bottom"/>
          </w:tcPr>
          <w:p>
            <w:pPr>
              <w:ind w:left="920"/>
              <w:spacing w:after="0"/>
              <w:rPr>
                <w:sz w:val="20"/>
                <w:szCs w:val="20"/>
                <w:color w:val="auto"/>
              </w:rPr>
            </w:pPr>
            <w:r>
              <w:rPr>
                <w:rFonts w:ascii="Arial" w:cs="Arial" w:eastAsia="Arial" w:hAnsi="Arial"/>
                <w:sz w:val="18"/>
                <w:szCs w:val="18"/>
                <w:color w:val="auto"/>
              </w:rPr>
              <w:t>RSUs</w:t>
            </w:r>
          </w:p>
        </w:tc>
        <w:tc>
          <w:tcPr>
            <w:tcW w:w="1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6"/>
              </w:rPr>
              <w:t>Weighted-average shares used to compute diluted net income per share</w:t>
            </w:r>
          </w:p>
        </w:tc>
        <w:tc>
          <w:tcPr>
            <w:tcW w:w="1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169,727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168,666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168,735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168,054</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0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6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620" w:type="dxa"/>
            <w:vAlign w:val="bottom"/>
          </w:tcPr>
          <w:p>
            <w:pPr>
              <w:spacing w:after="0"/>
              <w:rPr>
                <w:sz w:val="18"/>
                <w:szCs w:val="18"/>
                <w:color w:val="auto"/>
              </w:rPr>
            </w:pPr>
          </w:p>
        </w:tc>
        <w:tc>
          <w:tcPr>
            <w:tcW w:w="13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6,640</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RSUs</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1,416</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2,383</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407</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w:t>
            </w:r>
          </w:p>
        </w:tc>
      </w:tr>
      <w:tr>
        <w:trPr>
          <w:trHeight w:val="237"/>
        </w:trPr>
        <w:tc>
          <w:tcPr>
            <w:tcW w:w="5620" w:type="dxa"/>
            <w:vAlign w:val="bottom"/>
          </w:tcPr>
          <w:p>
            <w:pPr>
              <w:spacing w:after="0"/>
              <w:rPr>
                <w:sz w:val="20"/>
                <w:szCs w:val="20"/>
                <w:color w:val="auto"/>
              </w:rPr>
            </w:pP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3,945</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8,463</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10,146</w:t>
            </w: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1380" w:type="dxa"/>
            <w:vAlign w:val="bottom"/>
          </w:tcPr>
          <w:p>
            <w:pPr>
              <w:jc w:val="right"/>
              <w:ind w:right="1113"/>
              <w:spacing w:after="0"/>
              <w:rPr>
                <w:sz w:val="20"/>
                <w:szCs w:val="20"/>
                <w:color w:val="auto"/>
              </w:rPr>
            </w:pPr>
            <w:r>
              <w:rPr>
                <w:rFonts w:ascii="Arial" w:cs="Arial" w:eastAsia="Arial" w:hAnsi="Arial"/>
                <w:sz w:val="18"/>
                <w:szCs w:val="18"/>
                <w:color w:val="auto"/>
                <w:w w:val="79"/>
              </w:rPr>
              <w:t>15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7"/>
                <w:szCs w:val="17"/>
                <w:color w:val="auto"/>
              </w:rPr>
            </w:pPr>
          </w:p>
        </w:tc>
        <w:tc>
          <w:tcPr>
            <w:tcW w:w="1640" w:type="dxa"/>
            <w:vAlign w:val="bottom"/>
          </w:tcPr>
          <w:p>
            <w:pPr>
              <w:jc w:val="right"/>
              <w:ind w:right="43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Services and other</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497,327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429,713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500,012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432,628</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Reported As:</w:t>
            </w: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293,664</w:t>
            </w:r>
          </w:p>
        </w:tc>
        <w:tc>
          <w:tcPr>
            <w:tcW w:w="0" w:type="dxa"/>
            <w:vAlign w:val="bottom"/>
          </w:tcPr>
          <w:p>
            <w:pPr>
              <w:spacing w:after="0"/>
              <w:rPr>
                <w:sz w:val="1"/>
                <w:szCs w:val="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Non-current</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170,880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138,964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500,012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432,628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September 30, 2014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w:t>
            </w: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7,963</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Less: Sublease rental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Operating lease commitments—net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7,963</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76,355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53,006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contractual commitments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27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139,464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74,838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35,903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7,963</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1" w:lineRule="auto"/>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17"/>
          <w:szCs w:val="17"/>
          <w:color w:val="auto"/>
        </w:rPr>
        <w:t>—We lease certain facilities under various non-cancelable operating leases, which expire through 2024. The terms of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leases provide for renewal options. Rent expense is recognized using the straight-line method over the term of the lease. Rent expense was $2.6 million and $2.4 million during the three months ended September 30, 2014 and September 30, 2013, respectively. Rent expense was $7.7 million and $7.1 million during the nine months ended September 30, 2014 and September 30, 2013, respectively.</w:t>
      </w:r>
    </w:p>
    <w:p>
      <w:pPr>
        <w:spacing w:after="0" w:line="165" w:lineRule="exact"/>
        <w:rPr>
          <w:sz w:val="20"/>
          <w:szCs w:val="20"/>
          <w:color w:val="auto"/>
        </w:rPr>
      </w:pPr>
    </w:p>
    <w:p>
      <w:pPr>
        <w:jc w:val="both"/>
        <w:ind w:right="180" w:firstLine="648"/>
        <w:spacing w:after="0" w:line="289" w:lineRule="auto"/>
        <w:rPr>
          <w:sz w:val="20"/>
          <w:szCs w:val="20"/>
          <w:color w:val="auto"/>
        </w:rPr>
      </w:pPr>
      <w:r>
        <w:rPr>
          <w:rFonts w:ascii="Arial" w:cs="Arial" w:eastAsia="Arial" w:hAnsi="Arial"/>
          <w:sz w:val="17"/>
          <w:szCs w:val="17"/>
          <w:b w:val="1"/>
          <w:bCs w:val="1"/>
          <w:color w:val="auto"/>
        </w:rPr>
        <w:t>Purchase Commitments and Other Contractual Commitments</w:t>
      </w:r>
      <w:r>
        <w:rPr>
          <w:rFonts w:ascii="Arial" w:cs="Arial" w:eastAsia="Arial" w:hAnsi="Arial"/>
          <w:sz w:val="17"/>
          <w:szCs w:val="17"/>
          <w:color w:val="auto"/>
        </w:rPr>
        <w:t>—In order to reduce manufacturing lead times and plan for adequate component</w:t>
      </w:r>
      <w:r>
        <w:rPr>
          <w:rFonts w:ascii="Arial" w:cs="Arial" w:eastAsia="Arial" w:hAnsi="Arial"/>
          <w:sz w:val="17"/>
          <w:szCs w:val="17"/>
          <w:b w:val="1"/>
          <w:bCs w:val="1"/>
          <w:color w:val="auto"/>
        </w:rPr>
        <w:t xml:space="preserve"> </w:t>
      </w:r>
      <w:r>
        <w:rPr>
          <w:rFonts w:ascii="Arial" w:cs="Arial" w:eastAsia="Arial" w:hAnsi="Arial"/>
          <w:sz w:val="17"/>
          <w:szCs w:val="17"/>
          <w:color w:val="auto"/>
        </w:rPr>
        <w:t>supply, we may issue purchase orders to some of our independent contract manufacturers which may not be cancelable. As of September 30, 2014, we had $76.4 million of open purchase orders with our independent contract manufacturers that may not be cancelable.</w:t>
      </w:r>
    </w:p>
    <w:p>
      <w:pPr>
        <w:spacing w:after="0" w:line="13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In addition to commitments with contract manufacturers, we have open purchase orders and contractual obligations in the ordinary course of business for which we have not received goods or services. As of September 30, 2014, we had $24.2 million in other purchase commitments.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—Accrued warranty activities are summarized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4"/>
          </w:tcPr>
          <w:p>
            <w:pPr>
              <w:jc w:val="right"/>
              <w:ind w:right="119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1640" w:type="dxa"/>
            <w:vAlign w:val="bottom"/>
          </w:tcPr>
          <w:p>
            <w:pPr>
              <w:jc w:val="right"/>
              <w:ind w:right="4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3"/>
              <w:spacing w:after="0"/>
              <w:rPr>
                <w:sz w:val="20"/>
                <w:szCs w:val="20"/>
                <w:color w:val="auto"/>
              </w:rPr>
            </w:pPr>
            <w:r>
              <w:rPr>
                <w:rFonts w:ascii="Arial" w:cs="Arial" w:eastAsia="Arial" w:hAnsi="Arial"/>
                <w:sz w:val="16"/>
                <w:szCs w:val="16"/>
                <w:b w:val="1"/>
                <w:bCs w:val="1"/>
                <w:color w:val="auto"/>
              </w:rPr>
              <w:t>2013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(2,670)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 for the period</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Adjustment related to pre-existing warranties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274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3,047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or substantial settlement charges.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We have not recorded any accrual for loss contingencies associated with such legal proceedings; determined that an unfavorable outcome is probable or reasonably possible; or determined that the amount or range of any possible loss is reasonably estimable.</w:t>
      </w:r>
    </w:p>
    <w:p>
      <w:pPr>
        <w:spacing w:after="0" w:line="16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—Under the indemnification provisions of our standard sales contracts, we agree to defend our customers against third-party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beyond indemnification for third-party claims of intellectual property infringement and that could potentially expose us to losses in excess of the amount received under the agreement. To date, there have been no awards under such indemnification provisions.</w:t>
      </w:r>
    </w:p>
    <w:p>
      <w:pPr>
        <w:spacing w:after="0" w:line="200" w:lineRule="exact"/>
        <w:rPr>
          <w:sz w:val="20"/>
          <w:szCs w:val="20"/>
          <w:color w:val="auto"/>
        </w:rPr>
      </w:pPr>
    </w:p>
    <w:p>
      <w:pPr>
        <w:spacing w:after="0" w:line="204" w:lineRule="exact"/>
        <w:rPr>
          <w:sz w:val="20"/>
          <w:szCs w:val="20"/>
          <w:color w:val="auto"/>
        </w:rPr>
      </w:pPr>
    </w:p>
    <w:p>
      <w:pPr>
        <w:jc w:val="right"/>
        <w:ind w:left="660" w:right="8820" w:hanging="652"/>
        <w:spacing w:after="0" w:line="566" w:lineRule="auto"/>
        <w:tabs>
          <w:tab w:leader="none" w:pos="28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Employee Stock Options</w:t>
      </w:r>
    </w:p>
    <w:p>
      <w:pPr>
        <w:ind w:left="660"/>
        <w:spacing w:after="0"/>
        <w:rPr>
          <w:rFonts w:ascii="Arial" w:cs="Arial" w:eastAsia="Arial" w:hAnsi="Arial"/>
          <w:sz w:val="16"/>
          <w:szCs w:val="16"/>
          <w:b w:val="1"/>
          <w:bCs w:val="1"/>
          <w:color w:val="auto"/>
        </w:rPr>
      </w:pPr>
      <w:r>
        <w:rPr>
          <w:rFonts w:ascii="Arial" w:cs="Arial" w:eastAsia="Arial" w:hAnsi="Arial"/>
          <w:sz w:val="17"/>
          <w:szCs w:val="17"/>
          <w:color w:val="auto"/>
        </w:rPr>
        <w:t>The following table summarizes the weighted-average assumptions relating to our employee stock options for the periods presented below:</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940" w:type="dxa"/>
            <w:vAlign w:val="bottom"/>
            <w:gridSpan w:val="4"/>
          </w:tcPr>
          <w:p>
            <w:pPr>
              <w:ind w:left="1200"/>
              <w:spacing w:after="0"/>
              <w:rPr>
                <w:sz w:val="20"/>
                <w:szCs w:val="20"/>
                <w:color w:val="auto"/>
              </w:rPr>
            </w:pPr>
            <w:r>
              <w:rPr>
                <w:rFonts w:ascii="Arial" w:cs="Arial" w:eastAsia="Arial" w:hAnsi="Arial"/>
                <w:sz w:val="16"/>
                <w:szCs w:val="16"/>
                <w:b w:val="1"/>
                <w:bCs w:val="1"/>
                <w:color w:val="auto"/>
              </w:rPr>
              <w:t>Three Months Ended</w:t>
            </w:r>
          </w:p>
        </w:tc>
        <w:tc>
          <w:tcPr>
            <w:tcW w:w="3840" w:type="dxa"/>
            <w:vAlign w:val="bottom"/>
            <w:gridSpan w:val="3"/>
          </w:tcPr>
          <w:p>
            <w:pPr>
              <w:jc w:val="right"/>
              <w:ind w:right="11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64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1980" w:type="dxa"/>
            <w:vAlign w:val="bottom"/>
            <w:gridSpan w:val="2"/>
          </w:tcPr>
          <w:p>
            <w:pPr>
              <w:ind w:left="420"/>
              <w:spacing w:after="0"/>
              <w:rPr>
                <w:sz w:val="20"/>
                <w:szCs w:val="20"/>
                <w:color w:val="auto"/>
              </w:rPr>
            </w:pPr>
            <w:r>
              <w:rPr>
                <w:rFonts w:ascii="Arial" w:cs="Arial" w:eastAsia="Arial" w:hAnsi="Arial"/>
                <w:sz w:val="16"/>
                <w:szCs w:val="16"/>
                <w:b w:val="1"/>
                <w:bCs w:val="1"/>
                <w:color w:val="auto"/>
              </w:rPr>
              <w:t>September 30,</w:t>
            </w:r>
          </w:p>
        </w:tc>
        <w:tc>
          <w:tcPr>
            <w:tcW w:w="1960" w:type="dxa"/>
            <w:vAlign w:val="bottom"/>
            <w:gridSpan w:val="2"/>
          </w:tcPr>
          <w:p>
            <w:pPr>
              <w:ind w:left="420"/>
              <w:spacing w:after="0"/>
              <w:rPr>
                <w:sz w:val="20"/>
                <w:szCs w:val="20"/>
                <w:color w:val="auto"/>
              </w:rPr>
            </w:pPr>
            <w:r>
              <w:rPr>
                <w:rFonts w:ascii="Arial" w:cs="Arial" w:eastAsia="Arial" w:hAnsi="Arial"/>
                <w:sz w:val="16"/>
                <w:szCs w:val="16"/>
                <w:b w:val="1"/>
                <w:bCs w:val="1"/>
                <w:color w:val="auto"/>
              </w:rPr>
              <w:t>September 30,</w:t>
            </w:r>
          </w:p>
        </w:tc>
        <w:tc>
          <w:tcPr>
            <w:tcW w:w="1980" w:type="dxa"/>
            <w:vAlign w:val="bottom"/>
            <w:gridSpan w:val="2"/>
          </w:tcPr>
          <w:p>
            <w:pPr>
              <w:ind w:left="420"/>
              <w:spacing w:after="0"/>
              <w:rPr>
                <w:sz w:val="20"/>
                <w:szCs w:val="20"/>
                <w:color w:val="auto"/>
              </w:rPr>
            </w:pPr>
            <w:r>
              <w:rPr>
                <w:rFonts w:ascii="Arial" w:cs="Arial" w:eastAsia="Arial" w:hAnsi="Arial"/>
                <w:sz w:val="16"/>
                <w:szCs w:val="16"/>
                <w:b w:val="1"/>
                <w:bCs w:val="1"/>
                <w:color w:val="auto"/>
              </w:rPr>
              <w:t>September 30,</w:t>
            </w:r>
          </w:p>
        </w:tc>
        <w:tc>
          <w:tcPr>
            <w:tcW w:w="1860" w:type="dxa"/>
            <w:vAlign w:val="bottom"/>
          </w:tcPr>
          <w:p>
            <w:pPr>
              <w:jc w:val="right"/>
              <w:ind w:right="37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3640" w:type="dxa"/>
            <w:vAlign w:val="bottom"/>
          </w:tcPr>
          <w:p>
            <w:pPr>
              <w:spacing w:after="0"/>
              <w:rPr>
                <w:sz w:val="18"/>
                <w:szCs w:val="18"/>
                <w:color w:val="auto"/>
              </w:rPr>
            </w:pPr>
          </w:p>
        </w:tc>
        <w:tc>
          <w:tcPr>
            <w:tcW w:w="1860" w:type="dxa"/>
            <w:vAlign w:val="bottom"/>
          </w:tcPr>
          <w:p>
            <w:pPr>
              <w:jc w:val="right"/>
              <w:ind w:right="67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860" w:type="dxa"/>
            <w:vAlign w:val="bottom"/>
          </w:tcPr>
          <w:p>
            <w:pPr>
              <w:jc w:val="right"/>
              <w:ind w:right="69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860" w:type="dxa"/>
            <w:vAlign w:val="bottom"/>
          </w:tcPr>
          <w:p>
            <w:pPr>
              <w:jc w:val="right"/>
              <w:ind w:right="67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860" w:type="dxa"/>
            <w:vAlign w:val="bottom"/>
          </w:tcPr>
          <w:p>
            <w:pPr>
              <w:jc w:val="right"/>
              <w:ind w:right="673"/>
              <w:spacing w:after="0"/>
              <w:rPr>
                <w:sz w:val="20"/>
                <w:szCs w:val="20"/>
                <w:color w:val="auto"/>
              </w:rPr>
            </w:pPr>
            <w:r>
              <w:rPr>
                <w:rFonts w:ascii="Arial" w:cs="Arial" w:eastAsia="Arial" w:hAnsi="Arial"/>
                <w:sz w:val="16"/>
                <w:szCs w:val="16"/>
                <w:b w:val="1"/>
                <w:bCs w:val="1"/>
                <w:color w:val="auto"/>
              </w:rPr>
              <w:t>2013</w:t>
            </w:r>
          </w:p>
        </w:tc>
      </w:tr>
      <w:tr>
        <w:trPr>
          <w:trHeight w:val="33"/>
        </w:trPr>
        <w:tc>
          <w:tcPr>
            <w:tcW w:w="36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1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r>
      <w:tr>
        <w:trPr>
          <w:trHeight w:val="243"/>
        </w:trPr>
        <w:tc>
          <w:tcPr>
            <w:tcW w:w="3640" w:type="dxa"/>
            <w:vAlign w:val="bottom"/>
          </w:tcPr>
          <w:p>
            <w:pPr>
              <w:ind w:left="500"/>
              <w:spacing w:after="0"/>
              <w:rPr>
                <w:sz w:val="20"/>
                <w:szCs w:val="20"/>
                <w:color w:val="auto"/>
              </w:rPr>
            </w:pPr>
            <w:r>
              <w:rPr>
                <w:rFonts w:ascii="Arial" w:cs="Arial" w:eastAsia="Arial" w:hAnsi="Arial"/>
                <w:sz w:val="18"/>
                <w:szCs w:val="18"/>
                <w:color w:val="auto"/>
              </w:rPr>
              <w:t>Volatility</w:t>
            </w:r>
          </w:p>
        </w:tc>
        <w:tc>
          <w:tcPr>
            <w:tcW w:w="186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7"/>
        </w:trPr>
        <w:tc>
          <w:tcPr>
            <w:tcW w:w="3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Risk-free interest rate</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640" w:type="dxa"/>
            <w:vAlign w:val="bottom"/>
          </w:tcPr>
          <w:p>
            <w:pPr>
              <w:ind w:left="500"/>
              <w:spacing w:after="0"/>
              <w:rPr>
                <w:sz w:val="20"/>
                <w:szCs w:val="20"/>
                <w:color w:val="auto"/>
              </w:rPr>
            </w:pPr>
            <w:r>
              <w:rPr>
                <w:rFonts w:ascii="Arial" w:cs="Arial" w:eastAsia="Arial" w:hAnsi="Arial"/>
                <w:sz w:val="18"/>
                <w:szCs w:val="18"/>
                <w:color w:val="auto"/>
              </w:rPr>
              <w:t>Dividend rate</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918"/>
        </w:trPr>
        <w:tc>
          <w:tcPr>
            <w:tcW w:w="3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jc w:val="right"/>
              <w:ind w:right="1593"/>
              <w:spacing w:after="0"/>
              <w:rPr>
                <w:sz w:val="20"/>
                <w:szCs w:val="20"/>
                <w:color w:val="auto"/>
              </w:rPr>
            </w:pPr>
            <w:r>
              <w:rPr>
                <w:rFonts w:ascii="Arial" w:cs="Arial" w:eastAsia="Arial" w:hAnsi="Arial"/>
                <w:sz w:val="18"/>
                <w:szCs w:val="18"/>
                <w:color w:val="auto"/>
                <w:w w:val="79"/>
              </w:rPr>
              <w:t>17</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thousands,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Remaining</w:t>
            </w:r>
          </w:p>
        </w:tc>
        <w:tc>
          <w:tcPr>
            <w:tcW w:w="16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Exercise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Contractual</w:t>
            </w:r>
          </w:p>
        </w:tc>
        <w:tc>
          <w:tcPr>
            <w:tcW w:w="160" w:type="dxa"/>
            <w:vAlign w:val="bottom"/>
          </w:tcPr>
          <w:p>
            <w:pPr>
              <w:spacing w:after="0"/>
              <w:rPr>
                <w:sz w:val="17"/>
                <w:szCs w:val="17"/>
                <w:color w:val="auto"/>
              </w:rPr>
            </w:pPr>
          </w:p>
        </w:tc>
        <w:tc>
          <w:tcPr>
            <w:tcW w:w="980" w:type="dxa"/>
            <w:vAlign w:val="bottom"/>
          </w:tcPr>
          <w:p>
            <w:pPr>
              <w:jc w:val="center"/>
              <w:ind w:right="9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(Years)</w:t>
            </w:r>
          </w:p>
        </w:tc>
        <w:tc>
          <w:tcPr>
            <w:tcW w:w="160" w:type="dxa"/>
            <w:vAlign w:val="bottom"/>
          </w:tcPr>
          <w:p>
            <w:pPr>
              <w:spacing w:after="0"/>
              <w:rPr>
                <w:sz w:val="18"/>
                <w:szCs w:val="18"/>
                <w:color w:val="auto"/>
              </w:rPr>
            </w:pPr>
          </w:p>
        </w:tc>
        <w:tc>
          <w:tcPr>
            <w:tcW w:w="98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2013</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(3,216)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2014</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12,235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vest—September 30, 2014</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12,205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136,230</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exercisable—September 30, 2014</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131,847</w:t>
            </w:r>
          </w:p>
        </w:tc>
      </w:tr>
      <w:tr>
        <w:trPr>
          <w:trHeight w:val="20"/>
        </w:trPr>
        <w:tc>
          <w:tcPr>
            <w:tcW w:w="6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September 30, 2014, for all in-the-money options. As of September 30, 2014, total compensation expense related to unvested stock options granted to employees but not yet recognized was $22.9 million, net of estimated forfeitures. This expense is expected to be amortized on a straight-line basis over a weighted-average period of 1.47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680" w:type="dxa"/>
            <w:vAlign w:val="bottom"/>
            <w:gridSpan w:val="4"/>
          </w:tcPr>
          <w:p>
            <w:pPr>
              <w:jc w:val="right"/>
              <w:ind w:right="61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14"/>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5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2013</w:t>
            </w:r>
          </w:p>
        </w:tc>
      </w:tr>
      <w:tr>
        <w:trPr>
          <w:trHeight w:val="33"/>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17,728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7,880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49,490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36,997</w:t>
            </w:r>
          </w:p>
        </w:tc>
      </w:tr>
      <w:tr>
        <w:trPr>
          <w:trHeight w:val="27"/>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21,553</w:t>
            </w:r>
          </w:p>
        </w:tc>
      </w:tr>
      <w:tr>
        <w:trPr>
          <w:trHeight w:val="27"/>
        </w:trPr>
        <w:tc>
          <w:tcPr>
            <w:tcW w:w="5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thousands,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3360" w:type="dxa"/>
            <w:vAlign w:val="bottom"/>
            <w:gridSpan w:val="3"/>
          </w:tcPr>
          <w:p>
            <w:pPr>
              <w:jc w:val="right"/>
              <w:ind w:right="34"/>
              <w:spacing w:after="0"/>
              <w:rPr>
                <w:sz w:val="20"/>
                <w:szCs w:val="20"/>
                <w:color w:val="auto"/>
              </w:rPr>
            </w:pPr>
            <w:r>
              <w:rPr>
                <w:rFonts w:ascii="Arial" w:cs="Arial" w:eastAsia="Arial" w:hAnsi="Arial"/>
                <w:sz w:val="16"/>
                <w:szCs w:val="16"/>
                <w:b w:val="1"/>
                <w:bCs w:val="1"/>
                <w:color w:val="auto"/>
              </w:rPr>
              <w:t>Restricted Stock Units Outstanding</w:t>
            </w:r>
          </w:p>
        </w:tc>
        <w:tc>
          <w:tcPr>
            <w:tcW w:w="64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r>
      <w:tr>
        <w:trPr>
          <w:trHeight w:val="209"/>
        </w:trPr>
        <w:tc>
          <w:tcPr>
            <w:tcW w:w="7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Weighted-Average Grant-</w:t>
            </w:r>
          </w:p>
        </w:tc>
      </w:tr>
      <w:tr>
        <w:trPr>
          <w:trHeight w:val="210"/>
        </w:trPr>
        <w:tc>
          <w:tcPr>
            <w:tcW w:w="7400" w:type="dxa"/>
            <w:vAlign w:val="bottom"/>
          </w:tcPr>
          <w:p>
            <w:pPr>
              <w:spacing w:after="0"/>
              <w:rPr>
                <w:sz w:val="18"/>
                <w:szCs w:val="18"/>
                <w:color w:val="auto"/>
              </w:rPr>
            </w:pPr>
          </w:p>
        </w:tc>
        <w:tc>
          <w:tcPr>
            <w:tcW w:w="2060" w:type="dxa"/>
            <w:vAlign w:val="bottom"/>
            <w:gridSpan w:val="2"/>
          </w:tcPr>
          <w:p>
            <w:pPr>
              <w:ind w:left="360"/>
              <w:spacing w:after="0"/>
              <w:rPr>
                <w:sz w:val="20"/>
                <w:szCs w:val="20"/>
                <w:color w:val="auto"/>
              </w:rPr>
            </w:pPr>
            <w:r>
              <w:rPr>
                <w:rFonts w:ascii="Arial" w:cs="Arial" w:eastAsia="Arial" w:hAnsi="Arial"/>
                <w:sz w:val="16"/>
                <w:szCs w:val="16"/>
                <w:b w:val="1"/>
                <w:bCs w:val="1"/>
                <w:color w:val="auto"/>
              </w:rPr>
              <w:t>Number of Shares</w:t>
            </w: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Date-Fair Value per Share</w:t>
            </w:r>
          </w:p>
        </w:tc>
      </w:tr>
      <w:tr>
        <w:trPr>
          <w:trHeight w:val="33"/>
        </w:trPr>
        <w:tc>
          <w:tcPr>
            <w:tcW w:w="74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2013</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w:t>
            </w: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22.44</w:t>
            </w:r>
          </w:p>
        </w:tc>
      </w:tr>
      <w:tr>
        <w:trPr>
          <w:trHeight w:val="27"/>
        </w:trPr>
        <w:tc>
          <w:tcPr>
            <w:tcW w:w="7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21.85</w:t>
            </w: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Vested</w:t>
            </w:r>
          </w:p>
        </w:tc>
        <w:tc>
          <w:tcPr>
            <w:tcW w:w="196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22.31</w:t>
            </w:r>
          </w:p>
        </w:tc>
      </w:tr>
      <w:tr>
        <w:trPr>
          <w:trHeight w:val="27"/>
        </w:trPr>
        <w:tc>
          <w:tcPr>
            <w:tcW w:w="74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2014</w:t>
            </w:r>
          </w:p>
        </w:tc>
        <w:tc>
          <w:tcPr>
            <w:tcW w:w="1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6,019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22.27</w:t>
            </w:r>
          </w:p>
        </w:tc>
      </w:tr>
      <w:tr>
        <w:trPr>
          <w:trHeight w:val="20"/>
        </w:trPr>
        <w:tc>
          <w:tcPr>
            <w:tcW w:w="74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51"/>
        </w:trPr>
        <w:tc>
          <w:tcPr>
            <w:tcW w:w="7400" w:type="dxa"/>
            <w:vAlign w:val="bottom"/>
          </w:tcPr>
          <w:p>
            <w:pPr>
              <w:ind w:left="40"/>
              <w:spacing w:after="0"/>
              <w:rPr>
                <w:sz w:val="20"/>
                <w:szCs w:val="20"/>
                <w:color w:val="auto"/>
              </w:rPr>
            </w:pPr>
            <w:r>
              <w:rPr>
                <w:rFonts w:ascii="Arial" w:cs="Arial" w:eastAsia="Arial" w:hAnsi="Arial"/>
                <w:sz w:val="18"/>
                <w:szCs w:val="18"/>
                <w:color w:val="auto"/>
              </w:rPr>
              <w:t>RSUs expected to vest—September 30, 2014</w:t>
            </w:r>
          </w:p>
        </w:tc>
        <w:tc>
          <w:tcPr>
            <w:tcW w:w="1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22.27</w:t>
            </w:r>
          </w:p>
        </w:tc>
      </w:tr>
      <w:tr>
        <w:trPr>
          <w:trHeight w:val="20"/>
        </w:trPr>
        <w:tc>
          <w:tcPr>
            <w:tcW w:w="74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25" w:right="2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As of September 30, 2014, total compensation expense related to unvested RSUs that were granted to employees and non-employees under our 2009 Equity Incentive Plan, but not yet recognized, was $128.3 million, net of estimated forfeitures. This expense is expected to be amortized on a straight-line basis over a weighted-average vesting period of 3.02 years.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number and value of the shares withheld for employee taxes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40" w:type="dxa"/>
            <w:vAlign w:val="bottom"/>
            <w:gridSpan w:val="3"/>
          </w:tcPr>
          <w:p>
            <w:pPr>
              <w:jc w:val="right"/>
              <w:ind w:right="636"/>
              <w:spacing w:after="0"/>
              <w:rPr>
                <w:sz w:val="20"/>
                <w:szCs w:val="20"/>
                <w:color w:val="auto"/>
              </w:rPr>
            </w:pPr>
            <w:r>
              <w:rPr>
                <w:rFonts w:ascii="Arial" w:cs="Arial" w:eastAsia="Arial" w:hAnsi="Arial"/>
                <w:sz w:val="16"/>
                <w:szCs w:val="16"/>
                <w:b w:val="1"/>
                <w:bCs w:val="1"/>
                <w:color w:val="auto"/>
                <w:w w:val="94"/>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109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9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September 30,</w:t>
            </w:r>
          </w:p>
        </w:tc>
        <w:tc>
          <w:tcPr>
            <w:tcW w:w="1400" w:type="dxa"/>
            <w:vAlign w:val="bottom"/>
          </w:tcPr>
          <w:p>
            <w:pPr>
              <w:jc w:val="center"/>
              <w:ind w:left="296"/>
              <w:spacing w:after="0"/>
              <w:rPr>
                <w:sz w:val="20"/>
                <w:szCs w:val="20"/>
                <w:color w:val="auto"/>
              </w:rPr>
            </w:pPr>
            <w:r>
              <w:rPr>
                <w:rFonts w:ascii="Arial" w:cs="Arial" w:eastAsia="Arial" w:hAnsi="Arial"/>
                <w:sz w:val="16"/>
                <w:szCs w:val="16"/>
                <w:b w:val="1"/>
                <w:bCs w:val="1"/>
                <w:color w:val="auto"/>
                <w:w w:val="89"/>
              </w:rPr>
              <w:t>September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560" w:type="dxa"/>
            <w:vAlign w:val="bottom"/>
          </w:tcPr>
          <w:p>
            <w:pPr>
              <w:jc w:val="right"/>
              <w:ind w:right="354"/>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3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256"/>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2013</w:t>
            </w:r>
          </w:p>
        </w:tc>
      </w:tr>
      <w:tr>
        <w:trPr>
          <w:trHeight w:val="33"/>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21"/>
                <w:szCs w:val="21"/>
                <w:color w:val="auto"/>
              </w:rPr>
            </w:pPr>
          </w:p>
        </w:tc>
        <w:tc>
          <w:tcPr>
            <w:tcW w:w="1400" w:type="dxa"/>
            <w:vAlign w:val="bottom"/>
          </w:tcPr>
          <w:p>
            <w:pPr>
              <w:jc w:val="right"/>
              <w:ind w:right="119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966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8,506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966</w:t>
            </w:r>
          </w:p>
        </w:tc>
      </w:tr>
    </w:tbl>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940" w:type="dxa"/>
            <w:vAlign w:val="bottom"/>
            <w:gridSpan w:val="4"/>
          </w:tcPr>
          <w:p>
            <w:pPr>
              <w:ind w:left="1200"/>
              <w:spacing w:after="0"/>
              <w:rPr>
                <w:sz w:val="20"/>
                <w:szCs w:val="20"/>
                <w:color w:val="auto"/>
              </w:rPr>
            </w:pPr>
            <w:r>
              <w:rPr>
                <w:rFonts w:ascii="Arial" w:cs="Arial" w:eastAsia="Arial" w:hAnsi="Arial"/>
                <w:sz w:val="16"/>
                <w:szCs w:val="16"/>
                <w:b w:val="1"/>
                <w:bCs w:val="1"/>
                <w:color w:val="auto"/>
              </w:rPr>
              <w:t>Three Months Ended</w:t>
            </w:r>
          </w:p>
        </w:tc>
        <w:tc>
          <w:tcPr>
            <w:tcW w:w="3840" w:type="dxa"/>
            <w:vAlign w:val="bottom"/>
            <w:gridSpan w:val="3"/>
          </w:tcPr>
          <w:p>
            <w:pPr>
              <w:jc w:val="right"/>
              <w:ind w:right="11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64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1980" w:type="dxa"/>
            <w:vAlign w:val="bottom"/>
            <w:gridSpan w:val="2"/>
          </w:tcPr>
          <w:p>
            <w:pPr>
              <w:ind w:left="420"/>
              <w:spacing w:after="0"/>
              <w:rPr>
                <w:sz w:val="20"/>
                <w:szCs w:val="20"/>
                <w:color w:val="auto"/>
              </w:rPr>
            </w:pPr>
            <w:r>
              <w:rPr>
                <w:rFonts w:ascii="Arial" w:cs="Arial" w:eastAsia="Arial" w:hAnsi="Arial"/>
                <w:sz w:val="16"/>
                <w:szCs w:val="16"/>
                <w:b w:val="1"/>
                <w:bCs w:val="1"/>
                <w:color w:val="auto"/>
              </w:rPr>
              <w:t>September 30,</w:t>
            </w:r>
          </w:p>
        </w:tc>
        <w:tc>
          <w:tcPr>
            <w:tcW w:w="1960" w:type="dxa"/>
            <w:vAlign w:val="bottom"/>
            <w:gridSpan w:val="2"/>
          </w:tcPr>
          <w:p>
            <w:pPr>
              <w:ind w:left="420"/>
              <w:spacing w:after="0"/>
              <w:rPr>
                <w:sz w:val="20"/>
                <w:szCs w:val="20"/>
                <w:color w:val="auto"/>
              </w:rPr>
            </w:pPr>
            <w:r>
              <w:rPr>
                <w:rFonts w:ascii="Arial" w:cs="Arial" w:eastAsia="Arial" w:hAnsi="Arial"/>
                <w:sz w:val="16"/>
                <w:szCs w:val="16"/>
                <w:b w:val="1"/>
                <w:bCs w:val="1"/>
                <w:color w:val="auto"/>
              </w:rPr>
              <w:t>September 30,</w:t>
            </w:r>
          </w:p>
        </w:tc>
        <w:tc>
          <w:tcPr>
            <w:tcW w:w="1980" w:type="dxa"/>
            <w:vAlign w:val="bottom"/>
            <w:gridSpan w:val="2"/>
          </w:tcPr>
          <w:p>
            <w:pPr>
              <w:ind w:left="420"/>
              <w:spacing w:after="0"/>
              <w:rPr>
                <w:sz w:val="20"/>
                <w:szCs w:val="20"/>
                <w:color w:val="auto"/>
              </w:rPr>
            </w:pPr>
            <w:r>
              <w:rPr>
                <w:rFonts w:ascii="Arial" w:cs="Arial" w:eastAsia="Arial" w:hAnsi="Arial"/>
                <w:sz w:val="16"/>
                <w:szCs w:val="16"/>
                <w:b w:val="1"/>
                <w:bCs w:val="1"/>
                <w:color w:val="auto"/>
              </w:rPr>
              <w:t>September 30,</w:t>
            </w:r>
          </w:p>
        </w:tc>
        <w:tc>
          <w:tcPr>
            <w:tcW w:w="1860" w:type="dxa"/>
            <w:vAlign w:val="bottom"/>
          </w:tcPr>
          <w:p>
            <w:pPr>
              <w:jc w:val="right"/>
              <w:ind w:right="37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3640" w:type="dxa"/>
            <w:vAlign w:val="bottom"/>
          </w:tcPr>
          <w:p>
            <w:pPr>
              <w:spacing w:after="0"/>
              <w:rPr>
                <w:sz w:val="18"/>
                <w:szCs w:val="18"/>
                <w:color w:val="auto"/>
              </w:rPr>
            </w:pPr>
          </w:p>
        </w:tc>
        <w:tc>
          <w:tcPr>
            <w:tcW w:w="1860" w:type="dxa"/>
            <w:vAlign w:val="bottom"/>
          </w:tcPr>
          <w:p>
            <w:pPr>
              <w:jc w:val="right"/>
              <w:ind w:right="67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860" w:type="dxa"/>
            <w:vAlign w:val="bottom"/>
          </w:tcPr>
          <w:p>
            <w:pPr>
              <w:jc w:val="right"/>
              <w:ind w:right="69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860" w:type="dxa"/>
            <w:vAlign w:val="bottom"/>
          </w:tcPr>
          <w:p>
            <w:pPr>
              <w:jc w:val="right"/>
              <w:ind w:right="67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860" w:type="dxa"/>
            <w:vAlign w:val="bottom"/>
          </w:tcPr>
          <w:p>
            <w:pPr>
              <w:jc w:val="right"/>
              <w:ind w:right="673"/>
              <w:spacing w:after="0"/>
              <w:rPr>
                <w:sz w:val="20"/>
                <w:szCs w:val="20"/>
                <w:color w:val="auto"/>
              </w:rPr>
            </w:pPr>
            <w:r>
              <w:rPr>
                <w:rFonts w:ascii="Arial" w:cs="Arial" w:eastAsia="Arial" w:hAnsi="Arial"/>
                <w:sz w:val="16"/>
                <w:szCs w:val="16"/>
                <w:b w:val="1"/>
                <w:bCs w:val="1"/>
                <w:color w:val="auto"/>
              </w:rPr>
              <w:t>2013</w:t>
            </w:r>
          </w:p>
        </w:tc>
      </w:tr>
      <w:tr>
        <w:trPr>
          <w:trHeight w:val="33"/>
        </w:trPr>
        <w:tc>
          <w:tcPr>
            <w:tcW w:w="36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8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
        </w:trPr>
        <w:tc>
          <w:tcPr>
            <w:tcW w:w="3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9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4"/>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500" w:type="dxa"/>
            <w:vAlign w:val="bottom"/>
            <w:gridSpan w:val="3"/>
          </w:tcPr>
          <w:p>
            <w:pPr>
              <w:jc w:val="right"/>
              <w:ind w:right="109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374"/>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580" w:type="dxa"/>
            <w:vAlign w:val="bottom"/>
          </w:tcPr>
          <w:p>
            <w:pPr>
              <w:jc w:val="right"/>
              <w:ind w:right="354"/>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1560" w:type="dxa"/>
            <w:vAlign w:val="bottom"/>
          </w:tcPr>
          <w:p>
            <w:pPr>
              <w:jc w:val="right"/>
              <w:ind w:right="354"/>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94"/>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18"/>
                <w:szCs w:val="18"/>
                <w:color w:val="auto"/>
              </w:rPr>
            </w:pPr>
          </w:p>
        </w:tc>
        <w:tc>
          <w:tcPr>
            <w:tcW w:w="1560" w:type="dxa"/>
            <w:vAlign w:val="bottom"/>
          </w:tcPr>
          <w:p>
            <w:pPr>
              <w:jc w:val="right"/>
              <w:ind w:right="67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674"/>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2013</w:t>
            </w: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Weighted-average fair value per share granted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26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346</w:t>
            </w:r>
          </w:p>
        </w:tc>
        <w:tc>
          <w:tcPr>
            <w:tcW w:w="36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770</w:t>
            </w: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672</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19.38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18.17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18.88</w:t>
            </w:r>
          </w:p>
        </w:tc>
      </w:tr>
      <w:tr>
        <w:trPr>
          <w:trHeight w:val="27"/>
        </w:trPr>
        <w:tc>
          <w:tcPr>
            <w:tcW w:w="3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product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Cost of services and other revenue</w:t>
            </w:r>
          </w:p>
        </w:tc>
        <w:tc>
          <w:tcPr>
            <w:tcW w:w="1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3,543</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9,605</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18,890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13,927</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4,432</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14,667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11,778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42,313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31,784</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4"/>
          </w:tcPr>
          <w:p>
            <w:pPr>
              <w:jc w:val="right"/>
              <w:ind w:right="6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13"/>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15,801</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RSUs</w:t>
            </w:r>
          </w:p>
        </w:tc>
        <w:tc>
          <w:tcPr>
            <w:tcW w:w="1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9,275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25,886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12,439</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ESPP</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3,544</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14,667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11,778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42,313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31,784</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included as part of the provision for income taxes in the condensed consolidated statements of operations is as follows (in thousands):</w:t>
      </w:r>
    </w:p>
    <w:p>
      <w:pPr>
        <w:spacing w:after="0" w:line="347"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040" w:type="dxa"/>
            <w:vAlign w:val="bottom"/>
            <w:gridSpan w:val="4"/>
          </w:tcPr>
          <w:p>
            <w:pPr>
              <w:jc w:val="right"/>
              <w:ind w:right="816"/>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380" w:type="dxa"/>
            <w:vAlign w:val="bottom"/>
          </w:tcPr>
          <w:p>
            <w:pPr>
              <w:jc w:val="center"/>
              <w:ind w:right="156"/>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37"/>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6"/>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537"/>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536"/>
              <w:spacing w:after="0"/>
              <w:rPr>
                <w:sz w:val="20"/>
                <w:szCs w:val="20"/>
                <w:color w:val="auto"/>
              </w:rPr>
            </w:pPr>
            <w:r>
              <w:rPr>
                <w:rFonts w:ascii="Arial" w:cs="Arial" w:eastAsia="Arial" w:hAnsi="Arial"/>
                <w:sz w:val="16"/>
                <w:szCs w:val="16"/>
                <w:b w:val="1"/>
                <w:bCs w:val="1"/>
                <w:color w:val="auto"/>
              </w:rPr>
              <w:t>2013</w:t>
            </w:r>
          </w:p>
        </w:tc>
      </w:tr>
      <w:tr>
        <w:trPr>
          <w:trHeight w:val="33"/>
        </w:trPr>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Income tax benefit associated with stock-based compensation  $</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4,225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9,557</w:t>
            </w:r>
          </w:p>
        </w:tc>
      </w:tr>
      <w:tr>
        <w:trPr>
          <w:trHeight w:val="27"/>
        </w:trPr>
        <w:tc>
          <w:tcPr>
            <w:tcW w:w="4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December 6, 2013, our Board of Directors (“Board”) authorized a Share Repurchase Program (“Program”) to repurchase up to $200.0 million of our outstanding common stock through December 31, 2014. Under the Program, share repurchases may be made by us from time to time in privately negotiated transactions or in open market transactions. The Program may be suspended, modified or discontinued at any time without prior notice. During the three and nine months ended September 30, 2014, we repurchased 0.4 million and 1.4 million shares of common stock under the Program in open market transactions for an aggregate purchase price of $10.7 million and $33.2 million, respectively. As of September 30, 2014, $127.9 million remained authorized for future share repurchases under the Program.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effective tax rate was 74% for the three months ended September 30, 2014, compared to an effective tax rate of 40% for the three months ended September 30, 2013. The effective tax rate was 55% for the nine months ended September 30, 2014, compared to an effective tax of 36% for the nine months ended September 30, 2013. The provision for income taxes for the periods presented is comprised of U.S. federal and state taxes, Singapore and other foreign income taxes, withholding tax, discrete taxes resulting from an increase in tax reserves, as well as the inclusion of stock compensation benefits and transfer pricing allocations which impact jurisdictional income taxed at various tax rates.</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September 30, 2014 and December 31, 2013, unrecognized tax benefits were $39.4 million and $30.2 million, respectively. The total amount of $39.4 million in unrecognized tax benefits, if recognized, would favorably impact the effective tax rate.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September 30, 2014, we had accrued approximately $1.6 million for estimated interest related to uncertain tax positions.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DEFINED CONTRIBUTION PLANS</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tax-deferred savings plan, under the 401(k) Plan, allows participating employees to defer a portion of their pre-tax earnings, up to the IRS annual contribution limit. In Canada, we have a Group Registered Retirement Savings Plan program (the “RRSP”) which permits participants to make tax deductible contributions up to the maximum contribution limits under the Income Tax Act. Our Board approved 50% matching contributions on employee contributions up to 4% of each employee’s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eligible earnings. Our matching contributions to the 401(k) Plans and RRSP for the three months ended September 30, 2014 and September 30, 2013 were $0.7 million and $0.6 million, respectively. Our matching contributions to the 401(k) Plans and RRSP for the nine months ended September 30, 2014 and September 30, 2013 were $1.9 million and $1.6 million,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SIGNIFICANT CUSTOMER INFORMATION</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revenue by geographic region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28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80" w:type="dxa"/>
            <w:vAlign w:val="bottom"/>
          </w:tcPr>
          <w:p>
            <w:pPr>
              <w:jc w:val="right"/>
              <w:ind w:right="292"/>
              <w:spacing w:after="0"/>
              <w:rPr>
                <w:sz w:val="20"/>
                <w:szCs w:val="20"/>
                <w:color w:val="auto"/>
              </w:rPr>
            </w:pPr>
            <w:r>
              <w:rPr>
                <w:rFonts w:ascii="Arial" w:cs="Arial" w:eastAsia="Arial" w:hAnsi="Arial"/>
                <w:sz w:val="16"/>
                <w:szCs w:val="16"/>
                <w:b w:val="1"/>
                <w:bCs w:val="1"/>
                <w:color w:val="auto"/>
                <w:w w:val="98"/>
              </w:rPr>
              <w:t>September 30,</w:t>
            </w:r>
          </w:p>
        </w:tc>
      </w:tr>
      <w:tr>
        <w:trPr>
          <w:trHeight w:val="176"/>
        </w:trPr>
        <w:tc>
          <w:tcPr>
            <w:tcW w:w="424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5"/>
                <w:szCs w:val="15"/>
                <w:color w:val="auto"/>
              </w:rPr>
            </w:pPr>
          </w:p>
        </w:tc>
        <w:tc>
          <w:tcPr>
            <w:tcW w:w="1500" w:type="dxa"/>
            <w:vAlign w:val="bottom"/>
          </w:tcPr>
          <w:p>
            <w:pPr>
              <w:jc w:val="right"/>
              <w:ind w:right="633"/>
              <w:spacing w:after="0" w:line="176" w:lineRule="exact"/>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592"/>
              <w:spacing w:after="0" w:line="176" w:lineRule="exact"/>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613"/>
              <w:spacing w:after="0" w:line="176" w:lineRule="exact"/>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592"/>
              <w:spacing w:after="0" w:line="176" w:lineRule="exact"/>
              <w:rPr>
                <w:sz w:val="20"/>
                <w:szCs w:val="20"/>
                <w:color w:val="auto"/>
              </w:rPr>
            </w:pPr>
            <w:r>
              <w:rPr>
                <w:rFonts w:ascii="Arial" w:cs="Arial" w:eastAsia="Arial" w:hAnsi="Arial"/>
                <w:sz w:val="16"/>
                <w:szCs w:val="16"/>
                <w:b w:val="1"/>
                <w:bCs w:val="1"/>
                <w:color w:val="auto"/>
              </w:rPr>
              <w:t>2013</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50,329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40,654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144,794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114,257</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88,241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63,844</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82,218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65,448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233,035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178,101</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149,500</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Asia Pacific and Japan (“APAC”)</w:t>
            </w:r>
          </w:p>
        </w:tc>
        <w:tc>
          <w:tcPr>
            <w:tcW w:w="2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44,973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37,878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128,006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110,346</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193,348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154,699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546,395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437,947</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our net revenues: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420" w:type="dxa"/>
            <w:vAlign w:val="bottom"/>
            <w:gridSpan w:val="4"/>
          </w:tcPr>
          <w:p>
            <w:pPr>
              <w:ind w:left="1200"/>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gridSpan w:val="3"/>
          </w:tcPr>
          <w:p>
            <w:pPr>
              <w:ind w:left="124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6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146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September 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left="299"/>
              <w:spacing w:after="0"/>
              <w:rPr>
                <w:sz w:val="20"/>
                <w:szCs w:val="20"/>
                <w:color w:val="auto"/>
              </w:rPr>
            </w:pPr>
            <w:r>
              <w:rPr>
                <w:rFonts w:ascii="Arial" w:cs="Arial" w:eastAsia="Arial" w:hAnsi="Arial"/>
                <w:sz w:val="16"/>
                <w:szCs w:val="16"/>
                <w:b w:val="1"/>
                <w:bCs w:val="1"/>
                <w:color w:val="auto"/>
                <w:w w:val="89"/>
              </w:rPr>
              <w:t>September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September 30,</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1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9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ind w:right="675"/>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860" w:type="dxa"/>
            <w:vAlign w:val="bottom"/>
          </w:tcPr>
          <w:p>
            <w:pPr>
              <w:jc w:val="right"/>
              <w:ind w:right="674"/>
              <w:spacing w:after="0"/>
              <w:rPr>
                <w:sz w:val="20"/>
                <w:szCs w:val="20"/>
                <w:color w:val="auto"/>
              </w:rPr>
            </w:pPr>
            <w:r>
              <w:rPr>
                <w:rFonts w:ascii="Arial" w:cs="Arial" w:eastAsia="Arial" w:hAnsi="Arial"/>
                <w:sz w:val="16"/>
                <w:szCs w:val="16"/>
                <w:b w:val="1"/>
                <w:bCs w:val="1"/>
                <w:color w:val="auto"/>
              </w:rPr>
              <w:t>2013</w:t>
            </w:r>
          </w:p>
        </w:tc>
      </w:tr>
      <w:tr>
        <w:trPr>
          <w:trHeight w:val="33"/>
        </w:trPr>
        <w:tc>
          <w:tcPr>
            <w:tcW w:w="36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4"/>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w w:val="94"/>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w w:val="94"/>
              </w:rPr>
              <w:t>11%</w:t>
            </w: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Fine Tec Computer</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11%</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860" w:type="dxa"/>
            <w:vAlign w:val="bottom"/>
          </w:tcPr>
          <w:p>
            <w:pPr>
              <w:ind w:left="15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480" w:type="dxa"/>
            <w:vAlign w:val="bottom"/>
          </w:tcPr>
          <w:p>
            <w:pPr>
              <w:jc w:val="center"/>
              <w:ind w:left="299"/>
              <w:spacing w:after="0"/>
              <w:rPr>
                <w:sz w:val="20"/>
                <w:szCs w:val="20"/>
                <w:color w:val="auto"/>
              </w:rPr>
            </w:pPr>
            <w:r>
              <w:rPr>
                <w:rFonts w:ascii="Arial" w:cs="Arial" w:eastAsia="Arial" w:hAnsi="Arial"/>
                <w:sz w:val="16"/>
                <w:szCs w:val="16"/>
                <w:b w:val="1"/>
                <w:bCs w:val="1"/>
                <w:color w:val="auto"/>
                <w:w w:val="89"/>
              </w:rPr>
              <w:t>September 30,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90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ind w:right="694"/>
              <w:spacing w:after="0"/>
              <w:rPr>
                <w:sz w:val="20"/>
                <w:szCs w:val="20"/>
                <w:color w:val="auto"/>
              </w:rPr>
            </w:pPr>
            <w:r>
              <w:rPr>
                <w:rFonts w:ascii="Arial" w:cs="Arial" w:eastAsia="Arial" w:hAnsi="Arial"/>
                <w:sz w:val="16"/>
                <w:szCs w:val="16"/>
                <w:b w:val="1"/>
                <w:bCs w:val="1"/>
                <w:color w:val="auto"/>
              </w:rPr>
              <w:t>2013</w:t>
            </w:r>
          </w:p>
        </w:tc>
      </w:tr>
      <w:tr>
        <w:trPr>
          <w:trHeight w:val="33"/>
        </w:trPr>
        <w:tc>
          <w:tcPr>
            <w:tcW w:w="7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w w:val="94"/>
              </w:rPr>
              <w:t>13%</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Fine Tec Computer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100" w:type="dxa"/>
            <w:vAlign w:val="bottom"/>
          </w:tcPr>
          <w:p>
            <w:pPr>
              <w:spacing w:after="0"/>
              <w:rPr>
                <w:sz w:val="21"/>
                <w:szCs w:val="21"/>
                <w:color w:val="auto"/>
              </w:rPr>
            </w:pPr>
          </w:p>
        </w:tc>
        <w:tc>
          <w:tcPr>
            <w:tcW w:w="1880" w:type="dxa"/>
            <w:vAlign w:val="bottom"/>
          </w:tcPr>
          <w:p>
            <w:pPr>
              <w:ind w:left="1520"/>
              <w:spacing w:after="0"/>
              <w:rPr>
                <w:sz w:val="20"/>
                <w:szCs w:val="20"/>
                <w:color w:val="auto"/>
              </w:rPr>
            </w:pPr>
            <w:r>
              <w:rPr>
                <w:rFonts w:ascii="Arial" w:cs="Arial" w:eastAsia="Arial" w:hAnsi="Arial"/>
                <w:sz w:val="18"/>
                <w:szCs w:val="18"/>
                <w:color w:val="auto"/>
              </w:rPr>
              <w:t>—</w:t>
            </w:r>
          </w:p>
        </w:tc>
      </w:tr>
      <w:tr>
        <w:trPr>
          <w:trHeight w:val="702"/>
        </w:trPr>
        <w:tc>
          <w:tcPr>
            <w:tcW w:w="7540" w:type="dxa"/>
            <w:vAlign w:val="bottom"/>
          </w:tcPr>
          <w:p>
            <w:pPr>
              <w:jc w:val="right"/>
              <w:ind w:right="1652"/>
              <w:spacing w:after="0"/>
              <w:rPr>
                <w:sz w:val="20"/>
                <w:szCs w:val="20"/>
                <w:color w:val="auto"/>
              </w:rPr>
            </w:pPr>
            <w:r>
              <w:rPr>
                <w:rFonts w:ascii="Arial" w:cs="Arial" w:eastAsia="Arial" w:hAnsi="Arial"/>
                <w:sz w:val="18"/>
                <w:szCs w:val="18"/>
                <w:color w:val="auto"/>
              </w:rPr>
              <w:t>21</w:t>
            </w: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property and equipment by geographic region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7"/>
                <w:szCs w:val="17"/>
                <w:color w:val="auto"/>
              </w:rPr>
            </w:pPr>
          </w:p>
        </w:tc>
        <w:tc>
          <w:tcPr>
            <w:tcW w:w="1640" w:type="dxa"/>
            <w:vAlign w:val="bottom"/>
          </w:tcPr>
          <w:p>
            <w:pPr>
              <w:jc w:val="right"/>
              <w:ind w:right="432"/>
              <w:spacing w:after="0"/>
              <w:rPr>
                <w:sz w:val="20"/>
                <w:szCs w:val="20"/>
                <w:color w:val="auto"/>
              </w:rPr>
            </w:pPr>
            <w:r>
              <w:rPr>
                <w:rFonts w:ascii="Arial" w:cs="Arial" w:eastAsia="Arial" w:hAnsi="Arial"/>
                <w:sz w:val="16"/>
                <w:szCs w:val="16"/>
                <w:b w:val="1"/>
                <w:bCs w:val="1"/>
                <w:color w:val="auto"/>
              </w:rPr>
              <w:t>December 31,</w:t>
            </w:r>
          </w:p>
        </w:tc>
      </w:tr>
      <w:tr>
        <w:trPr>
          <w:trHeight w:val="176"/>
        </w:trPr>
        <w:tc>
          <w:tcPr>
            <w:tcW w:w="744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Property and Equipment—Net</w:t>
            </w:r>
          </w:p>
        </w:tc>
        <w:tc>
          <w:tcPr>
            <w:tcW w:w="280" w:type="dxa"/>
            <w:vAlign w:val="bottom"/>
          </w:tcPr>
          <w:p>
            <w:pPr>
              <w:spacing w:after="0"/>
              <w:rPr>
                <w:sz w:val="15"/>
                <w:szCs w:val="15"/>
                <w:color w:val="auto"/>
              </w:rPr>
            </w:pPr>
          </w:p>
        </w:tc>
        <w:tc>
          <w:tcPr>
            <w:tcW w:w="1660" w:type="dxa"/>
            <w:vAlign w:val="bottom"/>
          </w:tcPr>
          <w:p>
            <w:pPr>
              <w:jc w:val="right"/>
              <w:ind w:right="712"/>
              <w:spacing w:after="0" w:line="176" w:lineRule="exact"/>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ind w:right="712"/>
              <w:spacing w:after="0" w:line="176" w:lineRule="exact"/>
              <w:rPr>
                <w:sz w:val="20"/>
                <w:szCs w:val="20"/>
                <w:color w:val="auto"/>
              </w:rPr>
            </w:pPr>
            <w:r>
              <w:rPr>
                <w:rFonts w:ascii="Arial" w:cs="Arial" w:eastAsia="Arial" w:hAnsi="Arial"/>
                <w:sz w:val="16"/>
                <w:szCs w:val="16"/>
                <w:b w:val="1"/>
                <w:bCs w:val="1"/>
                <w:color w:val="auto"/>
              </w:rPr>
              <w:t>2013</w:t>
            </w:r>
          </w:p>
        </w:tc>
      </w:tr>
      <w:tr>
        <w:trPr>
          <w:trHeight w:val="48"/>
        </w:trPr>
        <w:tc>
          <w:tcPr>
            <w:tcW w:w="40" w:type="dxa"/>
            <w:vAlign w:val="bottom"/>
            <w:tcBorders>
              <w:bottom w:val="single" w:sz="8" w:color="CCEEFF"/>
            </w:tcBorders>
          </w:tcPr>
          <w:p>
            <w:pPr>
              <w:spacing w:after="0"/>
              <w:rPr>
                <w:sz w:val="4"/>
                <w:szCs w:val="4"/>
                <w:color w:val="auto"/>
              </w:rPr>
            </w:pPr>
          </w:p>
        </w:tc>
        <w:tc>
          <w:tcPr>
            <w:tcW w:w="2140" w:type="dxa"/>
            <w:vAlign w:val="bottom"/>
            <w:tcBorders>
              <w:top w:val="single" w:sz="8" w:color="auto"/>
              <w:bottom w:val="single" w:sz="8" w:color="CCEEFF"/>
            </w:tcBorders>
          </w:tcPr>
          <w:p>
            <w:pPr>
              <w:spacing w:after="0"/>
              <w:rPr>
                <w:sz w:val="4"/>
                <w:szCs w:val="4"/>
                <w:color w:val="auto"/>
              </w:rPr>
            </w:pPr>
          </w:p>
        </w:tc>
        <w:tc>
          <w:tcPr>
            <w:tcW w:w="52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45,234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29,334</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4,372</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240"/>
              <w:spacing w:after="0"/>
              <w:rPr>
                <w:sz w:val="20"/>
                <w:szCs w:val="20"/>
                <w:color w:val="auto"/>
              </w:rPr>
            </w:pPr>
            <w:r>
              <w:rPr>
                <w:rFonts w:ascii="Arial" w:cs="Arial" w:eastAsia="Arial" w:hAnsi="Arial"/>
                <w:sz w:val="18"/>
                <w:szCs w:val="18"/>
                <w:color w:val="auto"/>
              </w:rPr>
              <w:t>Other Americas</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33,751</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1,273</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1,628</w:t>
            </w:r>
          </w:p>
        </w:tc>
      </w:tr>
      <w:tr>
        <w:trPr>
          <w:trHeight w:val="257"/>
        </w:trPr>
        <w:tc>
          <w:tcPr>
            <w:tcW w:w="40" w:type="dxa"/>
            <w:vAlign w:val="bottom"/>
          </w:tcPr>
          <w:p>
            <w:pPr>
              <w:spacing w:after="0"/>
              <w:rPr>
                <w:sz w:val="22"/>
                <w:szCs w:val="22"/>
                <w:color w:val="auto"/>
              </w:rPr>
            </w:pPr>
          </w:p>
        </w:tc>
        <w:tc>
          <w:tcPr>
            <w:tcW w:w="7400" w:type="dxa"/>
            <w:vAlign w:val="bottom"/>
            <w:gridSpan w:val="2"/>
          </w:tcPr>
          <w:p>
            <w:pPr>
              <w:ind w:left="460"/>
              <w:spacing w:after="0"/>
              <w:rPr>
                <w:sz w:val="20"/>
                <w:szCs w:val="20"/>
                <w:color w:val="auto"/>
              </w:rPr>
            </w:pPr>
            <w:r>
              <w:rPr>
                <w:rFonts w:ascii="Arial" w:cs="Arial" w:eastAsia="Arial" w:hAnsi="Arial"/>
                <w:sz w:val="18"/>
                <w:szCs w:val="18"/>
                <w:color w:val="auto"/>
              </w:rPr>
              <w:t>Total property and equipment—net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56,812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36,652</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changes in accumulated balances of other comprehensive income for the nine months ended September 30, 2014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ind w:left="720"/>
              <w:spacing w:after="0"/>
              <w:rPr>
                <w:sz w:val="20"/>
                <w:szCs w:val="20"/>
                <w:color w:val="auto"/>
              </w:rPr>
            </w:pPr>
            <w:r>
              <w:rPr>
                <w:rFonts w:ascii="Arial" w:cs="Arial" w:eastAsia="Arial" w:hAnsi="Arial"/>
                <w:sz w:val="16"/>
                <w:szCs w:val="16"/>
                <w:b w:val="1"/>
                <w:bCs w:val="1"/>
                <w:color w:val="auto"/>
              </w:rPr>
              <w:t>September 30, 2014</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Tax Benefit Or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Provision 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Foreign Currency</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Unrealized Gains And</w:t>
            </w:r>
          </w:p>
        </w:tc>
        <w:tc>
          <w:tcPr>
            <w:tcW w:w="18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Translation Gains</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Losses On</w:t>
            </w: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And Losses</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Investments</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September 30, 2014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details about the reclassification out of accumulated other comprehensive income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(in thousands):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Amount Reclassified From</w:t>
            </w: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center"/>
              <w:ind w:left="195"/>
              <w:spacing w:after="0"/>
              <w:rPr>
                <w:sz w:val="20"/>
                <w:szCs w:val="20"/>
                <w:color w:val="auto"/>
              </w:rPr>
            </w:pPr>
            <w:r>
              <w:rPr>
                <w:rFonts w:ascii="Arial" w:cs="Arial" w:eastAsia="Arial" w:hAnsi="Arial"/>
                <w:sz w:val="16"/>
                <w:szCs w:val="16"/>
                <w:b w:val="1"/>
                <w:bCs w:val="1"/>
                <w:color w:val="auto"/>
                <w:w w:val="92"/>
              </w:rPr>
              <w:t>Accumulated Other</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94"/>
              </w:rPr>
              <w:t>Affected Line Item In The Statement</w:t>
            </w:r>
          </w:p>
        </w:tc>
      </w:tr>
      <w:tr>
        <w:trPr>
          <w:trHeight w:val="210"/>
        </w:trPr>
        <w:tc>
          <w:tcPr>
            <w:tcW w:w="6180" w:type="dxa"/>
            <w:vAlign w:val="bottom"/>
            <w:gridSpan w:val="2"/>
          </w:tcPr>
          <w:p>
            <w:pPr>
              <w:ind w:left="560"/>
              <w:spacing w:after="0"/>
              <w:rPr>
                <w:sz w:val="20"/>
                <w:szCs w:val="20"/>
                <w:color w:val="auto"/>
              </w:rPr>
            </w:pPr>
            <w:r>
              <w:rPr>
                <w:rFonts w:ascii="Arial" w:cs="Arial" w:eastAsia="Arial" w:hAnsi="Arial"/>
                <w:sz w:val="16"/>
                <w:szCs w:val="16"/>
                <w:b w:val="1"/>
                <w:bCs w:val="1"/>
                <w:color w:val="auto"/>
              </w:rPr>
              <w:t>Details About Accumulated Other Comprehensive Income Components</w:t>
            </w:r>
          </w:p>
        </w:tc>
        <w:tc>
          <w:tcPr>
            <w:tcW w:w="2000" w:type="dxa"/>
            <w:vAlign w:val="bottom"/>
          </w:tcPr>
          <w:p>
            <w:pPr>
              <w:jc w:val="center"/>
              <w:ind w:left="195"/>
              <w:spacing w:after="0"/>
              <w:rPr>
                <w:sz w:val="20"/>
                <w:szCs w:val="20"/>
                <w:color w:val="auto"/>
              </w:rPr>
            </w:pPr>
            <w:r>
              <w:rPr>
                <w:rFonts w:ascii="Arial" w:cs="Arial" w:eastAsia="Arial" w:hAnsi="Arial"/>
                <w:sz w:val="16"/>
                <w:szCs w:val="16"/>
                <w:b w:val="1"/>
                <w:bCs w:val="1"/>
                <w:color w:val="auto"/>
                <w:w w:val="90"/>
              </w:rPr>
              <w:t>Comprehensive Income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91"/>
              </w:rPr>
              <w:t>Where Net Income Is Presented</w:t>
            </w:r>
          </w:p>
        </w:tc>
      </w:tr>
      <w:tr>
        <w:trPr>
          <w:trHeight w:val="33"/>
        </w:trPr>
        <w:tc>
          <w:tcPr>
            <w:tcW w:w="6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gains on investments</w:t>
            </w:r>
          </w:p>
        </w:tc>
        <w:tc>
          <w:tcPr>
            <w:tcW w:w="2000" w:type="dxa"/>
            <w:vAlign w:val="bottom"/>
            <w:tcBorders>
              <w:bottom w:val="single" w:sz="8" w:color="CCEEFF"/>
            </w:tcBorders>
            <w:shd w:val="clear" w:color="auto" w:fill="CCEEFF"/>
          </w:tcPr>
          <w:p>
            <w:pPr>
              <w:jc w:val="right"/>
              <w:ind w:right="179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r>
      <w:tr>
        <w:trPr>
          <w:trHeight w:val="243"/>
        </w:trPr>
        <w:tc>
          <w:tcPr>
            <w:tcW w:w="6180" w:type="dxa"/>
            <w:vAlign w:val="bottom"/>
            <w:gridSpan w:val="2"/>
          </w:tcPr>
          <w:p>
            <w:pPr>
              <w:ind w:left="280"/>
              <w:spacing w:after="0"/>
              <w:rPr>
                <w:sz w:val="20"/>
                <w:szCs w:val="20"/>
                <w:color w:val="auto"/>
              </w:rPr>
            </w:pPr>
            <w:r>
              <w:rPr>
                <w:rFonts w:ascii="Arial" w:cs="Arial" w:eastAsia="Arial" w:hAnsi="Arial"/>
                <w:sz w:val="18"/>
                <w:szCs w:val="18"/>
                <w:color w:val="auto"/>
              </w:rPr>
              <w:t>Tax provision related to items of other comprehensive income or loss</w:t>
            </w:r>
          </w:p>
        </w:tc>
        <w:tc>
          <w:tcPr>
            <w:tcW w:w="2000" w:type="dxa"/>
            <w:vAlign w:val="bottom"/>
          </w:tcPr>
          <w:p>
            <w:pPr>
              <w:spacing w:after="0"/>
              <w:rPr>
                <w:sz w:val="21"/>
                <w:szCs w:val="21"/>
                <w:color w:val="auto"/>
              </w:rPr>
            </w:pPr>
          </w:p>
        </w:tc>
        <w:tc>
          <w:tcPr>
            <w:tcW w:w="3240" w:type="dxa"/>
            <w:vAlign w:val="bottom"/>
            <w:gridSpan w:val="3"/>
          </w:tcPr>
          <w:p>
            <w:pPr>
              <w:ind w:left="80"/>
              <w:spacing w:after="0"/>
              <w:rPr>
                <w:sz w:val="20"/>
                <w:szCs w:val="20"/>
                <w:color w:val="auto"/>
              </w:rPr>
            </w:pPr>
            <w:r>
              <w:rPr>
                <w:rFonts w:ascii="Arial" w:cs="Arial" w:eastAsia="Arial" w:hAnsi="Arial"/>
                <w:sz w:val="18"/>
                <w:szCs w:val="18"/>
                <w:color w:val="auto"/>
              </w:rPr>
              <w:t>3   Provision for income taxes</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r>
      <w:tr>
        <w:trPr>
          <w:trHeight w:val="257"/>
        </w:trPr>
        <w:tc>
          <w:tcPr>
            <w:tcW w:w="6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2000" w:type="dxa"/>
            <w:vAlign w:val="bottom"/>
            <w:tcBorders>
              <w:bottom w:val="single" w:sz="8" w:color="auto"/>
            </w:tcBorders>
            <w:shd w:val="clear" w:color="auto" w:fill="CCEEFF"/>
          </w:tcPr>
          <w:p>
            <w:pPr>
              <w:jc w:val="right"/>
              <w:ind w:right="179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spacing w:after="0"/>
              <w:rPr>
                <w:sz w:val="22"/>
                <w:szCs w:val="22"/>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FOREIGN CURRENCY DERIVATIVES</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b w:val="1"/>
          <w:bCs w:val="1"/>
          <w:color w:val="auto"/>
        </w:rPr>
        <w:t>Foreign Currency Derivatives</w:t>
      </w:r>
      <w:r>
        <w:rPr>
          <w:rFonts w:ascii="Arial" w:cs="Arial" w:eastAsia="Arial" w:hAnsi="Arial"/>
          <w:sz w:val="17"/>
          <w:szCs w:val="17"/>
          <w:color w:val="auto"/>
        </w:rPr>
        <w:t>—Our sales contracts are primarily denominated in U.S. dollars and therefore substantially all of our revenue is not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To help protect against significant fluctuations in value and the volatility of future cash flows caused by changes in currency exchange rates, we engage in foreign currency risk management activities, including forward contracts,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of one month. We record changes in the fair value of forward exchange contracts related to balance sheet accounts as Other (expense) income—net in the consolidated statement of operations.</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Additionally, independent of any hedging activities, fluctuations in foreign currency exchange rates may cause us to recognize transaction gains and losses in Other (expense) income—net in our condensed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GBP and EUR could adversely impact our operating expenses in the future.</w:t>
      </w:r>
    </w:p>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notional amount of forward exchange contracts to hedge balance sheet accounts as of September 30, 2014 and December 31, 2013 were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60" w:type="dxa"/>
            <w:vAlign w:val="bottom"/>
          </w:tcPr>
          <w:p>
            <w:pPr>
              <w:ind w:left="640"/>
              <w:spacing w:after="0"/>
              <w:rPr>
                <w:sz w:val="20"/>
                <w:szCs w:val="20"/>
                <w:color w:val="auto"/>
              </w:rPr>
            </w:pPr>
            <w:r>
              <w:rPr>
                <w:rFonts w:ascii="Arial" w:cs="Arial" w:eastAsia="Arial" w:hAnsi="Arial"/>
                <w:sz w:val="18"/>
                <w:szCs w:val="18"/>
                <w:b w:val="1"/>
                <w:bCs w:val="1"/>
                <w:color w:val="auto"/>
              </w:rPr>
              <w:t>Buy/Sell</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55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890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Currency—As of September 30, 2014</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5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r>
      <w:tr>
        <w:trPr>
          <w:trHeight w:val="243"/>
        </w:trPr>
        <w:tc>
          <w:tcPr>
            <w:tcW w:w="8900" w:type="dxa"/>
            <w:vAlign w:val="bottom"/>
            <w:gridSpan w:val="5"/>
          </w:tcPr>
          <w:p>
            <w:pPr>
              <w:ind w:left="40"/>
              <w:spacing w:after="0"/>
              <w:rPr>
                <w:sz w:val="20"/>
                <w:szCs w:val="20"/>
                <w:color w:val="auto"/>
              </w:rPr>
            </w:pPr>
            <w:r>
              <w:rPr>
                <w:rFonts w:ascii="Arial" w:cs="Arial" w:eastAsia="Arial" w:hAnsi="Arial"/>
                <w:sz w:val="18"/>
                <w:szCs w:val="18"/>
                <w:color w:val="auto"/>
              </w:rPr>
              <w:t>CAD</w:t>
            </w: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Buy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13,242</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03"/>
        </w:trPr>
        <w:tc>
          <w:tcPr>
            <w:tcW w:w="89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Currency—As of December 31, 2013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5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43"/>
        </w:trPr>
        <w:tc>
          <w:tcPr>
            <w:tcW w:w="89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CAD</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21,867</w:t>
            </w:r>
          </w:p>
        </w:tc>
      </w:tr>
      <w:tr>
        <w:trPr>
          <w:trHeight w:val="27"/>
        </w:trPr>
        <w:tc>
          <w:tcPr>
            <w:tcW w:w="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October 17, 2014, our Board extended the share repurchase authorization under the Program through December 31, 2015. As of October 17, 2014, $124.9 million remained authorized for future share repurchases under the Program.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and Section 21E of the Exchange Act. These statements include, among other things, statements concerning our expectations regarding:</w:t>
      </w:r>
    </w:p>
    <w:p>
      <w:pPr>
        <w:spacing w:after="0" w:line="1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certain acquisitions and investments in strategic relationships;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the proportion of our revenue that consists of our product and service revenues, and the mix of billings between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expanding our reach into new high growth verticals and emerging markets and continuing to sell to large enterprises and service providers;</w:t>
      </w:r>
    </w:p>
    <w:p>
      <w:pPr>
        <w:spacing w:after="0" w:line="248" w:lineRule="exact"/>
        <w:rPr>
          <w:rFonts w:ascii="Arial" w:cs="Arial" w:eastAsia="Arial" w:hAnsi="Arial"/>
          <w:sz w:val="16"/>
          <w:szCs w:val="16"/>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increasing customer expectations about the quality and functionality of our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80" w:hanging="644"/>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trends in our operating expenses, including personnel costs, research and development expense, sales and marketing expense and general and administrative expense, and expectations regarding these expenses as a percentage of total revenue;</w:t>
      </w:r>
    </w:p>
    <w:p>
      <w:pPr>
        <w:spacing w:after="0" w:line="146" w:lineRule="exact"/>
        <w:rPr>
          <w:rFonts w:ascii="Arial" w:cs="Arial" w:eastAsia="Arial" w:hAnsi="Arial"/>
          <w:sz w:val="17"/>
          <w:szCs w:val="17"/>
          <w:color w:val="auto"/>
        </w:rPr>
      </w:pPr>
    </w:p>
    <w:p>
      <w:pPr>
        <w:ind w:left="1300" w:right="280" w:hanging="644"/>
        <w:spacing w:after="0" w:line="277" w:lineRule="auto"/>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 to strengthen our technology leadership position and in sales and marketing and the impact of those investments;</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expectations regarding spending related to capital expenditures;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competition in our markets;</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sufficiency of our existing cash, cash equivalents and investments to meet our cash needs for at least the next 12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as well as other statements regarding our future operations, financial condition and prospects and business strategies.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in our other SEC filings, including the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provide high performance network security solutions, which enable broad, integrated and high performance protection against advanced security threats while simplifying the IT security infrastructure for enterprises, service providers and governmental entities worldwide, including the majority of the Fortune Global 100.</w:t>
      </w:r>
    </w:p>
    <w:p>
      <w:pPr>
        <w:ind w:firstLine="648"/>
        <w:spacing w:after="0" w:line="254" w:lineRule="auto"/>
        <w:rPr>
          <w:sz w:val="20"/>
          <w:szCs w:val="20"/>
          <w:color w:val="auto"/>
        </w:rPr>
      </w:pPr>
      <w:r>
        <w:rPr>
          <w:rFonts w:ascii="Arial" w:cs="Arial" w:eastAsia="Arial" w:hAnsi="Arial"/>
          <w:sz w:val="18"/>
          <w:szCs w:val="18"/>
          <w:color w:val="auto"/>
        </w:rPr>
        <w:t>Our core product platform is the FortiGate physical and virtual appliance, which ships with a set of broad security services, including firewall, virtual private network (VPN), application control, intrusion prevention, Web filtering and advanced threat protection (ATP). These security services are enabled by FortiGuard which provides extensive threat research and a global cloud network to deliver protection services to each FortiGate. FortiGate also has extensive networking capability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such as switching, routing, native internet protocol version 6 (IPv6) and different modes of deployment. FortiManager provides central management and the FortiAnalyzer provides reporting and analytics. The FortiGate platform can be extended to provide enhanced capabilities. For example, it can be used as a Wireless Controller for Access Points. An external sandbox can also be attached for local ATP analysis.</w:t>
      </w:r>
    </w:p>
    <w:p>
      <w:pPr>
        <w:spacing w:after="0" w:line="166"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Customers select the functions or combination of functions that best meet their specific security requirements such as a high-speed data center firewall (DCFW) at the network core, a next-generation firewall (NGFW) at the edge, or a broad unified threat management (UTM) solution at branch sites. We derive a substantial majority of product sales from our FortiGate appliances, which range from the FortiGate-20 to -100 series, designed for small businesses, FortiGate-200 to -800 series for mid-sized enterprises, to the FortiGate-1000 to -5000 series for large enterprises, telecommunications carriers, and service providers. Our network security platform also includes our FortiGuard security subscription services, which end-customers can subscribe to in order to obtain access to dynamic updates to intrusion prevention, application control, anti-malware, Web filtering, and anti-spam functionality. End-customers can also choose to purchase FortiCare technical support services for our products. End-customers also often use FortiManager and FortiAnalyzer products in conjunction with a FortiGate deployment to provide centralized management, analysis and reporting capabilities.</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complement our core FortiGate product line with other appliances and software that offer additional protection from security threats to other critical areas of the enterprise, such as our FortiSandbox ATP messaging security product, Web application firewalls, databases security product, distributed denial of service attack (DDoS) security product, and endpoint security product for employee computers and mobile devices. Sales of these complementary products and related services represent less than 10% of our total revenue.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14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recorded total revenue of $193.3 million and $546.4 million during the three and nine months ended September 30, 2014, respectively, an increase of 25% during each of these periods compared to the same periods last year. Product revenue was $87.7 million and $249.9 million during the three and nine months ended September 30, 2014, respectively, an increase of 26% and 29%, respectively, compared to the same periods last year. Services and other revenue was $105.6 million and $296.5 million during the three and nine months ended September 30, 2014, respectively, an increase of 24% and 22%, respectively, compared to the same periods last year.</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cash equivalents and investments were $963.8 million as of September 30, 2014, an increase of $120.7 million from December 31, 2013.</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revenue was $500.0 million as of September 30, 2014, an increase of $67.4 million from December 31, 2013</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$161.2 million during the nine months ended September 30, 2014, an increase of 60% compared to the same period last year.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received $20.0 million pursuant to a six year mutual covenant-not-to-sue and release agreement with Palo Alto Networks, Inc. in January 2014.</w:t>
      </w:r>
    </w:p>
    <w:p>
      <w:pPr>
        <w:spacing w:after="0" w:line="248"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repurchased 1.4 million shares of common stock under our previously-announced Share Repurchase Program for an aggregate purchase price of $33.2 million during the nine months ended September 30, 2014.</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Revenue grew as a result of our focus on growth and our strategy to invest in our marketing and increase sales capacity during the three and nine months ended September 30, 2014. We also continued to gain traction with several recently introduced FortiGate products, including demand for certain of our high speed, low latency next-generation enterprise data center security products.</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continue to invest in sales and marketing to expand brand awareness and our global sales team and distribution channels to expand our global reach and sales capacity. We continue to focus on selling to large customers, such as enterprise and service providers. As a result, we experienced increased deal volumes driven by traction in enterprise data center deployments and large enterprise deals.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months ended September 30, 2014, our revenue growth was primarily driven by greater sales volume in our FortiGate product family due to increased demand across all product categories, particularly from our entry-level and mid-range products, including our recently introduced FortiGate 300D and 500D enterprise security appliances. Sales of entry-level products (FortiGate-20 to -100 series) and mid-range products (FortiGate-200 to -800 series) increased compared to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same period last year. During the nine months ended September 30, 2014, our revenue growth was primarily driven by an increase in the sale of our high-end products, including our recently introduced FortiGate 1500D and 3700D enterprise security appliances.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During the three and nine months ended September 30, 2014, operating expenses increased by 31% and 30%, respectively, compared to the same periods last year. The increase was primarily driven by our accelerated pace of hiring and marketing investments to support our growth as we continued to invest in expanding our sales coverage, marketing capabilities, developing new products and scaling our customer support organization to meet the needs of our growing customer base. Headcount increased to 2,721 as of September 30, 2014 from 2,238 as of September 30, 2013.</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121" w:right="31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Metrics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monitor the key financial metrics set forth below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213"/>
              <w:spacing w:after="0"/>
              <w:rPr>
                <w:sz w:val="20"/>
                <w:szCs w:val="20"/>
                <w:color w:val="auto"/>
              </w:rPr>
            </w:pPr>
            <w:r>
              <w:rPr>
                <w:rFonts w:ascii="Arial" w:cs="Arial" w:eastAsia="Arial" w:hAnsi="Arial"/>
                <w:sz w:val="16"/>
                <w:szCs w:val="16"/>
                <w:b w:val="1"/>
                <w:bCs w:val="1"/>
                <w:color w:val="auto"/>
                <w:w w:val="93"/>
              </w:rPr>
              <w:t>September 30,</w:t>
            </w:r>
          </w:p>
        </w:tc>
        <w:tc>
          <w:tcPr>
            <w:tcW w:w="26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3"/>
          </w:tcPr>
          <w:p>
            <w:pPr>
              <w:jc w:val="right"/>
              <w:ind w:right="95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193,348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154,699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500,012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400,173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deferred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Billings (non-GAAP)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213,158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165,190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963,759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841,005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56,518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25,384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50,738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22,224</w:t>
            </w:r>
          </w:p>
        </w:tc>
      </w:tr>
      <w:tr>
        <w:trPr>
          <w:trHeight w:val="27"/>
        </w:trPr>
        <w:tc>
          <w:tcPr>
            <w:tcW w:w="8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Our deferred revenue consists of amounts that have been invoiced but that have not yet been recognized as revenue.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our deferred revenue balance consists of the unamortized portion of services revenue from FortiGuard subscription and FortiCare support service contracts. We monitor our deferred revenue balance because it represents a significant portion of revenue to be recognized in future periods.</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 xml:space="preserve">Billings (Non-GAAP). </w:t>
      </w:r>
      <w:r>
        <w:rPr>
          <w:rFonts w:ascii="Arial" w:cs="Arial" w:eastAsia="Arial" w:hAnsi="Arial"/>
          <w:sz w:val="16"/>
          <w:szCs w:val="16"/>
          <w:color w:val="auto"/>
        </w:rPr>
        <w:t>We define billings as revenue recognized plus the change in deferred revenue from the beginning to the end of the period less</w:t>
      </w:r>
      <w:r>
        <w:rPr>
          <w:rFonts w:ascii="Arial" w:cs="Arial" w:eastAsia="Arial" w:hAnsi="Arial"/>
          <w:sz w:val="16"/>
          <w:szCs w:val="16"/>
          <w:i w:val="1"/>
          <w:iCs w:val="1"/>
          <w:color w:val="auto"/>
        </w:rPr>
        <w:t xml:space="preserve"> </w:t>
      </w:r>
      <w:r>
        <w:rPr>
          <w:rFonts w:ascii="Arial" w:cs="Arial" w:eastAsia="Arial" w:hAnsi="Arial"/>
          <w:sz w:val="16"/>
          <w:szCs w:val="16"/>
          <w:color w:val="auto"/>
        </w:rPr>
        <w:t>any deferred revenue balances acquired from business combination(s) during the period. We consider billings to be a useful metric for management and investors because billings drive deferred revenue, which is an important indicator of the health and visibility of our business, and has historically, represented a majority of the quarterly revenue that we recognize. There are a number of limitations related to the use of billings versus revenue calculated in accordance with GAAP. First, billings include amounts that have not yet been recognized as revenue. Second, we may calculate billings in a manner that is different from peer companies that report similar financial measures. Management compensates for these limitations by providing specific information regarding GAAP revenue and evaluating billings together with revenue calculated in accordance with GAAP. A reconciliation of billings to revenue, the most directly comparable financial measure calculated and presented in accordance with GAAP, is provided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80" w:type="dxa"/>
            <w:vAlign w:val="bottom"/>
          </w:tcPr>
          <w:p>
            <w:pPr>
              <w:jc w:val="right"/>
              <w:ind w:right="294"/>
              <w:spacing w:after="0"/>
              <w:rPr>
                <w:sz w:val="20"/>
                <w:szCs w:val="20"/>
                <w:color w:val="auto"/>
              </w:rPr>
            </w:pPr>
            <w:r>
              <w:rPr>
                <w:rFonts w:ascii="Arial" w:cs="Arial" w:eastAsia="Arial" w:hAnsi="Arial"/>
                <w:sz w:val="16"/>
                <w:szCs w:val="16"/>
                <w:b w:val="1"/>
                <w:bCs w:val="1"/>
                <w:color w:val="auto"/>
                <w:w w:val="98"/>
              </w:rPr>
              <w:t>September 30,</w:t>
            </w:r>
          </w:p>
        </w:tc>
      </w:t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615"/>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594"/>
              <w:spacing w:after="0"/>
              <w:rPr>
                <w:sz w:val="20"/>
                <w:szCs w:val="20"/>
                <w:color w:val="auto"/>
              </w:rPr>
            </w:pPr>
            <w:r>
              <w:rPr>
                <w:rFonts w:ascii="Arial" w:cs="Arial" w:eastAsia="Arial" w:hAnsi="Arial"/>
                <w:sz w:val="16"/>
                <w:szCs w:val="16"/>
                <w:b w:val="1"/>
                <w:bCs w:val="1"/>
                <w:color w:val="auto"/>
              </w:rPr>
              <w:t>2013</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1174"/>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193,348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154,699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increase in 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10,491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213,158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165,190</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Free cash flow (Non-GAAP). </w:t>
      </w:r>
      <w:r>
        <w:rPr>
          <w:rFonts w:ascii="Arial" w:cs="Arial" w:eastAsia="Arial" w:hAnsi="Arial"/>
          <w:sz w:val="18"/>
          <w:szCs w:val="18"/>
          <w:color w:val="auto"/>
        </w:rPr>
        <w:t>We define free cash flow as net cash provided by operating activities less capital expenditures. We consider free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to be a liquidity measure that provides useful information to management and investors about the amount of cash generated by the business that, after the acquisition of property and equipment, can be used for strategic opportunities, including investing in our business, making strategic acquisitions, repurchasing outstanding common stock, and strengthening the balance sheet. Analysis of free cash flow facilitates comparisons of our operating results to competitors’ operating results. A limitation of using free cash flow versus the GAAP measure of net cash provided by operating activities as a means for evaluating liquidity is that free cash flow does not represent the total increase or decrease in the cash, cash equivalents and investments balances for the period because it excludes cash used for capital expenditures and cash provided by or used for other investing and financing activities. We compensate for this limitation by providing</w:t>
      </w:r>
    </w:p>
    <w:p>
      <w:pPr>
        <w:sectPr>
          <w:pgSz w:w="11900" w:h="16838" w:orient="portrait"/>
          <w:cols w:equalWidth="0" w:num="1">
            <w:col w:w="11420"/>
          </w:cols>
          <w:pgMar w:left="240" w:top="121"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information about our capital expenditures and other investing and financing activities on the face of the cash flow statement and under “—Liquidity and Capital Resources.” A reconciliation of free cash flow to net cash provided by operating activities, the most directly comparable financial measure calculated and presented in accordance with GAAP, is provided below:</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80" w:type="dxa"/>
            <w:vAlign w:val="bottom"/>
          </w:tcPr>
          <w:p>
            <w:pPr>
              <w:jc w:val="right"/>
              <w:ind w:right="294"/>
              <w:spacing w:after="0"/>
              <w:rPr>
                <w:sz w:val="20"/>
                <w:szCs w:val="20"/>
                <w:color w:val="auto"/>
              </w:rPr>
            </w:pPr>
            <w:r>
              <w:rPr>
                <w:rFonts w:ascii="Arial" w:cs="Arial" w:eastAsia="Arial" w:hAnsi="Arial"/>
                <w:sz w:val="16"/>
                <w:szCs w:val="16"/>
                <w:b w:val="1"/>
                <w:bCs w:val="1"/>
                <w:color w:val="auto"/>
                <w:w w:val="98"/>
              </w:rPr>
              <w:t>September 30,</w:t>
            </w:r>
          </w:p>
        </w:tc>
      </w:t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615"/>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594"/>
              <w:spacing w:after="0"/>
              <w:rPr>
                <w:sz w:val="20"/>
                <w:szCs w:val="20"/>
                <w:color w:val="auto"/>
              </w:rPr>
            </w:pPr>
            <w:r>
              <w:rPr>
                <w:rFonts w:ascii="Arial" w:cs="Arial" w:eastAsia="Arial" w:hAnsi="Arial"/>
                <w:sz w:val="16"/>
                <w:szCs w:val="16"/>
                <w:b w:val="1"/>
                <w:bCs w:val="1"/>
                <w:color w:val="auto"/>
              </w:rPr>
              <w:t>2013</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1174"/>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56,518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25,384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50,738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22,224</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Critical Accounting Policies and Estimates</w:t>
      </w:r>
      <w:r>
        <w:rPr>
          <w:rFonts w:ascii="Arial" w:cs="Arial" w:eastAsia="Arial" w:hAnsi="Arial"/>
          <w:sz w:val="18"/>
          <w:szCs w:val="18"/>
          <w:color w:val="auto"/>
        </w:rPr>
        <w:t>—Our discussion and analysis of our financial condition and results of operations are based upon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which have been prepared in accordance with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expense,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of and for the three and nine months ended September 30, 2014, as compared to the critical accounting policies and estimates described in the Form 10-K.</w:t>
      </w:r>
    </w:p>
    <w:p>
      <w:pPr>
        <w:spacing w:after="0" w:line="180" w:lineRule="exact"/>
        <w:rPr>
          <w:sz w:val="20"/>
          <w:szCs w:val="20"/>
          <w:color w:val="auto"/>
        </w:rPr>
      </w:pPr>
    </w:p>
    <w:p>
      <w:pPr>
        <w:ind w:firstLine="648"/>
        <w:spacing w:after="0" w:line="315" w:lineRule="auto"/>
        <w:rPr>
          <w:sz w:val="20"/>
          <w:szCs w:val="20"/>
          <w:color w:val="auto"/>
        </w:rPr>
      </w:pPr>
      <w:r>
        <w:rPr>
          <w:rFonts w:ascii="Arial" w:cs="Arial" w:eastAsia="Arial" w:hAnsi="Arial"/>
          <w:sz w:val="16"/>
          <w:szCs w:val="16"/>
          <w:b w:val="1"/>
          <w:bCs w:val="1"/>
          <w:color w:val="auto"/>
        </w:rPr>
        <w:t>Reclassification</w:t>
      </w:r>
      <w:r>
        <w:rPr>
          <w:rFonts w:ascii="Arial" w:cs="Arial" w:eastAsia="Arial" w:hAnsi="Arial"/>
          <w:sz w:val="16"/>
          <w:szCs w:val="16"/>
          <w:color w:val="auto"/>
        </w:rPr>
        <w:t>—Beginning in the first quarter of 2014, the amounts previously reported as Ratable and other revenue have been combined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previously reported as Services revenue in the condensed consolidated statements of operations. The combined amounts are now being presented as Services and other revenue in the condensed consolidated statements of operations. The related Cost of revenue and Gross profit, including prior period amounts, have also been combined to conform to the current period presentation. The Ratable and other revenue amounts, including the related Cost of revenue and Gross profit amounts, are not material, and the reclassification did not have any impact on our gross margin or net income.</w:t>
      </w:r>
    </w:p>
    <w:p>
      <w:pPr>
        <w:spacing w:after="0" w:line="15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Recent Accounting Pronouncement</w:t>
      </w:r>
      <w:r>
        <w:rPr>
          <w:rFonts w:ascii="Arial" w:cs="Arial" w:eastAsia="Arial" w:hAnsi="Arial"/>
          <w:sz w:val="18"/>
          <w:szCs w:val="18"/>
          <w:color w:val="auto"/>
        </w:rPr>
        <w:t>—In May 2014, the Financial Accounting Standards Board issued Accounting Standards Update No. 2014-09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(Topic 606) - Revenue from Contracts with Customers </w:t>
      </w:r>
      <w:r>
        <w:rPr>
          <w:rFonts w:ascii="Arial" w:cs="Arial" w:eastAsia="Arial" w:hAnsi="Arial"/>
          <w:sz w:val="18"/>
          <w:szCs w:val="18"/>
          <w:color w:val="auto"/>
        </w:rPr>
        <w:t>(“ASU 2014-09”) to create a single, joint revenue standard that is consistent across all industries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for companies that prepare their financial statements in accordance with U.S. GAAP. Under ASU 2014-09, an entity is required to recognize revenue upon the transfer of promised goods or services to customers, in an amount that reflects the consideration the entity expects to be entitled to in exchange for those goods or services. ASU 2014-09 is effective for us beginning on January 1, 2017. We are currently evaluating the impact of ASU 2014-09 on our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and 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37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center"/>
              <w:ind w:right="1036"/>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87,731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69,687</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18,044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105,617</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85,012</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20,605</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24</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193,348</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154,699</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38,649</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25%</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82,218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65,448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16,770</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3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66,157</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51,373</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29</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Asia Pacific and Japan (“APAC”)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44,973</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37,878</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7,095</w:t>
            </w:r>
          </w:p>
        </w:tc>
        <w:tc>
          <w:tcPr>
            <w:tcW w:w="1420" w:type="dxa"/>
            <w:vAlign w:val="bottom"/>
          </w:tcPr>
          <w:p>
            <w:pPr>
              <w:ind w:left="1060"/>
              <w:spacing w:after="0"/>
              <w:rPr>
                <w:sz w:val="20"/>
                <w:szCs w:val="20"/>
                <w:color w:val="auto"/>
              </w:rPr>
            </w:pPr>
            <w:r>
              <w:rPr>
                <w:rFonts w:ascii="Arial" w:cs="Arial" w:eastAsia="Arial" w:hAnsi="Arial"/>
                <w:sz w:val="18"/>
                <w:szCs w:val="18"/>
                <w:color w:val="auto"/>
              </w:rPr>
              <w:t>19</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193,348</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154,699</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38,649</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25%</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Total revenue increased by $38.6 million, or 25%, in the three months ended September 30, 2014 compared to the same period last year. The Americas region contributed the largest portion of our revenue growth on an absolute dollar basis and all three regions experienced revenue growth compared to the same period last year. Product revenue increased by $18.0 million, or 26%, in the three months ended September 30, 2014, compared to the same period last year. The increase in product revenue was primarily driven by greater sales volume in our FortiGate product family due to increased demand across all product categories, particularly from our entry-level and mid-range products including our recently introduced FortiGate 300D and 500D enterprise security appliances.</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Services and other revenue increased by $20.6 million, or 24%, in the three months ended September 30, 2014 compared to the same period last year due to the recognition of revenue from our growing deferred revenue balance consisting of FortiGuard subscription and FortiCare support contracts sold to a larger customer base.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5"/>
          </w:tcPr>
          <w:p>
            <w:pPr>
              <w:ind w:left="9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592"/>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ind w:left="920"/>
              <w:spacing w:after="0"/>
              <w:rPr>
                <w:sz w:val="20"/>
                <w:szCs w:val="20"/>
                <w:color w:val="auto"/>
              </w:rPr>
            </w:pPr>
            <w:r>
              <w:rPr>
                <w:rFonts w:ascii="Arial" w:cs="Arial" w:eastAsia="Arial" w:hAnsi="Arial"/>
                <w:sz w:val="18"/>
                <w:szCs w:val="18"/>
                <w:color w:val="auto"/>
              </w:rPr>
              <w:t>35,636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94"/>
              <w:spacing w:after="0"/>
              <w:rPr>
                <w:sz w:val="20"/>
                <w:szCs w:val="20"/>
                <w:color w:val="auto"/>
              </w:rPr>
            </w:pPr>
            <w:r>
              <w:rPr>
                <w:rFonts w:ascii="Arial" w:cs="Arial" w:eastAsia="Arial" w:hAnsi="Arial"/>
                <w:sz w:val="18"/>
                <w:szCs w:val="18"/>
                <w:color w:val="auto"/>
              </w:rPr>
              <w:t>27,126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8,510</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31%</w:t>
            </w: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21,249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16,804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4,445</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26</w:t>
            </w:r>
          </w:p>
        </w:tc>
      </w:tr>
      <w:tr>
        <w:trPr>
          <w:trHeight w:val="257"/>
        </w:trPr>
        <w:tc>
          <w:tcPr>
            <w:tcW w:w="360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56,885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43,930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12,955</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29%</w:t>
            </w:r>
          </w:p>
        </w:tc>
      </w:tr>
      <w:tr>
        <w:trPr>
          <w:trHeight w:val="20"/>
        </w:trPr>
        <w:tc>
          <w:tcPr>
            <w:tcW w:w="3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Gross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780" w:type="dxa"/>
            <w:vAlign w:val="bottom"/>
          </w:tcPr>
          <w:p>
            <w:pPr>
              <w:ind w:left="1560"/>
              <w:spacing w:after="0"/>
              <w:rPr>
                <w:sz w:val="20"/>
                <w:szCs w:val="20"/>
                <w:color w:val="auto"/>
              </w:rPr>
            </w:pPr>
            <w:r>
              <w:rPr>
                <w:rFonts w:ascii="Arial" w:cs="Arial" w:eastAsia="Arial" w:hAnsi="Arial"/>
                <w:sz w:val="18"/>
                <w:szCs w:val="18"/>
                <w:color w:val="auto"/>
              </w:rPr>
              <w:t>59.4%</w:t>
            </w:r>
          </w:p>
        </w:tc>
        <w:tc>
          <w:tcPr>
            <w:tcW w:w="2000" w:type="dxa"/>
            <w:vAlign w:val="bottom"/>
          </w:tcPr>
          <w:p>
            <w:pPr>
              <w:ind w:left="760"/>
              <w:spacing w:after="0"/>
              <w:rPr>
                <w:sz w:val="20"/>
                <w:szCs w:val="20"/>
                <w:color w:val="auto"/>
              </w:rPr>
            </w:pPr>
            <w:r>
              <w:rPr>
                <w:rFonts w:ascii="Arial" w:cs="Arial" w:eastAsia="Arial" w:hAnsi="Arial"/>
                <w:sz w:val="18"/>
                <w:szCs w:val="18"/>
                <w:color w:val="auto"/>
              </w:rPr>
              <w:t>61.1%</w:t>
            </w:r>
          </w:p>
        </w:tc>
        <w:tc>
          <w:tcPr>
            <w:tcW w:w="3240" w:type="dxa"/>
            <w:vAlign w:val="bottom"/>
          </w:tcPr>
          <w:p>
            <w:pPr>
              <w:ind w:left="760"/>
              <w:spacing w:after="0"/>
              <w:rPr>
                <w:sz w:val="20"/>
                <w:szCs w:val="20"/>
                <w:color w:val="auto"/>
              </w:rPr>
            </w:pPr>
            <w:r>
              <w:rPr>
                <w:rFonts w:ascii="Arial" w:cs="Arial" w:eastAsia="Arial" w:hAnsi="Arial"/>
                <w:sz w:val="18"/>
                <w:szCs w:val="18"/>
                <w:color w:val="auto"/>
              </w:rPr>
              <w:t>(1.7)%</w:t>
            </w:r>
          </w:p>
        </w:tc>
      </w:tr>
      <w:tr>
        <w:trPr>
          <w:trHeight w:val="27"/>
        </w:trPr>
        <w:tc>
          <w:tcPr>
            <w:tcW w:w="34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780" w:type="dxa"/>
            <w:vAlign w:val="bottom"/>
            <w:tcBorders>
              <w:bottom w:val="single" w:sz="8" w:color="CCEEFF"/>
            </w:tcBorders>
            <w:shd w:val="clear" w:color="auto" w:fill="CCEEFF"/>
          </w:tcPr>
          <w:p>
            <w:pPr>
              <w:ind w:left="1560"/>
              <w:spacing w:after="0"/>
              <w:rPr>
                <w:sz w:val="20"/>
                <w:szCs w:val="20"/>
                <w:color w:val="auto"/>
              </w:rPr>
            </w:pPr>
            <w:r>
              <w:rPr>
                <w:rFonts w:ascii="Arial" w:cs="Arial" w:eastAsia="Arial" w:hAnsi="Arial"/>
                <w:sz w:val="18"/>
                <w:szCs w:val="18"/>
                <w:color w:val="auto"/>
              </w:rPr>
              <w:t>79.9</w:t>
            </w:r>
          </w:p>
        </w:tc>
        <w:tc>
          <w:tcPr>
            <w:tcW w:w="2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80.2</w:t>
            </w:r>
          </w:p>
        </w:tc>
        <w:tc>
          <w:tcPr>
            <w:tcW w:w="32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(0.3)</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2780" w:type="dxa"/>
            <w:vAlign w:val="bottom"/>
          </w:tcPr>
          <w:p>
            <w:pPr>
              <w:ind w:left="1560"/>
              <w:spacing w:after="0"/>
              <w:rPr>
                <w:sz w:val="20"/>
                <w:szCs w:val="20"/>
                <w:color w:val="auto"/>
              </w:rPr>
            </w:pPr>
            <w:r>
              <w:rPr>
                <w:rFonts w:ascii="Arial" w:cs="Arial" w:eastAsia="Arial" w:hAnsi="Arial"/>
                <w:sz w:val="18"/>
                <w:szCs w:val="18"/>
                <w:color w:val="auto"/>
              </w:rPr>
              <w:t>70.6%</w:t>
            </w:r>
          </w:p>
        </w:tc>
        <w:tc>
          <w:tcPr>
            <w:tcW w:w="2000" w:type="dxa"/>
            <w:vAlign w:val="bottom"/>
          </w:tcPr>
          <w:p>
            <w:pPr>
              <w:ind w:left="760"/>
              <w:spacing w:after="0"/>
              <w:rPr>
                <w:sz w:val="20"/>
                <w:szCs w:val="20"/>
                <w:color w:val="auto"/>
              </w:rPr>
            </w:pPr>
            <w:r>
              <w:rPr>
                <w:rFonts w:ascii="Arial" w:cs="Arial" w:eastAsia="Arial" w:hAnsi="Arial"/>
                <w:sz w:val="18"/>
                <w:szCs w:val="18"/>
                <w:color w:val="auto"/>
              </w:rPr>
              <w:t>71.6%</w:t>
            </w:r>
          </w:p>
        </w:tc>
        <w:tc>
          <w:tcPr>
            <w:tcW w:w="3240" w:type="dxa"/>
            <w:vAlign w:val="bottom"/>
          </w:tcPr>
          <w:p>
            <w:pPr>
              <w:ind w:left="760"/>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Total gross margin decreased by 1.0 percentage point in the three months ended September 30, 2014 compared to the same period last year, as product gross margin declined. Product gross margin decreased by 1.7 percentage points in the three months ended September 30, 2014 compared to the same period last year primarily as a result of the sale of a higher mix of</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entry-level and mid-range products and higher overhead costs. In addition, warranty-related costs increased by $1.4 million. Services and other gross margin decreased by 0.3 percentage points during the three months ended September 30, 2014 as our continued investments in our technical support and global threat research organizations were relatively in line with our rate of growth of services and other revenue. Cost of services and other revenue increased by $4.4 million in the three months ended September 30, 2014 compared to the same period last year, primarily due to a $2.6 million increase in personnel costs related to headcount increases, a $0.8 million increase in professional services and a $0.8 million increase in depreciation and occupancy-related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37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center"/>
              <w:ind w:right="103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000" w:type="dxa"/>
            <w:vAlign w:val="bottom"/>
          </w:tcPr>
          <w:p>
            <w:pPr>
              <w:jc w:val="right"/>
              <w:ind w:right="154"/>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30,790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26,421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4,369</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80,433</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56,687</w:t>
            </w:r>
          </w:p>
        </w:tc>
        <w:tc>
          <w:tcPr>
            <w:tcW w:w="1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23,746</w:t>
            </w: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9,789</w:t>
            </w:r>
          </w:p>
        </w:tc>
        <w:tc>
          <w:tcPr>
            <w:tcW w:w="1500" w:type="dxa"/>
            <w:vAlign w:val="bottom"/>
            <w:gridSpan w:val="3"/>
          </w:tcPr>
          <w:p>
            <w:pPr>
              <w:jc w:val="right"/>
              <w:ind w:right="9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9,382</w:t>
            </w:r>
          </w:p>
        </w:tc>
        <w:tc>
          <w:tcPr>
            <w:tcW w:w="1520" w:type="dxa"/>
            <w:vAlign w:val="bottom"/>
            <w:gridSpan w:val="3"/>
          </w:tcPr>
          <w:p>
            <w:pPr>
              <w:jc w:val="right"/>
              <w:ind w:right="11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4</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121,012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92,490</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Research and development expense increased by $4.4 million, or 17%, in the three months ended September 30, 2014 compared to the same period last year, primarily due to an increase of $3.4 million in personnel costs as a result of increased headcount to support the development of new products and continued enhancements of our existing products. In addition, we incurred higher stock-based compensation expense of $1.0 million, higher occupancy-related costs of $0.6 million, and higher consulting service costs of $0.3 million. This increase was partially offset by lower product development expenses, such as third-party testing and prototypes costs of $0.5 million and depreciation and other costs of $0.3 million. We intend to continue to invest in our research and development organization but expect research and development expense as a percentage of total revenue to remain at similar levels during the remainder of fiscal 2014.</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Sales and marketing expense increased by $23.7 million, or 42%, in the three months ended September 30, 2014 compared to the same period last year, primarily due to an increase of $15.3 million in personnel costs as we continued to increase our headcount in order to drive continued market share gains globally. In addition, we increased our investments in marketing, including increasing expenditure on tradeshows, lead generation campaigns and other marketing-related expenses of $3.6 million. Our stock-based compensation expense increased by $2.2 million, depreciation expense, occupancy-related and other costs increased by $1.3 million and travel expense increased by $0.7 million. As a percentage of total revenue, sales and marketing expenses increased as we accelerated the investment in our sales force and marketing campaigns to drive future growth. We intend to continue to make investments in sales and marketing and expect sales and marketing expense as a percentage of total revenue to remain at similar levels or increase during the remainder of fiscal 2014.</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General and administrative expense increased by $0.4 million, or 4%, in the three months ended September 30, 2014 compared to the same period last year. Personnel costs increased by $1.2 million as we continued to increase our headcount in order to support our expanding business. The increase was partially offset by lower stock-based compensation expense of $0.4 million and other costs of $0.4 million. We expect general and administrative expense as a percentage of total revenue to remain at similar levels during the remainder of fiscal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395"/>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560" w:type="dxa"/>
            <w:vAlign w:val="bottom"/>
          </w:tcPr>
          <w:p>
            <w:pPr>
              <w:jc w:val="right"/>
              <w:ind w:right="33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715"/>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18"/>
                <w:szCs w:val="18"/>
                <w:color w:val="auto"/>
              </w:rPr>
            </w:pPr>
          </w:p>
        </w:tc>
        <w:tc>
          <w:tcPr>
            <w:tcW w:w="1740" w:type="dxa"/>
            <w:vAlign w:val="bottom"/>
          </w:tcPr>
          <w:p>
            <w:pPr>
              <w:jc w:val="right"/>
              <w:ind w:right="853"/>
              <w:spacing w:after="0"/>
              <w:rPr>
                <w:sz w:val="20"/>
                <w:szCs w:val="20"/>
                <w:color w:val="auto"/>
              </w:rPr>
            </w:pPr>
            <w:r>
              <w:rPr>
                <w:rFonts w:ascii="Arial" w:cs="Arial" w:eastAsia="Arial" w:hAnsi="Arial"/>
                <w:sz w:val="16"/>
                <w:szCs w:val="16"/>
                <w:b w:val="1"/>
                <w:bCs w:val="1"/>
                <w:color w:val="auto"/>
              </w:rPr>
              <w:t>Change</w:t>
            </w:r>
          </w:p>
        </w:tc>
        <w:tc>
          <w:tcPr>
            <w:tcW w:w="174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0" w:type="dxa"/>
            <w:vAlign w:val="bottom"/>
            <w:gridSpan w:val="3"/>
          </w:tcPr>
          <w:p>
            <w:pPr>
              <w:jc w:val="right"/>
              <w:ind w:right="853"/>
              <w:spacing w:after="0"/>
              <w:rPr>
                <w:sz w:val="20"/>
                <w:szCs w:val="20"/>
                <w:color w:val="auto"/>
              </w:rPr>
            </w:pPr>
            <w:r>
              <w:rPr>
                <w:rFonts w:ascii="Arial" w:cs="Arial" w:eastAsia="Arial" w:hAnsi="Arial"/>
                <w:sz w:val="16"/>
                <w:szCs w:val="16"/>
                <w:b w:val="1"/>
                <w:bCs w:val="1"/>
                <w:color w:val="auto"/>
              </w:rPr>
              <w:t>(in thousands except percentages)</w:t>
            </w:r>
          </w:p>
        </w:tc>
        <w:tc>
          <w:tcPr>
            <w:tcW w:w="17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1,339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1,282</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57</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(1,005)</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(1,151)</w:t>
            </w:r>
          </w:p>
        </w:tc>
        <w:tc>
          <w:tcPr>
            <w:tcW w:w="500" w:type="dxa"/>
            <w:vAlign w:val="bottom"/>
          </w:tcPr>
          <w:p>
            <w:pPr>
              <w:spacing w:after="0"/>
              <w:rPr>
                <w:sz w:val="21"/>
                <w:szCs w:val="21"/>
                <w:color w:val="auto"/>
              </w:rPr>
            </w:pP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146</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(13)</w:t>
            </w:r>
          </w:p>
        </w:tc>
      </w:tr>
    </w:tbl>
    <w:p>
      <w:pPr>
        <w:spacing w:after="0" w:line="22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Interest income increased in the three months ended September 30, 2014 compared to the same period last year due to interest earned on higher invested balances of cash, cash equivalents and investments. The change in other expense—net, for the three months ended September 30, 2014 when compared to the same period last year, was the result of lower foreign exchange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0" w:type="dxa"/>
            <w:vAlign w:val="bottom"/>
            <w:gridSpan w:val="3"/>
          </w:tcPr>
          <w:p>
            <w:pPr>
              <w:jc w:val="right"/>
              <w:ind w:right="109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435"/>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60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735"/>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18"/>
                <w:szCs w:val="18"/>
                <w:color w:val="auto"/>
              </w:rPr>
            </w:pPr>
          </w:p>
        </w:tc>
        <w:tc>
          <w:tcPr>
            <w:tcW w:w="1600" w:type="dxa"/>
            <w:vAlign w:val="bottom"/>
          </w:tcPr>
          <w:p>
            <w:pPr>
              <w:jc w:val="right"/>
              <w:ind w:right="695"/>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18"/>
                <w:szCs w:val="18"/>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66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gridSpan w:val="3"/>
          </w:tcPr>
          <w:p>
            <w:pPr>
              <w:jc w:val="right"/>
              <w:ind w:right="973"/>
              <w:spacing w:after="0"/>
              <w:rPr>
                <w:sz w:val="20"/>
                <w:szCs w:val="20"/>
                <w:color w:val="auto"/>
              </w:rPr>
            </w:pPr>
            <w:r>
              <w:rPr>
                <w:rFonts w:ascii="Arial" w:cs="Arial" w:eastAsia="Arial" w:hAnsi="Arial"/>
                <w:sz w:val="16"/>
                <w:szCs w:val="16"/>
                <w:b w:val="1"/>
                <w:bCs w:val="1"/>
                <w:color w:val="auto"/>
              </w:rPr>
              <w:t>(in thousands except percentages)</w:t>
            </w:r>
          </w:p>
        </w:tc>
        <w:tc>
          <w:tcPr>
            <w:tcW w:w="16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11,729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7,381</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4,348</w:t>
            </w:r>
          </w:p>
        </w:tc>
        <w:tc>
          <w:tcPr>
            <w:tcW w:w="16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w w:val="94"/>
              </w:rPr>
              <w:t>59%</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21"/>
                <w:szCs w:val="21"/>
                <w:color w:val="auto"/>
              </w:rPr>
            </w:pPr>
          </w:p>
        </w:tc>
        <w:tc>
          <w:tcPr>
            <w:tcW w:w="1780" w:type="dxa"/>
            <w:vAlign w:val="bottom"/>
          </w:tcPr>
          <w:p>
            <w:pPr>
              <w:jc w:val="right"/>
              <w:ind w:right="273"/>
              <w:spacing w:after="0"/>
              <w:rPr>
                <w:sz w:val="20"/>
                <w:szCs w:val="20"/>
                <w:color w:val="auto"/>
              </w:rPr>
            </w:pPr>
            <w:r>
              <w:rPr>
                <w:rFonts w:ascii="Arial" w:cs="Arial" w:eastAsia="Arial" w:hAnsi="Arial"/>
                <w:sz w:val="18"/>
                <w:szCs w:val="18"/>
                <w:color w:val="auto"/>
              </w:rPr>
              <w:t>34%</w:t>
            </w:r>
          </w:p>
        </w:tc>
        <w:tc>
          <w:tcPr>
            <w:tcW w:w="1660" w:type="dxa"/>
            <w:vAlign w:val="bottom"/>
          </w:tcPr>
          <w:p>
            <w:pPr>
              <w:ind w:left="13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effective tax rate was 74% for the three months ended September 30, 2014, compared to 40% for the same period last year. The provision for income taxes for the three months ended September 30, 2014 was comprised primarily of U.S. federal and state taxes, Singapore and other foreign income taxes, withholding tax, discrete taxes resulting from an increase in tax reserves, as well as the inclusion of stock compensation benefits and transfer pricing allocations which impact jurisdictional income taxed at various tax rates. The increase in the effective tax rate for the three months ended September 30, 2014 as compared to the same period last year was primarily due to a change in the mix of profitability between jurisdictions, an increase in estimated tax liability related to foreign operations, an increase in tax reserves, an increase in non-tax deductible stock-based compensation expense, limitations on utilizing foreign tax credits, and expiration of the U.S. federal research and development credit effective December 31, 2013. The U.S. Congress has not extended the research and development tax credit as of September 30, 2014.</w:t>
      </w:r>
    </w:p>
    <w:p>
      <w:pPr>
        <w:spacing w:after="0" w:line="1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September 30, 2014, we had accrued approximately $1.6 million for estimated interest related to uncertain tax positions.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the next twelve months, we do not believe there will be a decrease in uncertain tax benefits that could impact our future effective tax rate.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and 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center"/>
              <w:ind w:right="1036"/>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249,880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194,162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55,718</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29%</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296,515</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243,785</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52,730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22</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546,395</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437,947</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108,448</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25%</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233,035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178,101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54,934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31%</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185,354</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149,500</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35,854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24</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128,006</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110,346</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17,660</w:t>
            </w:r>
          </w:p>
        </w:tc>
        <w:tc>
          <w:tcPr>
            <w:tcW w:w="1420" w:type="dxa"/>
            <w:vAlign w:val="bottom"/>
          </w:tcPr>
          <w:p>
            <w:pPr>
              <w:ind w:left="1060"/>
              <w:spacing w:after="0"/>
              <w:rPr>
                <w:sz w:val="20"/>
                <w:szCs w:val="20"/>
                <w:color w:val="auto"/>
              </w:rPr>
            </w:pPr>
            <w:r>
              <w:rPr>
                <w:rFonts w:ascii="Arial" w:cs="Arial" w:eastAsia="Arial" w:hAnsi="Arial"/>
                <w:sz w:val="18"/>
                <w:szCs w:val="18"/>
                <w:color w:val="auto"/>
              </w:rPr>
              <w:t>16</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546,395</w:t>
            </w:r>
          </w:p>
        </w:tc>
        <w:tc>
          <w:tcPr>
            <w:tcW w:w="1500" w:type="dxa"/>
            <w:vAlign w:val="bottom"/>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437,947</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108,448</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25%</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Total revenue increased by $108.4 million, or 25%, in the nine months ended September 30, 2014 compared to the same period last year. The Americas region contributed the largest portion of our revenue growth on both an absolute dollar basis and percentage basis. Product revenue increased by $55.7 million, or 29%, in the nine months ended September 30, 2014, compared to the same period last year. The increase in product revenue was primarily driven by greater sales volume in our FortiGate product family due to increased demand across all product categories, particularly in our high-end products including our recently introduced FortiGate 1500D and 3700D enterprise security appliances.</w:t>
      </w:r>
    </w:p>
    <w:p>
      <w:pPr>
        <w:spacing w:after="0" w:line="17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Services and other revenue increased by $52.7 million, or 22%, in the nine months ended September 30, 2014 compared to the same period last year due to the recognition of revenue from our increased deferred revenue balance consisting of FortiGuard subscription and FortiCare support contracts sold to a larger customer base.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5"/>
          </w:tcPr>
          <w:p>
            <w:pPr>
              <w:ind w:left="980"/>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59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105,230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77,032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1"/>
              <w:spacing w:after="0"/>
              <w:rPr>
                <w:sz w:val="20"/>
                <w:szCs w:val="20"/>
                <w:color w:val="auto"/>
              </w:rPr>
            </w:pPr>
            <w:r>
              <w:rPr>
                <w:rFonts w:ascii="Arial" w:cs="Arial" w:eastAsia="Arial" w:hAnsi="Arial"/>
                <w:sz w:val="18"/>
                <w:szCs w:val="18"/>
                <w:color w:val="auto"/>
              </w:rPr>
              <w:t>28,198</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37%</w:t>
            </w: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60,155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49,734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10,421</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21</w:t>
            </w:r>
          </w:p>
        </w:tc>
      </w:tr>
      <w:tr>
        <w:trPr>
          <w:trHeight w:val="297"/>
        </w:trPr>
        <w:tc>
          <w:tcPr>
            <w:tcW w:w="3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165,385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126,766</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38,619</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30%</w:t>
            </w: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196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Total gross margin decreased by 1.4 percentage points in the nine months ended September 30, 2014 compared to the same period last year, as product gross margin declined. Product gross margin decreased by 2.4 percentage points in the nine months ended September 30, 2014 compared to the same period last year, primarily due to a $2.4 million impairment charge related to certain intangible assets. In addition, warranty-related costs increased by $2.7 million, excess inventory write-offs increased by $1.1 million, and personnel costs increased by $0.6 million. Services and other gross margin increased by 0.1 percentage points during the nine months ended September 30, 2014 as our continued investments in our technical support and global threat research organizations were relatively in line with our rate of growth of services and other revenue. Cost of services and other revenue increased by $10.4 million primarily due to a $6.1 million increase in personnel costs related to</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headcount increases, a $1.3 million increase in depreciation, a $1.0 million increase in occupancy-related costs, and a $0.7 million increase in stock-based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414"/>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center"/>
              <w:ind w:right="103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000" w:type="dxa"/>
            <w:vAlign w:val="bottom"/>
          </w:tcPr>
          <w:p>
            <w:pPr>
              <w:jc w:val="right"/>
              <w:ind w:right="154"/>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89,783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74,913</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14,870</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222,576</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162,660</w:t>
            </w:r>
          </w:p>
        </w:tc>
        <w:tc>
          <w:tcPr>
            <w:tcW w:w="1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59,916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37</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29,243</w:t>
            </w:r>
          </w:p>
        </w:tc>
        <w:tc>
          <w:tcPr>
            <w:tcW w:w="1500" w:type="dxa"/>
            <w:vAlign w:val="bottom"/>
            <w:gridSpan w:val="3"/>
          </w:tcPr>
          <w:p>
            <w:pPr>
              <w:jc w:val="right"/>
              <w:ind w:right="9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26,161</w:t>
            </w:r>
          </w:p>
        </w:tc>
        <w:tc>
          <w:tcPr>
            <w:tcW w:w="1520" w:type="dxa"/>
            <w:vAlign w:val="bottom"/>
            <w:gridSpan w:val="3"/>
          </w:tcPr>
          <w:p>
            <w:pPr>
              <w:jc w:val="right"/>
              <w:ind w:right="11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3,082</w:t>
            </w:r>
          </w:p>
        </w:tc>
        <w:tc>
          <w:tcPr>
            <w:tcW w:w="1420" w:type="dxa"/>
            <w:vAlign w:val="bottom"/>
          </w:tcPr>
          <w:p>
            <w:pPr>
              <w:ind w:left="1060"/>
              <w:spacing w:after="0"/>
              <w:rPr>
                <w:sz w:val="20"/>
                <w:szCs w:val="20"/>
                <w:color w:val="auto"/>
              </w:rPr>
            </w:pPr>
            <w:r>
              <w:rPr>
                <w:rFonts w:ascii="Arial" w:cs="Arial" w:eastAsia="Arial" w:hAnsi="Arial"/>
                <w:sz w:val="18"/>
                <w:szCs w:val="18"/>
                <w:color w:val="auto"/>
              </w:rPr>
              <w:t>12</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341,602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263,734</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77,868</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30%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Research and development expense increased by $14.9 million, or 20%, in the nine months ended September 30, 2014 compared to the same period last year, primarily due to an increase of $8.7 million in personnel costs as a result of increased headcount to support the development of new products and continued enhancements of our existing products. In addition, we incurred higher product development expenses, such as third-party testing, prototypes and supplies, of $3.7 million, higher stock-based compensation expense of $3.0 million, and higher depreciation and occupancy-related costs of $2.2 million. These increases were partially offset by a $3.0 million reversal of estimated contingent consideration.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Sales and marketing expense increased by $59.9 million, or 37%, in the nine months ended September 30, 2014 compared to the same period last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 primarily due to an increase of $39.3 million in personnel costs as we continued to increase our headcount in order to drive continued market share gains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globally. We also significantly increased marketing-related expenses by $9.2 million as we invested in tradeshows and lead generation campaigns.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incurred increases in stock-based compensation of $5.0 million, depreciation expense of $2.1 million, travel expense of $1.8 million and other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 million. As a percentage of total revenue, sales and marketing expenses increased as we are accelerating the investment in our sales force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campaigns to drive future growth.</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expense increased by $3.1 million, or 12%, in the nine months ended September 30, 2014 compared to the same period last year. Personnel costs increased by $2.9 million and stock-based compensation expense increased by $1.9 million as we continued to increase our headcount in order to support our expanding business. The increase in expense was partially offset by a decrease of $0.8 million in professional services fees and $0.9 million in occupancy-related costs including depreciation and supplies.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3"/>
          </w:tcPr>
          <w:p>
            <w:pPr>
              <w:jc w:val="right"/>
              <w:ind w:right="1095"/>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395"/>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560" w:type="dxa"/>
            <w:vAlign w:val="bottom"/>
          </w:tcPr>
          <w:p>
            <w:pPr>
              <w:jc w:val="right"/>
              <w:ind w:right="355"/>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715"/>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18"/>
                <w:szCs w:val="18"/>
                <w:color w:val="auto"/>
              </w:rPr>
            </w:pPr>
          </w:p>
        </w:tc>
        <w:tc>
          <w:tcPr>
            <w:tcW w:w="1560" w:type="dxa"/>
            <w:vAlign w:val="bottom"/>
          </w:tcPr>
          <w:p>
            <w:pPr>
              <w:jc w:val="right"/>
              <w:ind w:right="675"/>
              <w:spacing w:after="0"/>
              <w:rPr>
                <w:sz w:val="20"/>
                <w:szCs w:val="20"/>
                <w:color w:val="auto"/>
              </w:rPr>
            </w:pPr>
            <w:r>
              <w:rPr>
                <w:rFonts w:ascii="Arial" w:cs="Arial" w:eastAsia="Arial" w:hAnsi="Arial"/>
                <w:sz w:val="16"/>
                <w:szCs w:val="16"/>
                <w:b w:val="1"/>
                <w:bCs w:val="1"/>
                <w:color w:val="auto"/>
              </w:rPr>
              <w:t>2013</w:t>
            </w:r>
          </w:p>
        </w:tc>
        <w:tc>
          <w:tcPr>
            <w:tcW w:w="48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20" w:type="dxa"/>
            <w:vAlign w:val="bottom"/>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(in thousands except percentages)</w:t>
            </w: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3,991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3,988</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3</w:t>
            </w:r>
          </w:p>
        </w:tc>
        <w:tc>
          <w:tcPr>
            <w:tcW w:w="16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w w:val="99"/>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(1,968)</w:t>
            </w: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(1,036)</w:t>
            </w:r>
          </w:p>
        </w:tc>
        <w:tc>
          <w:tcPr>
            <w:tcW w:w="48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(932)</w:t>
            </w:r>
          </w:p>
        </w:tc>
        <w:tc>
          <w:tcPr>
            <w:tcW w:w="1620" w:type="dxa"/>
            <w:vAlign w:val="bottom"/>
          </w:tcPr>
          <w:p>
            <w:pPr>
              <w:ind w:left="1420"/>
              <w:spacing w:after="0"/>
              <w:rPr>
                <w:sz w:val="20"/>
                <w:szCs w:val="20"/>
                <w:color w:val="auto"/>
              </w:rPr>
            </w:pPr>
            <w:r>
              <w:rPr>
                <w:rFonts w:ascii="Arial" w:cs="Arial" w:eastAsia="Arial" w:hAnsi="Arial"/>
                <w:sz w:val="18"/>
                <w:szCs w:val="18"/>
                <w:color w:val="auto"/>
                <w:w w:val="89"/>
              </w:rPr>
              <w:t>90</w:t>
            </w:r>
          </w:p>
        </w:tc>
      </w:tr>
    </w:tbl>
    <w:p>
      <w:pPr>
        <w:spacing w:after="0" w:line="22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change in other expense—net, for the nine months ended September 30, 2014 when compared to the same period last year, was the result of higher foreign exchange losses and the impact of a reevaluation of the functional currency selection of certain of our international subsidiaries.</w:t>
      </w:r>
    </w:p>
    <w:p>
      <w:pPr>
        <w:sectPr>
          <w:pgSz w:w="11900" w:h="16838" w:orient="portrait"/>
          <w:cols w:equalWidth="0" w:num="1">
            <w:col w:w="11420"/>
          </w:cols>
          <w:pgMar w:left="240" w:top="121"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0" w:type="dxa"/>
            <w:vAlign w:val="bottom"/>
            <w:gridSpan w:val="3"/>
          </w:tcPr>
          <w:p>
            <w:pPr>
              <w:jc w:val="right"/>
              <w:ind w:right="1135"/>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435"/>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60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735"/>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18"/>
                <w:szCs w:val="18"/>
                <w:color w:val="auto"/>
              </w:rPr>
            </w:pPr>
          </w:p>
        </w:tc>
        <w:tc>
          <w:tcPr>
            <w:tcW w:w="1600" w:type="dxa"/>
            <w:vAlign w:val="bottom"/>
          </w:tcPr>
          <w:p>
            <w:pPr>
              <w:jc w:val="right"/>
              <w:ind w:right="695"/>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18"/>
                <w:szCs w:val="18"/>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66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gridSpan w:val="3"/>
          </w:tcPr>
          <w:p>
            <w:pPr>
              <w:jc w:val="right"/>
              <w:ind w:right="973"/>
              <w:spacing w:after="0"/>
              <w:rPr>
                <w:sz w:val="20"/>
                <w:szCs w:val="20"/>
                <w:color w:val="auto"/>
              </w:rPr>
            </w:pPr>
            <w:r>
              <w:rPr>
                <w:rFonts w:ascii="Arial" w:cs="Arial" w:eastAsia="Arial" w:hAnsi="Arial"/>
                <w:sz w:val="16"/>
                <w:szCs w:val="16"/>
                <w:b w:val="1"/>
                <w:bCs w:val="1"/>
                <w:color w:val="auto"/>
              </w:rPr>
              <w:t>(in thousands except percentages)</w:t>
            </w:r>
          </w:p>
        </w:tc>
        <w:tc>
          <w:tcPr>
            <w:tcW w:w="16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22,901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18,142</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4,759</w:t>
            </w:r>
          </w:p>
        </w:tc>
        <w:tc>
          <w:tcPr>
            <w:tcW w:w="16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w w:val="94"/>
              </w:rPr>
              <w:t>26%</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21"/>
                <w:szCs w:val="21"/>
                <w:color w:val="auto"/>
              </w:rPr>
            </w:pPr>
          </w:p>
        </w:tc>
        <w:tc>
          <w:tcPr>
            <w:tcW w:w="1780" w:type="dxa"/>
            <w:vAlign w:val="bottom"/>
          </w:tcPr>
          <w:p>
            <w:pPr>
              <w:jc w:val="right"/>
              <w:ind w:right="273"/>
              <w:spacing w:after="0"/>
              <w:rPr>
                <w:sz w:val="20"/>
                <w:szCs w:val="20"/>
                <w:color w:val="auto"/>
              </w:rPr>
            </w:pPr>
            <w:r>
              <w:rPr>
                <w:rFonts w:ascii="Arial" w:cs="Arial" w:eastAsia="Arial" w:hAnsi="Arial"/>
                <w:sz w:val="18"/>
                <w:szCs w:val="18"/>
                <w:color w:val="auto"/>
              </w:rPr>
              <w:t>19%</w:t>
            </w:r>
          </w:p>
        </w:tc>
        <w:tc>
          <w:tcPr>
            <w:tcW w:w="1660" w:type="dxa"/>
            <w:vAlign w:val="bottom"/>
          </w:tcPr>
          <w:p>
            <w:pPr>
              <w:ind w:left="13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effective tax rate was 55% for the nine months ended September 30, 2014, compared to 36% for the same period last year. The provision for income taxes for the nine months ended September 30, 2014 was comprised primarily of U.S. federal and state taxes, Singapore and other foreign income taxes, withholding tax, as well as the inclusion of stock compensation benefits and transfer pricing allocations which impact jurisdictional income taxed at various tax rates. The increase in the effective tax rate for the nine months ended September 30, 2014 as compared to the same period last year was primarily due to a change in the mix of profitability between jurisdictions, an increase in estimated tax liability related to foreign operations, an increase in tax reserves, an increase in non-tax deductible stock-based compensation expense, limitations on utilizing foreign tax credits, and expiration of the U.S. federal research and development credit effective December 31, 2013. The U.S. Congress has not extended the research and development tax credit as of September 30, 2014.</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7"/>
                <w:szCs w:val="17"/>
                <w:color w:val="auto"/>
              </w:rPr>
            </w:pPr>
          </w:p>
        </w:tc>
        <w:tc>
          <w:tcPr>
            <w:tcW w:w="130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center"/>
              <w:ind w:right="7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115,873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705,663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727,172</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963,759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843,045</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461,944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322,485</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71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4"/>
          </w:tcPr>
          <w:p>
            <w:pPr>
              <w:jc w:val="center"/>
              <w:ind w:right="73"/>
              <w:spacing w:after="0"/>
              <w:rPr>
                <w:sz w:val="20"/>
                <w:szCs w:val="20"/>
                <w:color w:val="auto"/>
              </w:rPr>
            </w:pPr>
            <w:r>
              <w:rPr>
                <w:rFonts w:ascii="Arial" w:cs="Arial" w:eastAsia="Arial" w:hAnsi="Arial"/>
                <w:sz w:val="16"/>
                <w:szCs w:val="16"/>
                <w:b w:val="1"/>
                <w:bCs w:val="1"/>
                <w:color w:val="auto"/>
                <w:w w:val="92"/>
              </w:rPr>
              <w:t>Nine Months Ended</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30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center"/>
              <w:ind w:right="7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(104,148)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142,223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21,571</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Liquidity and capital resources may be impacted by our operating activities, as well as acquisitions, capital expenditures, stock repurchases, and investments in strategic relationships that we have made or may make in the future. In January 2014, we received a cash payment of $20.0 million pursuant to a six year mutual covenant-not-to-sue and release agreement with Palo Alto Networks, Inc. We expect to spend up to $7.0 million related to our capital expenditures, primarily related to purchase of computer equipment, expansion of our offices, as well as the implementation of our enterprise resource planning system during the remainder of fiscal 2014. As of September 30, 2014, $127.9 million remained available for future share repurchases under our Share Repurchase Program (“Program”), which will be financed through our available working capital. On October 17, 2014, our board of directors extended the share repurchase authorization under the Program through December 31, 2015. As of October 17, 2014, $124.9 million remained authorized for future share repurchases under the Program.</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September 30, 2014, our cash, cash equivalents and investments of $963.8 million were held for working-capital purposes and were invested primarily in corporate debt securities, commercial paper, municipal bonds, certificates of deposit and term deposits, money market funds, and U.S. government and agency securities. It is our investment policy to invest excess cash in a manner that preserves capital, provides liquidity and maximizes return.</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September 30, 2014, $233.4 million of our cash and investments was held by our international subsidiaries and is therefore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the continuing market acceptance of our products, share repurchases, and future capital expenditures related to real estate and infrastructure.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Cash generated by operating activities is our primary source of liquidity. It is primarily comprised of net income, adjusted for non-cash items, and changes in operating assets and liabilities. Non-cash adjustments consist primarily of stock-based compensation, depreciation of property and equipment, amortization of intangible assets, excess tax benefit from stock-based compensation, and amortization of investment premiums.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operating activities during the nine months ended September 30, 2014 provided $161.2 million in cash as a result of profitability, timing of billings and collections, and the ability to successfully manage our working capital. The primary sources of cash from operating activities during the nine months ended September 30, 2014 consisted of net income of $18.5 million increased by non-cash adjustments of $65.0 million and changes in operating assets and liabilities of $77.7 million. In January 2014, we received $20.0 million pursuant to a six year mutual covenant-not-to-sue and release agreement with Palo Alto Networks, Inc. Changes in operating assets and liabilities primarily included an increase in payments received from customers and a receipt of cash related to the mutual covenant-not-to-sue and release agreement, partially offset by payments for inventory purchases and payment of income taxes during the period.</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operating activities during the nine months ended September 30, 2013 provided $100.7 million in cash. The primary sources of cash from operating activities during the nine months ended September 30, 2013 consisted of net income of $32.3 million increased by non-cash adjustments of $50.2 million and changes in operating assets and liabilities of $18.2 million. Changes in operating assets and liabilities primarily included an increase in payments received from customers, partially offset by payment for inventory 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purchases of property and equipment, and payments made in connection with acquisitions.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nine months ended September 30, 2014, cash used was primarily due to $26.8 million for our capital expenditures, partially offset by positive cash flow due to maturities, net of purchases, from our investments of $10.3 million.</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nine months ended September 30, 2013, cash used was primarily due to $89.8 million net purchases of investments, $7.6 million for acquisitions, and $6.7 million for the purchases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changes in cash flows from financing activities primarily relate to proceeds from the issuance of common stock, taxes paid related to net share settlement of equity awards, excess tax benefit from stock-based compensation, and repurchase and retirement of common stock.</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2" w:right="27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During the nine months ended September 30, 2014, we used $38.2 million and $8.5 million of our cash to repurchase and retire our common stock and pay taxes related to withholding upon the issuance of restricted stock units, respectively. This cash outflow was partially offset by proceeds of $40.5 million from the issuance of common stock under our stock plans, as well as excess tax benefit from employee stock-based compensation of $4.3 million.</w:t>
      </w:r>
    </w:p>
    <w:p>
      <w:pPr>
        <w:spacing w:after="0" w:line="14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During the nine months ended September 30, 2013, we had positive cash flow of $26.0 million from financing activities as a result of proceeds of $24.5 million from the issuance of common stock under our stock plans and an excess tax benefit from employee stock option exercises of $2.5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There have been no material changes outside the ordinary course of business during the nine months ended September 30, 2014, to the contractual obligations and commitments disclosed in Management’s Discussion and Analysis of Financial Condition and Results of Operations, set forth in Part II, Item 7, of the Form 10-K. See Note 9 to the notes to the condensed consolidated financial statements included in Part I, Item 1 of this Form 10-Q for additional information regarding contractual obligations and commitments.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September 30, 2014,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nine months ended September 30, 2014, compared to the disclosures in Part II, Item 7A of the Form 10-K.</w:t>
      </w: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evaluated the effectiveness of our disclosure controls and procedures (as defined in Rule 13a-15(e) or 15d-15(e) under the Exchange Act) as of September 30, 2014.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Based on that evaluation, our CEO and CFO concluded that our disclosure controls and procedures were effective as of September 30, 2014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CEO and CFO, as appropriate, to allow timely decisions regarding required disclosure.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three months ended September 30, 2014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currently have any litigation matters that we expect will have a material adverse effect on our business.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believe that the possibility that any of these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3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38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and logistics,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the accuracy and timing of point of sale reporting by our “sell-through” channel partners, which impacts our ability to recognize revenue;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 and buying practices and patterns;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21" w:right="29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00" w:right="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18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general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319"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right="5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channel partners may have insufficient financial resources and may not be able to withstand changes and challenges in business conditions;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or channel partners, affecting their ability to purchase or pay for our products and services, which could disrupt our supply or distribution chain;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little to no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122" w:right="31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Billings and revenue growth may slow, or we may experience a decrease in billings and revenue, for a number of reasons, including a slowdown in demand for our products or services, an increase in competition, a decrease in the growth of our overall market, softness in demand in certain geographies or industry verticals, such as the service provider industry, or if we fail for any reason to continue to capitalize on growth opportunities. Our expenses as a percentage of total revenue may be higher than expected if our revenue is lower than expected, and if our investments in sales and marketing and other functional areas do not result in expected billings and revenue growth,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rely significantly on revenue from FortiGuard subscription and support services which may decline, and because we recognize revenue from FortiGuard subscription and support services over the term of the relevant service period, downturns or upturns in sales of FortiGuard subscription and support services are not immediately reflected in full in our operating results.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FortiGuard subscription and support services revenue has historically accounted for a significant percentage of our total revenue. Sales of new or renewal FortiGuard subscription and support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FortiGuard subscription and support services contracts decline, our revenue and revenue growth may decline and our business will suffer. In addition, in the event significant customers require payment terms for FortiGuard subscription or support services in arrears or for shorter periods of time than annually, such as monthly or quarterly, this may negatively impact FortiGuard subscription and support revenue. Furthermore, we recognize FortiGuard subscription and support services revenue monthly over the term of the relevant service period, which is typically from one to three years, but in some instances has been as long as five years. As a result, much of the FortiGuard subscription and support services revenue we report each quarter is the recognition of deferred revenue from FortiGuard subscription and support services contracts entered into during previous quarters. Consequently, a decline in new or renewed FortiGuard subscription or support services contracts in any one quarter will not be fully reflected in revenue in that quarter but will negatively affect our revenue in future quarters. Accordingly, the effect of significant downturns in new or renewed sales of our FortiGuard subscriptions or support services is not reflected in full in our statements of operations until future periods. Our FortiGuard subscription and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00" w:right="4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Product and service sales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An important part of our growth strategy is to increase sales of our products to large enterprises, service providers and governmental entities. While we have experienced some success selling to service providers and enterprises, we have experienced less traction selling to certain governmental entities and there can be no assurance that we will be successful selling to these customer segments. Sales to enterprises, service providers and governmental entities involve risks that may not be present (or that are present to a lesser extent) with sales to small-to-mid-sized entities. These risks include:</w:t>
      </w:r>
    </w:p>
    <w:p>
      <w:pPr>
        <w:spacing w:after="0" w:line="154" w:lineRule="exact"/>
        <w:rPr>
          <w:sz w:val="20"/>
          <w:szCs w:val="20"/>
          <w:color w:val="auto"/>
        </w:rPr>
      </w:pPr>
    </w:p>
    <w:p>
      <w:pPr>
        <w:ind w:left="1300" w:right="60" w:hanging="644"/>
        <w:spacing w:after="0" w:line="288"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competition from competitors, such as Cisco Systems, Inc. (“Cisco”), Sourcefire, Inc. (“Sourcefire”) (acquired by Cisco), Check Point Software Technologies Ltd. (“Check Point”), McAfee, Inc. (“McAfee”) (acquired by Intel Corporation (“Intel”)), Blue Coat Systems, Inc. (“Blue Coat”), FireEye, Inc. (“FireEye”), Palo Alto Networks, Inc. (“Palo Alto Networks”), SonicWALL, Inc. (“SonicWALL”)</w:t>
      </w:r>
    </w:p>
    <w:p>
      <w:pPr>
        <w:ind w:left="1300" w:right="100"/>
        <w:spacing w:after="0" w:line="255" w:lineRule="auto"/>
        <w:rPr>
          <w:rFonts w:ascii="Arial" w:cs="Arial" w:eastAsia="Arial" w:hAnsi="Arial"/>
          <w:sz w:val="16"/>
          <w:szCs w:val="16"/>
          <w:color w:val="auto"/>
        </w:rPr>
      </w:pPr>
      <w:r>
        <w:rPr>
          <w:rFonts w:ascii="Arial" w:cs="Arial" w:eastAsia="Arial" w:hAnsi="Arial"/>
          <w:sz w:val="18"/>
          <w:szCs w:val="18"/>
          <w:color w:val="auto"/>
        </w:rPr>
        <w:t>(acquired by Dell Inc. (“Dell”)), Juniper Networks, Inc. (“Juniper”), Stonesoft Corporation (“Stonesoft”) (acquired by McAfee), and F5 Networks, Inc. (“F5 Networks”) that traditionally target enterprises, service providers and governmental entities and that may already have purchase commitments from those end-customers;</w:t>
      </w:r>
    </w:p>
    <w:p>
      <w:pPr>
        <w:spacing w:after="0" w:line="190"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changes in the capital resources of or purchasing behavior of large end-customers, including changes in the volume and frequency of their purchases;</w:t>
      </w:r>
    </w:p>
    <w:p>
      <w:pPr>
        <w:spacing w:after="0" w:line="170"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customer requirements, and increased penalties for any failure to meet support requirements; and</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Large enterprises, service providers and governmental entities often undertake a significant evaluation process that results in a lengthy sales cycle, in some cases over 12 months. Although we have a channel sales model, our sales representatives typically engage in direct interaction with end-customers, along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governmental entities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Enterprises,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93"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experienced inventory shortages in the first quarter of 2013 due to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distraction, of our senior management for any reason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in the locations where we have a substantial presence and need for highly-skilled personnel such</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approximately 35%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billings and revenue for that quarter could fall below our expectations or those of securities analysts and investors, resulting in a decline in our stock price.</w:t>
      </w:r>
    </w:p>
    <w:p>
      <w:pPr>
        <w:spacing w:after="0" w:line="16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During the three months ended September 30, 2014, Exclusive Networks Group and Fine Tec Computer, which distributed our solutions to a large group of resellers and end-customers, accounted for 15% and 11% of our total revenue, respectively. During the nine months ended September 30, 2014, Exclusive Networks Group, which distributed our solutions to a large group of resellers and end-customers, accounted for 14% of our total revenue. In addition,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58" w:lineRule="exact"/>
        <w:rPr>
          <w:sz w:val="20"/>
          <w:szCs w:val="20"/>
          <w:color w:val="auto"/>
        </w:rPr>
      </w:pPr>
    </w:p>
    <w:p>
      <w:pPr>
        <w:ind w:right="320" w:firstLine="45"/>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78" w:lineRule="exact"/>
        <w:rPr>
          <w:sz w:val="20"/>
          <w:szCs w:val="20"/>
          <w:color w:val="auto"/>
        </w:rPr>
      </w:pPr>
    </w:p>
    <w:p>
      <w:pPr>
        <w:ind w:left="1300" w:right="3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Our business has grown over the last several years. We rely heavily on information technology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requisite improvements to these systems, controls and processes, such as system access and change management controls, in a timely or efficient manner. We purchased a new enterprise resource planning system during the second quarter of fiscal 2014. We are in the early stages of implementing the new system and, as a result, we have incurred and will continue to incur additional costs in connection with implementing the system. In addition, we may experience some disruption during the system implementation process. Our failure to improve our systems and processes, or their failure to operate in the intended manner, may result in our inability to manage the growth of our business and to accurately forecast our revenue, expenses and earnings, or to prevent certain losses.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7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stock-based compensation expense, valuation of inventory, warranty liabilities, goodwill and other long-lived assets, investments, accounting for income taxes, litigation and settlement costs and other loss contingencies, sales returns and allowances, reserve for bad debt, and the accounting for business combinations.</w:t>
      </w:r>
    </w:p>
    <w:p>
      <w:pPr>
        <w:spacing w:after="0" w:line="17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reliance on our third-party manufacturers in Asia and elsewhere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 Furthermore manufacturing cost increases for any reason could result in lower gross margins.</w:t>
      </w:r>
    </w:p>
    <w:p>
      <w:pPr>
        <w:spacing w:after="0" w:line="166"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TSMC. Faraday (using UMC’s foundry), K-Micro (using TSMC’s foundry) and Renesas (using UMC’s foundry) manufacture our ASICs on a purchase order basis, and UMC and TSMC do not guarantee any capacity and could reject orders from Faraday, K-Micro or Renesas or could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that originated in the Democratic Republic of Congo or an adjoining country, known as “conflict minerals,” are contained within our products. Under the Dodd-Frank Wall Street Reform and Consumer Protection Act of 2010, the SEC adopted new disclosure requirements for public companies using conflict minerals in their products. Under these rules, we are required to perform due diligence, disclose and report our efforts to prevent the sourcing of such conflict minerals. As a result of these new rules, we have incurred and expect to incur additional costs to comply with the disclosure requirements, including costs related to determining the source of any of the conflict minerals that may be used in our products. Moreover, the implementation of these new requirements could adversely affect the sourcing, availability, and pricing of materials used in the manufacture of our products to the extent that there may be only a limited number of suppliers offering “conflict free” minerals that can be used in our products. There can be no assurance that we will be able to obtain such minerals in sufficient quantities or at competitive prices. We may also encounter customers who require that all of the components of our products be certified as conflict free. If we are not able to meet customer requirements, such customers may choose to not purchase our products, which could impact our sales and the value of portions of our inventory.</w:t>
      </w:r>
    </w:p>
    <w:p>
      <w:pPr>
        <w:spacing w:after="0" w:line="18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Advanced Micro Devices, Inc., and RMI/Netlogic Corporation,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7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 majority of our operating expenses are incurred outside the United States. These expenses are denominated in foreign currencies and are subject to fluctuations due to changes in foreign currency exchange rates, particularly changes in the Euro and Canadian dollar.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restriction on sales, and/or impair our ability to compete in international markets.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orders placed by partners as stocking orders for example,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2" w:right="27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governmental entities,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rules and regulations applicable to government sales may also negatively impact sales to non-governmental entities.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 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FortiGuard subscription and support services to our end-customers. If this happens, our revenue could decline and our business could suffer.</w:t>
      </w:r>
    </w:p>
    <w:p>
      <w:pPr>
        <w:spacing w:after="0" w:line="15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governmental entity end-customers require higher levels of support than smaller end-customers because of their more complex deployments. If we fail to meet the requirements of our larger end-customers, it may be more difficult to execute on our strategy to increase our penetration with enterprises, service providers and governmental entities.</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are subject to taxes in the United States and numerous foreign jurisdictions, including Singapore, where a number of our subsidiaries are organized. Our provision for income taxes is subject to volatility and could be adversely affected by several factors, many of which are outside of our control, including:</w:t>
      </w:r>
    </w:p>
    <w:p>
      <w:pPr>
        <w:spacing w:after="0" w:line="181" w:lineRule="exact"/>
        <w:rPr>
          <w:sz w:val="20"/>
          <w:szCs w:val="20"/>
          <w:color w:val="auto"/>
        </w:rPr>
      </w:pPr>
    </w:p>
    <w:p>
      <w:pPr>
        <w:ind w:left="1300" w:right="3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36" w:lineRule="exact"/>
        <w:rPr>
          <w:rFonts w:ascii="Arial" w:cs="Arial" w:eastAsia="Arial" w:hAnsi="Arial"/>
          <w:sz w:val="17"/>
          <w:szCs w:val="17"/>
          <w:color w:val="auto"/>
        </w:rPr>
      </w:pPr>
    </w:p>
    <w:p>
      <w:pPr>
        <w:ind w:left="1300" w:right="3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the stock option exercises by our employees in some of our foreign subsidiaries that can cause an adverse transfer pricing adjustment;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Significant judgment is required to determine the recognition and measurement attribute prescribed in the Financial Accounting Standards Board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We regularly assess the likelihood of adverse outcomes resulting from such examinations to determine the adequacy of our provision for income taxes. Although the California examination resulted in no significant impact to our tax position or reserves, there can be no assurance that the outcomes from these continuous examinations will not have an adverse effect on our results of operations in the future.</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For example, in the second quarter of 2014, we recognized an impairment charge of $2.4 million for intangible assets from our acquisition of Coyote Point Systems, Inc.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us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6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significant research, development, marketing, sales and other expenses we incurred in connection with the new product or enhancement.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our revenue may not continue to grow.</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Increased market awareness of our capabilities and products and increased lead generation are essential to our continued growth and our success in all of our markets, particularly for the large enterprise, service provider and governmental entities markets. We have historically had relatively low spending on certain marketing activities. While we have recently been increasing our investments in sales and marketing, it is not clear that these investments will continue to result in increased revenues. If our investments in additional sales personnel or if our marketing programs are not successful in continuing to create market awareness of our company and products, our business, financial condition and results of operations will be adversely affected, and we will not be able to achieve sustained growth.</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UTM products may be limited by market perception that UTM products are inferior to network security solutions from multiple vendors.</w:t>
      </w:r>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Our competitors include networking companies such as Cisco and Juniper, security vendors such as Check Point, McAfee (acquired by Intel), Sourcefire (acquired by Cisco), Stonesoft (acquired by McAfee), F5 Networks, SonicWALL (acquired by Dell), Blue Coat, FireEye, and Palo Alto Networks, and other point solution security vendors.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McAfee’s acquisition of Stonesoft, Check Point’s acquisition of Nokia Corporations’ security appliance business and Dell’s acquisition of SonicWALL),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question the validity of certain software patents and may make it more difficult and costly to prosecute patent applications. As a result, we may not be able to obtain adequate patent protection or effectively enforce our issued patents.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and others.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1"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From time to time we are subject to lawsuits claiming patent infringement. We are also subject to other litigation in addition to patent infringement claims, such as employment-related litigation and disputes,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Several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Although our most recent assessment, testing and evaluation resulted in our conclusion that as of December 31, 2013, our internal controls over financial reporting were effective, we cannot predict the outcome of our testing in 2014 or future periods. On May 14, 2013, the Committee of Sponsoring Organizations of the Treadway Commission (“COSO”) issued an updated version of its Internal Control - Integrated Framework (“2013 Framework”). Originally issued in 1992 (“1992 Framework”), the framework helps organizations design, implement and evaluate the effectiveness of internal control concepts. The 1992 Framework remains available during the transition period, which extends through December 15, 2014, after which time COSO will consider it as superseded by the 2013 Framework. As of September 30, 2014, we continue to utilize the 1992 Framework during the transition to the 2013 Framework by the end of 2014. We expect the requirements of the new framework to increase our legal, accounting and financial compliance costs, make some activities more difficult, time-consuming and costly, and place a significant burden on our personnel, systems and resources. It is possible that during the course of the transition to the new framework and its application to our assessment of our internal controls, we may determine that deficiencies exist in our internal controls, possibly rising to the level of material weakness. If we are unsuccessful in our transition, or even if successful, we may fail to achieve and maintain effective internal controls, and we may not be able to conclude that we have effective internal controls over financial reporting.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change in accounting standards or practices and varying interpretations of existing accounting pronouncements, such as changes to standards related to revenue recognition which are effective for us beginning on January 1, 2017, the increased use of fair value measure, and financial instruments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or announcements regarding our share repurchase program and the timing and amount of shares we purchase under the program. For example, in the nine months ended September 30, 2014, the closing price of our common stock ranged from $19.02 to $26.78.</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122" w:right="4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in the three months ended September 30, 2014 (in thousands, except number of share and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Total Number of</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Purchased</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Yet Be Purchased</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as Part of Publicly</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Under the Plan or</w:t>
            </w:r>
          </w:p>
        </w:tc>
      </w:tr>
      <w:tr>
        <w:trPr>
          <w:trHeight w:val="203"/>
        </w:trPr>
        <w:tc>
          <w:tcPr>
            <w:tcW w:w="4100" w:type="dxa"/>
            <w:vAlign w:val="bottom"/>
          </w:tcPr>
          <w:p>
            <w:pPr>
              <w:spacing w:after="0"/>
              <w:rPr>
                <w:sz w:val="17"/>
                <w:szCs w:val="17"/>
                <w:color w:val="auto"/>
              </w:rPr>
            </w:pPr>
          </w:p>
        </w:tc>
        <w:tc>
          <w:tcPr>
            <w:tcW w:w="3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Total Number of</w:t>
            </w: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Average Price Paid</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6"/>
              </w:rPr>
              <w:t>Announced Plan</w:t>
            </w:r>
          </w:p>
        </w:tc>
        <w:tc>
          <w:tcPr>
            <w:tcW w:w="140" w:type="dxa"/>
            <w:vAlign w:val="bottom"/>
          </w:tcPr>
          <w:p>
            <w:pPr>
              <w:spacing w:after="0"/>
              <w:rPr>
                <w:sz w:val="17"/>
                <w:szCs w:val="17"/>
                <w:color w:val="auto"/>
              </w:rPr>
            </w:pPr>
          </w:p>
        </w:tc>
        <w:tc>
          <w:tcPr>
            <w:tcW w:w="1220" w:type="dxa"/>
            <w:vAlign w:val="bottom"/>
          </w:tcPr>
          <w:p>
            <w:pPr>
              <w:jc w:val="center"/>
              <w:ind w:right="74"/>
              <w:spacing w:after="0"/>
              <w:rPr>
                <w:sz w:val="20"/>
                <w:szCs w:val="20"/>
                <w:color w:val="auto"/>
              </w:rPr>
            </w:pPr>
            <w:r>
              <w:rPr>
                <w:rFonts w:ascii="Arial" w:cs="Arial" w:eastAsia="Arial" w:hAnsi="Arial"/>
                <w:sz w:val="16"/>
                <w:szCs w:val="16"/>
                <w:b w:val="1"/>
                <w:bCs w:val="1"/>
                <w:color w:val="auto"/>
                <w:w w:val="94"/>
              </w:rPr>
              <w:t>Program</w:t>
            </w:r>
          </w:p>
        </w:tc>
      </w:tr>
      <w:tr>
        <w:trPr>
          <w:trHeight w:val="243"/>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3020" w:type="dxa"/>
            <w:vAlign w:val="bottom"/>
            <w:gridSpan w:val="2"/>
          </w:tcPr>
          <w:p>
            <w:pPr>
              <w:ind w:left="1580"/>
              <w:spacing w:after="0"/>
              <w:rPr>
                <w:sz w:val="20"/>
                <w:szCs w:val="20"/>
                <w:color w:val="auto"/>
              </w:rPr>
            </w:pPr>
            <w:r>
              <w:rPr>
                <w:rFonts w:ascii="Arial" w:cs="Arial" w:eastAsia="Arial" w:hAnsi="Arial"/>
                <w:sz w:val="16"/>
                <w:szCs w:val="16"/>
                <w:b w:val="1"/>
                <w:bCs w:val="1"/>
                <w:color w:val="auto"/>
              </w:rPr>
              <w:t>Shares Purchased</w:t>
            </w:r>
          </w:p>
        </w:tc>
        <w:tc>
          <w:tcPr>
            <w:tcW w:w="22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per Share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or Program</w:t>
            </w:r>
            <w:r>
              <w:rPr>
                <w:rFonts w:ascii="Arial" w:cs="Arial" w:eastAsia="Arial" w:hAnsi="Arial"/>
                <w:sz w:val="21"/>
                <w:szCs w:val="21"/>
                <w:b w:val="1"/>
                <w:bCs w:val="1"/>
                <w:color w:val="auto"/>
                <w:w w:val="90"/>
                <w:vertAlign w:val="superscript"/>
              </w:rPr>
              <w:t>(1)</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4"/>
        </w:trPr>
        <w:tc>
          <w:tcPr>
            <w:tcW w:w="41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July 31, 2014</w:t>
            </w:r>
          </w:p>
        </w:tc>
        <w:tc>
          <w:tcPr>
            <w:tcW w:w="29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134,161</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August 1 - August 31, 2014</w:t>
            </w:r>
          </w:p>
        </w:tc>
        <w:tc>
          <w:tcPr>
            <w:tcW w:w="2900" w:type="dxa"/>
            <w:vAlign w:val="bottom"/>
          </w:tcPr>
          <w:p>
            <w:pPr>
              <w:jc w:val="right"/>
              <w:ind w:right="54"/>
              <w:spacing w:after="0"/>
              <w:rPr>
                <w:sz w:val="20"/>
                <w:szCs w:val="20"/>
                <w:color w:val="auto"/>
              </w:rPr>
            </w:pPr>
            <w:r>
              <w:rPr>
                <w:rFonts w:ascii="Arial" w:cs="Arial" w:eastAsia="Arial" w:hAnsi="Arial"/>
                <w:sz w:val="18"/>
                <w:szCs w:val="18"/>
                <w:color w:val="auto"/>
              </w:rPr>
              <w:t>142,564</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142,564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130,593</w:t>
            </w:r>
          </w:p>
        </w:tc>
      </w:tr>
      <w:tr>
        <w:trPr>
          <w:trHeight w:val="27"/>
        </w:trPr>
        <w:tc>
          <w:tcPr>
            <w:tcW w:w="4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 September 30, 2014</w:t>
            </w:r>
          </w:p>
        </w:tc>
        <w:tc>
          <w:tcPr>
            <w:tcW w:w="2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127,857</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____________________</w:t>
            </w:r>
          </w:p>
        </w:tc>
        <w:tc>
          <w:tcPr>
            <w:tcW w:w="2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40" w:lineRule="exact"/>
        <w:rPr>
          <w:sz w:val="20"/>
          <w:szCs w:val="20"/>
          <w:color w:val="auto"/>
        </w:rPr>
      </w:pPr>
    </w:p>
    <w:p>
      <w:pPr>
        <w:ind w:left="40" w:right="120" w:hanging="5"/>
        <w:spacing w:after="0" w:line="250" w:lineRule="auto"/>
        <w:tabs>
          <w:tab w:leader="none" w:pos="232"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On December 6, 2013, our Board of Directors had authorized a Share Repurchase Program (“Program”) to repurchase up to $200.0 million of our outstanding common stock through December 31, 2014. On October 17, 2014, our Board of Directors extended the share repurchase authorization under the Program through December 31, 2015. As of October 17, 2014, $124.9 million remained authorized for future share repurchases under the Program. This column discloses the number of shares purchased pursuant to the Program during the time periods indicated (including shares purchased pursuant to the terms of preset trading plans meeting the requirements of Rules 10b5-1 and 10b-18 under the Exchange Act).</w:t>
      </w:r>
    </w:p>
    <w:p>
      <w:pPr>
        <w:spacing w:after="0" w:line="200" w:lineRule="exact"/>
        <w:rPr>
          <w:sz w:val="20"/>
          <w:szCs w:val="20"/>
          <w:color w:val="auto"/>
        </w:rPr>
      </w:pPr>
    </w:p>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Andrew Del Matto</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40"/>
          </w:cols>
          <w:pgMar w:left="240" w:top="122" w:right="71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379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122" w:right="1440"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Number</w:t>
            </w:r>
          </w:p>
        </w:tc>
        <w:tc>
          <w:tcPr>
            <w:tcW w:w="4020" w:type="dxa"/>
            <w:vAlign w:val="bottom"/>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562"/>
        </w:trPr>
        <w:tc>
          <w:tcPr>
            <w:tcW w:w="14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40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93"/>
              </w:rPr>
              <w:t>Amendment 1 to Change of Control Severance Agreement, dated as</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July 31, 2014, between the Company and Ken Xie</w:t>
            </w:r>
          </w:p>
        </w:tc>
      </w:tr>
      <w:tr>
        <w:trPr>
          <w:trHeight w:val="439"/>
        </w:trPr>
        <w:tc>
          <w:tcPr>
            <w:tcW w:w="1400" w:type="dxa"/>
            <w:vAlign w:val="bottom"/>
          </w:tcPr>
          <w:p>
            <w:pPr>
              <w:ind w:left="4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w w:val="93"/>
              </w:rPr>
              <w:t>Amendment 1 to Change of Control Severance Agreement, dated as</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July 31, 2014, between the Company and Michael Xie</w:t>
            </w:r>
          </w:p>
        </w:tc>
      </w:tr>
      <w:tr>
        <w:trPr>
          <w:trHeight w:val="439"/>
        </w:trPr>
        <w:tc>
          <w:tcPr>
            <w:tcW w:w="1400" w:type="dxa"/>
            <w:vAlign w:val="bottom"/>
          </w:tcPr>
          <w:p>
            <w:pPr>
              <w:ind w:left="4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w w:val="93"/>
              </w:rPr>
              <w:t>Amendment 1 to Change of Control Severance Agreement, dated as</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July 31, 2014, between the Company and John Whittle</w:t>
            </w:r>
          </w:p>
        </w:tc>
      </w:tr>
      <w:tr>
        <w:trPr>
          <w:trHeight w:val="439"/>
        </w:trPr>
        <w:tc>
          <w:tcPr>
            <w:tcW w:w="1400" w:type="dxa"/>
            <w:vAlign w:val="bottom"/>
          </w:tcPr>
          <w:p>
            <w:pPr>
              <w:ind w:left="4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w w:val="99"/>
              </w:rPr>
              <w:t>Certification of Chief Executive Officer pursuant to Exchange Act</w:t>
            </w: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tcPr>
          <w:p>
            <w:pPr>
              <w:ind w:left="40"/>
              <w:spacing w:after="0" w:line="149" w:lineRule="exact"/>
              <w:rPr>
                <w:sz w:val="20"/>
                <w:szCs w:val="20"/>
                <w:color w:val="auto"/>
              </w:rPr>
            </w:pPr>
            <w:r>
              <w:rPr>
                <w:rFonts w:ascii="Arial" w:cs="Arial" w:eastAsia="Arial" w:hAnsi="Arial"/>
                <w:sz w:val="14"/>
                <w:szCs w:val="14"/>
                <w:color w:val="auto"/>
                <w:w w:val="94"/>
              </w:rPr>
              <w:t>Rules 13a-14(a) and 15d-14(a), as adopted pursuant to Section 302</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the Sarbanes-Oxley Act of 2002</w:t>
            </w: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Exchange Act</w:t>
            </w: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tcPr>
          <w:p>
            <w:pPr>
              <w:ind w:left="40"/>
              <w:spacing w:after="0" w:line="149" w:lineRule="exact"/>
              <w:rPr>
                <w:sz w:val="20"/>
                <w:szCs w:val="20"/>
                <w:color w:val="auto"/>
              </w:rPr>
            </w:pPr>
            <w:r>
              <w:rPr>
                <w:rFonts w:ascii="Arial" w:cs="Arial" w:eastAsia="Arial" w:hAnsi="Arial"/>
                <w:sz w:val="14"/>
                <w:szCs w:val="14"/>
                <w:color w:val="auto"/>
                <w:w w:val="94"/>
              </w:rPr>
              <w:t>Rules 13a-14(a) and 15d-14(a), as adopted pursuant to Section 302</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the Sarbanes-Oxley Act of 2002</w:t>
            </w: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Certifications of Chief Executive Officer and Chief Financial</w:t>
            </w: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tcPr>
          <w:p>
            <w:pPr>
              <w:ind w:left="40"/>
              <w:spacing w:after="0" w:line="149" w:lineRule="exact"/>
              <w:rPr>
                <w:sz w:val="20"/>
                <w:szCs w:val="20"/>
                <w:color w:val="auto"/>
              </w:rPr>
            </w:pPr>
            <w:r>
              <w:rPr>
                <w:rFonts w:ascii="Arial" w:cs="Arial" w:eastAsia="Arial" w:hAnsi="Arial"/>
                <w:sz w:val="14"/>
                <w:szCs w:val="14"/>
                <w:color w:val="auto"/>
                <w:w w:val="95"/>
              </w:rPr>
              <w:t>Officer pursuant to 18 U.S.C. Section 1350, as adopted pursuant to</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Section 906 of the Sarbanes-Oxley Act of 2002</w:t>
            </w:r>
          </w:p>
        </w:tc>
      </w:tr>
      <w:tr>
        <w:trPr>
          <w:trHeight w:val="32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4020" w:type="dxa"/>
            <w:vAlign w:val="bottom"/>
          </w:tcPr>
          <w:p>
            <w:pPr>
              <w:ind w:left="40"/>
              <w:spacing w:after="0"/>
              <w:rPr>
                <w:sz w:val="20"/>
                <w:szCs w:val="20"/>
                <w:color w:val="auto"/>
              </w:rPr>
            </w:pPr>
            <w:r>
              <w:rPr>
                <w:rFonts w:ascii="Arial" w:cs="Arial" w:eastAsia="Arial" w:hAnsi="Arial"/>
                <w:sz w:val="14"/>
                <w:szCs w:val="14"/>
                <w:color w:val="auto"/>
              </w:rPr>
              <w:t>XBRL Instance Document</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9"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813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Exhibit Number</w:t>
            </w:r>
          </w:p>
        </w:tc>
      </w:tr>
      <w:tr>
        <w:trPr>
          <w:trHeight w:val="278"/>
        </w:trPr>
        <w:tc>
          <w:tcPr>
            <w:tcW w:w="1520" w:type="dxa"/>
            <w:vAlign w:val="bottom"/>
            <w:gridSpan w:val="2"/>
          </w:tcPr>
          <w:p>
            <w:pPr>
              <w:ind w:left="40"/>
              <w:spacing w:after="0"/>
              <w:rPr>
                <w:sz w:val="20"/>
                <w:szCs w:val="20"/>
                <w:color w:val="auto"/>
              </w:rPr>
            </w:pPr>
            <w:r>
              <w:rPr>
                <w:rFonts w:ascii="Arial" w:cs="Arial" w:eastAsia="Arial" w:hAnsi="Arial"/>
                <w:sz w:val="14"/>
                <w:szCs w:val="14"/>
                <w:color w:val="auto"/>
              </w:rPr>
              <w:t>Quarterly Report on</w:t>
            </w: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August 5, 2014</w:t>
            </w:r>
          </w:p>
        </w:tc>
        <w:tc>
          <w:tcPr>
            <w:tcW w:w="1400" w:type="dxa"/>
            <w:vAlign w:val="bottom"/>
          </w:tcPr>
          <w:p>
            <w:pPr>
              <w:jc w:val="center"/>
              <w:spacing w:after="0"/>
              <w:rPr>
                <w:sz w:val="20"/>
                <w:szCs w:val="20"/>
                <w:color w:val="auto"/>
              </w:rPr>
            </w:pPr>
            <w:r>
              <w:rPr>
                <w:rFonts w:ascii="Arial" w:cs="Arial" w:eastAsia="Arial" w:hAnsi="Arial"/>
                <w:sz w:val="14"/>
                <w:szCs w:val="14"/>
                <w:color w:val="auto"/>
                <w:w w:val="95"/>
              </w:rPr>
              <w:t>10.1</w:t>
            </w:r>
          </w:p>
        </w:tc>
      </w:tr>
      <w:tr>
        <w:trPr>
          <w:trHeight w:val="149"/>
        </w:trPr>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Form 10-Q (File No.</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82"/>
        </w:trPr>
        <w:tc>
          <w:tcPr>
            <w:tcW w:w="1420" w:type="dxa"/>
            <w:vAlign w:val="bottom"/>
          </w:tcPr>
          <w:p>
            <w:pPr>
              <w:ind w:left="40"/>
              <w:spacing w:after="0"/>
              <w:rPr>
                <w:sz w:val="20"/>
                <w:szCs w:val="20"/>
                <w:color w:val="auto"/>
              </w:rPr>
            </w:pPr>
            <w:r>
              <w:rPr>
                <w:rFonts w:ascii="Arial" w:cs="Arial" w:eastAsia="Arial" w:hAnsi="Arial"/>
                <w:sz w:val="14"/>
                <w:szCs w:val="14"/>
                <w:color w:val="auto"/>
              </w:rPr>
              <w:t>001-34511)</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90"/>
        </w:trPr>
        <w:tc>
          <w:tcPr>
            <w:tcW w:w="1520" w:type="dxa"/>
            <w:vAlign w:val="bottom"/>
            <w:gridSpan w:val="2"/>
          </w:tcPr>
          <w:p>
            <w:pPr>
              <w:ind w:left="40"/>
              <w:spacing w:after="0"/>
              <w:rPr>
                <w:sz w:val="20"/>
                <w:szCs w:val="20"/>
                <w:color w:val="auto"/>
              </w:rPr>
            </w:pPr>
            <w:r>
              <w:rPr>
                <w:rFonts w:ascii="Arial" w:cs="Arial" w:eastAsia="Arial" w:hAnsi="Arial"/>
                <w:sz w:val="14"/>
                <w:szCs w:val="14"/>
                <w:color w:val="auto"/>
              </w:rPr>
              <w:t>Quarterly Report on</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August 5, 2014</w:t>
            </w:r>
          </w:p>
        </w:tc>
        <w:tc>
          <w:tcPr>
            <w:tcW w:w="1400" w:type="dxa"/>
            <w:vAlign w:val="bottom"/>
          </w:tcPr>
          <w:p>
            <w:pPr>
              <w:jc w:val="center"/>
              <w:spacing w:after="0"/>
              <w:rPr>
                <w:sz w:val="20"/>
                <w:szCs w:val="20"/>
                <w:color w:val="auto"/>
              </w:rPr>
            </w:pPr>
            <w:r>
              <w:rPr>
                <w:rFonts w:ascii="Arial" w:cs="Arial" w:eastAsia="Arial" w:hAnsi="Arial"/>
                <w:sz w:val="14"/>
                <w:szCs w:val="14"/>
                <w:color w:val="auto"/>
                <w:w w:val="95"/>
              </w:rPr>
              <w:t>10.2</w:t>
            </w:r>
          </w:p>
        </w:tc>
      </w:tr>
      <w:tr>
        <w:trPr>
          <w:trHeight w:val="149"/>
        </w:trPr>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Form 10-Q (File No.</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82"/>
        </w:trPr>
        <w:tc>
          <w:tcPr>
            <w:tcW w:w="1420" w:type="dxa"/>
            <w:vAlign w:val="bottom"/>
          </w:tcPr>
          <w:p>
            <w:pPr>
              <w:ind w:left="40"/>
              <w:spacing w:after="0"/>
              <w:rPr>
                <w:sz w:val="20"/>
                <w:szCs w:val="20"/>
                <w:color w:val="auto"/>
              </w:rPr>
            </w:pPr>
            <w:r>
              <w:rPr>
                <w:rFonts w:ascii="Arial" w:cs="Arial" w:eastAsia="Arial" w:hAnsi="Arial"/>
                <w:sz w:val="14"/>
                <w:szCs w:val="14"/>
                <w:color w:val="auto"/>
              </w:rPr>
              <w:t>001-34511)</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90"/>
        </w:trPr>
        <w:tc>
          <w:tcPr>
            <w:tcW w:w="1520" w:type="dxa"/>
            <w:vAlign w:val="bottom"/>
            <w:gridSpan w:val="2"/>
          </w:tcPr>
          <w:p>
            <w:pPr>
              <w:ind w:left="40"/>
              <w:spacing w:after="0"/>
              <w:rPr>
                <w:sz w:val="20"/>
                <w:szCs w:val="20"/>
                <w:color w:val="auto"/>
              </w:rPr>
            </w:pPr>
            <w:r>
              <w:rPr>
                <w:rFonts w:ascii="Arial" w:cs="Arial" w:eastAsia="Arial" w:hAnsi="Arial"/>
                <w:sz w:val="14"/>
                <w:szCs w:val="14"/>
                <w:color w:val="auto"/>
              </w:rPr>
              <w:t>Quarterly Report on</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August 5, 2014</w:t>
            </w:r>
          </w:p>
        </w:tc>
        <w:tc>
          <w:tcPr>
            <w:tcW w:w="1400" w:type="dxa"/>
            <w:vAlign w:val="bottom"/>
          </w:tcPr>
          <w:p>
            <w:pPr>
              <w:jc w:val="center"/>
              <w:spacing w:after="0"/>
              <w:rPr>
                <w:sz w:val="20"/>
                <w:szCs w:val="20"/>
                <w:color w:val="auto"/>
              </w:rPr>
            </w:pPr>
            <w:r>
              <w:rPr>
                <w:rFonts w:ascii="Arial" w:cs="Arial" w:eastAsia="Arial" w:hAnsi="Arial"/>
                <w:sz w:val="14"/>
                <w:szCs w:val="14"/>
                <w:color w:val="auto"/>
                <w:w w:val="95"/>
              </w:rPr>
              <w:t>10.3</w:t>
            </w:r>
          </w:p>
        </w:tc>
      </w:tr>
      <w:tr>
        <w:trPr>
          <w:trHeight w:val="149"/>
        </w:trPr>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Form 10-Q (File No.</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82"/>
        </w:trPr>
        <w:tc>
          <w:tcPr>
            <w:tcW w:w="1420" w:type="dxa"/>
            <w:vAlign w:val="bottom"/>
          </w:tcPr>
          <w:p>
            <w:pPr>
              <w:ind w:left="40"/>
              <w:spacing w:after="0"/>
              <w:rPr>
                <w:sz w:val="20"/>
                <w:szCs w:val="20"/>
                <w:color w:val="auto"/>
              </w:rPr>
            </w:pPr>
            <w:r>
              <w:rPr>
                <w:rFonts w:ascii="Arial" w:cs="Arial" w:eastAsia="Arial" w:hAnsi="Arial"/>
                <w:sz w:val="14"/>
                <w:szCs w:val="14"/>
                <w:color w:val="auto"/>
              </w:rPr>
              <w:t>001-34511)</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4953" w:lineRule="exact"/>
        <w:rPr>
          <w:sz w:val="20"/>
          <w:szCs w:val="20"/>
          <w:color w:val="auto"/>
        </w:rPr>
      </w:pPr>
    </w:p>
    <w:p>
      <w:pPr>
        <w:sectPr>
          <w:pgSz w:w="11900" w:h="16838" w:orient="portrait"/>
          <w:cols w:equalWidth="0" w:num="2">
            <w:col w:w="5520" w:space="100"/>
            <w:col w:w="4599"/>
          </w:cols>
          <w:pgMar w:left="24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219"/>
          </w:cols>
          <w:pgMar w:left="240" w:top="122" w:right="1440"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 of the Board of</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3" w:name="page64"/>
    <w:bookmarkEnd w:id="63"/>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quarterly period ended September 30, 2014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3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Date:  November 6, 2014</w:t>
            </w:r>
          </w:p>
        </w:tc>
        <w:tc>
          <w:tcPr>
            <w:tcW w:w="2720" w:type="dxa"/>
            <w:vAlign w:val="bottom"/>
          </w:tcPr>
          <w:p>
            <w:pPr>
              <w:ind w:left="208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39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 of the Board of</w:t>
            </w:r>
          </w:p>
        </w:tc>
      </w:tr>
      <w:tr>
        <w:trPr>
          <w:trHeight w:val="216"/>
        </w:trPr>
        <w:tc>
          <w:tcPr>
            <w:tcW w:w="3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Directors</w:t>
            </w:r>
          </w:p>
        </w:tc>
      </w:tr>
      <w:tr>
        <w:trPr>
          <w:trHeight w:val="230"/>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Quarterly Report on Form 10-Q of Fortinet, Inc. for the quarterly period ended September 30, 2014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3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Date:  November 6, 2014</w:t>
            </w:r>
          </w:p>
        </w:tc>
        <w:tc>
          <w:tcPr>
            <w:tcW w:w="2720" w:type="dxa"/>
            <w:vAlign w:val="bottom"/>
          </w:tcPr>
          <w:p>
            <w:pPr>
              <w:ind w:left="208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39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0"/>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2019-12-07T05:50:33Z</dcterms:created>
  <dcterms:modified xsi:type="dcterms:W3CDTF">2019-12-07T05:50:33Z</dcterms:modified>
</cp:coreProperties>
</file>