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107315</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SCHEDULE 14A INFORMATION</w:t>
      </w:r>
    </w:p>
    <w:p>
      <w:pPr>
        <w:spacing w:after="0" w:line="1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ind w:left="4340"/>
        <w:spacing w:after="0"/>
        <w:tabs>
          <w:tab w:leader="none" w:pos="630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99060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1" w:lineRule="exact"/>
        <w:rPr>
          <w:sz w:val="24"/>
          <w:szCs w:val="24"/>
          <w:color w:val="auto"/>
        </w:rPr>
      </w:pPr>
    </w:p>
    <w:p>
      <w:pPr>
        <w:ind w:left="500"/>
        <w:spacing w:after="0" w:line="207" w:lineRule="exact"/>
        <w:tabs>
          <w:tab w:leader="none" w:pos="3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6" w:lineRule="exact"/>
        <w:rPr>
          <w:sz w:val="24"/>
          <w:szCs w:val="24"/>
          <w:color w:val="auto"/>
        </w:rPr>
      </w:pPr>
    </w:p>
    <w:p>
      <w:pPr>
        <w:ind w:left="500"/>
        <w:spacing w:after="0" w:line="207" w:lineRule="exact"/>
        <w:tabs>
          <w:tab w:leader="none" w:pos="38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5"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FORTINET,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4"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295275</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5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220" w:right="280" w:hanging="368"/>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860" w:hanging="368"/>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-3242310</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-2856230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-2341880</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-1964690</wp:posOffset>
            </wp:positionV>
            <wp:extent cx="5734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-1587500</wp:posOffset>
            </wp:positionV>
            <wp:extent cx="5734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-567690</wp:posOffset>
            </wp:positionV>
            <wp:extent cx="5734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-190500</wp:posOffset>
            </wp:positionV>
            <wp:extent cx="5734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186055</wp:posOffset>
            </wp:positionV>
            <wp:extent cx="57346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sectPr>
      </w:pPr>
    </w:p>
    <w:p>
      <w:pPr>
        <w:spacing w:after="0" w:line="387" w:lineRule="exact"/>
        <w:rPr>
          <w:sz w:val="24"/>
          <w:szCs w:val="24"/>
          <w:color w:val="auto"/>
        </w:rPr>
      </w:pPr>
    </w:p>
    <w:p>
      <w:pPr>
        <w:ind w:left="860"/>
        <w:spacing w:after="0"/>
        <w:tabs>
          <w:tab w:leader="none" w:pos="12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186055</wp:posOffset>
            </wp:positionV>
            <wp:extent cx="57346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494665</wp:posOffset>
            </wp:positionV>
            <wp:extent cx="280289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28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2099" w:firstLine="1692"/>
        <w:spacing w:after="0" w:line="424" w:lineRule="auto"/>
        <w:rPr>
          <w:sz w:val="20"/>
          <w:szCs w:val="20"/>
          <w:color w:val="auto"/>
        </w:rPr>
      </w:pPr>
      <w:r>
        <w:rPr>
          <w:rFonts w:ascii="Arial" w:cs="Arial" w:eastAsia="Arial" w:hAnsi="Arial"/>
          <w:sz w:val="18"/>
          <w:szCs w:val="18"/>
          <w:b w:val="1"/>
          <w:bCs w:val="1"/>
          <w:color w:val="auto"/>
        </w:rPr>
        <w:t xml:space="preserve">NOTICE OF 2021 ANNUAL MEETING OF STOCKHOLDERS </w:t>
      </w:r>
      <w:r>
        <w:rPr>
          <w:rFonts w:ascii="Arial" w:cs="Arial" w:eastAsia="Arial" w:hAnsi="Arial"/>
          <w:sz w:val="18"/>
          <w:szCs w:val="18"/>
          <w:color w:val="auto"/>
        </w:rPr>
        <w:t>Dear Fortinet Stockholder:</w:t>
      </w:r>
    </w:p>
    <w:p>
      <w:pPr>
        <w:spacing w:after="0" w:line="2"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Notice is hereby given that the 2021 Annual Meeting of Stockholders (the “2021 Annual Meeting”) of Fortinet, Inc., a Delaware corporation (“Fortinet,” “we,” “us” or “our”), will be held on Friday, June 18, 2021, at 10:00 a.m. Pacific time, in a virtual-only format, for the following purposes:</w:t>
      </w:r>
    </w:p>
    <w:p>
      <w:pPr>
        <w:spacing w:after="0" w:line="103" w:lineRule="exact"/>
        <w:rPr>
          <w:sz w:val="20"/>
          <w:szCs w:val="20"/>
          <w:color w:val="auto"/>
        </w:rPr>
      </w:pPr>
    </w:p>
    <w:p>
      <w:pPr>
        <w:ind w:left="1980" w:right="719" w:hanging="360"/>
        <w:spacing w:after="0" w:line="263"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eight directors listed in the accompanying proxy statement to serve for a one-year term expiring at Fortinet’s 2022 Annual Meeting of Stockholders (the “2022 Annual Meeting”) and until their respective successors have been duly elected and qualified.</w:t>
      </w:r>
    </w:p>
    <w:p>
      <w:pPr>
        <w:spacing w:after="0" w:line="116" w:lineRule="exact"/>
        <w:rPr>
          <w:rFonts w:ascii="Arial" w:cs="Arial" w:eastAsia="Arial" w:hAnsi="Arial"/>
          <w:sz w:val="18"/>
          <w:szCs w:val="18"/>
          <w:color w:val="auto"/>
        </w:rPr>
      </w:pPr>
    </w:p>
    <w:p>
      <w:pPr>
        <w:ind w:left="1980" w:right="67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Fortinet’s independent registered public accounting firm for the fiscal year ending December 31, 2021.</w:t>
      </w:r>
    </w:p>
    <w:p>
      <w:pPr>
        <w:spacing w:after="0" w:line="102"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to approve named executive officer compensation.</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proposals, if properly presented before the meeting.</w:t>
      </w:r>
    </w:p>
    <w:p>
      <w:pPr>
        <w:spacing w:after="0" w:line="158"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We believe that a virtual stockholder meeting provides greater access to those who may want to attend and provides a safer forum in light of the ongoing COVID-19 pandemic, and therefore we have chosen this over an in-person meeting.</w:t>
      </w:r>
    </w:p>
    <w:p>
      <w:pPr>
        <w:spacing w:after="0" w:line="116"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preceding items of business are more fully described in the proxy statement accompanying this notice. Any action on the items of business described above may be considered at the 2021 Annual Meeting at the time and on the date specified above or at any time and date to which the 2021 Annual Meeting may be properly adjourned or postponed. Only stockholders of record at the close of business on April 26, 2021 are entitled to notice of, and to vote at, the 2021 Annual Meeting.</w:t>
      </w:r>
    </w:p>
    <w:p>
      <w:pPr>
        <w:spacing w:after="0" w:line="107"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We have elected to provide access to our proxy materials over the internet. Accordingly, stockholders of record at the close of business on April 26, 2021 will receive a Notice of Internet Availability of Proxy Materials and may vote at the 2021 Annual Meeting and any meetings pursuant to postponements or adjournments of the 2021 Annual Meeting. We expect to mail the Notice of Internet Availability of Proxy Materials on or about May 4, 2021.</w:t>
      </w:r>
    </w:p>
    <w:p>
      <w:pPr>
        <w:spacing w:after="0" w:line="116" w:lineRule="exact"/>
        <w:rPr>
          <w:sz w:val="20"/>
          <w:szCs w:val="20"/>
          <w:color w:val="auto"/>
        </w:rPr>
      </w:pPr>
    </w:p>
    <w:p>
      <w:pPr>
        <w:ind w:left="1260" w:right="419" w:firstLine="360"/>
        <w:spacing w:after="0" w:line="314" w:lineRule="auto"/>
        <w:rPr>
          <w:sz w:val="20"/>
          <w:szCs w:val="20"/>
          <w:color w:val="auto"/>
        </w:rPr>
      </w:pPr>
      <w:r>
        <w:rPr>
          <w:rFonts w:ascii="Arial" w:cs="Arial" w:eastAsia="Arial" w:hAnsi="Arial"/>
          <w:sz w:val="15"/>
          <w:szCs w:val="15"/>
          <w:b w:val="1"/>
          <w:bCs w:val="1"/>
          <w:color w:val="auto"/>
        </w:rPr>
        <w:t>Your vote is very important. Whether or not you plan to attend the 2021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2021 Annual Meeting and Procedural Matters” and the instructions on the Notice of Internet Availability of Proxy Materials.</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Thank you for your ongoing support of Fortinet.</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134620</wp:posOffset>
            </wp:positionV>
            <wp:extent cx="109728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Ken Xie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i w:val="1"/>
          <w:iCs w:val="1"/>
          <w:color w:val="auto"/>
        </w:rPr>
        <w:t>Chief Executive Officer and Chairman of the Board of Directors</w:t>
      </w:r>
    </w:p>
    <w:p>
      <w:pPr>
        <w:spacing w:after="0" w:line="1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593090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2021 ANNUAL MEETING OF STOCKHOLDERS</w:t>
      </w:r>
    </w:p>
    <w:p>
      <w:pPr>
        <w:spacing w:after="0" w:line="9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3"/>
        </w:trPr>
        <w:tc>
          <w:tcPr>
            <w:tcW w:w="7380" w:type="dxa"/>
            <w:vAlign w:val="bottom"/>
            <w:tcBorders>
              <w:bottom w:val="single" w:sz="8" w:color="0000EE"/>
            </w:tcBorders>
            <w:gridSpan w:val="34"/>
            <w:shd w:val="clear" w:color="auto" w:fill="CCEEFF"/>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QUESTIONS AND ANSWERS ABOUT THE 2021 ANNUAL MEETING AND PROCEDURAL</w:t>
              </w:r>
            </w:hyperlink>
          </w:p>
        </w:tc>
        <w:tc>
          <w:tcPr>
            <w:tcW w:w="500" w:type="dxa"/>
            <w:vAlign w:val="bottom"/>
            <w:tcBorders>
              <w:bottom w:val="single" w:sz="8" w:color="CCEEFF"/>
            </w:tcBorders>
            <w:gridSpan w:val="4"/>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3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MATTERS</w:t>
              </w:r>
            </w:hyperlink>
          </w:p>
        </w:tc>
        <w:tc>
          <w:tcPr>
            <w:tcW w:w="2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6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80" w:type="dxa"/>
            <w:vAlign w:val="bottom"/>
          </w:tcPr>
          <w:p>
            <w:pPr>
              <w:spacing w:after="0"/>
              <w:rPr>
                <w:sz w:val="21"/>
                <w:szCs w:val="21"/>
                <w:color w:val="auto"/>
              </w:rPr>
            </w:pPr>
          </w:p>
        </w:tc>
        <w:tc>
          <w:tcPr>
            <w:tcW w:w="27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Why am I receiving these materials?</w:t>
              </w:r>
            </w:hyperlink>
          </w:p>
        </w:tc>
        <w:tc>
          <w:tcPr>
            <w:tcW w:w="4940" w:type="dxa"/>
            <w:vAlign w:val="bottom"/>
            <w:gridSpan w:val="26"/>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Pr>
          <w:p>
            <w:pPr>
              <w:spacing w:after="0"/>
              <w:rPr>
                <w:sz w:val="21"/>
                <w:szCs w:val="2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6860" w:type="dxa"/>
            <w:vAlign w:val="bottom"/>
            <w:tcBorders>
              <w:bottom w:val="single" w:sz="8" w:color="0000EE"/>
            </w:tcBorders>
            <w:gridSpan w:val="31"/>
            <w:shd w:val="clear" w:color="auto" w:fill="CCEEFF"/>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Why did I receive a one-page notice in the mail regarding the internet availability of proxy</w:t>
              </w:r>
            </w:hyperlink>
          </w:p>
        </w:tc>
        <w:tc>
          <w:tcPr>
            <w:tcW w:w="840" w:type="dxa"/>
            <w:vAlign w:val="bottom"/>
            <w:tcBorders>
              <w:bottom w:val="single" w:sz="8" w:color="CCEEFF"/>
            </w:tcBorders>
            <w:gridSpan w:val="6"/>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7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materials instead of a full set of proxy materials?</w:t>
              </w:r>
            </w:hyperlink>
          </w:p>
        </w:tc>
        <w:tc>
          <w:tcPr>
            <w:tcW w:w="3820" w:type="dxa"/>
            <w:vAlign w:val="bottom"/>
            <w:tcBorders>
              <w:bottom w:val="single" w:sz="8" w:color="CCEEFF"/>
            </w:tcBorders>
            <w:gridSpan w:val="19"/>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18"/>
                <w:szCs w:val="18"/>
                <w:color w:val="auto"/>
              </w:rPr>
            </w:pPr>
          </w:p>
        </w:tc>
      </w:tr>
      <w:tr>
        <w:trPr>
          <w:trHeight w:val="243"/>
        </w:trPr>
        <w:tc>
          <w:tcPr>
            <w:tcW w:w="180" w:type="dxa"/>
            <w:vAlign w:val="bottom"/>
          </w:tcPr>
          <w:p>
            <w:pPr>
              <w:spacing w:after="0"/>
              <w:rPr>
                <w:sz w:val="21"/>
                <w:szCs w:val="21"/>
                <w:color w:val="auto"/>
              </w:rPr>
            </w:pPr>
          </w:p>
        </w:tc>
        <w:tc>
          <w:tcPr>
            <w:tcW w:w="7700" w:type="dxa"/>
            <w:vAlign w:val="bottom"/>
            <w:gridSpan w:val="3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How can I get electronic access to the proxy materials?</w:t>
              </w:r>
            </w:hyperlink>
          </w:p>
        </w:tc>
        <w:tc>
          <w:tcPr>
            <w:tcW w:w="2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60" w:type="dxa"/>
            <w:vAlign w:val="bottom"/>
          </w:tcPr>
          <w:p>
            <w:pPr>
              <w:spacing w:after="0"/>
              <w:rPr>
                <w:sz w:val="21"/>
                <w:szCs w:val="2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top w:val="single" w:sz="8" w:color="0000EE"/>
              <w:bottom w:val="single" w:sz="8" w:color="0000EE"/>
              <w:right w:val="single" w:sz="8" w:color="CCEEFF"/>
            </w:tcBorders>
            <w:gridSpan w:val="13"/>
            <w:shd w:val="clear" w:color="auto" w:fill="CCEEFF"/>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Can I attend the 2021 Annual Meeting?</w:t>
              </w:r>
            </w:hyperlink>
          </w:p>
        </w:tc>
        <w:tc>
          <w:tcPr>
            <w:tcW w:w="1160" w:type="dxa"/>
            <w:vAlign w:val="bottom"/>
            <w:tcBorders>
              <w:top w:val="single" w:sz="8" w:color="0000EE"/>
              <w:bottom w:val="single" w:sz="8" w:color="CCEEFF"/>
            </w:tcBorders>
            <w:gridSpan w:val="7"/>
            <w:shd w:val="clear" w:color="auto" w:fill="CCEEFF"/>
          </w:tcPr>
          <w:p>
            <w:pPr>
              <w:spacing w:after="0"/>
              <w:rPr>
                <w:sz w:val="20"/>
                <w:szCs w:val="20"/>
                <w:color w:val="auto"/>
              </w:rPr>
            </w:pPr>
          </w:p>
        </w:tc>
        <w:tc>
          <w:tcPr>
            <w:tcW w:w="3540" w:type="dxa"/>
            <w:vAlign w:val="bottom"/>
            <w:tcBorders>
              <w:bottom w:val="single" w:sz="8" w:color="CCEEFF"/>
            </w:tcBorders>
            <w:gridSpan w:val="17"/>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0000EE"/>
              <w:bottom w:val="single" w:sz="8" w:color="0000EE"/>
            </w:tcBorders>
            <w:shd w:val="clear" w:color="auto" w:fill="CCEEFF"/>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7700" w:type="dxa"/>
            <w:vAlign w:val="bottom"/>
            <w:gridSpan w:val="3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Who is entitled to vote at the 2021 Annual Meeting?</w:t>
              </w:r>
            </w:hyperlink>
          </w:p>
        </w:tc>
        <w:tc>
          <w:tcPr>
            <w:tcW w:w="2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700" w:type="dxa"/>
            <w:vAlign w:val="bottom"/>
            <w:gridSpan w:val="37"/>
            <w:shd w:val="clear" w:color="auto" w:fill="CCEEFF"/>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What is the difference between holding shares as a stockholder of record or as a beneficial owner?</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6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540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How can I vote my shares without attending the 2021 Annual Meeting?</w:t>
              </w:r>
            </w:hyperlink>
          </w:p>
        </w:tc>
        <w:tc>
          <w:tcPr>
            <w:tcW w:w="2020" w:type="dxa"/>
            <w:vAlign w:val="bottom"/>
            <w:tcBorders>
              <w:top w:val="single" w:sz="8" w:color="0000EE"/>
            </w:tcBorders>
            <w:gridSpan w:val="9"/>
          </w:tcPr>
          <w:p>
            <w:pPr>
              <w:spacing w:after="0"/>
              <w:rPr>
                <w:sz w:val="20"/>
                <w:szCs w:val="20"/>
                <w:color w:val="auto"/>
              </w:rPr>
            </w:pPr>
          </w:p>
        </w:tc>
        <w:tc>
          <w:tcPr>
            <w:tcW w:w="28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gridSpan w:val="2"/>
          </w:tcPr>
          <w:p>
            <w:pPr>
              <w:spacing w:after="0"/>
              <w:rPr>
                <w:sz w:val="20"/>
                <w:szCs w:val="20"/>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60" w:type="dxa"/>
            <w:vAlign w:val="bottom"/>
            <w:tcBorders>
              <w:top w:val="single" w:sz="8" w:color="CCEEFF"/>
            </w:tcBorders>
          </w:tcPr>
          <w:p>
            <w:pPr>
              <w:spacing w:after="0"/>
              <w:rPr>
                <w:sz w:val="20"/>
                <w:szCs w:val="20"/>
                <w:color w:val="auto"/>
              </w:rPr>
            </w:pPr>
          </w:p>
        </w:tc>
      </w:tr>
      <w:tr>
        <w:trPr>
          <w:trHeight w:val="236"/>
        </w:trPr>
        <w:tc>
          <w:tcPr>
            <w:tcW w:w="180" w:type="dxa"/>
            <w:vAlign w:val="bottom"/>
            <w:shd w:val="clear" w:color="auto" w:fill="CCEEFF"/>
          </w:tcPr>
          <w:p>
            <w:pPr>
              <w:spacing w:after="0"/>
              <w:rPr>
                <w:sz w:val="20"/>
                <w:szCs w:val="20"/>
                <w:color w:val="auto"/>
              </w:rPr>
            </w:pPr>
          </w:p>
        </w:tc>
        <w:tc>
          <w:tcPr>
            <w:tcW w:w="7700" w:type="dxa"/>
            <w:vAlign w:val="bottom"/>
            <w:gridSpan w:val="37"/>
            <w:shd w:val="clear" w:color="auto" w:fill="CCEEFF"/>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How many shares must be present or represented to conduct business at the 2021 Annual Meeting?</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6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7460" w:type="dxa"/>
            <w:vAlign w:val="bottom"/>
            <w:tcBorders>
              <w:top w:val="single" w:sz="8" w:color="0000EE"/>
            </w:tcBorders>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What proposals will be voted on at the 2021 Annual Meeting?</w:t>
              </w:r>
            </w:hyperlink>
          </w:p>
        </w:tc>
        <w:tc>
          <w:tcPr>
            <w:tcW w:w="2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gridSpan w:val="2"/>
          </w:tcPr>
          <w:p>
            <w:pPr>
              <w:spacing w:after="0"/>
              <w:rPr>
                <w:sz w:val="20"/>
                <w:szCs w:val="20"/>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60" w:type="dxa"/>
            <w:vAlign w:val="bottom"/>
            <w:tcBorders>
              <w:top w:val="single" w:sz="8" w:color="CCEEFF"/>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7"/>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What is the voting requirement to approve each of the proposals?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60" w:type="dxa"/>
            <w:vAlign w:val="bottom"/>
            <w:shd w:val="clear" w:color="auto" w:fill="CCEEFF"/>
          </w:tcPr>
          <w:p>
            <w:pPr>
              <w:spacing w:after="0"/>
              <w:rPr>
                <w:sz w:val="21"/>
                <w:szCs w:val="21"/>
                <w:color w:val="auto"/>
              </w:rPr>
            </w:pPr>
          </w:p>
        </w:tc>
      </w:tr>
      <w:tr>
        <w:trPr>
          <w:trHeight w:val="250"/>
        </w:trPr>
        <w:tc>
          <w:tcPr>
            <w:tcW w:w="180" w:type="dxa"/>
            <w:vAlign w:val="bottom"/>
            <w:tcBorders>
              <w:top w:val="single" w:sz="8" w:color="CCEEFF"/>
            </w:tcBorders>
          </w:tcPr>
          <w:p>
            <w:pPr>
              <w:spacing w:after="0"/>
              <w:rPr>
                <w:sz w:val="21"/>
                <w:szCs w:val="21"/>
                <w:color w:val="auto"/>
              </w:rPr>
            </w:pP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How are votes counted?</w:t>
              </w:r>
            </w:hyperlink>
          </w:p>
        </w:tc>
        <w:tc>
          <w:tcPr>
            <w:tcW w:w="3100" w:type="dxa"/>
            <w:vAlign w:val="bottom"/>
            <w:tcBorders>
              <w:top w:val="single" w:sz="8" w:color="0000EE"/>
            </w:tcBorders>
            <w:gridSpan w:val="15"/>
          </w:tcPr>
          <w:p>
            <w:pPr>
              <w:spacing w:after="0"/>
              <w:rPr>
                <w:sz w:val="21"/>
                <w:szCs w:val="21"/>
                <w:color w:val="auto"/>
              </w:rPr>
            </w:pPr>
          </w:p>
        </w:tc>
        <w:tc>
          <w:tcPr>
            <w:tcW w:w="2780" w:type="dxa"/>
            <w:vAlign w:val="bottom"/>
            <w:tcBorders>
              <w:top w:val="single" w:sz="8" w:color="CCEEFF"/>
            </w:tcBorders>
            <w:gridSpan w:val="14"/>
          </w:tcPr>
          <w:p>
            <w:pPr>
              <w:spacing w:after="0"/>
              <w:rPr>
                <w:sz w:val="21"/>
                <w:szCs w:val="21"/>
                <w:color w:val="auto"/>
              </w:rPr>
            </w:pPr>
          </w:p>
        </w:tc>
        <w:tc>
          <w:tcPr>
            <w:tcW w:w="160" w:type="dxa"/>
            <w:vAlign w:val="bottom"/>
            <w:tcBorders>
              <w:top w:val="single" w:sz="8" w:color="CCEEFF"/>
            </w:tcBorders>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60" w:type="dxa"/>
            <w:vAlign w:val="bottom"/>
            <w:tcBorders>
              <w:top w:val="single" w:sz="8" w:color="CCEEFF"/>
            </w:tcBorders>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7"/>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How does the Board of Directors recommend that I vote?</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940" w:type="dxa"/>
            <w:vAlign w:val="bottom"/>
            <w:tcBorders>
              <w:bottom w:val="single" w:sz="8" w:color="0000EE"/>
            </w:tcBorders>
            <w:gridSpan w:val="28"/>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What happens if additional matters are presented at the 2021 Annual Meeting?</w:t>
              </w:r>
            </w:hyperlink>
          </w:p>
        </w:tc>
        <w:tc>
          <w:tcPr>
            <w:tcW w:w="1760" w:type="dxa"/>
            <w:vAlign w:val="bottom"/>
            <w:gridSpan w:val="9"/>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Can I change my vote?</w:t>
              </w:r>
            </w:hyperlink>
          </w:p>
        </w:tc>
        <w:tc>
          <w:tcPr>
            <w:tcW w:w="5960" w:type="dxa"/>
            <w:vAlign w:val="bottom"/>
            <w:tcBorders>
              <w:bottom w:val="single" w:sz="8" w:color="CCEEFF"/>
            </w:tcBorders>
            <w:gridSpan w:val="30"/>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512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What should I do if I receive more than one set of voting materials?</w:t>
              </w:r>
            </w:hyperlink>
          </w:p>
        </w:tc>
        <w:tc>
          <w:tcPr>
            <w:tcW w:w="2580" w:type="dxa"/>
            <w:vAlign w:val="bottom"/>
            <w:gridSpan w:val="13"/>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Is my vote confidential?</w:t>
              </w:r>
            </w:hyperlink>
          </w:p>
        </w:tc>
        <w:tc>
          <w:tcPr>
            <w:tcW w:w="5860" w:type="dxa"/>
            <w:vAlign w:val="bottom"/>
            <w:tcBorders>
              <w:bottom w:val="single" w:sz="8" w:color="CCEEFF"/>
            </w:tcBorders>
            <w:gridSpan w:val="28"/>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30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Who will serve as inspector of election?</w:t>
              </w:r>
            </w:hyperlink>
          </w:p>
        </w:tc>
        <w:tc>
          <w:tcPr>
            <w:tcW w:w="4660" w:type="dxa"/>
            <w:vAlign w:val="bottom"/>
            <w:gridSpan w:val="23"/>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60" w:type="dxa"/>
            <w:vAlign w:val="bottom"/>
          </w:tcPr>
          <w:p>
            <w:pPr>
              <w:spacing w:after="0"/>
              <w:rPr>
                <w:sz w:val="21"/>
                <w:szCs w:val="2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3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Where can I find the voting results of the 2021 Annual Meeting?</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4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Who will bear the cost of soliciting votes for the 2021 Annual Meeting?</w:t>
              </w:r>
            </w:hyperlink>
          </w:p>
        </w:tc>
        <w:tc>
          <w:tcPr>
            <w:tcW w:w="2260" w:type="dxa"/>
            <w:vAlign w:val="bottom"/>
            <w:gridSpan w:val="10"/>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60" w:type="dxa"/>
            <w:vAlign w:val="bottom"/>
          </w:tcPr>
          <w:p>
            <w:pPr>
              <w:spacing w:after="0"/>
              <w:rPr>
                <w:sz w:val="21"/>
                <w:szCs w:val="21"/>
                <w:color w:val="auto"/>
              </w:rPr>
            </w:pPr>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6780" w:type="dxa"/>
            <w:vAlign w:val="bottom"/>
            <w:tcBorders>
              <w:bottom w:val="single" w:sz="8" w:color="0000EE"/>
            </w:tcBorders>
            <w:gridSpan w:val="30"/>
            <w:shd w:val="clear" w:color="auto" w:fill="CCEEFF"/>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What is the deadline to propose actions for consideration at next year’s annual meeting of</w:t>
              </w:r>
            </w:hyperlink>
          </w:p>
        </w:tc>
        <w:tc>
          <w:tcPr>
            <w:tcW w:w="920" w:type="dxa"/>
            <w:vAlign w:val="bottom"/>
            <w:tcBorders>
              <w:bottom w:val="single" w:sz="8" w:color="CCEEFF"/>
            </w:tcBorders>
            <w:gridSpan w:val="7"/>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0000EE"/>
              <w:right w:val="single" w:sz="8" w:color="CCEEFF"/>
            </w:tcBorders>
            <w:gridSpan w:val="22"/>
            <w:shd w:val="clear" w:color="auto" w:fill="CCEEFF"/>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stockholders or to nominate individuals to serve as directors?</w:t>
              </w:r>
            </w:hyperlink>
          </w:p>
        </w:tc>
        <w:tc>
          <w:tcPr>
            <w:tcW w:w="2780" w:type="dxa"/>
            <w:vAlign w:val="bottom"/>
            <w:tcBorders>
              <w:bottom w:val="single" w:sz="8" w:color="CCEEFF"/>
            </w:tcBorders>
            <w:gridSpan w:val="14"/>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60" w:type="dxa"/>
            <w:vAlign w:val="bottom"/>
            <w:tcBorders>
              <w:bottom w:val="single" w:sz="8" w:color="CCEEFF"/>
            </w:tcBorders>
            <w:shd w:val="clear" w:color="auto" w:fill="CCEEFF"/>
          </w:tcPr>
          <w:p>
            <w:pPr>
              <w:spacing w:after="0"/>
              <w:rPr>
                <w:sz w:val="18"/>
                <w:szCs w:val="18"/>
                <w:color w:val="auto"/>
              </w:rPr>
            </w:pPr>
          </w:p>
        </w:tc>
      </w:tr>
      <w:tr>
        <w:trPr>
          <w:trHeight w:val="256"/>
        </w:trPr>
        <w:tc>
          <w:tcPr>
            <w:tcW w:w="180" w:type="dxa"/>
            <w:vAlign w:val="bottom"/>
          </w:tcPr>
          <w:p>
            <w:pPr>
              <w:spacing w:after="0"/>
              <w:rPr>
                <w:sz w:val="22"/>
                <w:szCs w:val="22"/>
                <w:color w:val="auto"/>
              </w:rPr>
            </w:pPr>
          </w:p>
        </w:tc>
        <w:tc>
          <w:tcPr>
            <w:tcW w:w="6000" w:type="dxa"/>
            <w:vAlign w:val="bottom"/>
            <w:tcBorders>
              <w:bottom w:val="single" w:sz="8" w:color="0000EE"/>
            </w:tcBorders>
            <w:gridSpan w:val="29"/>
          </w:tcPr>
          <w:p>
            <w:pPr>
              <w:spacing w:after="0"/>
              <w:rPr>
                <w:rFonts w:ascii="Arial" w:cs="Arial" w:eastAsia="Arial" w:hAnsi="Arial"/>
                <w:sz w:val="18"/>
                <w:szCs w:val="18"/>
                <w:color w:val="0000EE"/>
                <w:w w:val="94"/>
              </w:rPr>
            </w:pPr>
            <w:hyperlink w:anchor="page9">
              <w:r>
                <w:rPr>
                  <w:rFonts w:ascii="Arial" w:cs="Arial" w:eastAsia="Arial" w:hAnsi="Arial"/>
                  <w:sz w:val="18"/>
                  <w:szCs w:val="18"/>
                  <w:color w:val="0000EE"/>
                  <w:w w:val="94"/>
                </w:rPr>
                <w:t>How may I obtain a separate set of proxy materials or the 2020 Annual Report?</w:t>
              </w:r>
            </w:hyperlink>
          </w:p>
        </w:tc>
        <w:tc>
          <w:tcPr>
            <w:tcW w:w="1700" w:type="dxa"/>
            <w:vAlign w:val="bottom"/>
            <w:gridSpan w:val="8"/>
          </w:tcPr>
          <w:p>
            <w:pPr>
              <w:spacing w:after="0"/>
              <w:rPr>
                <w:sz w:val="22"/>
                <w:szCs w:val="22"/>
                <w:color w:val="auto"/>
              </w:rPr>
            </w:pPr>
          </w:p>
        </w:tc>
        <w:tc>
          <w:tcPr>
            <w:tcW w:w="1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60" w:type="dxa"/>
            <w:vAlign w:val="bottom"/>
          </w:tcPr>
          <w:p>
            <w:pPr>
              <w:spacing w:after="0"/>
              <w:rPr>
                <w:sz w:val="22"/>
                <w:szCs w:val="2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0000EE"/>
              <w:right w:val="single" w:sz="8" w:color="CCEEFF"/>
            </w:tcBorders>
            <w:gridSpan w:val="19"/>
            <w:shd w:val="clear" w:color="auto" w:fill="CCEEFF"/>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PROPOSAL ONE — ELECTION OF DIRECTORS</w:t>
              </w:r>
            </w:hyperlink>
          </w:p>
        </w:tc>
        <w:tc>
          <w:tcPr>
            <w:tcW w:w="3740" w:type="dxa"/>
            <w:vAlign w:val="bottom"/>
            <w:tcBorders>
              <w:bottom w:val="single" w:sz="8" w:color="CCEEFF"/>
            </w:tcBorders>
            <w:gridSpan w:val="18"/>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General</w:t>
              </w:r>
            </w:hyperlink>
          </w:p>
        </w:tc>
        <w:tc>
          <w:tcPr>
            <w:tcW w:w="7280" w:type="dxa"/>
            <w:vAlign w:val="bottom"/>
            <w:gridSpan w:val="35"/>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Nominees</w:t>
              </w:r>
            </w:hyperlink>
          </w:p>
        </w:tc>
        <w:tc>
          <w:tcPr>
            <w:tcW w:w="6940" w:type="dxa"/>
            <w:vAlign w:val="bottom"/>
            <w:tcBorders>
              <w:bottom w:val="single" w:sz="8" w:color="CCEEFF"/>
            </w:tcBorders>
            <w:gridSpan w:val="34"/>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528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Information Regarding the Board of Directors and Director Nominees</w:t>
              </w:r>
            </w:hyperlink>
          </w:p>
        </w:tc>
        <w:tc>
          <w:tcPr>
            <w:tcW w:w="2420" w:type="dxa"/>
            <w:vAlign w:val="bottom"/>
            <w:gridSpan w:val="12"/>
          </w:tcPr>
          <w:p>
            <w:pPr>
              <w:spacing w:after="0"/>
              <w:rPr>
                <w:sz w:val="21"/>
                <w:szCs w:val="21"/>
                <w:color w:val="auto"/>
              </w:rPr>
            </w:pPr>
          </w:p>
        </w:tc>
        <w:tc>
          <w:tcPr>
            <w:tcW w:w="1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Director Expertise, Experience and Attributes</w:t>
              </w:r>
            </w:hyperlink>
          </w:p>
        </w:tc>
        <w:tc>
          <w:tcPr>
            <w:tcW w:w="4240" w:type="dxa"/>
            <w:vAlign w:val="bottom"/>
            <w:tcBorders>
              <w:bottom w:val="single" w:sz="8" w:color="CCEEFF"/>
            </w:tcBorders>
            <w:gridSpan w:val="20"/>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28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Director Tenure and Age Distribution</w:t>
              </w:r>
            </w:hyperlink>
          </w:p>
        </w:tc>
        <w:tc>
          <w:tcPr>
            <w:tcW w:w="4860" w:type="dxa"/>
            <w:vAlign w:val="bottom"/>
            <w:gridSpan w:val="25"/>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60" w:type="dxa"/>
            <w:vAlign w:val="bottom"/>
          </w:tcPr>
          <w:p>
            <w:pPr>
              <w:spacing w:after="0"/>
              <w:rPr>
                <w:sz w:val="21"/>
                <w:szCs w:val="2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Board Evaluations</w:t>
              </w:r>
            </w:hyperlink>
          </w:p>
        </w:tc>
        <w:tc>
          <w:tcPr>
            <w:tcW w:w="6300" w:type="dxa"/>
            <w:vAlign w:val="bottom"/>
            <w:tcBorders>
              <w:bottom w:val="single" w:sz="8" w:color="CCEEFF"/>
            </w:tcBorders>
            <w:gridSpan w:val="3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400" w:type="dxa"/>
            <w:vAlign w:val="bottom"/>
            <w:tcBorders>
              <w:bottom w:val="single" w:sz="8" w:color="0000EE"/>
            </w:tcBorders>
            <w:gridSpan w:val="34"/>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PROPOSAL TWO — RATIFICATION OF APPOINTMENT OF INDEPENDENT REGISTERED</w:t>
              </w:r>
            </w:hyperlink>
          </w:p>
        </w:tc>
        <w:tc>
          <w:tcPr>
            <w:tcW w:w="30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7700" w:type="dxa"/>
            <w:vAlign w:val="bottom"/>
            <w:gridSpan w:val="37"/>
          </w:tcPr>
          <w:p>
            <w:pPr>
              <w:ind w:left="18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PUBLIC ACCOUNTING FIRM</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00" w:type="dxa"/>
            <w:vAlign w:val="bottom"/>
            <w:gridSpan w:val="3"/>
            <w:shd w:val="clear" w:color="auto" w:fill="CCEEFF"/>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General</w:t>
              </w:r>
            </w:hyperlink>
          </w:p>
        </w:tc>
        <w:tc>
          <w:tcPr>
            <w:tcW w:w="7280" w:type="dxa"/>
            <w:vAlign w:val="bottom"/>
            <w:gridSpan w:val="35"/>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shd w:val="clear" w:color="auto" w:fill="CCEEFF"/>
          </w:tcPr>
          <w:p>
            <w:pPr>
              <w:spacing w:after="0"/>
              <w:rPr>
                <w:sz w:val="22"/>
                <w:szCs w:val="22"/>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3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Principal Accounting Fees and Services</w:t>
              </w:r>
            </w:hyperlink>
          </w:p>
        </w:tc>
        <w:tc>
          <w:tcPr>
            <w:tcW w:w="26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60" w:type="dxa"/>
            <w:vAlign w:val="bottom"/>
            <w:gridSpan w:val="16"/>
            <w:shd w:val="clear" w:color="auto" w:fill="CCEEFF"/>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Approval of Audit and Non-Audit Services</w:t>
              </w:r>
            </w:hyperlink>
          </w:p>
        </w:tc>
        <w:tc>
          <w:tcPr>
            <w:tcW w:w="4440" w:type="dxa"/>
            <w:vAlign w:val="bottom"/>
            <w:gridSpan w:val="21"/>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60" w:type="dxa"/>
            <w:vAlign w:val="bottom"/>
            <w:shd w:val="clear" w:color="auto" w:fill="CCEEFF"/>
          </w:tcPr>
          <w:p>
            <w:pPr>
              <w:spacing w:after="0"/>
              <w:rPr>
                <w:sz w:val="21"/>
                <w:szCs w:val="2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6"/>
        </w:trPr>
        <w:tc>
          <w:tcPr>
            <w:tcW w:w="7160" w:type="dxa"/>
            <w:vAlign w:val="bottom"/>
            <w:tcBorders>
              <w:bottom w:val="single" w:sz="8" w:color="0000EE"/>
            </w:tcBorders>
            <w:gridSpan w:val="3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PROPOSAL THREE — ADVISORY VOTE TO APPROVE NAMED EXECUTIVE OFFICER</w:t>
              </w:r>
            </w:hyperlink>
          </w:p>
        </w:tc>
        <w:tc>
          <w:tcPr>
            <w:tcW w:w="720" w:type="dxa"/>
            <w:vAlign w:val="bottom"/>
            <w:gridSpan w:val="5"/>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770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6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3340" w:type="dxa"/>
            <w:vAlign w:val="bottom"/>
            <w:gridSpan w:val="16"/>
            <w:shd w:val="clear" w:color="auto" w:fill="CCEEFF"/>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CORPORATE SOCIAL RESPONSIBILITY</w:t>
              </w:r>
            </w:hyperlink>
          </w:p>
        </w:tc>
        <w:tc>
          <w:tcPr>
            <w:tcW w:w="4540" w:type="dxa"/>
            <w:vAlign w:val="bottom"/>
            <w:gridSpan w:val="22"/>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60" w:type="dxa"/>
            <w:vAlign w:val="bottom"/>
            <w:shd w:val="clear" w:color="auto" w:fill="CCEEFF"/>
          </w:tcPr>
          <w:p>
            <w:pPr>
              <w:spacing w:after="0"/>
              <w:rPr>
                <w:sz w:val="22"/>
                <w:szCs w:val="22"/>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-6651625</wp:posOffset>
            </wp:positionV>
            <wp:extent cx="5006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80" w:type="dxa"/>
            <w:vAlign w:val="bottom"/>
            <w:gridSpan w:val="33"/>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60" w:type="dxa"/>
            <w:vAlign w:val="bottom"/>
            <w:shd w:val="clear" w:color="auto" w:fill="CCEEFF"/>
          </w:tcPr>
          <w:p>
            <w:pPr>
              <w:spacing w:after="0"/>
              <w:rPr>
                <w:sz w:val="18"/>
                <w:szCs w:val="18"/>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220" w:type="dxa"/>
            <w:vAlign w:val="bottom"/>
            <w:gridSpan w:val="9"/>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Human Capital Management</w:t>
              </w:r>
            </w:hyperlink>
          </w:p>
        </w:tc>
        <w:tc>
          <w:tcPr>
            <w:tcW w:w="5480" w:type="dxa"/>
            <w:vAlign w:val="bottom"/>
            <w:gridSpan w:val="23"/>
          </w:tcPr>
          <w:p>
            <w:pPr>
              <w:spacing w:after="0"/>
              <w:rPr>
                <w:sz w:val="18"/>
                <w:szCs w:val="18"/>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 Guidelines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6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Code of Business Conduct and Ethics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6100" w:type="dxa"/>
            <w:vAlign w:val="bottom"/>
            <w:gridSpan w:val="31"/>
            <w:shd w:val="clear" w:color="auto" w:fill="CCEEFF"/>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Majority Voting Standard for Director Elections and Director Resignation Policy</w:t>
              </w:r>
            </w:hyperlink>
          </w:p>
        </w:tc>
        <w:tc>
          <w:tcPr>
            <w:tcW w:w="16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6100" w:type="dxa"/>
            <w:vAlign w:val="bottom"/>
            <w:gridSpan w:val="3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Director Independence</w:t>
              </w:r>
            </w:hyperlink>
          </w:p>
        </w:tc>
        <w:tc>
          <w:tcPr>
            <w:tcW w:w="1600" w:type="dxa"/>
            <w:vAlign w:val="bottom"/>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2480" w:type="dxa"/>
            <w:vAlign w:val="bottom"/>
            <w:gridSpan w:val="12"/>
            <w:shd w:val="clear" w:color="auto" w:fill="CCEEFF"/>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Board Meetings and Committees</w:t>
              </w:r>
            </w:hyperlink>
          </w:p>
        </w:tc>
        <w:tc>
          <w:tcPr>
            <w:tcW w:w="5220" w:type="dxa"/>
            <w:vAlign w:val="bottom"/>
            <w:gridSpan w:val="20"/>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Human Resources Committee Interlocks and Insider Participation</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Anti-Hedging and Anti-Pledging Policy</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0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Board Leadership Structure</w:t>
              </w:r>
            </w:hyperlink>
          </w:p>
        </w:tc>
        <w:tc>
          <w:tcPr>
            <w:tcW w:w="4700" w:type="dxa"/>
            <w:vAlign w:val="bottom"/>
            <w:gridSpan w:val="13"/>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3260" w:type="dxa"/>
            <w:vAlign w:val="bottom"/>
            <w:gridSpan w:val="21"/>
            <w:shd w:val="clear" w:color="auto" w:fill="CCEEFF"/>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Board of Directors’ Role in Risk Oversight</w:t>
              </w:r>
            </w:hyperlink>
          </w:p>
        </w:tc>
        <w:tc>
          <w:tcPr>
            <w:tcW w:w="4440" w:type="dxa"/>
            <w:vAlign w:val="bottom"/>
            <w:gridSpan w:val="11"/>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Process for Recommending Candidates for Election to the Board of Directors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Proxy Access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Attendance at Annual Meetings of Stockholders by the Board of Directors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Contacting the Board of Directors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EXECUTIVE OFFICERS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25</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520" w:type="dxa"/>
            <w:vAlign w:val="bottom"/>
            <w:gridSpan w:val="12"/>
            <w:shd w:val="clear" w:color="auto" w:fill="CCEEFF"/>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EXECUTIVE COMPENSATION</w:t>
              </w:r>
            </w:hyperlink>
          </w:p>
        </w:tc>
        <w:tc>
          <w:tcPr>
            <w:tcW w:w="5360" w:type="dxa"/>
            <w:vAlign w:val="bottom"/>
            <w:gridSpan w:val="21"/>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Elements of Our Compensation Program</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Determining the Amount of Elements of Executives’ Compensation in 2020</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Human Resources Committee Report</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2800" w:type="dxa"/>
            <w:vAlign w:val="bottom"/>
            <w:gridSpan w:val="15"/>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2020 Summary Compensation Table</w:t>
              </w:r>
            </w:hyperlink>
          </w:p>
        </w:tc>
        <w:tc>
          <w:tcPr>
            <w:tcW w:w="4900" w:type="dxa"/>
            <w:vAlign w:val="bottom"/>
            <w:gridSpan w:val="17"/>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Grants of Plan-Based Awards in 2020 Table</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Outstanding Equity Awards at 2020 Fiscal Year-End Table</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00" w:type="dxa"/>
            <w:vAlign w:val="bottom"/>
            <w:gridSpan w:val="32"/>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2020 Option Exercises and Stock Vested Table</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Potential Payments Upon Termination or Change of Control</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020" w:type="dxa"/>
            <w:vAlign w:val="bottom"/>
            <w:gridSpan w:val="5"/>
            <w:shd w:val="clear" w:color="auto" w:fill="CCEEFF"/>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CEO Pay Ratio Disclosure</w:t>
              </w:r>
            </w:hyperlink>
          </w:p>
        </w:tc>
        <w:tc>
          <w:tcPr>
            <w:tcW w:w="5680" w:type="dxa"/>
            <w:vAlign w:val="bottom"/>
            <w:gridSpan w:val="27"/>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Compensation of Directors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2960" w:type="dxa"/>
            <w:vAlign w:val="bottom"/>
            <w:gridSpan w:val="17"/>
            <w:shd w:val="clear" w:color="auto" w:fill="CCEEFF"/>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Equity Compensation Plan Information</w:t>
              </w:r>
            </w:hyperlink>
          </w:p>
        </w:tc>
        <w:tc>
          <w:tcPr>
            <w:tcW w:w="4740" w:type="dxa"/>
            <w:vAlign w:val="bottom"/>
            <w:gridSpan w:val="15"/>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3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2160" w:type="dxa"/>
            <w:vAlign w:val="bottom"/>
            <w:gridSpan w:val="8"/>
            <w:shd w:val="clear" w:color="auto" w:fill="CCEEFF"/>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Related-Person Transactions</w:t>
              </w:r>
            </w:hyperlink>
          </w:p>
        </w:tc>
        <w:tc>
          <w:tcPr>
            <w:tcW w:w="5540" w:type="dxa"/>
            <w:vAlign w:val="bottom"/>
            <w:gridSpan w:val="24"/>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700" w:type="dxa"/>
            <w:vAlign w:val="bottom"/>
            <w:gridSpan w:val="3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Review of Related-Person Transactions</w:t>
              </w:r>
            </w:hyperlink>
          </w:p>
        </w:tc>
        <w:tc>
          <w:tcPr>
            <w:tcW w:w="260" w:type="dxa"/>
            <w:vAlign w:val="bottom"/>
            <w:gridSpan w:val="2"/>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480" w:type="dxa"/>
            <w:vAlign w:val="bottom"/>
            <w:gridSpan w:val="11"/>
            <w:shd w:val="clear" w:color="auto" w:fill="CCEEFF"/>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OWNERSHIP OF SECURITIES</w:t>
              </w:r>
            </w:hyperlink>
          </w:p>
        </w:tc>
        <w:tc>
          <w:tcPr>
            <w:tcW w:w="5400" w:type="dxa"/>
            <w:vAlign w:val="bottom"/>
            <w:gridSpan w:val="22"/>
            <w:shd w:val="clear" w:color="auto" w:fill="CCEEFF"/>
          </w:tcPr>
          <w:p>
            <w:pPr>
              <w:spacing w:after="0"/>
              <w:rPr>
                <w:sz w:val="19"/>
                <w:szCs w:val="19"/>
                <w:color w:val="auto"/>
              </w:rPr>
            </w:pPr>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480" w:type="dxa"/>
            <w:vAlign w:val="bottom"/>
            <w:gridSpan w:val="11"/>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AUDIT COMMITTEE REPORT</w:t>
              </w:r>
            </w:hyperlink>
          </w:p>
        </w:tc>
        <w:tc>
          <w:tcPr>
            <w:tcW w:w="5400" w:type="dxa"/>
            <w:vAlign w:val="bottom"/>
            <w:gridSpan w:val="22"/>
          </w:tcPr>
          <w:p>
            <w:pPr>
              <w:spacing w:after="0"/>
              <w:rPr>
                <w:sz w:val="19"/>
                <w:szCs w:val="19"/>
                <w:color w:val="auto"/>
              </w:rPr>
            </w:pPr>
          </w:p>
        </w:tc>
        <w:tc>
          <w:tcPr>
            <w:tcW w:w="260" w:type="dxa"/>
            <w:vAlign w:val="bottom"/>
            <w:gridSpan w:val="2"/>
          </w:tcPr>
          <w:p>
            <w:pPr>
              <w:jc w:val="cente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6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80" w:type="dxa"/>
            <w:vAlign w:val="bottom"/>
            <w:gridSpan w:val="33"/>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MATTERS</w:t>
              </w:r>
            </w:hyperlink>
          </w:p>
        </w:tc>
        <w:tc>
          <w:tcPr>
            <w:tcW w:w="260" w:type="dxa"/>
            <w:vAlign w:val="bottom"/>
            <w:gridSpan w:val="2"/>
            <w:shd w:val="clear" w:color="auto" w:fill="CCEEFF"/>
          </w:tcPr>
          <w:p>
            <w:pPr>
              <w:jc w:val="cente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60" w:type="dxa"/>
            <w:vAlign w:val="bottom"/>
            <w:shd w:val="clear" w:color="auto" w:fill="CCEEFF"/>
          </w:tcPr>
          <w:p>
            <w:pPr>
              <w:spacing w:after="0"/>
              <w:rPr>
                <w:sz w:val="19"/>
                <w:szCs w:val="19"/>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-5982970</wp:posOffset>
            </wp:positionV>
            <wp:extent cx="5006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FORTINET, INC.</w:t>
      </w:r>
    </w:p>
    <w:p>
      <w:pPr>
        <w:spacing w:after="0" w:line="1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899 Kifer Road</w:t>
      </w:r>
    </w:p>
    <w:p>
      <w:pPr>
        <w:jc w:val="center"/>
        <w:ind w:right="-860"/>
        <w:spacing w:after="0"/>
        <w:rPr>
          <w:sz w:val="20"/>
          <w:szCs w:val="20"/>
          <w:color w:val="auto"/>
        </w:rPr>
      </w:pPr>
      <w:r>
        <w:rPr>
          <w:rFonts w:ascii="Arial" w:cs="Arial" w:eastAsia="Arial" w:hAnsi="Arial"/>
          <w:sz w:val="18"/>
          <w:szCs w:val="18"/>
          <w:b w:val="1"/>
          <w:bCs w:val="1"/>
          <w:color w:val="auto"/>
        </w:rPr>
        <w:t>Sunnyvale, California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210185</wp:posOffset>
            </wp:positionV>
            <wp:extent cx="1234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2021 ANNUAL MEETING OF STOCKHOLDERS</w:t>
      </w:r>
    </w:p>
    <w:p>
      <w:pPr>
        <w:spacing w:after="0" w:line="192" w:lineRule="exact"/>
        <w:rPr>
          <w:sz w:val="20"/>
          <w:szCs w:val="20"/>
          <w:color w:val="auto"/>
        </w:rPr>
      </w:pPr>
    </w:p>
    <w:p>
      <w:pPr>
        <w:ind w:left="1260" w:right="479" w:firstLine="70"/>
        <w:spacing w:after="0" w:line="409" w:lineRule="auto"/>
        <w:rPr>
          <w:sz w:val="20"/>
          <w:szCs w:val="20"/>
          <w:color w:val="auto"/>
        </w:rPr>
      </w:pPr>
      <w:r>
        <w:rPr>
          <w:rFonts w:ascii="Arial" w:cs="Arial" w:eastAsia="Arial" w:hAnsi="Arial"/>
          <w:sz w:val="18"/>
          <w:szCs w:val="18"/>
          <w:b w:val="1"/>
          <w:bCs w:val="1"/>
          <w:color w:val="auto"/>
        </w:rPr>
        <w:t>QUESTIONS AND ANSWERS ABOUT THE 2021 ANNUAL MEETING AND PROCEDURAL MATTERS Q: Why am I receiving these materials?</w:t>
      </w:r>
    </w:p>
    <w:p>
      <w:pPr>
        <w:spacing w:after="0" w:line="1" w:lineRule="exact"/>
        <w:rPr>
          <w:sz w:val="20"/>
          <w:szCs w:val="20"/>
          <w:color w:val="auto"/>
        </w:rPr>
      </w:pPr>
    </w:p>
    <w:p>
      <w:pPr>
        <w:ind w:left="1620" w:right="539" w:hanging="360"/>
        <w:spacing w:after="0" w:line="275"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of Directors (the “Board of Directors”) of Fortinet, Inc. (“Fortinet,” “we,” “us” or “our”) is providing these proxy materials to you in connection with the solicitation of proxies for use at Fortinet’s 2021 Annual Meeting of Stockholders (the “2021 Annual Meeting”), to be held on Friday, June 18, 2021 at 10:00 a.m. Pacific time, and at any adjournment or postponement thereof, for the purpose of considering and acting upon the matters set forth in this proxy statement.</w:t>
      </w:r>
    </w:p>
    <w:p>
      <w:pPr>
        <w:spacing w:after="0" w:line="95" w:lineRule="exact"/>
        <w:rPr>
          <w:rFonts w:ascii="Arial" w:cs="Arial" w:eastAsia="Arial" w:hAnsi="Arial"/>
          <w:sz w:val="17"/>
          <w:szCs w:val="17"/>
          <w:color w:val="auto"/>
        </w:rPr>
      </w:pPr>
    </w:p>
    <w:p>
      <w:pPr>
        <w:ind w:left="1620" w:right="799"/>
        <w:spacing w:after="0" w:line="263" w:lineRule="auto"/>
        <w:rPr>
          <w:rFonts w:ascii="Arial" w:cs="Arial" w:eastAsia="Arial" w:hAnsi="Arial"/>
          <w:sz w:val="17"/>
          <w:szCs w:val="17"/>
          <w:color w:val="auto"/>
        </w:rPr>
      </w:pPr>
      <w:r>
        <w:rPr>
          <w:rFonts w:ascii="Arial" w:cs="Arial" w:eastAsia="Arial" w:hAnsi="Arial"/>
          <w:sz w:val="18"/>
          <w:szCs w:val="18"/>
          <w:color w:val="auto"/>
        </w:rPr>
        <w:t xml:space="preserve">We expect to mail the Notice of Internet Availability of Proxy Materials (the “Notice”) on or about May 4, 2021. Copies of our proxy materials and 2020 Annual Report are available at </w:t>
      </w:r>
      <w:r>
        <w:rPr>
          <w:rFonts w:ascii="Arial" w:cs="Arial" w:eastAsia="Arial" w:hAnsi="Arial"/>
          <w:sz w:val="18"/>
          <w:szCs w:val="18"/>
          <w:i w:val="1"/>
          <w:iCs w:val="1"/>
          <w:color w:val="auto"/>
        </w:rPr>
        <w:t>www.edocumentview.com/FTNT</w:t>
      </w:r>
      <w:r>
        <w:rPr>
          <w:rFonts w:ascii="Arial" w:cs="Arial" w:eastAsia="Arial" w:hAnsi="Arial"/>
          <w:sz w:val="18"/>
          <w:szCs w:val="18"/>
          <w:color w:val="auto"/>
        </w:rPr>
        <w:t>.</w:t>
      </w:r>
    </w:p>
    <w:p>
      <w:pPr>
        <w:spacing w:after="0" w:line="116" w:lineRule="exact"/>
        <w:rPr>
          <w:rFonts w:ascii="Arial" w:cs="Arial" w:eastAsia="Arial" w:hAnsi="Arial"/>
          <w:sz w:val="17"/>
          <w:szCs w:val="17"/>
          <w:color w:val="auto"/>
        </w:rPr>
      </w:pPr>
    </w:p>
    <w:p>
      <w:pPr>
        <w:ind w:left="1620" w:right="439"/>
        <w:spacing w:after="0" w:line="263" w:lineRule="auto"/>
        <w:rPr>
          <w:rFonts w:ascii="Arial" w:cs="Arial" w:eastAsia="Arial" w:hAnsi="Arial"/>
          <w:sz w:val="17"/>
          <w:szCs w:val="17"/>
          <w:color w:val="auto"/>
        </w:rPr>
      </w:pPr>
      <w:r>
        <w:rPr>
          <w:rFonts w:ascii="Arial" w:cs="Arial" w:eastAsia="Arial" w:hAnsi="Arial"/>
          <w:sz w:val="18"/>
          <w:szCs w:val="18"/>
          <w:color w:val="auto"/>
        </w:rPr>
        <w:t>Due to the public health risk of the COVID-19 pandemic and to support the health and well-being of our stockholders and other meeting participants, the 2021 Annual Meeting will be held in a virtual-only format. You will not be able to attend the 2021 Annual Meeting in person.</w:t>
      </w:r>
    </w:p>
    <w:p>
      <w:pPr>
        <w:spacing w:after="0" w:line="180" w:lineRule="exact"/>
        <w:rPr>
          <w:sz w:val="20"/>
          <w:szCs w:val="20"/>
          <w:color w:val="auto"/>
        </w:rPr>
      </w:pPr>
    </w:p>
    <w:p>
      <w:pPr>
        <w:ind w:left="1620" w:right="919" w:hanging="360"/>
        <w:spacing w:after="0" w:line="282" w:lineRule="auto"/>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98" w:lineRule="exact"/>
        <w:rPr>
          <w:sz w:val="20"/>
          <w:szCs w:val="20"/>
          <w:color w:val="auto"/>
        </w:rPr>
      </w:pPr>
    </w:p>
    <w:p>
      <w:pPr>
        <w:ind w:left="1620" w:right="419" w:hanging="360"/>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19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can I get electronic access to the proxy materials?</w:t>
      </w:r>
    </w:p>
    <w:p>
      <w:pPr>
        <w:spacing w:after="0" w:line="148"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Notice will provide you with instructions regarding how to:</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View our proxy materials for the 2021 Annual Meeting on the internet;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Have future proxy materials sent to you electronically by email.</w:t>
      </w:r>
    </w:p>
    <w:p>
      <w:pPr>
        <w:spacing w:after="0" w:line="158" w:lineRule="exact"/>
        <w:rPr>
          <w:sz w:val="20"/>
          <w:szCs w:val="20"/>
          <w:color w:val="auto"/>
        </w:rPr>
      </w:pPr>
    </w:p>
    <w:p>
      <w:pPr>
        <w:ind w:left="1620" w:right="459"/>
        <w:spacing w:after="0" w:line="259" w:lineRule="auto"/>
        <w:rPr>
          <w:sz w:val="20"/>
          <w:szCs w:val="20"/>
          <w:color w:val="auto"/>
        </w:rPr>
      </w:pPr>
      <w:r>
        <w:rPr>
          <w:rFonts w:ascii="Arial" w:cs="Arial" w:eastAsia="Arial" w:hAnsi="Arial"/>
          <w:sz w:val="18"/>
          <w:szCs w:val="18"/>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Can I attend the 2021 Annual Meeting?</w:t>
      </w:r>
    </w:p>
    <w:p>
      <w:pPr>
        <w:spacing w:after="0" w:line="162" w:lineRule="exact"/>
        <w:rPr>
          <w:sz w:val="20"/>
          <w:szCs w:val="20"/>
          <w:color w:val="auto"/>
        </w:rPr>
      </w:pPr>
    </w:p>
    <w:p>
      <w:pPr>
        <w:ind w:left="1620" w:right="459" w:hanging="360"/>
        <w:spacing w:after="0" w:line="259"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were a stockholder of record at the close of business on April 26, 2021 (the “Record Date”) (i.e., your shares were registered directly in your name with our transfer agent, Computershare Trust Company, N.A. (“Computershare”)) or if you are a proxy holder for such a stockholder, you may participate in the 2021 Annual Meeting by following the instructions below:</w:t>
      </w:r>
    </w:p>
    <w:p>
      <w:pPr>
        <w:spacing w:after="0" w:line="7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 xml:space="preserve">•  Beginning at 9:45 a.m. Pacific Time on June 18, 2021, please visit </w:t>
      </w:r>
      <w:r>
        <w:rPr>
          <w:rFonts w:ascii="Arial" w:cs="Arial" w:eastAsia="Arial" w:hAnsi="Arial"/>
          <w:sz w:val="17"/>
          <w:szCs w:val="17"/>
          <w:i w:val="1"/>
          <w:iCs w:val="1"/>
          <w:color w:val="auto"/>
        </w:rPr>
        <w:t>www.meetingcenter.io/266794432</w:t>
      </w:r>
      <w:r>
        <w:rPr>
          <w:rFonts w:ascii="Arial" w:cs="Arial" w:eastAsia="Arial" w:hAnsi="Arial"/>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the 15-digit control number on the Proxy Card or Notice of Availability of Proxy Materials you receive.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the meeting password FTNT2021.</w:t>
      </w:r>
    </w:p>
    <w:p>
      <w:pPr>
        <w:spacing w:after="0" w:line="158" w:lineRule="exact"/>
        <w:rPr>
          <w:sz w:val="20"/>
          <w:szCs w:val="20"/>
          <w:color w:val="auto"/>
        </w:rPr>
      </w:pPr>
    </w:p>
    <w:p>
      <w:pPr>
        <w:jc w:val="both"/>
        <w:ind w:left="1620" w:right="919"/>
        <w:spacing w:after="0" w:line="286" w:lineRule="auto"/>
        <w:rPr>
          <w:sz w:val="20"/>
          <w:szCs w:val="20"/>
          <w:color w:val="auto"/>
        </w:rPr>
      </w:pPr>
      <w:r>
        <w:rPr>
          <w:rFonts w:ascii="Arial" w:cs="Arial" w:eastAsia="Arial" w:hAnsi="Arial"/>
          <w:sz w:val="17"/>
          <w:szCs w:val="17"/>
          <w:color w:val="auto"/>
        </w:rPr>
        <w:t>If you held your shares through an intermediary on the Record Date (i.e., you hold your shares in “street name” through an intermediary, such as a bank or broker), you must register in advance to virtually attend the 2021 Annual Meeting by following the instructions below:</w:t>
      </w:r>
    </w:p>
    <w:p>
      <w:pPr>
        <w:spacing w:after="0" w:line="57" w:lineRule="exact"/>
        <w:rPr>
          <w:sz w:val="20"/>
          <w:szCs w:val="20"/>
          <w:color w:val="auto"/>
        </w:rPr>
      </w:pPr>
    </w:p>
    <w:p>
      <w:pPr>
        <w:ind w:left="1800" w:right="519" w:hanging="180"/>
        <w:spacing w:after="0" w:line="263"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You must obtain a legal proxy, executed in your favor, from the holder of record reflecting the number of shares of common stock you held as of the Record Date, along with your name and email address.</w:t>
      </w:r>
    </w:p>
    <w:p>
      <w:pPr>
        <w:spacing w:after="0" w:line="75" w:lineRule="exact"/>
        <w:rPr>
          <w:rFonts w:ascii="Arial" w:cs="Arial" w:eastAsia="Arial" w:hAnsi="Arial"/>
          <w:sz w:val="18"/>
          <w:szCs w:val="18"/>
          <w:color w:val="auto"/>
        </w:rPr>
      </w:pPr>
    </w:p>
    <w:p>
      <w:pPr>
        <w:ind w:left="1800" w:right="439" w:hanging="180"/>
        <w:spacing w:after="0" w:line="279"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Submit proof of your legal proxy by forwarding the email from your broker, or attaching an image of your legal proxy, to legalproxy@computershare.com. Requests for registration must be labeled as “Legal Proxy” and be received no later than 5:00 p.m. Eastern Time, on June 11, 2021. You will then receive a confirmation of your registration, with a control number, by email from Computershare.</w:t>
      </w:r>
    </w:p>
    <w:p>
      <w:pPr>
        <w:spacing w:after="0" w:line="76" w:lineRule="exact"/>
        <w:rPr>
          <w:rFonts w:ascii="Arial" w:cs="Arial" w:eastAsia="Arial" w:hAnsi="Arial"/>
          <w:sz w:val="17"/>
          <w:szCs w:val="17"/>
          <w:color w:val="auto"/>
        </w:rPr>
      </w:pPr>
    </w:p>
    <w:p>
      <w:pPr>
        <w:ind w:left="1800" w:right="839" w:hanging="180"/>
        <w:spacing w:after="0" w:line="277"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At the time of the 2021 Annual Meeting, go to </w:t>
      </w:r>
      <w:r>
        <w:rPr>
          <w:rFonts w:ascii="Arial" w:cs="Arial" w:eastAsia="Arial" w:hAnsi="Arial"/>
          <w:sz w:val="18"/>
          <w:szCs w:val="18"/>
          <w:i w:val="1"/>
          <w:iCs w:val="1"/>
          <w:color w:val="auto"/>
        </w:rPr>
        <w:t>www.meetingcenter.io/266794432</w:t>
      </w:r>
      <w:r>
        <w:rPr>
          <w:rFonts w:ascii="Arial" w:cs="Arial" w:eastAsia="Arial" w:hAnsi="Arial"/>
          <w:sz w:val="18"/>
          <w:szCs w:val="18"/>
          <w:color w:val="auto"/>
        </w:rPr>
        <w:t xml:space="preserve"> and enter your control number and the meeting password FTNT2021.</w:t>
      </w:r>
    </w:p>
    <w:p>
      <w:pPr>
        <w:spacing w:after="0" w:line="166" w:lineRule="exact"/>
        <w:rPr>
          <w:rFonts w:ascii="Arial" w:cs="Arial" w:eastAsia="Arial" w:hAnsi="Arial"/>
          <w:sz w:val="18"/>
          <w:szCs w:val="18"/>
          <w:color w:val="auto"/>
        </w:rPr>
      </w:pPr>
    </w:p>
    <w:p>
      <w:pPr>
        <w:ind w:left="1620" w:hanging="360"/>
        <w:spacing w:after="0"/>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2021 Annual Meeting?</w:t>
      </w:r>
    </w:p>
    <w:p>
      <w:pPr>
        <w:spacing w:after="0" w:line="162" w:lineRule="exact"/>
        <w:rPr>
          <w:sz w:val="20"/>
          <w:szCs w:val="20"/>
          <w:color w:val="auto"/>
        </w:rPr>
      </w:pPr>
    </w:p>
    <w:p>
      <w:pPr>
        <w:ind w:left="1620" w:right="479" w:hanging="360"/>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vote your shares of Fortinet common stock if our records show that you owned your shares at the close of business on the Record Date. At the close of business on the Record Date, there were 163,312,378 shares of Fortinet common stock outstanding and entitled to vote at the 2021 Annual Meeting. You may cast one vote for each share of common stock held by you as of the Record Date on all matters presented.</w:t>
      </w:r>
    </w:p>
    <w:p>
      <w:pPr>
        <w:spacing w:after="0" w:line="19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difference between holding shares as a stockholder of record or as a beneficial owner?</w:t>
      </w:r>
    </w:p>
    <w:p>
      <w:pPr>
        <w:spacing w:after="0" w:line="162" w:lineRule="exact"/>
        <w:rPr>
          <w:sz w:val="20"/>
          <w:szCs w:val="20"/>
          <w:color w:val="auto"/>
        </w:rPr>
      </w:pPr>
    </w:p>
    <w:p>
      <w:pPr>
        <w:ind w:left="1620" w:right="459" w:hanging="360"/>
        <w:spacing w:after="0" w:line="259"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2021 Annual Meeting.</w:t>
      </w:r>
    </w:p>
    <w:p>
      <w:pPr>
        <w:spacing w:after="0" w:line="119" w:lineRule="exact"/>
        <w:rPr>
          <w:rFonts w:ascii="Arial" w:cs="Arial" w:eastAsia="Arial" w:hAnsi="Arial"/>
          <w:sz w:val="18"/>
          <w:szCs w:val="18"/>
          <w:color w:val="auto"/>
        </w:rPr>
      </w:pPr>
    </w:p>
    <w:p>
      <w:pPr>
        <w:ind w:left="1620" w:right="459"/>
        <w:spacing w:after="0" w:line="252" w:lineRule="auto"/>
        <w:rPr>
          <w:rFonts w:ascii="Arial" w:cs="Arial" w:eastAsia="Arial" w:hAnsi="Arial"/>
          <w:sz w:val="18"/>
          <w:szCs w:val="18"/>
          <w:color w:val="auto"/>
        </w:rPr>
      </w:pPr>
      <w:r>
        <w:rPr>
          <w:rFonts w:ascii="Arial" w:cs="Arial" w:eastAsia="Arial" w:hAnsi="Arial"/>
          <w:sz w:val="18"/>
          <w:szCs w:val="18"/>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2021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2021 Annual Meeting unless you obtain a “legal proxy” from the broker, trustee or nominee that holds your shares, giving you the right to vote the shares at the 2021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spacing w:after="0" w:line="114"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As a result:</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Your broker will not have the authority to exercise discretion to vote your shares with respect to the election of directors or the advisory vote on named executive officer compensation.</w:t>
      </w:r>
    </w:p>
    <w:p>
      <w:pPr>
        <w:spacing w:after="0" w:line="75" w:lineRule="exact"/>
        <w:rPr>
          <w:rFonts w:ascii="Arial" w:cs="Arial" w:eastAsia="Arial" w:hAnsi="Arial"/>
          <w:sz w:val="18"/>
          <w:szCs w:val="18"/>
          <w:color w:val="auto"/>
        </w:rPr>
      </w:pPr>
    </w:p>
    <w:p>
      <w:pPr>
        <w:ind w:left="1800" w:right="539" w:hanging="180"/>
        <w:spacing w:after="0" w:line="286"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Your broker will have the authority to exercise discretion to vote your shares with respect to the appointment of Deloitte &amp; Touche LLP as our independent registered public accounting firm for the year ending December 31, 2021, because that matter is treated as routine under NYSE rules.</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spacing w:after="0" w:line="270" w:lineRule="auto"/>
        <w:rPr>
          <w:sz w:val="20"/>
          <w:szCs w:val="20"/>
          <w:color w:val="auto"/>
        </w:rPr>
      </w:pPr>
      <w:r>
        <w:rPr>
          <w:rFonts w:ascii="Arial" w:cs="Arial" w:eastAsia="Arial" w:hAnsi="Arial"/>
          <w:sz w:val="17"/>
          <w:szCs w:val="17"/>
          <w:color w:val="auto"/>
        </w:rPr>
        <w:t>Because the proposals to be acted upon at the 2021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83" w:lineRule="exact"/>
        <w:rPr>
          <w:sz w:val="20"/>
          <w:szCs w:val="20"/>
          <w:color w:val="auto"/>
        </w:rPr>
      </w:pPr>
    </w:p>
    <w:p>
      <w:pPr>
        <w:ind w:left="1620" w:right="519"/>
        <w:spacing w:after="0" w:line="248" w:lineRule="auto"/>
        <w:rPr>
          <w:sz w:val="20"/>
          <w:szCs w:val="20"/>
          <w:color w:val="auto"/>
        </w:rPr>
      </w:pPr>
      <w:r>
        <w:rPr>
          <w:rFonts w:ascii="Arial" w:cs="Arial" w:eastAsia="Arial" w:hAnsi="Arial"/>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17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can I vote my shares without attending the 2021 Annual Meeting?</w:t>
      </w:r>
    </w:p>
    <w:p>
      <w:pPr>
        <w:spacing w:after="0" w:line="144" w:lineRule="exact"/>
        <w:rPr>
          <w:sz w:val="20"/>
          <w:szCs w:val="20"/>
          <w:color w:val="auto"/>
        </w:rPr>
      </w:pPr>
    </w:p>
    <w:p>
      <w:pPr>
        <w:ind w:left="1620" w:right="439" w:hanging="360"/>
        <w:spacing w:after="0" w:line="258"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You are encouraged to vote your shares in advance of the 2021 Annual Meeting. </w:t>
      </w:r>
      <w:r>
        <w:rPr>
          <w:rFonts w:ascii="Arial" w:cs="Arial" w:eastAsia="Arial" w:hAnsi="Arial"/>
          <w:sz w:val="18"/>
          <w:szCs w:val="18"/>
          <w:color w:val="auto"/>
        </w:rPr>
        <w:t>If voting in advance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2021 Annual Meeting, the steps required to cast your votes are the same as indicated in the materials received with the Proxy Statement. If you have not already voted your shares in advance, you will be able to vote your shares electronically during the 2021 Annual Meeting by clicking on the “Cast Your Vote” link on the Meeting Center site.</w:t>
      </w:r>
    </w:p>
    <w:p>
      <w:pPr>
        <w:spacing w:after="0" w:line="119" w:lineRule="exact"/>
        <w:rPr>
          <w:rFonts w:ascii="Arial" w:cs="Arial" w:eastAsia="Arial" w:hAnsi="Arial"/>
          <w:sz w:val="18"/>
          <w:szCs w:val="18"/>
          <w:color w:val="auto"/>
        </w:rPr>
      </w:pPr>
    </w:p>
    <w:p>
      <w:pPr>
        <w:jc w:val="both"/>
        <w:ind w:left="1620" w:right="579"/>
        <w:spacing w:after="0" w:line="248" w:lineRule="auto"/>
        <w:rPr>
          <w:rFonts w:ascii="Arial" w:cs="Arial" w:eastAsia="Arial" w:hAnsi="Arial"/>
          <w:sz w:val="18"/>
          <w:szCs w:val="18"/>
          <w:color w:val="auto"/>
        </w:rPr>
      </w:pPr>
      <w:r>
        <w:rPr>
          <w:rFonts w:ascii="Arial" w:cs="Arial" w:eastAsia="Arial" w:hAnsi="Arial"/>
          <w:sz w:val="18"/>
          <w:szCs w:val="18"/>
          <w:color w:val="auto"/>
        </w:rPr>
        <w:t>Whether you hold shares directly as the stockholder of record or beneficially in street name, you may direct how your shares are voted without attending the 2021 Annual Meeting. There are three ways to vote by proxy:</w:t>
      </w:r>
    </w:p>
    <w:p>
      <w:pPr>
        <w:spacing w:after="0" w:line="110" w:lineRule="exact"/>
        <w:rPr>
          <w:rFonts w:ascii="Arial" w:cs="Arial" w:eastAsia="Arial" w:hAnsi="Arial"/>
          <w:sz w:val="18"/>
          <w:szCs w:val="18"/>
          <w:color w:val="auto"/>
        </w:rPr>
      </w:pPr>
    </w:p>
    <w:p>
      <w:pPr>
        <w:ind w:left="1620" w:right="519"/>
        <w:spacing w:after="0" w:line="245" w:lineRule="auto"/>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If you are a stockholder of record, you may vote by submitting a proxy card; please refer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99" w:lineRule="exact"/>
        <w:rPr>
          <w:rFonts w:ascii="Arial" w:cs="Arial" w:eastAsia="Arial" w:hAnsi="Arial"/>
          <w:sz w:val="18"/>
          <w:szCs w:val="18"/>
          <w:color w:val="auto"/>
        </w:rPr>
      </w:pPr>
    </w:p>
    <w:p>
      <w:pPr>
        <w:ind w:left="1620" w:right="539"/>
        <w:spacing w:after="0" w:line="258" w:lineRule="auto"/>
        <w:rPr>
          <w:rFonts w:ascii="Arial" w:cs="Arial" w:eastAsia="Arial" w:hAnsi="Arial"/>
          <w:sz w:val="18"/>
          <w:szCs w:val="18"/>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 Stockholders of record of Fortinet common stock with internet access may submit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proxies by following the “Vote by Internet” instructions described in the Notice until 11:59 p.m. Eastern time on Thursday, June 17, 2021 or by following the instructions at </w:t>
      </w:r>
      <w:r>
        <w:rPr>
          <w:rFonts w:ascii="Arial" w:cs="Arial" w:eastAsia="Arial" w:hAnsi="Arial"/>
          <w:sz w:val="17"/>
          <w:szCs w:val="17"/>
          <w:i w:val="1"/>
          <w:iCs w:val="1"/>
          <w:color w:val="auto"/>
        </w:rPr>
        <w:t xml:space="preserve">www.envisionreports.com/FTNT. </w:t>
      </w:r>
      <w:r>
        <w:rPr>
          <w:rFonts w:ascii="Arial" w:cs="Arial" w:eastAsia="Arial" w:hAnsi="Arial"/>
          <w:sz w:val="17"/>
          <w:szCs w:val="17"/>
          <w:color w:val="auto"/>
        </w:rPr>
        <w:t>Most Fortinet stockholders who hold shares beneficially in street</w:t>
      </w:r>
      <w:r>
        <w:rPr>
          <w:rFonts w:ascii="Arial" w:cs="Arial" w:eastAsia="Arial" w:hAnsi="Arial"/>
          <w:sz w:val="17"/>
          <w:szCs w:val="17"/>
          <w:i w:val="1"/>
          <w:iCs w:val="1"/>
          <w:color w:val="auto"/>
        </w:rPr>
        <w:t xml:space="preserve"> </w:t>
      </w:r>
      <w:r>
        <w:rPr>
          <w:rFonts w:ascii="Arial" w:cs="Arial" w:eastAsia="Arial" w:hAnsi="Arial"/>
          <w:sz w:val="17"/>
          <w:szCs w:val="17"/>
          <w:color w:val="auto"/>
        </w:rPr>
        <w:t>name may vote by accessing the website specified in the voting instructions provided by their brokers, trustees or nominees. Please check the voting instructions for internet voting availability.</w:t>
      </w:r>
    </w:p>
    <w:p>
      <w:pPr>
        <w:spacing w:after="0" w:line="102" w:lineRule="exact"/>
        <w:rPr>
          <w:rFonts w:ascii="Arial" w:cs="Arial" w:eastAsia="Arial" w:hAnsi="Arial"/>
          <w:sz w:val="18"/>
          <w:szCs w:val="18"/>
          <w:color w:val="auto"/>
        </w:rPr>
      </w:pPr>
    </w:p>
    <w:p>
      <w:pPr>
        <w:ind w:left="1620" w:right="519"/>
        <w:spacing w:after="0" w:line="250" w:lineRule="auto"/>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Depending on how your shares are held, you may be able to vote by telephone. If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available to you, you will have received information with the Notice or the voting instruction card provided by your broker, trustee or nominee explaining this procedure.</w:t>
      </w:r>
    </w:p>
    <w:p>
      <w:pPr>
        <w:spacing w:after="0" w:line="1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many shares must be present or represented to conduct business at the 2021 Annual Meeting?</w:t>
      </w:r>
    </w:p>
    <w:p>
      <w:pPr>
        <w:spacing w:after="0" w:line="148" w:lineRule="exact"/>
        <w:rPr>
          <w:sz w:val="20"/>
          <w:szCs w:val="20"/>
          <w:color w:val="auto"/>
        </w:rPr>
      </w:pPr>
    </w:p>
    <w:p>
      <w:pPr>
        <w:ind w:left="1620" w:right="479" w:hanging="360"/>
        <w:spacing w:after="0" w:line="259"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presence of the holders of a majority of the issued and outstanding shares of our capital stock entitled to vote at the 2021 Annual Meeting is necessary to constitute a quorum at the 2021 Annual Meeting. Such stockholders are counted as present at the meeting if they (i) are present in person at the 2021 Annual Meeting or (ii) represented by proxy.</w:t>
      </w:r>
    </w:p>
    <w:p>
      <w:pPr>
        <w:spacing w:after="0" w:line="38" w:lineRule="exact"/>
        <w:rPr>
          <w:rFonts w:ascii="Arial" w:cs="Arial" w:eastAsia="Arial" w:hAnsi="Arial"/>
          <w:sz w:val="18"/>
          <w:szCs w:val="18"/>
          <w:color w:val="auto"/>
        </w:rPr>
      </w:pPr>
    </w:p>
    <w:p>
      <w:pPr>
        <w:ind w:left="1620" w:right="499"/>
        <w:spacing w:after="0" w:line="227" w:lineRule="auto"/>
        <w:rPr>
          <w:rFonts w:ascii="Arial" w:cs="Arial" w:eastAsia="Arial" w:hAnsi="Arial"/>
          <w:sz w:val="18"/>
          <w:szCs w:val="18"/>
          <w:color w:val="auto"/>
        </w:rPr>
      </w:pPr>
      <w:r>
        <w:rPr>
          <w:rFonts w:ascii="Arial" w:cs="Arial" w:eastAsia="Arial" w:hAnsi="Arial"/>
          <w:sz w:val="18"/>
          <w:szCs w:val="18"/>
          <w:color w:val="auto"/>
        </w:rPr>
        <w:t>Under Delaware law, abstentions and broker non-votes are counted as present and entitled to vote for purposes of determining whether a quorum is present at the 2021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proposals will be voted on at the 2021 Annual Meeting?</w:t>
      </w:r>
    </w:p>
    <w:p>
      <w:pPr>
        <w:spacing w:after="0" w:line="81" w:lineRule="exact"/>
        <w:rPr>
          <w:sz w:val="20"/>
          <w:szCs w:val="20"/>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proposals scheduled to be voted on at the 2021 Annual Meeting are:</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election of the eight directors set forth in Proposal One to serve for a one-year term expiring at Fortinet’s 2022 Annual Meeting of Stockholders (the “2022 Annual Meeting”) and until their respective successors are duly elected and qualified;</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2021;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advisory vote to approve our named executive officer compensation.</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voting requirement to approve each of the proposals?</w:t>
      </w:r>
    </w:p>
    <w:p>
      <w:pPr>
        <w:spacing w:after="0" w:line="148" w:lineRule="exact"/>
        <w:rPr>
          <w:sz w:val="20"/>
          <w:szCs w:val="20"/>
          <w:color w:val="auto"/>
        </w:rPr>
      </w:pPr>
    </w:p>
    <w:p>
      <w:pPr>
        <w:ind w:left="1620" w:right="459" w:hanging="360"/>
        <w:spacing w:after="0" w:line="286" w:lineRule="auto"/>
        <w:tabs>
          <w:tab w:leader="none" w:pos="1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97" w:lineRule="exact"/>
        <w:rPr>
          <w:rFonts w:ascii="Arial" w:cs="Arial" w:eastAsia="Arial" w:hAnsi="Arial"/>
          <w:sz w:val="17"/>
          <w:szCs w:val="17"/>
          <w:color w:val="auto"/>
        </w:rPr>
      </w:pPr>
    </w:p>
    <w:p>
      <w:pPr>
        <w:ind w:left="1620" w:right="479"/>
        <w:spacing w:after="0" w:line="262" w:lineRule="auto"/>
        <w:rPr>
          <w:rFonts w:ascii="Arial" w:cs="Arial" w:eastAsia="Arial" w:hAnsi="Arial"/>
          <w:sz w:val="17"/>
          <w:szCs w:val="17"/>
          <w:color w:val="auto"/>
        </w:rPr>
      </w:pPr>
      <w:r>
        <w:rPr>
          <w:rFonts w:ascii="Arial" w:cs="Arial" w:eastAsia="Arial" w:hAnsi="Arial"/>
          <w:sz w:val="17"/>
          <w:szCs w:val="17"/>
          <w:color w:val="auto"/>
        </w:rPr>
        <w:t>The affirmative vote of a majority of the shares of our common stock that are present in person or represented by proxy at the 2021 Annual Meeting and entitled to vote is required to ratify the appointment of Deloitte &amp; Touche LLP as our independent registered public accounting firm (Proposal Two) and to approve the advisory resolution on named executive compensation (Proposal Three).</w:t>
      </w:r>
    </w:p>
    <w:p>
      <w:pPr>
        <w:spacing w:after="0" w:line="15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are votes counted?</w:t>
      </w:r>
    </w:p>
    <w:p>
      <w:pPr>
        <w:spacing w:after="0" w:line="162" w:lineRule="exact"/>
        <w:rPr>
          <w:sz w:val="20"/>
          <w:szCs w:val="20"/>
          <w:color w:val="auto"/>
        </w:rPr>
      </w:pPr>
    </w:p>
    <w:p>
      <w:pPr>
        <w:ind w:left="1620" w:right="419" w:hanging="360"/>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vote “FOR” or “AGAINST” each of the nominees for election as director in Proposal One and on each of Proposal Two and Proposal Three. You may also “ABSTAIN” from voting.</w:t>
      </w:r>
    </w:p>
    <w:p>
      <w:pPr>
        <w:spacing w:after="0" w:line="85" w:lineRule="exact"/>
        <w:rPr>
          <w:rFonts w:ascii="Arial" w:cs="Arial" w:eastAsia="Arial" w:hAnsi="Arial"/>
          <w:sz w:val="18"/>
          <w:szCs w:val="18"/>
          <w:color w:val="auto"/>
        </w:rPr>
      </w:pPr>
    </w:p>
    <w:p>
      <w:pPr>
        <w:ind w:left="1620" w:right="419"/>
        <w:spacing w:after="0" w:line="367" w:lineRule="auto"/>
        <w:rPr>
          <w:rFonts w:ascii="Arial" w:cs="Arial" w:eastAsia="Arial" w:hAnsi="Arial"/>
          <w:sz w:val="18"/>
          <w:szCs w:val="18"/>
          <w:color w:val="auto"/>
        </w:rPr>
      </w:pPr>
      <w:r>
        <w:rPr>
          <w:rFonts w:ascii="Arial" w:cs="Arial" w:eastAsia="Arial" w:hAnsi="Arial"/>
          <w:sz w:val="15"/>
          <w:szCs w:val="15"/>
          <w:b w:val="1"/>
          <w:bCs w:val="1"/>
          <w:color w:val="auto"/>
        </w:rPr>
        <w:t>Abstentions are deemed to be shares present or represented by proxy and entitled to vote. Abstentions have no effect on Proposal One and the same effect as a vote against Proposals Two and Three</w:t>
      </w:r>
      <w:r>
        <w:rPr>
          <w:rFonts w:ascii="Arial" w:cs="Arial" w:eastAsia="Arial" w:hAnsi="Arial"/>
          <w:sz w:val="15"/>
          <w:szCs w:val="15"/>
          <w:color w:val="auto"/>
        </w:rPr>
        <w:t>.</w:t>
      </w:r>
    </w:p>
    <w:p>
      <w:pPr>
        <w:spacing w:after="0" w:line="29" w:lineRule="exact"/>
        <w:rPr>
          <w:rFonts w:ascii="Arial" w:cs="Arial" w:eastAsia="Arial" w:hAnsi="Arial"/>
          <w:sz w:val="18"/>
          <w:szCs w:val="18"/>
          <w:color w:val="auto"/>
        </w:rPr>
      </w:pPr>
    </w:p>
    <w:p>
      <w:pPr>
        <w:ind w:left="1620" w:right="599"/>
        <w:spacing w:after="0" w:line="243" w:lineRule="auto"/>
        <w:rPr>
          <w:rFonts w:ascii="Arial" w:cs="Arial" w:eastAsia="Arial" w:hAnsi="Arial"/>
          <w:sz w:val="18"/>
          <w:szCs w:val="18"/>
          <w:color w:val="auto"/>
        </w:rPr>
      </w:pPr>
      <w:r>
        <w:rPr>
          <w:rFonts w:ascii="Arial" w:cs="Arial" w:eastAsia="Arial" w:hAnsi="Arial"/>
          <w:sz w:val="18"/>
          <w:szCs w:val="18"/>
          <w:color w:val="auto"/>
        </w:rPr>
        <w:t>Broker non-votes are not deemed to be shares entitled to vote on and will have no effect on Proposals One and Three. Brokers have discretionary authority to vote shares that are beneficially owned on Proposal Two. If a broker chooses not to vote shares for or against Proposal Two, it would have the same effect as an abstention.</w:t>
      </w:r>
    </w:p>
    <w:p>
      <w:pPr>
        <w:spacing w:after="0" w:line="120" w:lineRule="exact"/>
        <w:rPr>
          <w:rFonts w:ascii="Arial" w:cs="Arial" w:eastAsia="Arial" w:hAnsi="Arial"/>
          <w:sz w:val="18"/>
          <w:szCs w:val="18"/>
          <w:color w:val="auto"/>
        </w:rPr>
      </w:pPr>
    </w:p>
    <w:p>
      <w:pPr>
        <w:ind w:left="1620" w:right="699"/>
        <w:spacing w:after="0" w:line="262" w:lineRule="auto"/>
        <w:rPr>
          <w:rFonts w:ascii="Arial" w:cs="Arial" w:eastAsia="Arial" w:hAnsi="Arial"/>
          <w:sz w:val="18"/>
          <w:szCs w:val="18"/>
          <w:color w:val="auto"/>
        </w:rPr>
      </w:pPr>
      <w:r>
        <w:rPr>
          <w:rFonts w:ascii="Arial" w:cs="Arial" w:eastAsia="Arial" w:hAnsi="Arial"/>
          <w:sz w:val="17"/>
          <w:szCs w:val="17"/>
          <w:color w:val="auto"/>
        </w:rPr>
        <w:t>All shares entitled to vote and represented by properly submitted proxies received prior to the 2021 Annual Meeting (and not revoked) will be voted at the 2021 Annual Meeting in accordance with the instructions indicated by such proxy. If no instructions are indicated on such proxy, the shares represented by that proxy will be voted as recommended by the Board of Directors.</w:t>
      </w:r>
    </w:p>
    <w:p>
      <w:pPr>
        <w:spacing w:after="0" w:line="15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does the Board of Directors recommend that I vote?</w:t>
      </w:r>
    </w:p>
    <w:p>
      <w:pPr>
        <w:spacing w:after="0" w:line="162"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recommends that you vote your shares:</w:t>
      </w:r>
    </w:p>
    <w:p>
      <w:pPr>
        <w:spacing w:after="0" w:line="113" w:lineRule="exact"/>
        <w:rPr>
          <w:rFonts w:ascii="Arial" w:cs="Arial" w:eastAsia="Arial" w:hAnsi="Arial"/>
          <w:sz w:val="18"/>
          <w:szCs w:val="18"/>
          <w:color w:val="auto"/>
        </w:rPr>
      </w:pPr>
    </w:p>
    <w:p>
      <w:pPr>
        <w:ind w:left="1800" w:hanging="180"/>
        <w:spacing w:after="0"/>
        <w:tabs>
          <w:tab w:leader="none" w:pos="1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eight nominees for election as directors (Proposal One);</w:t>
      </w:r>
    </w:p>
    <w:p>
      <w:pPr>
        <w:spacing w:after="0" w:line="103" w:lineRule="exact"/>
        <w:rPr>
          <w:rFonts w:ascii="Arial" w:cs="Arial" w:eastAsia="Arial" w:hAnsi="Arial"/>
          <w:sz w:val="18"/>
          <w:szCs w:val="18"/>
          <w:color w:val="auto"/>
        </w:rPr>
      </w:pPr>
    </w:p>
    <w:p>
      <w:pPr>
        <w:ind w:left="1800" w:right="619" w:hanging="180"/>
        <w:spacing w:after="0" w:line="312" w:lineRule="auto"/>
        <w:tabs>
          <w:tab w:leader="none" w:pos="18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Deloitte &amp; Touche LLP as our independent registered public accounting firm for the fiscal year ending December 31, 2021 (Proposal Two); and</w:t>
      </w:r>
    </w:p>
    <w:p>
      <w:pPr>
        <w:spacing w:after="0" w:line="31" w:lineRule="exact"/>
        <w:rPr>
          <w:rFonts w:ascii="Arial" w:cs="Arial" w:eastAsia="Arial" w:hAnsi="Arial"/>
          <w:sz w:val="17"/>
          <w:szCs w:val="17"/>
          <w:color w:val="auto"/>
        </w:rPr>
      </w:pPr>
    </w:p>
    <w:p>
      <w:pPr>
        <w:ind w:left="1800" w:hanging="180"/>
        <w:spacing w:after="0"/>
        <w:tabs>
          <w:tab w:leader="none" w:pos="18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advisory resolution to approve named executive officer compensation (Proposal Three).</w:t>
      </w:r>
    </w:p>
    <w:p>
      <w:pPr>
        <w:spacing w:after="0" w:line="22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additional matters are presented at the 2021 Annual Meeting?</w:t>
      </w:r>
    </w:p>
    <w:p>
      <w:pPr>
        <w:spacing w:after="0" w:line="162" w:lineRule="exact"/>
        <w:rPr>
          <w:sz w:val="20"/>
          <w:szCs w:val="20"/>
          <w:color w:val="auto"/>
        </w:rPr>
      </w:pPr>
    </w:p>
    <w:p>
      <w:pPr>
        <w:ind w:left="1620" w:right="419" w:hanging="360"/>
        <w:spacing w:after="0" w:line="255"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2021 Annual Meeting, including, among other things, consideration of a motion to adjourn the 2021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2021 Annual Meeting.</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Can I change my vote?</w:t>
      </w:r>
    </w:p>
    <w:p>
      <w:pPr>
        <w:spacing w:after="0" w:line="148" w:lineRule="exact"/>
        <w:rPr>
          <w:sz w:val="20"/>
          <w:szCs w:val="20"/>
          <w:color w:val="auto"/>
        </w:rPr>
      </w:pPr>
    </w:p>
    <w:p>
      <w:pPr>
        <w:ind w:left="1620" w:right="439" w:hanging="36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any rules your broker, trustee or nominee may have, you may change your proxy instructions at any time before your proxy is voted at the 2021 Annual Meeting.</w:t>
      </w:r>
    </w:p>
    <w:p>
      <w:pPr>
        <w:spacing w:after="0" w:line="102" w:lineRule="exact"/>
        <w:rPr>
          <w:rFonts w:ascii="Arial" w:cs="Arial" w:eastAsia="Arial" w:hAnsi="Arial"/>
          <w:sz w:val="18"/>
          <w:szCs w:val="18"/>
          <w:color w:val="auto"/>
        </w:rPr>
      </w:pPr>
    </w:p>
    <w:p>
      <w:pPr>
        <w:ind w:left="1620" w:right="419"/>
        <w:spacing w:after="0" w:line="239" w:lineRule="auto"/>
        <w:rPr>
          <w:rFonts w:ascii="Arial" w:cs="Arial" w:eastAsia="Arial" w:hAnsi="Arial"/>
          <w:sz w:val="18"/>
          <w:szCs w:val="18"/>
          <w:color w:val="auto"/>
        </w:rPr>
      </w:pPr>
      <w:r>
        <w:rPr>
          <w:rFonts w:ascii="Arial" w:cs="Arial" w:eastAsia="Arial" w:hAnsi="Arial"/>
          <w:sz w:val="18"/>
          <w:szCs w:val="18"/>
          <w:color w:val="auto"/>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2021 Annual Meeting and voting virtually. Attendance at the meeting will not cause your previously granted proxy to be revoked unless you specifically so request.</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9" w:lineRule="auto"/>
        <w:rPr>
          <w:sz w:val="20"/>
          <w:szCs w:val="20"/>
          <w:color w:val="auto"/>
        </w:rPr>
      </w:pPr>
      <w:r>
        <w:rPr>
          <w:rFonts w:ascii="Arial" w:cs="Arial" w:eastAsia="Arial" w:hAnsi="Arial"/>
          <w:sz w:val="18"/>
          <w:szCs w:val="18"/>
          <w:color w:val="auto"/>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2021 Annual Meeting and voting virtually.</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should I do if I receive more than one set of voting materials?</w:t>
      </w:r>
    </w:p>
    <w:p>
      <w:pPr>
        <w:spacing w:after="0" w:line="175" w:lineRule="exact"/>
        <w:rPr>
          <w:sz w:val="20"/>
          <w:szCs w:val="20"/>
          <w:color w:val="auto"/>
        </w:rPr>
      </w:pPr>
    </w:p>
    <w:p>
      <w:pPr>
        <w:ind w:left="1620" w:right="499" w:hanging="360"/>
        <w:spacing w:after="0" w:line="286"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6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Is my vote confidential?</w:t>
      </w:r>
    </w:p>
    <w:p>
      <w:pPr>
        <w:spacing w:after="0" w:line="175" w:lineRule="exact"/>
        <w:rPr>
          <w:sz w:val="20"/>
          <w:szCs w:val="20"/>
          <w:color w:val="auto"/>
        </w:rPr>
      </w:pPr>
    </w:p>
    <w:p>
      <w:pPr>
        <w:ind w:left="1620" w:right="479" w:hanging="360"/>
        <w:spacing w:after="0" w:line="255"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serve as inspector of election?</w:t>
      </w:r>
    </w:p>
    <w:p>
      <w:pPr>
        <w:spacing w:after="0" w:line="17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inspector of election will be a representative of Computershare.</w:t>
      </w:r>
    </w:p>
    <w:p>
      <w:pPr>
        <w:spacing w:after="0" w:line="22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Where can I find the voting results of the 2021 Annual Meeting?</w:t>
      </w:r>
    </w:p>
    <w:p>
      <w:pPr>
        <w:spacing w:after="0" w:line="175" w:lineRule="exact"/>
        <w:rPr>
          <w:sz w:val="20"/>
          <w:szCs w:val="20"/>
          <w:color w:val="auto"/>
        </w:rPr>
      </w:pPr>
    </w:p>
    <w:p>
      <w:pPr>
        <w:ind w:left="1620" w:right="479" w:hanging="360"/>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2021 Annual Meeting. We will disclose final voting results in a Current Report on a Form 8-K filed with the SEC within four business days after the 2021 Annual Meeting.</w:t>
      </w:r>
    </w:p>
    <w:p>
      <w:pPr>
        <w:spacing w:after="0" w:line="19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bear the cost of soliciting votes for the 2021 Annual Meeting?</w:t>
      </w:r>
    </w:p>
    <w:p>
      <w:pPr>
        <w:spacing w:after="0" w:line="175" w:lineRule="exact"/>
        <w:rPr>
          <w:sz w:val="20"/>
          <w:szCs w:val="20"/>
          <w:color w:val="auto"/>
        </w:rPr>
      </w:pPr>
    </w:p>
    <w:p>
      <w:pPr>
        <w:ind w:left="1620" w:right="439" w:hanging="360"/>
        <w:spacing w:after="0" w:line="25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113" w:lineRule="exact"/>
        <w:rPr>
          <w:rFonts w:ascii="Arial" w:cs="Arial" w:eastAsia="Arial" w:hAnsi="Arial"/>
          <w:sz w:val="18"/>
          <w:szCs w:val="18"/>
          <w:color w:val="auto"/>
        </w:rPr>
      </w:pPr>
    </w:p>
    <w:p>
      <w:pPr>
        <w:ind w:left="1620" w:right="859"/>
        <w:spacing w:after="0" w:line="263" w:lineRule="auto"/>
        <w:rPr>
          <w:rFonts w:ascii="Arial" w:cs="Arial" w:eastAsia="Arial" w:hAnsi="Arial"/>
          <w:sz w:val="18"/>
          <w:szCs w:val="18"/>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93" w:lineRule="exact"/>
        <w:rPr>
          <w:sz w:val="20"/>
          <w:szCs w:val="20"/>
          <w:color w:val="auto"/>
        </w:rPr>
      </w:pPr>
    </w:p>
    <w:p>
      <w:pPr>
        <w:ind w:left="1620" w:right="539" w:hanging="360"/>
        <w:spacing w:after="0" w:line="282" w:lineRule="auto"/>
        <w:tabs>
          <w:tab w:leader="none" w:pos="16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12" w:lineRule="exact"/>
        <w:rPr>
          <w:sz w:val="20"/>
          <w:szCs w:val="20"/>
          <w:color w:val="auto"/>
        </w:rPr>
      </w:pPr>
    </w:p>
    <w:p>
      <w:pPr>
        <w:ind w:left="1620" w:right="719" w:hanging="360"/>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may submit proposals, including nominations of director candidates, for consideration at future stockholder meetings.</w:t>
      </w:r>
    </w:p>
    <w:p>
      <w:pPr>
        <w:spacing w:after="0" w:line="85" w:lineRule="exact"/>
        <w:rPr>
          <w:rFonts w:ascii="Arial" w:cs="Arial" w:eastAsia="Arial" w:hAnsi="Arial"/>
          <w:sz w:val="18"/>
          <w:szCs w:val="18"/>
          <w:color w:val="auto"/>
        </w:rPr>
      </w:pPr>
    </w:p>
    <w:p>
      <w:pPr>
        <w:ind w:left="1620" w:right="439"/>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For inclusion in Fortinet’s proxy materials </w:t>
      </w:r>
      <w:r>
        <w:rPr>
          <w:rFonts w:ascii="Arial" w:cs="Arial" w:eastAsia="Arial" w:hAnsi="Arial"/>
          <w:sz w:val="18"/>
          <w:szCs w:val="18"/>
          <w:color w:val="auto"/>
        </w:rPr>
        <w:t>— Stockholders may present proper proposals for inclusion in</w:t>
      </w:r>
      <w:r>
        <w:rPr>
          <w:rFonts w:ascii="Arial" w:cs="Arial" w:eastAsia="Arial" w:hAnsi="Arial"/>
          <w:sz w:val="18"/>
          <w:szCs w:val="18"/>
          <w:b w:val="1"/>
          <w:bCs w:val="1"/>
          <w:color w:val="auto"/>
        </w:rPr>
        <w:t xml:space="preserve"> </w:t>
      </w:r>
      <w:r>
        <w:rPr>
          <w:rFonts w:ascii="Arial" w:cs="Arial" w:eastAsia="Arial" w:hAnsi="Arial"/>
          <w:sz w:val="18"/>
          <w:szCs w:val="18"/>
          <w:color w:val="auto"/>
        </w:rPr>
        <w:t>Fortinet’s proxy statement and for consideration at the next annual meeting of stockholders by submitting their proposals in writing to Fortinet’s Corporate Secretary in a timely manner. In order to be included in the proxy statement for the 2022 Annual Meeting, stockholder proposals must be received by Fortinet’s Corporate Secretary no later than December 29, 2021, and must otherwise comply with the requirements of Rule 14a-8 of the Securities Exchange Act of 1934, as amended (the “Exchange Act”).</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639"/>
        <w:spacing w:after="0" w:line="272" w:lineRule="auto"/>
        <w:rPr>
          <w:sz w:val="20"/>
          <w:szCs w:val="20"/>
          <w:color w:val="auto"/>
        </w:rPr>
      </w:pPr>
      <w:r>
        <w:rPr>
          <w:rFonts w:ascii="Arial" w:cs="Arial" w:eastAsia="Arial" w:hAnsi="Arial"/>
          <w:sz w:val="17"/>
          <w:szCs w:val="17"/>
          <w:b w:val="1"/>
          <w:bCs w:val="1"/>
          <w:color w:val="auto"/>
        </w:rPr>
        <w:t xml:space="preserve">To be brought before the annual meeting </w:t>
      </w:r>
      <w:r>
        <w:rPr>
          <w:rFonts w:ascii="Arial" w:cs="Arial" w:eastAsia="Arial" w:hAnsi="Arial"/>
          <w:sz w:val="17"/>
          <w:szCs w:val="17"/>
          <w:color w:val="auto"/>
        </w:rPr>
        <w:t>— In addition, Fortinet’s amended and restated bylaws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 an advance notice procedure for stockholders who wish to present certain matters before an annual meeting of stockholders. In general, nominations for the election of directors may be made</w:t>
      </w:r>
    </w:p>
    <w:p>
      <w:pPr>
        <w:spacing w:after="0" w:line="2" w:lineRule="exact"/>
        <w:rPr>
          <w:sz w:val="20"/>
          <w:szCs w:val="20"/>
          <w:color w:val="auto"/>
        </w:rPr>
      </w:pPr>
    </w:p>
    <w:p>
      <w:pPr>
        <w:ind w:left="1620" w:right="439"/>
        <w:spacing w:after="0" w:line="253" w:lineRule="auto"/>
        <w:tabs>
          <w:tab w:leader="none" w:pos="18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ii) by a stockholder who has delivered written notice to Fortinet’s Secretary within the Notice Period (as defined below) and who was a stockholder at the time of such notice and as of the record date. The notice must contain specified information about the nominees and about the stockholder proposing such nominations.</w:t>
      </w:r>
    </w:p>
    <w:p>
      <w:pPr>
        <w:spacing w:after="0" w:line="112" w:lineRule="exact"/>
        <w:rPr>
          <w:sz w:val="20"/>
          <w:szCs w:val="20"/>
          <w:color w:val="auto"/>
        </w:rPr>
      </w:pPr>
    </w:p>
    <w:p>
      <w:pPr>
        <w:ind w:left="1620" w:right="439"/>
        <w:spacing w:after="0" w:line="254" w:lineRule="auto"/>
        <w:rPr>
          <w:sz w:val="20"/>
          <w:szCs w:val="20"/>
          <w:color w:val="auto"/>
        </w:rPr>
      </w:pPr>
      <w:r>
        <w:rPr>
          <w:rFonts w:ascii="Arial" w:cs="Arial" w:eastAsia="Arial" w:hAnsi="Arial"/>
          <w:sz w:val="18"/>
          <w:szCs w:val="18"/>
          <w:color w:val="auto"/>
        </w:rPr>
        <w:t>Fortinet’s amended and restated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124" w:lineRule="exact"/>
        <w:rPr>
          <w:sz w:val="20"/>
          <w:szCs w:val="20"/>
          <w:color w:val="auto"/>
        </w:rPr>
      </w:pPr>
    </w:p>
    <w:p>
      <w:pPr>
        <w:ind w:left="1620" w:right="459"/>
        <w:spacing w:after="0" w:line="257" w:lineRule="auto"/>
        <w:rPr>
          <w:sz w:val="20"/>
          <w:szCs w:val="20"/>
          <w:color w:val="auto"/>
        </w:rPr>
      </w:pPr>
      <w:r>
        <w:rPr>
          <w:rFonts w:ascii="Arial" w:cs="Arial" w:eastAsia="Arial" w:hAnsi="Arial"/>
          <w:sz w:val="18"/>
          <w:szCs w:val="18"/>
          <w:color w:val="auto"/>
        </w:rPr>
        <w:t>The “Notice Period” is defined as that period not less than 45 days nor more than 75 days prior to the one-year anniversary of the date on which Fortinet mailed its proxy materials or the Notice (whichever is earlier) to stockholders in connection with the preceding year’s annual meeting of stockholders. As a result, assuming a Notice mailing date of May 4, 2021, the Notice Period for the 2022 Annual Meeting will start on February 18, 2022 and end on March 20, 2022.</w:t>
      </w:r>
    </w:p>
    <w:p>
      <w:pPr>
        <w:spacing w:after="0" w:line="120" w:lineRule="exact"/>
        <w:rPr>
          <w:sz w:val="20"/>
          <w:szCs w:val="20"/>
          <w:color w:val="auto"/>
        </w:rPr>
      </w:pPr>
    </w:p>
    <w:p>
      <w:pPr>
        <w:ind w:left="1620" w:right="599"/>
        <w:spacing w:after="0" w:line="263" w:lineRule="auto"/>
        <w:rPr>
          <w:sz w:val="20"/>
          <w:szCs w:val="20"/>
          <w:color w:val="auto"/>
        </w:rPr>
      </w:pPr>
      <w:r>
        <w:rPr>
          <w:rFonts w:ascii="Arial" w:cs="Arial" w:eastAsia="Arial" w:hAnsi="Arial"/>
          <w:sz w:val="18"/>
          <w:szCs w:val="18"/>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103" w:lineRule="exact"/>
        <w:rPr>
          <w:sz w:val="20"/>
          <w:szCs w:val="20"/>
          <w:color w:val="auto"/>
        </w:rPr>
      </w:pPr>
    </w:p>
    <w:p>
      <w:pPr>
        <w:ind w:left="1620" w:right="459"/>
        <w:spacing w:after="0" w:line="257" w:lineRule="auto"/>
        <w:rPr>
          <w:sz w:val="20"/>
          <w:szCs w:val="20"/>
          <w:color w:val="auto"/>
        </w:rPr>
      </w:pPr>
      <w:r>
        <w:rPr>
          <w:rFonts w:ascii="Arial" w:cs="Arial" w:eastAsia="Arial" w:hAnsi="Arial"/>
          <w:sz w:val="18"/>
          <w:szCs w:val="18"/>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All notices of proposals by stockholders, whether or not included in Fortinet’s proxy materials, should be sent to Fortinet’s Corporate Secretary at our principal executive offices.</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may I obtain a separate set of proxy materials or the 2021 Annual Report?</w:t>
      </w:r>
    </w:p>
    <w:p>
      <w:pPr>
        <w:spacing w:after="0" w:line="162" w:lineRule="exact"/>
        <w:rPr>
          <w:sz w:val="20"/>
          <w:szCs w:val="20"/>
          <w:color w:val="auto"/>
        </w:rPr>
      </w:pPr>
    </w:p>
    <w:p>
      <w:pPr>
        <w:ind w:left="1620" w:right="559" w:hanging="360"/>
        <w:spacing w:after="0" w:line="25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share an address with another stockholder, each stockholder may not receive a separate copy of our proxy materials and 2020 Annual Report. Stockholders who do not receive a separate copy of our proxy materials and 2020 Annual Report and want to receive a separate copy may request to receive a separate copy of, or stockholders may request additional copies of, our proxy materials and 2020 Annual Report by calling (408) 235-7700 or by writing to Fortinet, Inc., 899 Kifer Road, Sunnyvale, California 94086, Attention: Investor Relations. Stockholders who share an address and receive multiple copies of our proxy materials and 2020 Annual Report can also request to receive a single copy by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ONE</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260" w:right="599" w:firstLine="360"/>
        <w:spacing w:after="0" w:line="227" w:lineRule="auto"/>
        <w:rPr>
          <w:sz w:val="20"/>
          <w:szCs w:val="20"/>
          <w:color w:val="auto"/>
        </w:rPr>
      </w:pPr>
      <w:r>
        <w:rPr>
          <w:rFonts w:ascii="Arial" w:cs="Arial" w:eastAsia="Arial" w:hAnsi="Arial"/>
          <w:sz w:val="18"/>
          <w:szCs w:val="18"/>
          <w:color w:val="auto"/>
        </w:rPr>
        <w:t>The Board of Directors currently consists of eight members, and our amended and restated certificate of incorporation provides that the entire Board of Directors will stand for election annually for one-year terms. Each director holds office until that director’s successor is duly elected and qualified. Our amended and restated bylaws permit the Board of Directors to establish by resolution the authorized number of directors, and eight directors are currently authorized. Effective as of the 2021 Annual Meeting, the authorized number of directors will be decreased to eight directors.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7"/>
          <w:szCs w:val="17"/>
          <w:color w:val="auto"/>
        </w:rPr>
        <w:t>Eight candidates have been nominated for election as directors at the 2021 Annual Meeting for a one-year term expiring at the 2021 Annual Meeting. Upon recommendation of the Governance Committee of the Board of Directors (the “Governance Committee”), the Board of Directors has nominated Ken Xie, Michael Xie, Kelly Ducourty, Kenneth A. Goldman, Ming Hsieh, Jean Hu, William Neukom, and Judith Sim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Christopher B. Paisley’s term as a director will end at the 2021 Annual Meeting. We thank Mr. Paisley for his distinguished service.</w:t>
      </w:r>
    </w:p>
    <w:p>
      <w:pPr>
        <w:spacing w:after="0" w:line="89"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7"/>
          <w:szCs w:val="17"/>
          <w:color w:val="auto"/>
        </w:rPr>
        <w:t>Each nominee has agreed to serve if elected, and management has no reason to believe that any nominee will be unavailable to serve. In the event any nominee is unable or declines to serve as a director at the time of the 2021 Annual Meeting, the proxies will be voted for any nominee who may be proposed by the Governance Committee and designated by the present Board of Directors to fill the vacancy.</w:t>
      </w:r>
    </w:p>
    <w:p>
      <w:pPr>
        <w:spacing w:after="0" w:line="103" w:lineRule="exact"/>
        <w:rPr>
          <w:sz w:val="20"/>
          <w:szCs w:val="20"/>
          <w:color w:val="auto"/>
        </w:rPr>
      </w:pPr>
    </w:p>
    <w:p>
      <w:pPr>
        <w:ind w:left="1260" w:right="439" w:firstLine="360"/>
        <w:spacing w:after="0" w:line="227" w:lineRule="auto"/>
        <w:rPr>
          <w:sz w:val="20"/>
          <w:szCs w:val="20"/>
          <w:color w:val="auto"/>
        </w:rPr>
      </w:pPr>
      <w:r>
        <w:rPr>
          <w:rFonts w:ascii="Arial" w:cs="Arial" w:eastAsia="Arial" w:hAnsi="Arial"/>
          <w:sz w:val="18"/>
          <w:szCs w:val="18"/>
          <w:color w:val="auto"/>
        </w:rPr>
        <w:t>If you sign your proxy card or voting instruction card or vote by telephone or over the internet but do not give instructions with respect to the voting of directors, your shares will be voted for the eight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71" w:lineRule="exact"/>
        <w:rPr>
          <w:sz w:val="20"/>
          <w:szCs w:val="20"/>
          <w:color w:val="auto"/>
        </w:rPr>
      </w:pPr>
    </w:p>
    <w:p>
      <w:pPr>
        <w:jc w:val="center"/>
        <w:ind w:left="1820" w:right="720"/>
        <w:spacing w:after="0" w:line="236" w:lineRule="auto"/>
        <w:rPr>
          <w:sz w:val="20"/>
          <w:szCs w:val="20"/>
          <w:color w:val="auto"/>
        </w:rPr>
      </w:pPr>
      <w:r>
        <w:rPr>
          <w:rFonts w:ascii="Arial" w:cs="Arial" w:eastAsia="Arial" w:hAnsi="Arial"/>
          <w:sz w:val="18"/>
          <w:szCs w:val="18"/>
          <w:b w:val="1"/>
          <w:bCs w:val="1"/>
          <w:color w:val="auto"/>
        </w:rPr>
        <w:t>THE BOARD OF DIRECTORS RECOMMENDS A VOTE “FOR” THE ELECTION OF KEN XIE, MICHAEL XIE, KELLY DUCOURTY, KENNETH A. GOLDMAN, JEAN HU, MING HSIEH, WILLIAM NEUKOM, AND JUDITH SIM.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the Board of Directors and Director Nominees</w:t>
      </w:r>
    </w:p>
    <w:p>
      <w:pPr>
        <w:spacing w:after="0" w:line="135" w:lineRule="exact"/>
        <w:rPr>
          <w:sz w:val="20"/>
          <w:szCs w:val="20"/>
          <w:color w:val="auto"/>
        </w:rPr>
      </w:pPr>
    </w:p>
    <w:p>
      <w:pPr>
        <w:jc w:val="both"/>
        <w:ind w:left="1260" w:right="1019" w:firstLine="360"/>
        <w:spacing w:after="0" w:line="235" w:lineRule="auto"/>
        <w:rPr>
          <w:sz w:val="20"/>
          <w:szCs w:val="20"/>
          <w:color w:val="auto"/>
        </w:rPr>
      </w:pPr>
      <w:r>
        <w:rPr>
          <w:rFonts w:ascii="Arial" w:cs="Arial" w:eastAsia="Arial" w:hAnsi="Arial"/>
          <w:sz w:val="18"/>
          <w:szCs w:val="18"/>
          <w:color w:val="auto"/>
        </w:rPr>
        <w:t>The names of the members of the Board of Directors and our proposed director nominees, their respective ages, their positions with Fortinet (as applicable) and other biographical information as of March 31, 2021, are set forth below.</w:t>
      </w:r>
    </w:p>
    <w:p>
      <w:pPr>
        <w:spacing w:after="0" w:line="107"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Messrs. Ken Xie and Michael Xie are brothers. There are no other family relationships among any of our directors or executive officers.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5"/>
        </w:trPr>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 Xie</w:t>
            </w:r>
          </w:p>
        </w:tc>
        <w:tc>
          <w:tcPr>
            <w:tcW w:w="220" w:type="dxa"/>
            <w:vAlign w:val="bottom"/>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Chairman of the Board of Directors and</w:t>
            </w:r>
          </w:p>
        </w:tc>
        <w:tc>
          <w:tcPr>
            <w:tcW w:w="0" w:type="dxa"/>
            <w:vAlign w:val="bottom"/>
          </w:tcPr>
          <w:p>
            <w:pPr>
              <w:spacing w:after="0"/>
              <w:rPr>
                <w:sz w:val="1"/>
                <w:szCs w:val="1"/>
                <w:color w:val="auto"/>
              </w:rPr>
            </w:pPr>
          </w:p>
        </w:tc>
      </w:tr>
      <w:tr>
        <w:trPr>
          <w:trHeight w:val="229"/>
        </w:trPr>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Michael Xie</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600" w:type="dxa"/>
            <w:vAlign w:val="bottom"/>
            <w:gridSpan w:val="2"/>
            <w:vMerge w:val="continue"/>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Chief Technology Officer, Director and Director</w:t>
            </w:r>
          </w:p>
        </w:tc>
        <w:tc>
          <w:tcPr>
            <w:tcW w:w="0" w:type="dxa"/>
            <w:vAlign w:val="bottom"/>
          </w:tcPr>
          <w:p>
            <w:pPr>
              <w:spacing w:after="0"/>
              <w:rPr>
                <w:sz w:val="1"/>
                <w:szCs w:val="1"/>
                <w:color w:val="auto"/>
              </w:rPr>
            </w:pPr>
          </w:p>
        </w:tc>
      </w:tr>
      <w:tr>
        <w:trPr>
          <w:trHeight w:val="230"/>
        </w:trPr>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Kelly Ducourty</w:t>
            </w:r>
            <w:r>
              <w:rPr>
                <w:rFonts w:ascii="Arial" w:cs="Arial" w:eastAsia="Arial" w:hAnsi="Arial"/>
                <w:sz w:val="26"/>
                <w:szCs w:val="26"/>
                <w:color w:val="auto"/>
                <w:vertAlign w:val="superscript"/>
              </w:rPr>
              <w:t>(1)(4)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r>
        <w:trPr>
          <w:trHeight w:val="219"/>
        </w:trPr>
        <w:tc>
          <w:tcPr>
            <w:tcW w:w="2600" w:type="dxa"/>
            <w:vAlign w:val="bottom"/>
            <w:gridSpan w:val="2"/>
            <w:vMerge w:val="continue"/>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Director Nominee</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Kenneth A. Goldman</w:t>
            </w:r>
            <w:r>
              <w:rPr>
                <w:rFonts w:ascii="Arial" w:cs="Arial" w:eastAsia="Arial" w:hAnsi="Arial"/>
                <w:sz w:val="26"/>
                <w:szCs w:val="26"/>
                <w:color w:val="auto"/>
                <w:vertAlign w:val="superscript"/>
              </w:rPr>
              <w:t>(1)(4)^</w:t>
            </w:r>
          </w:p>
        </w:tc>
        <w:tc>
          <w:tcPr>
            <w:tcW w:w="280" w:type="dxa"/>
            <w:vAlign w:val="bottom"/>
          </w:tcPr>
          <w:p>
            <w:pPr>
              <w:ind w:left="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Director Nominee</w:t>
            </w: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Ming Hsieh</w:t>
            </w:r>
            <w:r>
              <w:rPr>
                <w:rFonts w:ascii="Arial" w:cs="Arial" w:eastAsia="Arial" w:hAnsi="Arial"/>
                <w:sz w:val="26"/>
                <w:szCs w:val="26"/>
                <w:color w:val="auto"/>
                <w:vertAlign w:val="superscript"/>
              </w:rPr>
              <w:t>(2)(3)</w:t>
            </w: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Director Nominee</w:t>
            </w: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Jean Hu</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Director Nominee</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William H. Neukom</w:t>
            </w:r>
            <w:r>
              <w:rPr>
                <w:rFonts w:ascii="Arial" w:cs="Arial" w:eastAsia="Arial" w:hAnsi="Arial"/>
                <w:sz w:val="26"/>
                <w:szCs w:val="26"/>
                <w:color w:val="auto"/>
                <w:vertAlign w:val="superscript"/>
              </w:rPr>
              <w:t>(3)</w:t>
            </w:r>
          </w:p>
        </w:tc>
        <w:tc>
          <w:tcPr>
            <w:tcW w:w="280" w:type="dxa"/>
            <w:vAlign w:val="bottom"/>
          </w:tcPr>
          <w:p>
            <w:pPr>
              <w:ind w:left="4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Lead Independent Director and Director Nominee</w:t>
            </w: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line="23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6"/>
                <w:szCs w:val="26"/>
                <w:color w:val="auto"/>
                <w:vertAlign w:val="superscript"/>
              </w:rPr>
              <w:t>(1)(2)</w:t>
            </w:r>
            <w:r>
              <w:rPr>
                <w:rFonts w:ascii="Arial" w:cs="Arial" w:eastAsia="Arial" w:hAnsi="Arial"/>
                <w:sz w:val="18"/>
                <w:szCs w:val="18"/>
                <w:color w:val="auto"/>
              </w:rPr>
              <w:t>**</w:t>
            </w:r>
            <w:r>
              <w:rPr>
                <w:rFonts w:ascii="Arial" w:cs="Arial" w:eastAsia="Arial" w:hAnsi="Arial"/>
                <w:sz w:val="26"/>
                <w:szCs w:val="26"/>
                <w:color w:val="auto"/>
                <w:vertAlign w:val="superscript"/>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53"/>
        </w:trPr>
        <w:tc>
          <w:tcPr>
            <w:tcW w:w="2600" w:type="dxa"/>
            <w:vAlign w:val="bottom"/>
            <w:gridSpan w:val="2"/>
          </w:tcPr>
          <w:p>
            <w:pPr>
              <w:spacing w:after="0"/>
              <w:rPr>
                <w:sz w:val="20"/>
                <w:szCs w:val="20"/>
                <w:color w:val="auto"/>
              </w:rPr>
            </w:pPr>
            <w:r>
              <w:rPr>
                <w:rFonts w:ascii="Arial" w:cs="Arial" w:eastAsia="Arial" w:hAnsi="Arial"/>
                <w:sz w:val="18"/>
                <w:szCs w:val="18"/>
                <w:color w:val="auto"/>
              </w:rPr>
              <w:t>Judith Sim</w:t>
            </w:r>
            <w:r>
              <w:rPr>
                <w:rFonts w:ascii="Arial" w:cs="Arial" w:eastAsia="Arial" w:hAnsi="Arial"/>
                <w:sz w:val="26"/>
                <w:szCs w:val="26"/>
                <w:color w:val="auto"/>
                <w:vertAlign w:val="superscript"/>
              </w:rPr>
              <w:t>(1)(3) (4)</w:t>
            </w: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Director and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83185</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5" w:lineRule="exact"/>
        <w:rPr>
          <w:sz w:val="20"/>
          <w:szCs w:val="20"/>
          <w:color w:val="auto"/>
        </w:rPr>
      </w:pPr>
    </w:p>
    <w:p>
      <w:pPr>
        <w:ind w:left="1720" w:hanging="460"/>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Human Resources Committee.</w:t>
      </w:r>
    </w:p>
    <w:p>
      <w:pPr>
        <w:spacing w:after="0" w:line="76" w:lineRule="exact"/>
        <w:rPr>
          <w:rFonts w:ascii="Arial" w:cs="Arial" w:eastAsia="Arial" w:hAnsi="Arial"/>
          <w:sz w:val="18"/>
          <w:szCs w:val="18"/>
          <w:color w:val="auto"/>
        </w:rPr>
      </w:pPr>
    </w:p>
    <w:p>
      <w:pPr>
        <w:ind w:left="1720" w:hanging="460"/>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76" w:lineRule="exact"/>
        <w:rPr>
          <w:rFonts w:ascii="Arial" w:cs="Arial" w:eastAsia="Arial" w:hAnsi="Arial"/>
          <w:sz w:val="18"/>
          <w:szCs w:val="18"/>
          <w:color w:val="auto"/>
        </w:rPr>
      </w:pPr>
    </w:p>
    <w:p>
      <w:pPr>
        <w:ind w:left="1720" w:hanging="460"/>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76" w:lineRule="exact"/>
        <w:rPr>
          <w:rFonts w:ascii="Arial" w:cs="Arial" w:eastAsia="Arial" w:hAnsi="Arial"/>
          <w:sz w:val="18"/>
          <w:szCs w:val="18"/>
          <w:color w:val="auto"/>
        </w:rPr>
      </w:pPr>
    </w:p>
    <w:p>
      <w:pPr>
        <w:ind w:left="1720" w:hanging="460"/>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the Social Responsibility Committee.</w:t>
      </w:r>
    </w:p>
    <w:p>
      <w:pPr>
        <w:spacing w:after="0" w:line="63" w:lineRule="exact"/>
        <w:rPr>
          <w:rFonts w:ascii="Arial" w:cs="Arial" w:eastAsia="Arial" w:hAnsi="Arial"/>
          <w:sz w:val="18"/>
          <w:szCs w:val="18"/>
          <w:color w:val="auto"/>
        </w:rPr>
      </w:pPr>
    </w:p>
    <w:p>
      <w:pPr>
        <w:ind w:left="1260" w:right="4879"/>
        <w:spacing w:after="0" w:line="328" w:lineRule="auto"/>
        <w:rPr>
          <w:rFonts w:ascii="Arial" w:cs="Arial" w:eastAsia="Arial" w:hAnsi="Arial"/>
          <w:sz w:val="18"/>
          <w:szCs w:val="18"/>
          <w:color w:val="auto"/>
        </w:rPr>
      </w:pPr>
      <w:r>
        <w:rPr>
          <w:rFonts w:ascii="Arial" w:cs="Arial" w:eastAsia="Arial" w:hAnsi="Arial"/>
          <w:sz w:val="18"/>
          <w:szCs w:val="18"/>
          <w:color w:val="auto"/>
        </w:rPr>
        <w:t>* Chairperson of the Governance Committee. ** Chairperson of the Audit Committee.</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  Chairperson of the Human Resources Committee.</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 Chairperson of the Social Responsibility Committee.</w:t>
      </w:r>
    </w:p>
    <w:p>
      <w:pPr>
        <w:spacing w:after="0" w:line="77" w:lineRule="exact"/>
        <w:rPr>
          <w:sz w:val="20"/>
          <w:szCs w:val="20"/>
          <w:color w:val="auto"/>
        </w:rPr>
      </w:pPr>
    </w:p>
    <w:p>
      <w:pPr>
        <w:ind w:left="1620" w:right="1299" w:hanging="360"/>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Goldman will become a member of the Audit Committee and step down from the Social Responsibility Committee effective as of the 2021 Annual Meeting.</w:t>
      </w:r>
    </w:p>
    <w:p>
      <w:pPr>
        <w:spacing w:after="0" w:line="22"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Ms. Hu will become the Chairperson of the Audit Committee effective as of the 2021 Annual Meeting.</w:t>
      </w:r>
    </w:p>
    <w:p>
      <w:pPr>
        <w:spacing w:after="0" w:line="75" w:lineRule="exact"/>
        <w:rPr>
          <w:sz w:val="20"/>
          <w:szCs w:val="20"/>
          <w:color w:val="auto"/>
        </w:rPr>
      </w:pPr>
    </w:p>
    <w:p>
      <w:pPr>
        <w:ind w:left="1620" w:right="1119" w:hanging="36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Paisley’s term as a director and service on the Human Resources Committee and the Audit Committee will end at the 2021 Annual Meeting.</w:t>
      </w:r>
    </w:p>
    <w:p>
      <w:pPr>
        <w:spacing w:after="0" w:line="10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b w:val="1"/>
          <w:bCs w:val="1"/>
          <w:i w:val="1"/>
          <w:iCs w:val="1"/>
          <w:color w:val="auto"/>
        </w:rPr>
        <w:t xml:space="preserve">Ken Xie </w:t>
      </w:r>
      <w:r>
        <w:rPr>
          <w:rFonts w:ascii="Arial" w:cs="Arial" w:eastAsia="Arial" w:hAnsi="Arial"/>
          <w:sz w:val="18"/>
          <w:szCs w:val="18"/>
          <w:color w:val="auto"/>
        </w:rPr>
        <w:t>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Ken Xie has more than 25 years of technical and management experience in the networking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security industries, which includes his roles as a founder of Fortinet, NetScreen and SIS and as President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Chief Executive Officer of each of the foregoing companies. The Board of Directors also believes</w:t>
      </w:r>
    </w:p>
    <w:p>
      <w:pPr>
        <w:ind w:left="1260"/>
        <w:spacing w:after="0"/>
        <w:rPr>
          <w:sz w:val="20"/>
          <w:szCs w:val="20"/>
          <w:color w:val="auto"/>
        </w:rPr>
      </w:pPr>
      <w:r>
        <w:rPr>
          <w:rFonts w:ascii="Arial" w:cs="Arial" w:eastAsia="Arial" w:hAnsi="Arial"/>
          <w:sz w:val="17"/>
          <w:szCs w:val="17"/>
          <w:color w:val="auto"/>
        </w:rPr>
        <w:t>Mr. Ken Xie provides valuable perspective and experience as a co-founder of Fortinet and one of its largest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w:t>
      </w:r>
    </w:p>
    <w:p>
      <w:pPr>
        <w:spacing w:after="0" w:line="12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b w:val="1"/>
          <w:bCs w:val="1"/>
          <w:i w:val="1"/>
          <w:iCs w:val="1"/>
          <w:color w:val="auto"/>
        </w:rPr>
        <w:t xml:space="preserve">Michael Xie </w:t>
      </w:r>
      <w:r>
        <w:rPr>
          <w:rFonts w:ascii="Arial" w:cs="Arial" w:eastAsia="Arial" w:hAnsi="Arial"/>
          <w:sz w:val="17"/>
          <w:szCs w:val="17"/>
          <w:color w:val="auto"/>
        </w:rPr>
        <w:t>has served as our President and Chief Technology Officer since November 2013 and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since February 2001. He previously served as our Vice President of Engineering and Chief Technology Officer after co-founding Fortinet in October 2000. Prior to co-founding</w:t>
      </w:r>
    </w:p>
    <w:p>
      <w:pPr>
        <w:sectPr>
          <w:pgSz w:w="11900" w:h="16838" w:orient="portrait"/>
          <w:cols w:equalWidth="0" w:num="1">
            <w:col w:w="9879"/>
          </w:cols>
          <w:pgMar w:left="580" w:top="132" w:right="1440" w:bottom="1440" w:gutter="0" w:footer="0" w:header="0"/>
        </w:sectPr>
      </w:pP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w:t>
      </w:r>
    </w:p>
    <w:p>
      <w:pPr>
        <w:spacing w:after="0" w:line="2"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Mr. Michael Xie provides valuable perspective and experience as a co-founder of Fortinet and one of its largest stockholders.</w:t>
      </w:r>
    </w:p>
    <w:p>
      <w:pPr>
        <w:spacing w:after="0" w:line="11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i w:val="1"/>
          <w:iCs w:val="1"/>
          <w:color w:val="auto"/>
        </w:rPr>
        <w:t xml:space="preserve">Kelly Ducourty </w:t>
      </w:r>
      <w:r>
        <w:rPr>
          <w:rFonts w:ascii="Arial" w:cs="Arial" w:eastAsia="Arial" w:hAnsi="Arial"/>
          <w:sz w:val="17"/>
          <w:szCs w:val="17"/>
          <w:color w:val="auto"/>
        </w:rPr>
        <w:t>has served as a member of the Board of Directors since April 2020. Since October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Ducourty has served as Vice President, Strategy and Operations for Google Cloud, a subsidiary of Alphabet Inc. that provides cloud computing services, and previously served as Managing Director, Strategy and Operations from March 2020 to October 2020 and Managing Director, Global Enablement and Sales Activation at Google Cloud from October 2019 to March 2020. From July 1998 until October 2019,</w:t>
      </w:r>
    </w:p>
    <w:p>
      <w:pPr>
        <w:spacing w:after="0" w:line="2"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Ms. Ducourty served in various roles at Hewlett Packard Enterprise, an information technology company, including most recently in various Senior Vice President roles from November 2016 until October 2019 and as Vice President, Strategic Accounts, from September 2014 to November 2016. Ms. Ducourty received a B.A. in International Marketing Management from Bournemouth University.</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Ms. Ducourty has extensive experience in the sales of technology products and business development from her positions at Google Cloud and Hewlett Packard Enterprise.</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Kenneth A. Goldman </w:t>
      </w:r>
      <w:r>
        <w:rPr>
          <w:rFonts w:ascii="Arial" w:cs="Arial" w:eastAsia="Arial" w:hAnsi="Arial"/>
          <w:sz w:val="18"/>
          <w:szCs w:val="18"/>
          <w:color w:val="auto"/>
        </w:rPr>
        <w:t>has served as a member of the Board of Directors since October 2020.</w:t>
      </w:r>
    </w:p>
    <w:p>
      <w:pPr>
        <w:spacing w:after="0" w:line="2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Mr. Goldman currently serves on the boards of directors of GoPro, Inc., NXP Semiconductor N.V., RingCentral, Inc. and Zuora, Inc. Mr. Goldman is also on the board of directors of the Sustainability Accounting Standard Board (“SASB”) Foundation, which is responsible for the financing, oversight, administration and appointment of the SASB Standard Board. Mr. Goldman holds a B.S. in Electrical Engineering from Cornell University and an M.B.A. from Harvard Business School.</w:t>
      </w:r>
    </w:p>
    <w:p>
      <w:pPr>
        <w:spacing w:after="0" w:line="129"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 xml:space="preserve">Jean Hu </w:t>
      </w:r>
      <w:r>
        <w:rPr>
          <w:rFonts w:ascii="Arial" w:cs="Arial" w:eastAsia="Arial" w:hAnsi="Arial"/>
          <w:sz w:val="17"/>
          <w:szCs w:val="17"/>
          <w:color w:val="auto"/>
        </w:rPr>
        <w:t>has served as a member of the Board of Directors since October 2019. Since August 2016,</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Hu has served as Executive Vice President and Chief Financial Officer of Marvell Technology Group</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Ltd., a semiconductor company. Prior to Marvell, Ms. Hu served as Senior Vice President and Chief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Officer of QLogic Corporation, a network server and storage networking company,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2011 to August 2016, and as acting Chief Executive Officer of QLogic from May 2013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February 2014 and from August 2015 to August 2016. From 2004 to 2011, Ms. Hu served in various senior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positions at Conexant Systems, Inc., a semiconductor company, including as Chief Financial Officer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Senior Vice President, Business Development from December 2008 to April 2011 and as Treasurer from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2009 until April 2011. Ms. Hu holds a B.S. in Chemical Engineering from Beijing University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Chemical Engineering and a Ph.D. in Economics from Claremont Graduate University</w:t>
      </w:r>
    </w:p>
    <w:p>
      <w:pPr>
        <w:spacing w:after="0" w:line="130"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Ms. Hu has extensive experience in the management of technology companies from her positions at Marvell and QLogic, and expertise in corporate financing, accounting and financial reporting.</w:t>
      </w: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Ming Hsieh </w:t>
      </w:r>
      <w:r>
        <w:rPr>
          <w:rFonts w:ascii="Arial" w:cs="Arial" w:eastAsia="Arial" w:hAnsi="Arial"/>
          <w:sz w:val="17"/>
          <w:szCs w:val="17"/>
          <w:color w:val="auto"/>
        </w:rPr>
        <w:t>has served as a member of the Board of Directors since April 2013. Mr. Hsieh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103"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Mr. Hsieh has leadership, operational and executive experience by serving as Chief Executive Officer, President and Chairman of the board of directors of Cogent.</w:t>
      </w:r>
    </w:p>
    <w:p>
      <w:pPr>
        <w:spacing w:after="0" w:line="10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b w:val="1"/>
          <w:bCs w:val="1"/>
          <w:i w:val="1"/>
          <w:iCs w:val="1"/>
          <w:color w:val="auto"/>
        </w:rPr>
        <w:t xml:space="preserve">William H. Neukom </w:t>
      </w:r>
      <w:r>
        <w:rPr>
          <w:rFonts w:ascii="Arial" w:cs="Arial" w:eastAsia="Arial" w:hAnsi="Arial"/>
          <w:sz w:val="18"/>
          <w:szCs w:val="18"/>
          <w:color w:val="auto"/>
        </w:rPr>
        <w:t>has served as a member of the Board of Directors since January 2013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13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w:t>
      </w:r>
    </w:p>
    <w:p>
      <w:pPr>
        <w:spacing w:after="0" w:line="2" w:lineRule="exact"/>
        <w:rPr>
          <w:sz w:val="20"/>
          <w:szCs w:val="20"/>
          <w:color w:val="auto"/>
        </w:rPr>
      </w:pPr>
    </w:p>
    <w:p>
      <w:pPr>
        <w:ind w:left="1260" w:right="679"/>
        <w:spacing w:after="0" w:line="271" w:lineRule="auto"/>
        <w:rPr>
          <w:sz w:val="20"/>
          <w:szCs w:val="20"/>
          <w:color w:val="auto"/>
        </w:rPr>
      </w:pPr>
      <w:r>
        <w:rPr>
          <w:rFonts w:ascii="Arial" w:cs="Arial" w:eastAsia="Arial" w:hAnsi="Arial"/>
          <w:sz w:val="17"/>
          <w:szCs w:val="17"/>
          <w:color w:val="auto"/>
        </w:rPr>
        <w:t>Mr. Neukom, with his experience with the technology industry and his expertise in legal, governance and compliance matters, brings a unique and valuable perspective to the Board of Directors.</w:t>
      </w:r>
    </w:p>
    <w:p>
      <w:pPr>
        <w:spacing w:after="0" w:line="8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Christopher B. Paisley </w:t>
      </w:r>
      <w:r>
        <w:rPr>
          <w:rFonts w:ascii="Arial" w:cs="Arial" w:eastAsia="Arial" w:hAnsi="Arial"/>
          <w:sz w:val="17"/>
          <w:szCs w:val="17"/>
          <w:color w:val="auto"/>
        </w:rPr>
        <w:t>has served as a member of the Board of Directors since February 2004 and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Lead Independent Director from July 2012 until April 2018. Since January 2001, Mr. Paisley has served as the Dean’s Executive Professor of Accounting at the Leavey School of Business at Santa Clara University. Mr. Paisley also serves as lead independent director of Equinix, Inc., a provider of network colocation, interconnection and managed services, a member of the board of directors of Ambarella, Inc., a developer of low-power, high- definition video compression and image processing semiconductors, and a member of the board directors of Fastly, Inc., a cloud computing services provider. Mr. Paisley previously served as a director of Fitbit, Inc., a connected health and fitness company, from January 2015 until</w:t>
      </w:r>
    </w:p>
    <w:p>
      <w:pPr>
        <w:spacing w:after="0" w:line="1"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May 2020 and a director of YuMe, Inc., a provider of digital video brand advertising solutions, from November 2012 until February 2018. Mr. Paisley holds a B.A. in business economics from the University of California at Santa Barbara and an M.B.A. from the Anderson School at the University of California at Los Angeles.</w:t>
      </w:r>
    </w:p>
    <w:p>
      <w:pPr>
        <w:spacing w:after="0" w:line="121"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Mr. Paisley’s term as a member of our Board of Directors will end at the 2021 Annual Meeting, and we thank him for hisdistinguished service.</w:t>
      </w:r>
    </w:p>
    <w:p>
      <w:pPr>
        <w:spacing w:after="0" w:line="103"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b w:val="1"/>
          <w:bCs w:val="1"/>
          <w:i w:val="1"/>
          <w:iCs w:val="1"/>
          <w:color w:val="auto"/>
        </w:rPr>
        <w:t xml:space="preserve">Judith Sim </w:t>
      </w:r>
      <w:r>
        <w:rPr>
          <w:rFonts w:ascii="Arial" w:cs="Arial" w:eastAsia="Arial" w:hAnsi="Arial"/>
          <w:sz w:val="18"/>
          <w:szCs w:val="18"/>
          <w:color w:val="auto"/>
        </w:rPr>
        <w:t>has served as a member of the Board of Directors since June 2015. Ms. Sim previously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customer-related and marketing positions at Oracle Corporation from 1991 to April 2020, including as its Chief Marketing Officer from 2005 to April 2020. Ms. Sim received a B.S. in dietetics from the University of California at Davis.</w:t>
      </w:r>
    </w:p>
    <w:p>
      <w:pPr>
        <w:spacing w:after="0" w:line="107"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columns below include Christopher B. Paisley, who is not nominated for election at the 2021 AnnualMeeting and whose term as a director will end at the 2021 Annual Meeting.</w:t>
      </w:r>
    </w:p>
    <w:p>
      <w:pPr>
        <w:sectPr>
          <w:pgSz w:w="11900" w:h="16838" w:orient="portrait"/>
          <w:cols w:equalWidth="0" w:num="1">
            <w:col w:w="9879"/>
          </w:cols>
          <w:pgMar w:left="580" w:top="132" w:right="1440" w:bottom="1440" w:gutter="0" w:footer="0" w:header="0"/>
        </w:sectPr>
      </w:pP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Expertise, Experience or Attribute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38100</wp:posOffset>
            </wp:positionV>
            <wp:extent cx="13112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15"/>
          <w:szCs w:val="15"/>
          <w:b w:val="1"/>
          <w:bCs w:val="1"/>
          <w:color w:val="auto"/>
        </w:rPr>
        <w:t>Cybersecurity</w:t>
      </w:r>
    </w:p>
    <w:p>
      <w:pPr>
        <w:spacing w:after="0" w:line="200" w:lineRule="exact"/>
        <w:rPr>
          <w:sz w:val="20"/>
          <w:szCs w:val="20"/>
          <w:color w:val="auto"/>
        </w:rPr>
      </w:pPr>
    </w:p>
    <w:p>
      <w:pPr>
        <w:spacing w:after="0" w:line="235" w:lineRule="exact"/>
        <w:rPr>
          <w:sz w:val="20"/>
          <w:szCs w:val="20"/>
          <w:color w:val="auto"/>
        </w:rPr>
      </w:pPr>
    </w:p>
    <w:p>
      <w:pPr>
        <w:ind w:left="1260" w:right="240"/>
        <w:spacing w:after="0" w:line="312" w:lineRule="auto"/>
        <w:rPr>
          <w:sz w:val="20"/>
          <w:szCs w:val="20"/>
          <w:color w:val="auto"/>
        </w:rPr>
      </w:pPr>
      <w:r>
        <w:rPr>
          <w:rFonts w:ascii="Arial" w:cs="Arial" w:eastAsia="Arial" w:hAnsi="Arial"/>
          <w:sz w:val="17"/>
          <w:szCs w:val="17"/>
          <w:b w:val="1"/>
          <w:bCs w:val="1"/>
          <w:color w:val="auto"/>
        </w:rPr>
        <w:t>Technology and Product Development</w:t>
      </w: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Leadership</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Diversity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Description</w:t>
      </w:r>
    </w:p>
    <w:p>
      <w:pPr>
        <w:spacing w:after="0" w:line="3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Extensive knowledge of corporate and global issues related to cybersecurity challenges within private and public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2743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right="140"/>
        <w:spacing w:after="0" w:line="230" w:lineRule="auto"/>
        <w:rPr>
          <w:sz w:val="20"/>
          <w:szCs w:val="20"/>
          <w:color w:val="auto"/>
        </w:rPr>
      </w:pPr>
      <w:r>
        <w:rPr>
          <w:rFonts w:ascii="Arial" w:cs="Arial" w:eastAsia="Arial" w:hAnsi="Arial"/>
          <w:sz w:val="18"/>
          <w:szCs w:val="18"/>
          <w:color w:val="auto"/>
        </w:rPr>
        <w:t>Significant background working in the technology industry and in management of technology companies; experience in product development, including engineering and design.</w:t>
      </w:r>
    </w:p>
    <w:p>
      <w:pPr>
        <w:spacing w:after="0" w:line="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Extensive executive, director or management experience from leadership and governance roles in corporations, government or public organizations.</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Representation of gender, ethnic, geographic, cultural or other perspectives that expand the Board of Directors’ understanding of the needs and viewpoints of our customers, partners, employees and other stakeholders.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auto"/>
        </w:rPr>
        <w:t>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38100</wp:posOffset>
            </wp:positionV>
            <wp:extent cx="8743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2 of 9</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9 of 9</w:t>
      </w: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9 of 9</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6 of 9</w:t>
      </w:r>
    </w:p>
    <w:p>
      <w:pPr>
        <w:spacing w:after="0" w:line="589" w:lineRule="exact"/>
        <w:rPr>
          <w:sz w:val="20"/>
          <w:szCs w:val="20"/>
          <w:color w:val="auto"/>
        </w:rPr>
      </w:pPr>
    </w:p>
    <w:p>
      <w:pPr>
        <w:sectPr>
          <w:pgSz w:w="11900" w:h="16838" w:orient="portrait"/>
          <w:cols w:equalWidth="0" w:num="3">
            <w:col w:w="3300" w:space="240"/>
            <w:col w:w="4260" w:space="360"/>
            <w:col w:w="171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5"/>
          <w:szCs w:val="15"/>
          <w:b w:val="1"/>
          <w:bCs w:val="1"/>
          <w:color w:val="auto"/>
        </w:rPr>
        <w:t>Public Service and Legal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Finance</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20"/>
                <w:szCs w:val="20"/>
                <w:color w:val="auto"/>
              </w:rPr>
            </w:pPr>
            <w:r>
              <w:rPr>
                <w:rFonts w:ascii="Arial" w:cs="Arial" w:eastAsia="Arial" w:hAnsi="Arial"/>
                <w:sz w:val="18"/>
                <w:szCs w:val="18"/>
                <w:color w:val="auto"/>
              </w:rPr>
              <w:t>Dedication to public service through leadership of</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w w:val="80"/>
              </w:rPr>
              <w:t>3 of 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government, non-governmental organizations and not-</w:t>
            </w:r>
          </w:p>
        </w:tc>
        <w:tc>
          <w:tcPr>
            <w:tcW w:w="80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for-profit institutions; extensive experience in legal and</w:t>
            </w:r>
          </w:p>
        </w:tc>
        <w:tc>
          <w:tcPr>
            <w:tcW w:w="8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compliance matters.</w:t>
            </w:r>
          </w:p>
        </w:tc>
        <w:tc>
          <w:tcPr>
            <w:tcW w:w="800" w:type="dxa"/>
            <w:vAlign w:val="bottom"/>
          </w:tcPr>
          <w:p>
            <w:pPr>
              <w:spacing w:after="0"/>
              <w:rPr>
                <w:sz w:val="20"/>
                <w:szCs w:val="20"/>
                <w:color w:val="auto"/>
              </w:rPr>
            </w:pPr>
          </w:p>
        </w:tc>
      </w:tr>
      <w:tr>
        <w:trPr>
          <w:trHeight w:val="242"/>
        </w:trPr>
        <w:tc>
          <w:tcPr>
            <w:tcW w:w="4620" w:type="dxa"/>
            <w:vAlign w:val="bottom"/>
          </w:tcPr>
          <w:p>
            <w:pPr>
              <w:spacing w:after="0"/>
              <w:rPr>
                <w:sz w:val="20"/>
                <w:szCs w:val="20"/>
                <w:color w:val="auto"/>
              </w:rPr>
            </w:pPr>
            <w:r>
              <w:rPr>
                <w:rFonts w:ascii="Arial" w:cs="Arial" w:eastAsia="Arial" w:hAnsi="Arial"/>
                <w:sz w:val="18"/>
                <w:szCs w:val="18"/>
                <w:color w:val="auto"/>
              </w:rPr>
              <w:t>Leadership of a financial firm or management of the</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w w:val="80"/>
              </w:rPr>
              <w:t>3 of 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finance function of an enterprise, resulting in financial</w:t>
            </w:r>
          </w:p>
        </w:tc>
        <w:tc>
          <w:tcPr>
            <w:tcW w:w="8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proficiency and expertise.</w:t>
            </w:r>
          </w:p>
        </w:tc>
        <w:tc>
          <w:tcPr>
            <w:tcW w:w="800" w:type="dxa"/>
            <w:vAlign w:val="bottom"/>
          </w:tcPr>
          <w:p>
            <w:pPr>
              <w:spacing w:after="0"/>
              <w:rPr>
                <w:sz w:val="20"/>
                <w:szCs w:val="20"/>
                <w:color w:val="auto"/>
              </w:rPr>
            </w:pPr>
          </w:p>
        </w:tc>
      </w:tr>
      <w:tr>
        <w:trPr>
          <w:trHeight w:val="242"/>
        </w:trPr>
        <w:tc>
          <w:tcPr>
            <w:tcW w:w="4620" w:type="dxa"/>
            <w:vAlign w:val="bottom"/>
          </w:tcPr>
          <w:p>
            <w:pPr>
              <w:spacing w:after="0"/>
              <w:rPr>
                <w:sz w:val="20"/>
                <w:szCs w:val="20"/>
                <w:color w:val="auto"/>
              </w:rPr>
            </w:pPr>
            <w:r>
              <w:rPr>
                <w:rFonts w:ascii="Arial" w:cs="Arial" w:eastAsia="Arial" w:hAnsi="Arial"/>
                <w:sz w:val="18"/>
                <w:szCs w:val="18"/>
                <w:color w:val="auto"/>
              </w:rPr>
              <w:t>Experience in sales or marketing, and leadership of</w:t>
            </w:r>
          </w:p>
        </w:tc>
        <w:tc>
          <w:tcPr>
            <w:tcW w:w="800" w:type="dxa"/>
            <w:vAlign w:val="bottom"/>
          </w:tcPr>
          <w:p>
            <w:pPr>
              <w:ind w:left="400"/>
              <w:spacing w:after="0"/>
              <w:rPr>
                <w:sz w:val="20"/>
                <w:szCs w:val="20"/>
                <w:color w:val="auto"/>
              </w:rPr>
            </w:pPr>
            <w:r>
              <w:rPr>
                <w:rFonts w:ascii="Arial" w:cs="Arial" w:eastAsia="Arial" w:hAnsi="Arial"/>
                <w:sz w:val="18"/>
                <w:szCs w:val="18"/>
                <w:b w:val="1"/>
                <w:bCs w:val="1"/>
                <w:color w:val="auto"/>
                <w:w w:val="80"/>
              </w:rPr>
              <w:t>2 of 9</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corporate sales or marketing functions.</w:t>
            </w:r>
          </w:p>
        </w:tc>
        <w:tc>
          <w:tcPr>
            <w:tcW w:w="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080" w:space="460"/>
            <w:col w:w="6339"/>
          </w:cols>
          <w:pgMar w:left="580" w:top="132" w:right="1440" w:bottom="1440" w:gutter="0" w:footer="0" w:header="0"/>
          <w:type w:val="continuous"/>
        </w:sectPr>
      </w:pP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Tenure and Age Distribution</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2021).</w:t>
      </w:r>
    </w:p>
    <w:p>
      <w:pPr>
        <w:spacing w:after="0" w:line="127"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Tenure</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 of Directors</w:t>
            </w:r>
          </w:p>
        </w:tc>
        <w:tc>
          <w:tcPr>
            <w:tcW w:w="2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Number of Directors</w:t>
            </w:r>
          </w:p>
        </w:tc>
      </w:tr>
      <w:tr>
        <w:trPr>
          <w:trHeight w:val="228"/>
        </w:trPr>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More than 10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70+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29"/>
        </w:trPr>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6 – 10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61 – 70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30"/>
        </w:trPr>
        <w:tc>
          <w:tcPr>
            <w:tcW w:w="24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 – 5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0"/>
                <w:szCs w:val="20"/>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45 – 60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Evaluations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The Board of Directors conducts an annual self-evaluation for itself and its committees. As part of this process, each member of the Board of Directors completes a survey conducted by a third-party consulting firm to help assess the performance of the Board of Directors and its committees, their own individual performance and the performance of fellow directors. The feedback received is shared first with the Governance Committee, and then made available to the individual directors and the full Board of Directors.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evaluation process is used:</w:t>
      </w:r>
    </w:p>
    <w:p>
      <w:pPr>
        <w:spacing w:after="0" w:line="104" w:lineRule="exact"/>
        <w:rPr>
          <w:sz w:val="20"/>
          <w:szCs w:val="20"/>
          <w:color w:val="auto"/>
        </w:rPr>
      </w:pPr>
    </w:p>
    <w:p>
      <w:pPr>
        <w:jc w:val="both"/>
        <w:ind w:left="1800" w:right="639" w:hanging="180"/>
        <w:spacing w:after="0" w:line="286"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sectPr>
          <w:pgSz w:w="11900" w:h="16838" w:orient="portrait"/>
          <w:cols w:equalWidth="0" w:num="1">
            <w:col w:w="9879"/>
          </w:cols>
          <w:pgMar w:left="580" w:top="132" w:right="1440" w:bottom="1440" w:gutter="0" w:footer="0" w:header="0"/>
          <w:type w:val="continuous"/>
        </w:sectPr>
      </w:pPr>
    </w:p>
    <w:p>
      <w:pPr>
        <w:spacing w:after="0" w:line="34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308"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by the Board of Directors and the Governance Committee to identify the strengths and areas of opportunity of each member of the Board of Directors, the Board as a whole and each committee;</w:t>
      </w:r>
    </w:p>
    <w:p>
      <w:pPr>
        <w:spacing w:after="0" w:line="38" w:lineRule="exact"/>
        <w:rPr>
          <w:rFonts w:ascii="Arial" w:cs="Arial" w:eastAsia="Arial" w:hAnsi="Arial"/>
          <w:sz w:val="17"/>
          <w:szCs w:val="17"/>
          <w:color w:val="auto"/>
        </w:rPr>
      </w:pPr>
    </w:p>
    <w:p>
      <w:pPr>
        <w:ind w:left="1800" w:right="43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by the Board of Directors to provide insight into how the Board as a whole, each committee and each member of the Board of Directors can be most valuable;</w:t>
      </w:r>
    </w:p>
    <w:p>
      <w:pPr>
        <w:spacing w:after="0" w:line="62" w:lineRule="exact"/>
        <w:rPr>
          <w:rFonts w:ascii="Arial" w:cs="Arial" w:eastAsia="Arial" w:hAnsi="Arial"/>
          <w:sz w:val="18"/>
          <w:szCs w:val="18"/>
          <w:color w:val="auto"/>
        </w:rPr>
      </w:pPr>
    </w:p>
    <w:p>
      <w:pPr>
        <w:ind w:left="1800" w:right="919" w:hanging="180"/>
        <w:spacing w:after="0" w:line="308"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improve agenda topics of the Board of Directors and its committees so that information they receive enables them to effectively address the issues they consider most critical; and</w:t>
      </w:r>
    </w:p>
    <w:p>
      <w:pPr>
        <w:spacing w:after="0" w:line="38" w:lineRule="exact"/>
        <w:rPr>
          <w:rFonts w:ascii="Arial" w:cs="Arial" w:eastAsia="Arial" w:hAnsi="Arial"/>
          <w:sz w:val="17"/>
          <w:szCs w:val="17"/>
          <w:color w:val="auto"/>
        </w:rPr>
      </w:pPr>
    </w:p>
    <w:p>
      <w:pPr>
        <w:ind w:left="1800" w:right="879" w:hanging="180"/>
        <w:spacing w:after="0" w:line="308"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by the Governance Committee as part of its annual review of each director’s performance when considering whether to nominate the director for re-election to the Board of Directors.</w:t>
      </w:r>
    </w:p>
    <w:p>
      <w:pPr>
        <w:spacing w:after="0" w:line="65"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 Compensation of Directors</w:t>
      </w:r>
      <w:r>
        <w:rPr>
          <w:rFonts w:ascii="Arial" w:cs="Arial" w:eastAsia="Arial" w:hAnsi="Arial"/>
          <w:sz w:val="18"/>
          <w:szCs w:val="18"/>
          <w:color w:val="auto"/>
        </w:rPr>
        <w:t>” for additional information regarding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The Audit Committee of the Board of Directors (the “Audit Committee”) has selected Deloitte &amp; Touche LLP as Fortinet’s independent registered public accounting firm to audit the financial statements of Fortinet for the fiscal year ending December 31, 2021, which will include an audit of the effectiveness of Fortinet’s internal control over financial reporting. A representative of Deloitte &amp; Touche LLP is expected to be present at the 2021 Annual Meeting, will have the opportunity to make a statement if such representative desires to do so and is expected to be available to respond to appropriate questions.</w:t>
      </w:r>
    </w:p>
    <w:p>
      <w:pPr>
        <w:spacing w:after="0" w:line="11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84" w:lineRule="exact"/>
        <w:rPr>
          <w:sz w:val="20"/>
          <w:szCs w:val="20"/>
          <w:color w:val="auto"/>
        </w:rPr>
      </w:pPr>
    </w:p>
    <w:p>
      <w:pPr>
        <w:jc w:val="center"/>
        <w:ind w:left="1880" w:right="180"/>
        <w:spacing w:after="0" w:line="289" w:lineRule="auto"/>
        <w:rPr>
          <w:sz w:val="20"/>
          <w:szCs w:val="20"/>
          <w:color w:val="auto"/>
        </w:rPr>
      </w:pPr>
      <w:r>
        <w:rPr>
          <w:rFonts w:ascii="Arial" w:cs="Arial" w:eastAsia="Arial" w:hAnsi="Arial"/>
          <w:sz w:val="17"/>
          <w:szCs w:val="17"/>
          <w:b w:val="1"/>
          <w:bCs w:val="1"/>
          <w:color w:val="auto"/>
        </w:rPr>
        <w:t>THE BOARD OF DIRECTORS RECOMMENDS A VOTE “FOR” THE RATIFICATION OF THE APPOINTMENT OF DELOITTE &amp; TOUCHE LLP AS FORTINET’S INDEPENDENT REGISTERED PUBLIC ACCOUNTING FIRM FOR THE FISCAL YEAR ENDING DECEMBER 31,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62"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The following table presents fees billed for professional audit services and other services rendered to Fortinet by Deloitte &amp; Touche LLP for the years ended December 31, 2020 and December 31, 2019.</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25"/>
        </w:trPr>
        <w:tc>
          <w:tcPr>
            <w:tcW w:w="1940" w:type="dxa"/>
            <w:vAlign w:val="bottom"/>
            <w:gridSpan w:val="2"/>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4"/>
        </w:trPr>
        <w:tc>
          <w:tcPr>
            <w:tcW w:w="360" w:type="dxa"/>
            <w:vAlign w:val="bottom"/>
          </w:tcPr>
          <w:p>
            <w:pPr>
              <w:spacing w:after="0"/>
              <w:rPr>
                <w:sz w:val="22"/>
                <w:szCs w:val="22"/>
                <w:color w:val="auto"/>
              </w:rPr>
            </w:pPr>
          </w:p>
        </w:tc>
        <w:tc>
          <w:tcPr>
            <w:tcW w:w="5600" w:type="dxa"/>
            <w:vAlign w:val="bottom"/>
            <w:tcBorders>
              <w:top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$2,850,299</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$2,747,386</w:t>
            </w:r>
          </w:p>
        </w:tc>
      </w:tr>
      <w:tr>
        <w:trPr>
          <w:trHeight w:val="270"/>
        </w:trPr>
        <w:tc>
          <w:tcPr>
            <w:tcW w:w="360" w:type="dxa"/>
            <w:vAlign w:val="bottom"/>
          </w:tcPr>
          <w:p>
            <w:pPr>
              <w:spacing w:after="0"/>
              <w:rPr>
                <w:sz w:val="23"/>
                <w:szCs w:val="23"/>
                <w:color w:val="auto"/>
              </w:rPr>
            </w:pPr>
          </w:p>
        </w:tc>
        <w:tc>
          <w:tcPr>
            <w:tcW w:w="5600" w:type="dxa"/>
            <w:vAlign w:val="bottom"/>
            <w:gridSpan w:val="2"/>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650,000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580,650</w:t>
            </w:r>
          </w:p>
        </w:tc>
      </w:tr>
      <w:tr>
        <w:trPr>
          <w:trHeight w:val="270"/>
        </w:trPr>
        <w:tc>
          <w:tcPr>
            <w:tcW w:w="360" w:type="dxa"/>
            <w:vAlign w:val="bottom"/>
          </w:tcPr>
          <w:p>
            <w:pPr>
              <w:spacing w:after="0"/>
              <w:rPr>
                <w:sz w:val="23"/>
                <w:szCs w:val="23"/>
                <w:color w:val="auto"/>
              </w:rPr>
            </w:pPr>
          </w:p>
        </w:tc>
        <w:tc>
          <w:tcPr>
            <w:tcW w:w="56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640,361</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531,039</w:t>
            </w:r>
          </w:p>
        </w:tc>
      </w:tr>
      <w:tr>
        <w:trPr>
          <w:trHeight w:val="284"/>
        </w:trPr>
        <w:tc>
          <w:tcPr>
            <w:tcW w:w="360" w:type="dxa"/>
            <w:vAlign w:val="bottom"/>
          </w:tcPr>
          <w:p>
            <w:pPr>
              <w:spacing w:after="0"/>
              <w:rPr>
                <w:sz w:val="24"/>
                <w:szCs w:val="24"/>
                <w:color w:val="auto"/>
              </w:rPr>
            </w:pPr>
          </w:p>
        </w:tc>
        <w:tc>
          <w:tcPr>
            <w:tcW w:w="5600" w:type="dxa"/>
            <w:vAlign w:val="bottom"/>
            <w:tcBorders>
              <w:bottom w:val="single" w:sz="8" w:color="CCEEFF"/>
            </w:tcBorders>
            <w:gridSpan w:val="2"/>
          </w:tcPr>
          <w:p>
            <w:pPr>
              <w:spacing w:after="0" w:line="283" w:lineRule="exact"/>
              <w:rPr>
                <w:sz w:val="20"/>
                <w:szCs w:val="20"/>
                <w:color w:val="auto"/>
              </w:rPr>
            </w:pPr>
            <w:r>
              <w:rPr>
                <w:rFonts w:ascii="Arial" w:cs="Arial" w:eastAsia="Arial" w:hAnsi="Arial"/>
                <w:sz w:val="18"/>
                <w:szCs w:val="18"/>
                <w:color w:val="auto"/>
              </w:rPr>
              <w:t>All Other Fees</w:t>
            </w:r>
            <w:r>
              <w:rPr>
                <w:rFonts w:ascii="Arial" w:cs="Arial" w:eastAsia="Arial" w:hAnsi="Arial"/>
                <w:sz w:val="26"/>
                <w:szCs w:val="26"/>
                <w:color w:val="auto"/>
                <w:vertAlign w:val="superscript"/>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360" w:type="dxa"/>
            <w:vAlign w:val="bottom"/>
          </w:tcPr>
          <w:p>
            <w:pPr>
              <w:spacing w:after="0"/>
              <w:rPr>
                <w:sz w:val="24"/>
                <w:szCs w:val="24"/>
                <w:color w:val="auto"/>
              </w:rPr>
            </w:pPr>
          </w:p>
        </w:tc>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$4,142,555</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$3,859,075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225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-993775</wp:posOffset>
            </wp:positionV>
            <wp:extent cx="42176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28" w:lineRule="exact"/>
        <w:rPr>
          <w:sz w:val="20"/>
          <w:szCs w:val="20"/>
          <w:color w:val="auto"/>
        </w:rPr>
      </w:pPr>
    </w:p>
    <w:p>
      <w:pPr>
        <w:ind w:left="1620" w:right="479" w:hanging="360"/>
        <w:spacing w:after="0" w:line="25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52" w:lineRule="exact"/>
        <w:rPr>
          <w:rFonts w:ascii="Arial" w:cs="Arial" w:eastAsia="Arial" w:hAnsi="Arial"/>
          <w:sz w:val="18"/>
          <w:szCs w:val="18"/>
          <w:color w:val="auto"/>
        </w:rPr>
      </w:pPr>
    </w:p>
    <w:p>
      <w:pPr>
        <w:ind w:left="1620" w:right="499" w:hanging="360"/>
        <w:spacing w:after="0" w:line="293" w:lineRule="auto"/>
        <w:tabs>
          <w:tab w:leader="none" w:pos="1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Audit-Related Fees consist of fees for assurance and related services that are reasonably related to the performance of the audit or review of our consolidated financial statements and which are not reported under Audit Fees above. In 2020, Audit-Related Fees related primarily to the impact of COVID-19 pandemic on our business, covenant-not-to-sue and business combinations. In 2019, Audit-Related Fees also related primarily to cybersecurity matters, business combinations, the implementation of Accounting Standards Codification Topic 842 and matters related to revenue recognition.</w:t>
      </w:r>
    </w:p>
    <w:p>
      <w:pPr>
        <w:spacing w:after="0" w:line="29" w:lineRule="exact"/>
        <w:rPr>
          <w:rFonts w:ascii="Arial" w:cs="Arial" w:eastAsia="Arial" w:hAnsi="Arial"/>
          <w:sz w:val="16"/>
          <w:szCs w:val="16"/>
          <w:color w:val="auto"/>
        </w:rPr>
      </w:pPr>
    </w:p>
    <w:p>
      <w:pPr>
        <w:ind w:left="1620" w:right="439" w:hanging="360"/>
        <w:spacing w:after="0" w:line="263"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consist of fees for services related to federal and state income tax compliance, transfer pricing review, reports related to research and development credits, country-by-country reporting, the Foreign Derived Intangible Income and U.S. tax reform.</w:t>
      </w:r>
    </w:p>
    <w:p>
      <w:pPr>
        <w:spacing w:after="0" w:line="48" w:lineRule="exact"/>
        <w:rPr>
          <w:rFonts w:ascii="Arial" w:cs="Arial" w:eastAsia="Arial" w:hAnsi="Arial"/>
          <w:sz w:val="18"/>
          <w:szCs w:val="18"/>
          <w:color w:val="auto"/>
        </w:rPr>
      </w:pPr>
    </w:p>
    <w:p>
      <w:pPr>
        <w:ind w:left="1620" w:right="1019" w:hanging="360"/>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Fees consist of products and services provided by Deloitte &amp; Touche LLP that are not included in the service categories reported above.</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Approval of Audit and Non-Audit Services</w:t>
      </w:r>
    </w:p>
    <w:p>
      <w:pPr>
        <w:spacing w:after="0" w:line="148"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9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All Deloitte &amp; Touche LLP services and fees in fiscal 2020 and fiscal 2019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111" w:lineRule="exact"/>
        <w:rPr>
          <w:sz w:val="20"/>
          <w:szCs w:val="20"/>
          <w:color w:val="auto"/>
        </w:rPr>
      </w:pPr>
    </w:p>
    <w:p>
      <w:pPr>
        <w:ind w:left="1260" w:right="979" w:firstLine="360"/>
        <w:spacing w:after="0" w:line="279" w:lineRule="auto"/>
        <w:rPr>
          <w:sz w:val="20"/>
          <w:szCs w:val="20"/>
          <w:color w:val="auto"/>
        </w:rPr>
      </w:pPr>
      <w:r>
        <w:rPr>
          <w:rFonts w:ascii="Arial" w:cs="Arial" w:eastAsia="Arial" w:hAnsi="Arial"/>
          <w:sz w:val="17"/>
          <w:szCs w:val="17"/>
          <w:color w:val="auto"/>
        </w:rPr>
        <w:t>The say-on-pay vote is advisory, and therefore not binding on Fortinet, the Human Resources Committee of the Board of Directors (the “Human Resources Committee”) or the Board of Directors. Following the 2021 Annual Meeting, the next such non-binding advisory vote to approve our named executive officers’ compensation as a whole is scheduled to occur at the 2022 Annual Meeting.</w:t>
      </w:r>
    </w:p>
    <w:p>
      <w:pPr>
        <w:spacing w:after="0" w:line="10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and in particular the information discussed in “</w:t>
      </w:r>
      <w:r>
        <w:rPr>
          <w:rFonts w:ascii="Arial" w:cs="Arial" w:eastAsia="Arial" w:hAnsi="Arial"/>
          <w:sz w:val="17"/>
          <w:szCs w:val="17"/>
          <w:i w:val="1"/>
          <w:iCs w:val="1"/>
          <w:color w:val="auto"/>
        </w:rPr>
        <w:t>Executive Compensation — 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w:t>
      </w:r>
      <w:r>
        <w:rPr>
          <w:rFonts w:ascii="Arial" w:cs="Arial" w:eastAsia="Arial" w:hAnsi="Arial"/>
          <w:sz w:val="17"/>
          <w:szCs w:val="17"/>
          <w:color w:val="auto"/>
        </w:rPr>
        <w:t>” demonstrates that our executive compensation program was designed appropriately and is</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to ensure our executive officers’ interests are aligned with our stockholders’ interests. Accordingly, we ask our stockholders to vote “FOR” the following resolution at the 2021 Annual Meeting:</w:t>
      </w:r>
    </w:p>
    <w:p>
      <w:pPr>
        <w:spacing w:after="0" w:line="9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“RESOLVED, that Fortinet’s stockholders approve, on an advisory basis, the compensation of the named executive officers, as disclosed in Fortinet’s proxy statement for the 2021 Annual Meeting pursuant to the Item 402 of Regulation S-K, including the Compensation Discussion and Analysis, the compensation tables and narrative discussion and the other related disclosure.”</w:t>
      </w:r>
    </w:p>
    <w:p>
      <w:pPr>
        <w:spacing w:after="0" w:line="18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CORPORATE SOCIAL RESPONSIBILITY</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Our primary purpose is to develop networking and security solutions that protect and empower our customers, thereby allowing them to focus on effectively accomplishing their respective missions and helping make the world a safe place to live and work. Our customers include healthcare providers; kindergarten to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grade schools; colleges and universities; critical infrastructure providers; small, medium and large businesses; and government organizations. Our products are designed to help empower organizations to protect their confidential and private information and intellectual property, and to run their businesses without the operational disruption that can result from attacks by sophisticated hackers. We believe cybersecurity is essential to achieving just and sustainable societies, and that it is our corporate social responsibility to help build trust in the digital world by innovating sustainable security technologies, helping develop cybersecurity talent and promoting responsible business across our value chain.</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Board of Directors is committed to meeting its social responsibilities and, in January 2021, formed the Social Responsibility Committee of the Board of Directors (the “Social Responsibility Committee”) to promote long-term value for our stakeholders, including customers, partners, suppliers, employees, stockholders and communities. The charter of the Social Responsibility Committee provides for Social Responsibility Committee oversight of our social responsibility and environmental, social and governance (“ESG”) initiatives. The creation of the Social Responsibility Committee formalizes our focus on promoting social responsibility at the highest level of our governance. We have engaged an independent consultancy to conduct a materiality assessment to help us define the social responsibility priorities that are most important to our business and to our stakeholders. The outcome of this assessment will further inform our sustainability strategy, priorities and disclosure.</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prioritize multiple positive social responsibility related initiatives, such as:</w:t>
      </w:r>
    </w:p>
    <w:p>
      <w:pPr>
        <w:spacing w:after="0" w:line="117" w:lineRule="exact"/>
        <w:rPr>
          <w:sz w:val="20"/>
          <w:szCs w:val="20"/>
          <w:color w:val="auto"/>
        </w:rPr>
      </w:pPr>
    </w:p>
    <w:p>
      <w:pPr>
        <w:ind w:left="1800" w:right="499" w:hanging="180"/>
        <w:spacing w:after="0" w:line="252"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Growing a Diverse Cybersecurity Workforce</w:t>
      </w:r>
      <w:r>
        <w:rPr>
          <w:rFonts w:ascii="Arial" w:cs="Arial" w:eastAsia="Arial" w:hAnsi="Arial"/>
          <w:sz w:val="18"/>
          <w:szCs w:val="18"/>
          <w:color w:val="auto"/>
        </w:rPr>
        <w:t>. We have continued to significantly increase our hiring,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employing over 8,000 people. In addition to supporting these employees with compensation and healthcare, we provide employees valuable security training to help them with skillset and career development opportunities and help narrow the security skills gap worldwide. We have also established programs designed to ensure diversity, equity and inclusion in the workplace, including unconscious bias training for all managers across the company, and we also ensure a culture focused on providing opportunity based on merit. We collaborated with certain stockholders on our approach to diversity and inclusion, and, in March 2021, published our first Diversity &amp; Inclusion report, which reflects our commitment to build a diverse and inclusive organization, industry and global community. We lead in diversity from the top: our Board of Directors is more diverse than a majority of our peers’ boards, with our Board being comprised of over 50% diversity in terms of membership from under-represented groups, and one third of our Board seats are held by women</w:t>
      </w:r>
    </w:p>
    <w:p>
      <w:pPr>
        <w:spacing w:after="0" w:line="117" w:lineRule="exact"/>
        <w:rPr>
          <w:rFonts w:ascii="Arial" w:cs="Arial" w:eastAsia="Arial" w:hAnsi="Arial"/>
          <w:sz w:val="18"/>
          <w:szCs w:val="18"/>
          <w:color w:val="auto"/>
        </w:rPr>
      </w:pPr>
    </w:p>
    <w:p>
      <w:pPr>
        <w:ind w:left="1800" w:right="499"/>
        <w:spacing w:after="0" w:line="254" w:lineRule="auto"/>
        <w:rPr>
          <w:rFonts w:ascii="Arial" w:cs="Arial" w:eastAsia="Arial" w:hAnsi="Arial"/>
          <w:sz w:val="18"/>
          <w:szCs w:val="18"/>
          <w:color w:val="auto"/>
        </w:rPr>
      </w:pPr>
      <w:r>
        <w:rPr>
          <w:rFonts w:ascii="Arial" w:cs="Arial" w:eastAsia="Arial" w:hAnsi="Arial"/>
          <w:sz w:val="18"/>
          <w:szCs w:val="18"/>
          <w:color w:val="auto"/>
        </w:rPr>
        <w:t>In response to a widening cybersecurity skills gap, we have provided our employees and the public with free access to more than 30 security courses, which can be used to gain continuing professional credits. We recorded over 800,000 registrations for our free training offerings in 2020. We also expanded our Fortinet Security Academy program to over 300 institutions around the world, including K-12, Higher Education and non-profits focused on career readiness, to provide students the opportunity to become cybersecurity professionals and create a cybersecurity-aware population of technology users and consumers.</w:t>
      </w:r>
    </w:p>
    <w:p>
      <w:pPr>
        <w:spacing w:after="0" w:line="86" w:lineRule="exact"/>
        <w:rPr>
          <w:rFonts w:ascii="Arial" w:cs="Arial" w:eastAsia="Arial" w:hAnsi="Arial"/>
          <w:sz w:val="18"/>
          <w:szCs w:val="18"/>
          <w:color w:val="auto"/>
        </w:rPr>
      </w:pPr>
    </w:p>
    <w:p>
      <w:pPr>
        <w:ind w:left="1800" w:right="439" w:hanging="180"/>
        <w:spacing w:after="0" w:line="270"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Innovating for a Safe Internet</w:t>
      </w:r>
      <w:r>
        <w:rPr>
          <w:rFonts w:ascii="Arial" w:cs="Arial" w:eastAsia="Arial" w:hAnsi="Arial"/>
          <w:sz w:val="17"/>
          <w:szCs w:val="17"/>
          <w:color w:val="auto"/>
        </w:rPr>
        <w:t>. Fortinet is committed to combating cybercrime and cyber breaches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continuously innovating its products and threat intelligence. We are a co-founder of the Cyber Threat Alliance, which was created to share threat intelligence with other security organizations in order to fight bad actors, and we are actively engaged with more than 200 partners, including threat intelligence peers, national CERT/CSIRT teams, government agencies, international law enforcement organizations including NATO and Interpol and other critical partners. As a founding member of the World Economic Forum (“WEF”) Centre for Cybersecurity, Fortinet has taken an active part of the WEF’s working group, which promotes public-private collaboration in the fight against cybercrime, and we were one of the main contributors to their first report published in November 2020.</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hanging="180"/>
        <w:spacing w:after="0" w:line="270"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Respecting the Environment</w:t>
      </w:r>
      <w:r>
        <w:rPr>
          <w:rFonts w:ascii="Arial" w:cs="Arial" w:eastAsia="Arial" w:hAnsi="Arial"/>
          <w:sz w:val="17"/>
          <w:szCs w:val="17"/>
          <w:color w:val="auto"/>
        </w:rPr>
        <w:t>. Our business strategy from its inception has promoted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sustainability by integrating multiple security and networking functions into one appliance that is more energy efficient and environmentally sustainable than the previous method of using multiple point products, which require multiple power sources, more space and more cooling. Fortinet also promotes environmentally sustainable operational practices worldwide, such as utilizing reusable energy in facilities, building Leadership in Energy and Environmental Design (“LEED”) Gold-certified facilities and supporting environmentally friendly practices such as electric-car usage. Fortinet also goes beyond regulatory requirements to restrict hazardous substances in its appliances and to ensure proper electronic waste removal and recycling of its appliances.</w:t>
      </w:r>
    </w:p>
    <w:p>
      <w:pPr>
        <w:spacing w:after="0" w:line="72" w:lineRule="exact"/>
        <w:rPr>
          <w:rFonts w:ascii="Arial" w:cs="Arial" w:eastAsia="Arial" w:hAnsi="Arial"/>
          <w:sz w:val="17"/>
          <w:szCs w:val="17"/>
          <w:color w:val="auto"/>
        </w:rPr>
      </w:pPr>
    </w:p>
    <w:p>
      <w:pPr>
        <w:ind w:left="1800" w:right="439" w:hanging="180"/>
        <w:spacing w:after="0" w:line="25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Promoting Responsible Business</w:t>
      </w:r>
      <w:r>
        <w:rPr>
          <w:rFonts w:ascii="Arial" w:cs="Arial" w:eastAsia="Arial" w:hAnsi="Arial"/>
          <w:sz w:val="18"/>
          <w:szCs w:val="18"/>
          <w:color w:val="auto"/>
        </w:rPr>
        <w:t>. Our focus on strong governance is evidenced by our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actions. In 2018, the Board of Directors, on its own initiative, moved away from a staggered board to put all incumbent directors up for reelection each year. In July 2020, the Board of Directors amended and restated our bylaws to allow stockholders to call special meetings of the stockholders. This year, we added to our amended and restated bylaws the ability for stockholder to place their nominees for director on our proxy ballot. For more information, please see the “</w:t>
      </w:r>
      <w:r>
        <w:rPr>
          <w:rFonts w:ascii="Arial" w:cs="Arial" w:eastAsia="Arial" w:hAnsi="Arial"/>
          <w:sz w:val="18"/>
          <w:szCs w:val="18"/>
          <w:i w:val="1"/>
          <w:iCs w:val="1"/>
          <w:color w:val="auto"/>
        </w:rPr>
        <w:t>Proxy Access</w:t>
      </w:r>
      <w:r>
        <w:rPr>
          <w:rFonts w:ascii="Arial" w:cs="Arial" w:eastAsia="Arial" w:hAnsi="Arial"/>
          <w:sz w:val="18"/>
          <w:szCs w:val="18"/>
          <w:color w:val="auto"/>
        </w:rPr>
        <w:t>” section of this proxy statement. We also promote socially responsible governance throughout our value chain, including with our supply chain, for which we have processes in place to promote the protection of human rights.</w:t>
      </w:r>
    </w:p>
    <w:p>
      <w:pPr>
        <w:spacing w:after="0" w:line="88"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COVID-19 Response</w:t>
      </w:r>
      <w:r>
        <w:rPr>
          <w:rFonts w:ascii="Arial" w:cs="Arial" w:eastAsia="Arial" w:hAnsi="Arial"/>
          <w:sz w:val="18"/>
          <w:szCs w:val="18"/>
          <w:color w:val="auto"/>
        </w:rPr>
        <w:t>. We have shown leadership by establishing our COVID-19 Response Plan,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actions to help our employees, customers and community. Early in the pandemic, we committed to avoiding Covid-related layoffs and have not only met our promise, we have hired significantly and created new jobs. We have also taken steps to help protect the health and well-being of our employees, increased Fortinet’s employee charitable contribution matching program over tenfold to match employees’ contributions up to $2,000 per employee, provided customers with free remote access technologies to help organizations continue to do business with an abruptly increased remote workforce, and have provided free security training to help continue operations during this challenging time and help make use of the Internet safer.</w:t>
      </w:r>
    </w:p>
    <w:p>
      <w:pPr>
        <w:spacing w:after="0" w:line="115"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 xml:space="preserve">Fortinet does much more than what is outlined above to “do well while also doing good.” For more information regarding Fortinet’s corporate social responsibility and ESG initiatives please visit our website at </w:t>
      </w:r>
      <w:r>
        <w:rPr>
          <w:rFonts w:ascii="Arial" w:cs="Arial" w:eastAsia="Arial" w:hAnsi="Arial"/>
          <w:sz w:val="18"/>
          <w:szCs w:val="18"/>
          <w:i w:val="1"/>
          <w:iCs w:val="1"/>
          <w:color w:val="auto"/>
        </w:rPr>
        <w:t>https://www.fortinet.com/csr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 Management</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appreciate that our employees are the foundation of our innovation for the benefit of our customers and that there can be a shortage of highly skilled employees for technology companies like ours, and we believe that our success depends largely on our continued ability to attract and retain highly skilled employees with diverse backgrounds and experiences. We offer fair, competitive compensation and benefits based on a culture of meritocracy. Our compensation programs for our employees include base pay, opportunities for equity ownership where local statutes allow and employee benefits that promote well-being across different aspects of our employees’ lives, which may include health and welfare insurance, retirement benefits, and paid time off.</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As a global company, much of our success is rooted in the diversity of our teams and our commitment to inclusion. Our commitment to diversity and inclusion starts at the top, with a highly skilled and diverse board of directors. As of December 31, 2020, women represented one-third of the members of the Board of Directors, and approximately 55% of the Board of Directors was from underrepresented communities as defined by California’s AB 979. Also, as of December 31, 2020, women represented 19% of our global workforce and 14% of our leadership team. We value diversity at all levels and continue to focus on enhancing our diversity and inclusion initiatives across our entire workforce. As discussed above, we are also committed to social responsibility, and the Board of Directors and its Social Responsibility Committee provide active oversight of our corporate social responsibility initiatives. Examples of our initiatives include our employee charitable contribution matching program and the free security training programs to help bridge the “security skills gap” that we offer to help with career development for our employees and the general public including a focus on providing security training and career opportunities to under-represented groups.</w:t>
      </w:r>
    </w:p>
    <w:p>
      <w:pPr>
        <w:spacing w:after="0" w:line="131"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As to company culture, our Chief Executive Officer regularly communicates the importance of Fortinet’s core values of openness, teamwork and innovation. Our culture is also defined by our commitment to ethics and integrity. We reinforce our ethical “tone from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w:t>
      </w:r>
    </w:p>
    <w:p>
      <w:pPr>
        <w:spacing w:after="0" w:line="11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committed to providing a safe and healthy work environment for our employees.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Early in the COVID-19 pandemic, our Chief Executive Officer committed to having no COVID-related layoffs, and, throughout the pandemic, not only have we kept that promise, we have continued hiring and helping support our employees and their families through this challenging time. During the pandemic, we have taken a flexible approach to help our employees manage their work and personal responsibilities, with a focus on employee wellbeing, health and safety.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left="1260" w:right="499" w:firstLine="360"/>
        <w:spacing w:after="0" w:line="286" w:lineRule="auto"/>
        <w:rPr>
          <w:sz w:val="20"/>
          <w:szCs w:val="20"/>
          <w:color w:val="auto"/>
        </w:rPr>
      </w:pPr>
      <w:r>
        <w:rPr>
          <w:rFonts w:ascii="Arial" w:cs="Arial" w:eastAsia="Arial" w:hAnsi="Arial"/>
          <w:sz w:val="17"/>
          <w:szCs w:val="17"/>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Accordingly, Fortinet has adopted a Code of Business Conduct and Ethics, which is applicable to our and our subsidiaries’ directors, officers and employees.</w:t>
      </w:r>
    </w:p>
    <w:p>
      <w:pPr>
        <w:spacing w:after="0" w:line="89"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 xml:space="preserve">The Code of Business Conduct and Ethics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 Fortinet will disclose on its website any amendments to,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waivers of, the Code of Business Conduct and Ethics that are required to be disclosed by the rules of the SEC or Nasdaq.</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1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Meetings and Committees</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During fiscal 2020, the Board of Directors held eight meetings. Each director attended at least 75% of the aggregate of all meetings of the Board of Directors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Audit Committee</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Audit Committee is currently comprised of Messrs. Hsieh and Paisley and Ms. Hu, each of whom is “independent” as such term is defined for audit committee members by the listing standards of Nasdaq and the rules of the SEC. Mr. Paisley is currently the Chairperson of the Audit Committee. The Board of Directors has determined that each of Ms. Hu and Mr. Paisley is an “audit committee financial expert,” as defined in the rules of the SEC. Effective as of the 2021 Annual Meeting, Ms. Hu will become the Chairperson of the Audit Committee, Kenneth A. Goldman will become a member of the Audit Committee and Mr. Paisley’s service on the Audit Committee will end.</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17" w:lineRule="exact"/>
        <w:rPr>
          <w:sz w:val="20"/>
          <w:szCs w:val="20"/>
          <w:color w:val="auto"/>
        </w:rPr>
      </w:pPr>
    </w:p>
    <w:p>
      <w:pPr>
        <w:ind w:left="1800" w:right="6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selecting and hiring our independent auditors, and approving the audit and non-audit services to be performed by our independent auditors;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103" w:lineRule="exact"/>
        <w:rPr>
          <w:rFonts w:ascii="Arial" w:cs="Arial" w:eastAsia="Arial" w:hAnsi="Arial"/>
          <w:sz w:val="18"/>
          <w:szCs w:val="18"/>
          <w:color w:val="auto"/>
        </w:rPr>
      </w:pPr>
    </w:p>
    <w:p>
      <w:pPr>
        <w:ind w:left="1800" w:right="97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auditors and reviewing with management and the independent auditors our interim and year-end operating results;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overseeing related-person transactions; and</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managing cybersecurity and other information technology risks, controls and procedures.</w:t>
      </w:r>
    </w:p>
    <w:p>
      <w:pPr>
        <w:spacing w:after="0" w:line="103"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 xml:space="preserve">The Audit Committee held ten meetings during fiscal 2020. The Audit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Report is included in this proxy statement on page 46.</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Human Resources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is currently comprised of Mses. Ducourty and Sim and</w:t>
      </w:r>
    </w:p>
    <w:p>
      <w:pPr>
        <w:spacing w:after="0" w:line="23" w:lineRule="exact"/>
        <w:rPr>
          <w:sz w:val="20"/>
          <w:szCs w:val="20"/>
          <w:color w:val="auto"/>
        </w:rPr>
      </w:pPr>
    </w:p>
    <w:p>
      <w:pPr>
        <w:ind w:left="1260" w:right="459"/>
        <w:spacing w:after="0" w:line="277" w:lineRule="auto"/>
        <w:rPr>
          <w:sz w:val="20"/>
          <w:szCs w:val="20"/>
          <w:color w:val="auto"/>
        </w:rPr>
      </w:pPr>
      <w:r>
        <w:rPr>
          <w:rFonts w:ascii="Arial" w:cs="Arial" w:eastAsia="Arial" w:hAnsi="Arial"/>
          <w:sz w:val="17"/>
          <w:szCs w:val="17"/>
          <w:color w:val="auto"/>
        </w:rPr>
        <w:t>Messrs. Goldman and Paisley, each of whom qualifies as an independent director under the listing standards of Nasdaq. Ms. Sim is currently the Chairperson of the Human Resources Committee. Effective as of the 2021 Annual Meeting, Mr. Paisley’s service on the Human Resources Committee will end.</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is responsible for, among other things:</w:t>
      </w:r>
    </w:p>
    <w:p>
      <w:pPr>
        <w:spacing w:after="0" w:line="117" w:lineRule="exact"/>
        <w:rPr>
          <w:sz w:val="20"/>
          <w:szCs w:val="20"/>
          <w:color w:val="auto"/>
        </w:rPr>
      </w:pPr>
    </w:p>
    <w:p>
      <w:pPr>
        <w:ind w:left="1800" w:right="5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oversight of our organization and human resources activities, including culture and ethics matters and diversity, equity and inclusion initiatives;</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oversight of our employee and executive compensation policies, plans and benefits programs, and overall compensation philosophy;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for our executive officers: their annual base salary, annual incentive bonus, equity compensation and other benefits, compensation or arrangements;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recommending compensation goals and objectives, and bonus and stock compensation criteria for our executive officers;</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preparing the Human Resources Committee Report that the SEC requires to be included in our annual proxy statement;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44"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Compensation of Directors</w:t>
      </w:r>
      <w:r>
        <w:rPr>
          <w:rFonts w:ascii="Arial" w:cs="Arial" w:eastAsia="Arial" w:hAnsi="Arial"/>
          <w:sz w:val="18"/>
          <w:szCs w:val="18"/>
          <w:color w:val="auto"/>
        </w:rPr>
        <w:t>” for a description of Fortinet’s processes and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consideration and determination of executive officer and director compensation.</w:t>
      </w:r>
    </w:p>
    <w:p>
      <w:pPr>
        <w:spacing w:after="0" w:line="116"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 xml:space="preserve">The Human Resources Committee held five meetings during fiscal 2020. The Human Resources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Report is included in this proxy statement on page 33.</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Governance Committee</w:t>
      </w:r>
    </w:p>
    <w:p>
      <w:pPr>
        <w:spacing w:after="0" w:line="14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Governance Committee is currently comprised of Messrs. Hsieh and Neukom and Ms. Sim, each of whom qualifies as an independent director under the listing standards of Nasdaq. Mr. Hsieh is the Chairperson of the Governance Committee.</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Governance Committee is responsible for, among other things: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advising the Board of Directors and our officers on corporate governance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corporate governance guidelines and other policies;</w:t>
      </w:r>
    </w:p>
    <w:p>
      <w:pPr>
        <w:spacing w:after="0" w:line="62" w:lineRule="exact"/>
        <w:rPr>
          <w:rFonts w:ascii="Arial" w:cs="Arial" w:eastAsia="Arial" w:hAnsi="Arial"/>
          <w:sz w:val="18"/>
          <w:szCs w:val="18"/>
          <w:color w:val="auto"/>
        </w:rPr>
      </w:pPr>
    </w:p>
    <w:p>
      <w:pPr>
        <w:ind w:left="1800" w:right="799" w:hanging="180"/>
        <w:spacing w:after="0" w:line="308"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assisting the Board of Directors in identifying prospective director nominees and recommending nominees for each annual meeting of stockholders to the Board of Directors;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recommending members for each committee of the Board of Directors.</w:t>
      </w:r>
    </w:p>
    <w:p>
      <w:pPr>
        <w:spacing w:after="0" w:line="15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Governance Committee will consider recommendations of candidates for the Board of Directors submitted by stockholders of Fortinet; see “</w:t>
      </w:r>
      <w:r>
        <w:rPr>
          <w:rFonts w:ascii="Arial" w:cs="Arial" w:eastAsia="Arial" w:hAnsi="Arial"/>
          <w:sz w:val="18"/>
          <w:szCs w:val="18"/>
          <w:i w:val="1"/>
          <w:iCs w:val="1"/>
          <w:color w:val="auto"/>
        </w:rPr>
        <w:t>Process for Recommending Candidates for Election to the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w:t>
      </w:r>
      <w:r>
        <w:rPr>
          <w:rFonts w:ascii="Arial" w:cs="Arial" w:eastAsia="Arial" w:hAnsi="Arial"/>
          <w:sz w:val="18"/>
          <w:szCs w:val="18"/>
          <w:color w:val="auto"/>
        </w:rPr>
        <w:t>” below.</w:t>
      </w:r>
    </w:p>
    <w:p>
      <w:pPr>
        <w:spacing w:after="0" w:line="103"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 xml:space="preserve">The Governance Committee held nine meetings during fiscal 2020. The Governance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Social Responsibility Committee</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Board of Directors considers Fortinet’s social responsibilities to be a high priority, and as such formed the Social Responsibility Committee in January 2021. The Social Responsibility Committee is currently comprised of Mses. Ducourty and Sim and Messrs. Goldman and Michael Xie. Mr. Michael Xie is the Chairperson of the Social Responsibility Committee. Effective as of the 2021 Annual Meeting, Mr. Goldman’s service on the Social Responsibility Committee will end.</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Social Responsibility Committee is responsible for, among other things:</w:t>
      </w:r>
    </w:p>
    <w:p>
      <w:pPr>
        <w:spacing w:after="0" w:line="117" w:lineRule="exact"/>
        <w:rPr>
          <w:sz w:val="20"/>
          <w:szCs w:val="20"/>
          <w:color w:val="auto"/>
        </w:rPr>
      </w:pPr>
    </w:p>
    <w:p>
      <w:pPr>
        <w:ind w:left="1800" w:right="6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to the Board of Directors and overseeing programs relating to social responsibility and sustainability, including ESG matters;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assessing with management performance, risks, controls and procedures relating to social responsibility and sustainability;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overseeing our charitable giving policies.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Interlocks and Insider Participation</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Mses. Ducourty and Sim and Messrs. Goldman and Paisley served as members of the Human Resources Committee during fiscal 2020. None of the members of the Human Resources Committee during fiscal 2020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2020.</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Policy</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659"/>
        <w:spacing w:after="0" w:line="261" w:lineRule="auto"/>
        <w:rPr>
          <w:sz w:val="20"/>
          <w:szCs w:val="20"/>
          <w:color w:val="auto"/>
        </w:rPr>
      </w:pPr>
      <w:r>
        <w:rPr>
          <w:rFonts w:ascii="Arial" w:cs="Arial" w:eastAsia="Arial" w:hAnsi="Arial"/>
          <w:sz w:val="18"/>
          <w:szCs w:val="18"/>
          <w:color w:val="auto"/>
        </w:rPr>
        <w:t xml:space="preserve">stockholders. A copy of our Corporate Governance Guidelines is available on our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9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Mr. Neukom currently serves as our Lead Independent Director and Mr. Ken Xie serves as our Chairman and Chief Executive Officer.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Role in Risk Oversight</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11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While the Board of Directors has the ultimate oversight responsibility for the risk management process, various committees of the Board of Directors also have responsibility for risk management. The charter of the Audit Committee provides that one of the Audit Committee’s responsibilities is oversight of certain compliance matters and risks related to data privacy and cybersecurity. In addition, in setting compensation, the Human Resources Committee strives to create incentives that encourage a level of risk-taking consistent with Fortinet’s business strategy and to encourage a focus on building long-term value at Fortinet. The Board also directly oversees certain strategic risks to Fortinet and other risk areas not delegated to one of its committees.</w:t>
      </w:r>
    </w:p>
    <w:p>
      <w:pPr>
        <w:spacing w:after="0" w:line="12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Recommending Candidates for Election to the Board of Directors</w:t>
      </w:r>
    </w:p>
    <w:p>
      <w:pPr>
        <w:spacing w:after="0" w:line="162"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Directors from stockholders. Stockholder recommendations for candidates to the Board of Directors must be directed in writing to Fortinet, Inc., 899 Kifer Road, Sunnyvale, California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 the Board of Directors, including issues of character, judgment, diversity, including whether the person is a current or former chief executive officer or chief financial officer of a public company or the head of a division of a large 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105"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Governance Committee’s criteria and process for evaluating and identifying the candidates that it recommends to the full Board of Directors for selection as director nominees are as follows:</w:t>
      </w:r>
    </w:p>
    <w:p>
      <w:pPr>
        <w:spacing w:after="0" w:line="76" w:lineRule="exact"/>
        <w:rPr>
          <w:sz w:val="20"/>
          <w:szCs w:val="20"/>
          <w:color w:val="auto"/>
        </w:rPr>
      </w:pPr>
    </w:p>
    <w:p>
      <w:pPr>
        <w:ind w:left="1800" w:right="8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Governance Committee evaluates the current composition and organization of the Board of Directors.</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Governance Committee reviews on at least an annual basis the desired qualifications and characteristics for membership on the Board of Directors.</w:t>
      </w:r>
    </w:p>
    <w:p>
      <w:pPr>
        <w:spacing w:after="0" w:line="62" w:lineRule="exact"/>
        <w:rPr>
          <w:rFonts w:ascii="Arial" w:cs="Arial" w:eastAsia="Arial" w:hAnsi="Arial"/>
          <w:sz w:val="18"/>
          <w:szCs w:val="18"/>
          <w:color w:val="auto"/>
        </w:rPr>
      </w:pPr>
    </w:p>
    <w:p>
      <w:pPr>
        <w:ind w:left="1800" w:right="79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78" w:lineRule="exact"/>
        <w:rPr>
          <w:rFonts w:ascii="Arial" w:cs="Arial" w:eastAsia="Arial" w:hAnsi="Arial"/>
          <w:sz w:val="18"/>
          <w:szCs w:val="18"/>
          <w:color w:val="auto"/>
        </w:rPr>
      </w:pPr>
    </w:p>
    <w:p>
      <w:pPr>
        <w:ind w:left="1800" w:right="519" w:hanging="180"/>
        <w:spacing w:after="0" w:line="271"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spacing w:after="0" w:line="83" w:lineRule="exact"/>
        <w:rPr>
          <w:rFonts w:ascii="Arial" w:cs="Arial" w:eastAsia="Arial" w:hAnsi="Arial"/>
          <w:sz w:val="17"/>
          <w:szCs w:val="17"/>
          <w:color w:val="auto"/>
        </w:rPr>
      </w:pPr>
    </w:p>
    <w:p>
      <w:pPr>
        <w:ind w:left="1800" w:right="459" w:hanging="180"/>
        <w:spacing w:after="0" w:line="271"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spacing w:after="0" w:line="70" w:lineRule="exact"/>
        <w:rPr>
          <w:rFonts w:ascii="Arial" w:cs="Arial" w:eastAsia="Arial" w:hAnsi="Arial"/>
          <w:sz w:val="17"/>
          <w:szCs w:val="17"/>
          <w:color w:val="auto"/>
        </w:rPr>
      </w:pPr>
    </w:p>
    <w:p>
      <w:pPr>
        <w:ind w:left="1800" w:right="639" w:hanging="180"/>
        <w:spacing w:after="0" w:line="25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79"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spacing w:after="0" w:line="75" w:lineRule="exact"/>
        <w:rPr>
          <w:rFonts w:ascii="Arial" w:cs="Arial" w:eastAsia="Arial" w:hAnsi="Arial"/>
          <w:sz w:val="18"/>
          <w:szCs w:val="18"/>
          <w:color w:val="auto"/>
        </w:rPr>
      </w:pPr>
    </w:p>
    <w:p>
      <w:pPr>
        <w:ind w:left="1800" w:right="419" w:hanging="180"/>
        <w:spacing w:after="0" w:line="286"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9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After completing its review and evaluation of director candidates, the Governance Committee recommends to the full Board of Directors the director nominees.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Proxy Access</w:t>
      </w:r>
    </w:p>
    <w:p>
      <w:pPr>
        <w:spacing w:after="0" w:line="148"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Our amended and restated bylaws provide a method for stockholders to place their nominees for director on our proxy ballot. Under our amended and restated bylaws, a stockholder, or a group of up to 20 stockholders, owning at least 3% of our outstanding common stock continuously throughout the three-year period (i) through the date of the nomination notice or (ii) following the date we implemented proxy access in our amended and restated bylaws, whichever is later, is entitled to nominate and include in our proxy materials director nominees constituting up to the lesser of two individuals or 20% of the number of members of our Board of Directors, subject to reduction in certain circumstances, and subject to the stockholders and the nominees satisfying the requirements specified in our amended and restated bylaws. Our obligation to include director nominees in its annual meeting proxy materials is also subject to certain exceptions as set forth in our amended and restated bylaws. Written notice of the nomination(s) must be submitted to our Corporate Secretary at our principal executive office no earlier than the 75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and no later than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one-year anniversary of the date that we first sent our proxy materials or a notice of availability of proxy materials (whichever is earlier) for our immediately preceding annual meeting of stockholders, subject to certain exceptions as set forth in our amended and restated bylaws.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Attendance at Annual Meetings of Stockholders by the Board of Directors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Although Fortinet does not have a formal policy regarding attendance by members of the Board of Directors at Fortinet’s annual meeting of stockholders, Fortinet welcomes, but does not require, directors to attend. Ken Xie was the only director who attended Fortinet’s 2020 Annual Meeting of Stockholders (the “2020 Annual Meeting”).</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Contacting the Board of Directors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names of our executive officers, their ages, their positions with Fortinet and other biographical information, as set forth below, are as of March 31, 2021. Messrs. Ken Xie and Michael Xie are brothers. There are no other family relationships among any of our directors or executive officers.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524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0"/>
        </w:trPr>
        <w:tc>
          <w:tcPr>
            <w:tcW w:w="1740" w:type="dxa"/>
            <w:vAlign w:val="bottom"/>
            <w:gridSpan w:val="2"/>
          </w:tcPr>
          <w:p>
            <w:pPr>
              <w:spacing w:after="0"/>
              <w:rPr>
                <w:sz w:val="20"/>
                <w:szCs w:val="20"/>
                <w:color w:val="auto"/>
              </w:rPr>
            </w:pPr>
            <w:r>
              <w:rPr>
                <w:rFonts w:ascii="Arial" w:cs="Arial" w:eastAsia="Arial" w:hAnsi="Arial"/>
                <w:sz w:val="18"/>
                <w:szCs w:val="18"/>
                <w:color w:val="auto"/>
              </w:rPr>
              <w:t>Ken Xie</w:t>
            </w:r>
          </w:p>
        </w:tc>
        <w:tc>
          <w:tcPr>
            <w:tcW w:w="280" w:type="dxa"/>
            <w:vAlign w:val="bottom"/>
          </w:tcPr>
          <w:p>
            <w:pPr>
              <w:ind w:left="40"/>
              <w:spacing w:after="0"/>
              <w:rPr>
                <w:sz w:val="20"/>
                <w:szCs w:val="20"/>
                <w:color w:val="auto"/>
              </w:rPr>
            </w:pPr>
            <w:r>
              <w:rPr>
                <w:rFonts w:ascii="Arial" w:cs="Arial" w:eastAsia="Arial" w:hAnsi="Arial"/>
                <w:sz w:val="18"/>
                <w:szCs w:val="18"/>
                <w:color w:val="auto"/>
              </w:rPr>
              <w:t>58</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280" w:type="dxa"/>
            <w:vAlign w:val="bottom"/>
          </w:tcPr>
          <w:p>
            <w:pPr>
              <w:ind w:left="40"/>
              <w:spacing w:after="0"/>
              <w:rPr>
                <w:sz w:val="20"/>
                <w:szCs w:val="20"/>
                <w:color w:val="auto"/>
              </w:rPr>
            </w:pPr>
            <w:r>
              <w:rPr>
                <w:rFonts w:ascii="Arial" w:cs="Arial" w:eastAsia="Arial" w:hAnsi="Arial"/>
                <w:sz w:val="18"/>
                <w:szCs w:val="18"/>
                <w:color w:val="auto"/>
              </w:rPr>
              <w:t>52</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President, Chief Technology Officer and Director</w:t>
            </w:r>
          </w:p>
        </w:tc>
      </w:tr>
      <w:tr>
        <w:trPr>
          <w:trHeight w:val="256"/>
        </w:trPr>
        <w:tc>
          <w:tcPr>
            <w:tcW w:w="1740" w:type="dxa"/>
            <w:vAlign w:val="bottom"/>
            <w:gridSpan w:val="2"/>
          </w:tcPr>
          <w:p>
            <w:pPr>
              <w:spacing w:after="0"/>
              <w:rPr>
                <w:sz w:val="20"/>
                <w:szCs w:val="20"/>
                <w:color w:val="auto"/>
              </w:rPr>
            </w:pPr>
            <w:r>
              <w:rPr>
                <w:rFonts w:ascii="Arial" w:cs="Arial" w:eastAsia="Arial" w:hAnsi="Arial"/>
                <w:sz w:val="18"/>
                <w:szCs w:val="18"/>
                <w:color w:val="auto"/>
              </w:rPr>
              <w:t>Keith Jensen</w:t>
            </w:r>
          </w:p>
        </w:tc>
        <w:tc>
          <w:tcPr>
            <w:tcW w:w="280" w:type="dxa"/>
            <w:vAlign w:val="bottom"/>
          </w:tcPr>
          <w:p>
            <w:pPr>
              <w:ind w:left="40"/>
              <w:spacing w:after="0"/>
              <w:rPr>
                <w:sz w:val="20"/>
                <w:szCs w:val="20"/>
                <w:color w:val="auto"/>
              </w:rPr>
            </w:pPr>
            <w:r>
              <w:rPr>
                <w:rFonts w:ascii="Arial" w:cs="Arial" w:eastAsia="Arial" w:hAnsi="Arial"/>
                <w:sz w:val="18"/>
                <w:szCs w:val="18"/>
                <w:color w:val="auto"/>
              </w:rPr>
              <w:t>62</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29"/>
        </w:trPr>
        <w:tc>
          <w:tcPr>
            <w:tcW w:w="174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280" w:type="dxa"/>
            <w:vAlign w:val="bottom"/>
          </w:tcPr>
          <w:p>
            <w:pPr>
              <w:ind w:left="40"/>
              <w:spacing w:after="0"/>
              <w:rPr>
                <w:sz w:val="20"/>
                <w:szCs w:val="20"/>
                <w:color w:val="auto"/>
              </w:rPr>
            </w:pPr>
            <w:r>
              <w:rPr>
                <w:rFonts w:ascii="Arial" w:cs="Arial" w:eastAsia="Arial" w:hAnsi="Arial"/>
                <w:sz w:val="18"/>
                <w:szCs w:val="18"/>
                <w:color w:val="auto"/>
              </w:rPr>
              <w:t>53</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of Corporate Development, General</w:t>
            </w:r>
          </w:p>
        </w:tc>
      </w:tr>
      <w:tr>
        <w:trPr>
          <w:trHeight w:val="230"/>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Counsel and Corporate Secretary</w:t>
            </w:r>
          </w:p>
        </w:tc>
      </w:tr>
    </w:tbl>
    <w:p>
      <w:pPr>
        <w:spacing w:after="0" w:line="14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b w:val="1"/>
          <w:bCs w:val="1"/>
          <w:i w:val="1"/>
          <w:iCs w:val="1"/>
          <w:color w:val="auto"/>
        </w:rPr>
        <w:t>Ken Xie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a brief biography of Mr. Ken Xie, please see “Proposal One — Election of Directors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 Regarding the Board of Directors and Director Nominees.”</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b w:val="1"/>
          <w:bCs w:val="1"/>
          <w:i w:val="1"/>
          <w:iCs w:val="1"/>
          <w:color w:val="auto"/>
        </w:rPr>
        <w:t>Michael Xie</w:t>
      </w:r>
      <w:r>
        <w:rPr>
          <w:rFonts w:ascii="Arial" w:cs="Arial" w:eastAsia="Arial" w:hAnsi="Arial"/>
          <w:sz w:val="18"/>
          <w:szCs w:val="18"/>
          <w:i w:val="1"/>
          <w:iCs w:val="1"/>
          <w:color w:val="auto"/>
        </w:rPr>
        <w:t>. For a brief biography of Mr. Michael Xie, please see “Proposal One —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Directors — Information Regarding the Board of Directors and Director Nominees.”</w:t>
      </w:r>
    </w:p>
    <w:p>
      <w:pPr>
        <w:spacing w:after="0" w:line="10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b w:val="1"/>
          <w:bCs w:val="1"/>
          <w:i w:val="1"/>
          <w:iCs w:val="1"/>
          <w:color w:val="auto"/>
        </w:rPr>
        <w:t xml:space="preserve">Keith Jensen </w:t>
      </w:r>
      <w:r>
        <w:rPr>
          <w:rFonts w:ascii="Arial" w:cs="Arial" w:eastAsia="Arial" w:hAnsi="Arial"/>
          <w:sz w:val="17"/>
          <w:szCs w:val="17"/>
          <w:color w:val="auto"/>
        </w:rPr>
        <w:t>has served as our Chief Financial Officer since May 2018 and has served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98" w:lineRule="exact"/>
        <w:rPr>
          <w:sz w:val="20"/>
          <w:szCs w:val="20"/>
          <w:color w:val="auto"/>
        </w:rPr>
      </w:pPr>
    </w:p>
    <w:p>
      <w:pPr>
        <w:jc w:val="both"/>
        <w:ind w:left="1260" w:right="10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John Whittle </w:t>
      </w:r>
      <w:r>
        <w:rPr>
          <w:rFonts w:ascii="Arial" w:cs="Arial" w:eastAsia="Arial" w:hAnsi="Arial"/>
          <w:sz w:val="16"/>
          <w:szCs w:val="16"/>
          <w:color w:val="auto"/>
        </w:rPr>
        <w:t>has served as our General Counsel since October 2006, Corporate Secretary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2007, Vice President of Corporate Development from October 2010 until January 2019 and Executive Vice President of Corporate Development since January 2019. From March 2006 to</w:t>
      </w:r>
    </w:p>
    <w:p>
      <w:pPr>
        <w:spacing w:after="0" w:line="2"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October 2006, Mr. Whittle was Vice President and General Counsel for Ingres Corporation, an open 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This compensation discussion and analysis provides information about the 2020 compensation arrangements for each individual who served as one of our executive officers during 2020, who were as follows:</w:t>
      </w:r>
    </w:p>
    <w:p>
      <w:pPr>
        <w:spacing w:after="0" w:line="74"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Ken Xie, our Chief Executive Officer;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Michael Xie, our President and Chief Technology Officer;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Keith Jensen, our Chief Financial Officer; and</w:t>
      </w:r>
    </w:p>
    <w:p>
      <w:pPr>
        <w:spacing w:after="0" w:line="90" w:lineRule="exact"/>
        <w:rPr>
          <w:rFonts w:ascii="Arial" w:cs="Arial" w:eastAsia="Arial" w:hAnsi="Arial"/>
          <w:sz w:val="18"/>
          <w:szCs w:val="18"/>
          <w:color w:val="auto"/>
        </w:rPr>
      </w:pPr>
    </w:p>
    <w:p>
      <w:pPr>
        <w:ind w:left="1800" w:right="10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John Whittle, our Executive Vice President of Corporate Development, General Counsel and Corporate Secretary.</w:t>
      </w:r>
    </w:p>
    <w:p>
      <w:pPr>
        <w:spacing w:after="0" w:line="10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refer to these individuals as “named executive officers” in this proxy statement. Because we had no other executive officers during 2020, each one of our executive officers was a named executive officer in 2020.</w:t>
      </w:r>
    </w:p>
    <w:p>
      <w:pPr>
        <w:spacing w:after="0" w:line="11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80" w:lineRule="exact"/>
        <w:rPr>
          <w:sz w:val="20"/>
          <w:szCs w:val="20"/>
          <w:color w:val="auto"/>
        </w:rPr>
      </w:pPr>
    </w:p>
    <w:p>
      <w:pPr>
        <w:ind w:left="1800" w:right="63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offering base pay and total compensation opportunities that are competitive compared with market and peer company data for the technology industry;</w:t>
      </w:r>
    </w:p>
    <w:p>
      <w:pPr>
        <w:spacing w:after="0" w:line="3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spacing w:after="0" w:line="62"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emphasizing equity pay and long-term incentives in order to incentivize contributions towards our growth and the creation of long-term value for our stockholders; and</w:t>
      </w:r>
    </w:p>
    <w:p>
      <w:pPr>
        <w:spacing w:after="0" w:line="35"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ensuring fairness among our executive team by recognizing the contributions each named executive officer makes to our success.</w:t>
      </w:r>
    </w:p>
    <w:p>
      <w:pPr>
        <w:spacing w:after="0" w:line="103"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2020. Specifically:</w:t>
      </w:r>
    </w:p>
    <w:p>
      <w:pPr>
        <w:spacing w:after="0" w:line="42" w:lineRule="exact"/>
        <w:rPr>
          <w:sz w:val="20"/>
          <w:szCs w:val="20"/>
          <w:color w:val="auto"/>
        </w:rPr>
      </w:pPr>
    </w:p>
    <w:p>
      <w:pPr>
        <w:ind w:left="1800" w:right="135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Total revenue for 2020 was $2.59 billion, an increase of approximately 20% compared to $2.16 billion for 2019;</w:t>
      </w:r>
    </w:p>
    <w:p>
      <w:pPr>
        <w:spacing w:after="0" w:line="3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GAAP operating income for 2020 was $531.8 million, an increase of approximately 52% compared to $351.0 million for 2019; and</w:t>
      </w:r>
    </w:p>
    <w:p>
      <w:pPr>
        <w:spacing w:after="0" w:line="4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stock price as of December 31, 2020 was $148.53 per share, an increase of approximately 39% compared to $106.76 as of December 31, 2019.</w:t>
      </w:r>
    </w:p>
    <w:p>
      <w:pPr>
        <w:spacing w:after="0" w:line="35"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stock price as of December 31, 2019 was $106.76, compared to $70.43 as of December 29, 2018.</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the Human Resources Committee in Executive Compensation Decisions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The Human Resources Committee of the Board of Directors has overall responsibility for approving the compensation of our named executive officers. The Human Resources Committee also oversees our</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2" w:lineRule="auto"/>
        <w:rPr>
          <w:sz w:val="20"/>
          <w:szCs w:val="20"/>
          <w:color w:val="auto"/>
        </w:rPr>
      </w:pPr>
      <w:r>
        <w:rPr>
          <w:rFonts w:ascii="Arial" w:cs="Arial" w:eastAsia="Arial" w:hAnsi="Arial"/>
          <w:sz w:val="17"/>
          <w:szCs w:val="17"/>
          <w:color w:val="auto"/>
        </w:rPr>
        <w:t>diversity, equity and inclusion initiatives and reviews with management the compensation disclosures required by the SEC. Members of the Human Resources Committee are appointed by the Board of Directors. See “</w:t>
      </w:r>
      <w:r>
        <w:rPr>
          <w:rFonts w:ascii="Arial" w:cs="Arial" w:eastAsia="Arial" w:hAnsi="Arial"/>
          <w:sz w:val="17"/>
          <w:szCs w:val="17"/>
          <w:i w:val="1"/>
          <w:iCs w:val="1"/>
          <w:color w:val="auto"/>
        </w:rPr>
        <w:t>Corporate Governance — Board Meetings and Committees — Human Resources Committee</w:t>
      </w:r>
      <w:r>
        <w:rPr>
          <w:rFonts w:ascii="Arial" w:cs="Arial" w:eastAsia="Arial" w:hAnsi="Arial"/>
          <w:sz w:val="17"/>
          <w:szCs w:val="17"/>
          <w:color w:val="auto"/>
        </w:rPr>
        <w:t>” for more detail about the responsibilities and procedures of the Human Resources Committee.</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4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Human Resources Committee relies on its independent compensation consultant to provide advice on matters relating to the compensation of our named executive officers and non- employee directors. For 2020, the Human Resources Committee engaged Compensia, Inc. (“Compensia”) in this capacity. A representative of Compensia generally attends meetings of the Human Resources Committee. In addition, Compensia provided competitive market assessments our executive and non-employee director compensation programs, reviewed the Compensation Discussion and Analysis section of our proxy statement and provided support on other matters as requested by the Human Resources Committee.</w:t>
      </w:r>
    </w:p>
    <w:p>
      <w:pPr>
        <w:spacing w:after="0" w:line="112"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 xml:space="preserve">For 2020,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Arial" w:cs="Arial" w:eastAsia="Arial" w:hAnsi="Arial"/>
          <w:sz w:val="18"/>
          <w:szCs w:val="18"/>
          <w:i w:val="1"/>
          <w:iCs w:val="1"/>
          <w:color w:val="auto"/>
        </w:rPr>
        <w:t>Determining the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 of Executives’ Compensation in 2020</w:t>
      </w:r>
      <w:r>
        <w:rPr>
          <w:rFonts w:ascii="Arial" w:cs="Arial" w:eastAsia="Arial" w:hAnsi="Arial"/>
          <w:sz w:val="18"/>
          <w:szCs w:val="18"/>
          <w:color w:val="auto"/>
        </w:rPr>
        <w:t>.” Compensia reports directly to the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Executives in Executive Compensation Decisions</w:t>
      </w:r>
    </w:p>
    <w:p>
      <w:pPr>
        <w:spacing w:after="0" w:line="158" w:lineRule="exact"/>
        <w:rPr>
          <w:sz w:val="20"/>
          <w:szCs w:val="20"/>
          <w:color w:val="auto"/>
        </w:rPr>
      </w:pPr>
    </w:p>
    <w:p>
      <w:pPr>
        <w:jc w:val="both"/>
        <w:ind w:left="1260" w:right="639" w:firstLine="360"/>
        <w:spacing w:after="0" w:line="241" w:lineRule="auto"/>
        <w:rPr>
          <w:sz w:val="20"/>
          <w:szCs w:val="20"/>
          <w:color w:val="auto"/>
        </w:rPr>
      </w:pPr>
      <w:r>
        <w:rPr>
          <w:rFonts w:ascii="Arial" w:cs="Arial" w:eastAsia="Arial" w:hAnsi="Arial"/>
          <w:sz w:val="18"/>
          <w:szCs w:val="18"/>
          <w:color w:val="auto"/>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Advisory Vote on Named Executive Officer Compensation</w:t>
      </w:r>
    </w:p>
    <w:p>
      <w:pPr>
        <w:spacing w:after="0" w:line="14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Our stockholders will have the opportunity again at this year’s 2021 Annual Meeting to vote on our named executive officer compensation through the stockholder advisory vote (commonly known as a “say-on -pay” vote) included as Proposal Three in this proxy statement. At each of our past two annual meetings of stockholders, over 93% of the stockholder votes cast were cast in favor of our named executive officer compensation.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proxy statement, the Human Resources Committee will seek to understand and consider our stockholders’ concerns and will evaluate whether any actions are appropriate to address those concerns. Since the 2020 stockholder vote on executive compensation occurred after the Human Resources Committee had established all of the compensation elements for 2020, the Human Resources Committee could only take into consideration the 2020 stockholder vote in establishing executive compensation for 2021. We encourage you to review this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together with the compensation tables that follow, prior to casting your advisory vote on the “say-on-pay” proposal.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Our Compensation Program</w:t>
      </w:r>
    </w:p>
    <w:p>
      <w:pPr>
        <w:spacing w:after="0" w:line="16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 xml:space="preserve">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elements of Fortinet’s compensation program are designed to satisfy this larger goal in specific ways as described below. For a detailed discussion of the amounts awarded to our named executive officers during 2020, see “— </w:t>
      </w:r>
      <w:r>
        <w:rPr>
          <w:rFonts w:ascii="Arial" w:cs="Arial" w:eastAsia="Arial" w:hAnsi="Arial"/>
          <w:sz w:val="18"/>
          <w:szCs w:val="18"/>
          <w:i w:val="1"/>
          <w:iCs w:val="1"/>
          <w:color w:val="auto"/>
        </w:rPr>
        <w:t>Determining the Amount of Elements of Executives’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in 2020</w:t>
      </w:r>
      <w:r>
        <w:rPr>
          <w:rFonts w:ascii="Arial" w:cs="Arial" w:eastAsia="Arial" w:hAnsi="Arial"/>
          <w:sz w:val="18"/>
          <w:szCs w:val="18"/>
          <w:color w:val="auto"/>
        </w:rPr>
        <w:t>” below.</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i w:val="1"/>
          <w:iCs w:val="1"/>
          <w:color w:val="auto"/>
        </w:rPr>
        <w:t>Base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establish base pay that is both reasonable and competitive in relation to the competitive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b w:val="1"/>
          <w:bCs w:val="1"/>
          <w:i w:val="1"/>
          <w:iCs w:val="1"/>
          <w:color w:val="auto"/>
        </w:rPr>
        <w:t>Variable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Rewarding performance through cash variable pay is an important element of named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116"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b w:val="1"/>
          <w:bCs w:val="1"/>
          <w:i w:val="1"/>
          <w:iCs w:val="1"/>
          <w:color w:val="auto"/>
        </w:rPr>
        <w:t>Equity-Based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Human Resources Committee designs our equity-based awards to be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and competitive in relation to the market.</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10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Human Resources Committee approved “refresh” awards of stock options and restricted stock units (“RSUs”) to our named executive officers in January 2020, which were effective in February 2020. In fiscal 2020, the Human Resources Committee granted stock options and RSUs, which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2020 vest over four years and can be exercised for up to seven years after grant.</w:t>
      </w:r>
    </w:p>
    <w:p>
      <w:pPr>
        <w:spacing w:after="0" w:line="121"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 xml:space="preserve">Information on the vesting schedules for the awards of stock options and RSUs made to our named executive officers in 2020 can be found below in “— </w:t>
      </w:r>
      <w:r>
        <w:rPr>
          <w:rFonts w:ascii="Arial" w:cs="Arial" w:eastAsia="Arial" w:hAnsi="Arial"/>
          <w:sz w:val="18"/>
          <w:szCs w:val="18"/>
          <w:i w:val="1"/>
          <w:iCs w:val="1"/>
          <w:color w:val="auto"/>
        </w:rPr>
        <w:t>Determining the Amount of Elements of Executives’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in 2020 — Equity-Based Awards</w:t>
      </w:r>
      <w:r>
        <w:rPr>
          <w:rFonts w:ascii="Arial" w:cs="Arial" w:eastAsia="Arial" w:hAnsi="Arial"/>
          <w:sz w:val="18"/>
          <w:szCs w:val="18"/>
          <w:color w:val="auto"/>
        </w:rPr>
        <w:t>.” See “—</w:t>
      </w:r>
      <w:r>
        <w:rPr>
          <w:rFonts w:ascii="Arial" w:cs="Arial" w:eastAsia="Arial" w:hAnsi="Arial"/>
          <w:sz w:val="18"/>
          <w:szCs w:val="18"/>
          <w:i w:val="1"/>
          <w:iCs w:val="1"/>
          <w:color w:val="auto"/>
        </w:rPr>
        <w:t xml:space="preserve"> Outstanding Equity Awards at 2020 Fiscal Year-End Table</w:t>
      </w:r>
      <w:r>
        <w:rPr>
          <w:rFonts w:ascii="Arial" w:cs="Arial" w:eastAsia="Arial" w:hAnsi="Arial"/>
          <w:sz w:val="18"/>
          <w:szCs w:val="18"/>
          <w:color w:val="auto"/>
        </w:rPr>
        <w:t>” for additional information regarding the outstanding and unvested equity awards held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 as of the end of fiscal 2020.</w:t>
      </w:r>
    </w:p>
    <w:p>
      <w:pPr>
        <w:spacing w:after="0" w:line="122"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b w:val="1"/>
          <w:bCs w:val="1"/>
          <w:i w:val="1"/>
          <w:iCs w:val="1"/>
          <w:color w:val="auto"/>
        </w:rPr>
        <w:t>Benefits Programs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our named executive officers the following benefits: health and welfare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including participation in our 401(k) retirement plan; group health insurance plans; and</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9" w:lineRule="auto"/>
        <w:rPr>
          <w:sz w:val="20"/>
          <w:szCs w:val="20"/>
          <w:color w:val="auto"/>
        </w:rPr>
      </w:pPr>
      <w:r>
        <w:rPr>
          <w:rFonts w:ascii="Arial" w:cs="Arial" w:eastAsia="Arial" w:hAnsi="Arial"/>
          <w:sz w:val="16"/>
          <w:szCs w:val="16"/>
          <w:color w:val="auto"/>
        </w:rPr>
        <w:t>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Determining the Amount of Elements of Executives’ Compensation in 2020</w:t>
      </w:r>
    </w:p>
    <w:p>
      <w:pPr>
        <w:spacing w:after="0" w:line="148"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b w:val="1"/>
          <w:bCs w:val="1"/>
          <w:i w:val="1"/>
          <w:iCs w:val="1"/>
          <w:color w:val="auto"/>
        </w:rPr>
        <w:t>Peer Group</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2019, with assistance from Compensia, the Human Resources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and approved a compensation peer group as a source of competitive market data for evaluating the compensation of our executive officers and to support pay decisions for 2020.</w:t>
      </w:r>
    </w:p>
    <w:p>
      <w:pPr>
        <w:spacing w:after="0" w:line="96"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$1.0 billion to $3.9 billion and a market capitalization generally ranging from $7.0 billion to $28.0 billion. The peer group approved in September 2019 included the 18 technology companies listed below:</w:t>
      </w:r>
    </w:p>
    <w:p>
      <w:pPr>
        <w:spacing w:after="0" w:line="135"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Akamai Technologies</w:t>
      </w:r>
      <w:r>
        <w:rPr>
          <w:sz w:val="20"/>
          <w:szCs w:val="20"/>
          <w:color w:val="auto"/>
        </w:rPr>
        <w:tab/>
      </w:r>
      <w:r>
        <w:rPr>
          <w:rFonts w:ascii="Arial" w:cs="Arial" w:eastAsia="Arial" w:hAnsi="Arial"/>
          <w:sz w:val="17"/>
          <w:szCs w:val="17"/>
          <w:color w:val="auto"/>
        </w:rPr>
        <w:t>GoDaddy</w:t>
      </w:r>
    </w:p>
    <w:p>
      <w:pPr>
        <w:spacing w:after="0" w:line="36"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ANSYS</w:t>
      </w:r>
      <w:r>
        <w:rPr>
          <w:sz w:val="20"/>
          <w:szCs w:val="20"/>
          <w:color w:val="auto"/>
        </w:rPr>
        <w:tab/>
      </w:r>
      <w:r>
        <w:rPr>
          <w:rFonts w:ascii="Arial" w:cs="Arial" w:eastAsia="Arial" w:hAnsi="Arial"/>
          <w:sz w:val="18"/>
          <w:szCs w:val="18"/>
          <w:color w:val="auto"/>
        </w:rPr>
        <w:t>Juniper Networks</w:t>
      </w:r>
    </w:p>
    <w:p>
      <w:pPr>
        <w:spacing w:after="0" w:line="50"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Arista Networks</w:t>
      </w:r>
      <w:r>
        <w:rPr>
          <w:sz w:val="20"/>
          <w:szCs w:val="20"/>
          <w:color w:val="auto"/>
        </w:rPr>
        <w:tab/>
      </w:r>
      <w:r>
        <w:rPr>
          <w:rFonts w:ascii="Arial" w:cs="Arial" w:eastAsia="Arial" w:hAnsi="Arial"/>
          <w:sz w:val="17"/>
          <w:szCs w:val="17"/>
          <w:color w:val="auto"/>
        </w:rPr>
        <w:t>NetApp</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Cadence Design Systems</w:t>
      </w:r>
      <w:r>
        <w:rPr>
          <w:sz w:val="20"/>
          <w:szCs w:val="20"/>
          <w:color w:val="auto"/>
        </w:rPr>
        <w:tab/>
      </w:r>
      <w:r>
        <w:rPr>
          <w:rFonts w:ascii="Arial" w:cs="Arial" w:eastAsia="Arial" w:hAnsi="Arial"/>
          <w:sz w:val="17"/>
          <w:szCs w:val="17"/>
          <w:color w:val="auto"/>
        </w:rPr>
        <w:t>Palo Alto Networks</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Check Point Software Technologies</w:t>
      </w:r>
      <w:r>
        <w:rPr>
          <w:sz w:val="20"/>
          <w:szCs w:val="20"/>
          <w:color w:val="auto"/>
        </w:rPr>
        <w:tab/>
      </w:r>
      <w:r>
        <w:rPr>
          <w:rFonts w:ascii="Arial" w:cs="Arial" w:eastAsia="Arial" w:hAnsi="Arial"/>
          <w:sz w:val="17"/>
          <w:szCs w:val="17"/>
          <w:color w:val="auto"/>
        </w:rPr>
        <w:t>PTC</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Citrix Systems</w:t>
      </w:r>
      <w:r>
        <w:rPr>
          <w:sz w:val="20"/>
          <w:szCs w:val="20"/>
          <w:color w:val="auto"/>
        </w:rPr>
        <w:tab/>
      </w:r>
      <w:r>
        <w:rPr>
          <w:rFonts w:ascii="Arial" w:cs="Arial" w:eastAsia="Arial" w:hAnsi="Arial"/>
          <w:sz w:val="17"/>
          <w:szCs w:val="17"/>
          <w:color w:val="auto"/>
        </w:rPr>
        <w:t>Splunk</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CrowdStrike Holdings</w:t>
      </w:r>
      <w:r>
        <w:rPr>
          <w:sz w:val="20"/>
          <w:szCs w:val="20"/>
          <w:color w:val="auto"/>
        </w:rPr>
        <w:tab/>
      </w:r>
      <w:r>
        <w:rPr>
          <w:rFonts w:ascii="Arial" w:cs="Arial" w:eastAsia="Arial" w:hAnsi="Arial"/>
          <w:sz w:val="17"/>
          <w:szCs w:val="17"/>
          <w:color w:val="auto"/>
        </w:rPr>
        <w:t>SS&amp;C Technologies Holdings</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Dropbox</w:t>
      </w:r>
      <w:r>
        <w:rPr>
          <w:sz w:val="20"/>
          <w:szCs w:val="20"/>
          <w:color w:val="auto"/>
        </w:rPr>
        <w:tab/>
      </w:r>
      <w:r>
        <w:rPr>
          <w:rFonts w:ascii="Arial" w:cs="Arial" w:eastAsia="Arial" w:hAnsi="Arial"/>
          <w:sz w:val="18"/>
          <w:szCs w:val="18"/>
          <w:color w:val="auto"/>
        </w:rPr>
        <w:t>Synopsys</w:t>
      </w:r>
    </w:p>
    <w:p>
      <w:pPr>
        <w:spacing w:after="0" w:line="63" w:lineRule="exact"/>
        <w:rPr>
          <w:sz w:val="20"/>
          <w:szCs w:val="20"/>
          <w:color w:val="auto"/>
        </w:rPr>
      </w:pPr>
    </w:p>
    <w:p>
      <w:pPr>
        <w:ind w:left="1620"/>
        <w:spacing w:after="0"/>
        <w:tabs>
          <w:tab w:leader="none" w:pos="5440" w:val="left"/>
        </w:tabs>
        <w:rPr>
          <w:sz w:val="20"/>
          <w:szCs w:val="20"/>
          <w:color w:val="auto"/>
        </w:rPr>
      </w:pPr>
      <w:r>
        <w:rPr>
          <w:rFonts w:ascii="Arial" w:cs="Arial" w:eastAsia="Arial" w:hAnsi="Arial"/>
          <w:sz w:val="18"/>
          <w:szCs w:val="18"/>
          <w:color w:val="auto"/>
        </w:rPr>
        <w:t>F5 Networks</w:t>
      </w:r>
      <w:r>
        <w:rPr>
          <w:sz w:val="20"/>
          <w:szCs w:val="20"/>
          <w:color w:val="auto"/>
        </w:rPr>
        <w:tab/>
      </w:r>
      <w:r>
        <w:rPr>
          <w:rFonts w:ascii="Arial" w:cs="Arial" w:eastAsia="Arial" w:hAnsi="Arial"/>
          <w:sz w:val="17"/>
          <w:szCs w:val="17"/>
          <w:color w:val="auto"/>
        </w:rPr>
        <w:t>VeriSign</w:t>
      </w:r>
    </w:p>
    <w:p>
      <w:pPr>
        <w:spacing w:after="0" w:line="171"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For 2020, the Human Resources Committee removed CoStar, FactSet Research Systems, IPG Photonics, Tableau Software, Tyler Technologies and Ultimate Software Group from the peer group and added Akamai Technologies, CrowdStrike Holdings, Dropbox, Juniper Networks, NetApp and PTC to the peer group.</w:t>
      </w:r>
    </w:p>
    <w:p>
      <w:pPr>
        <w:spacing w:after="0" w:line="107"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b w:val="1"/>
          <w:bCs w:val="1"/>
          <w:i w:val="1"/>
          <w:iCs w:val="1"/>
          <w:color w:val="auto"/>
        </w:rPr>
        <w:t>Base Pay</w:t>
      </w:r>
      <w:r>
        <w:rPr>
          <w:rFonts w:ascii="Arial" w:cs="Arial" w:eastAsia="Arial" w:hAnsi="Arial"/>
          <w:sz w:val="18"/>
          <w:szCs w:val="18"/>
          <w:color w:val="auto"/>
        </w:rPr>
        <w:t>. As part of our annual performance review process and review of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pacing w:after="0" w:line="124" w:lineRule="exact"/>
        <w:rPr>
          <w:sz w:val="20"/>
          <w:szCs w:val="20"/>
          <w:color w:val="auto"/>
        </w:rPr>
      </w:pPr>
    </w:p>
    <w:p>
      <w:pPr>
        <w:ind w:left="1260" w:right="479" w:firstLine="360"/>
        <w:spacing w:after="0" w:line="225" w:lineRule="auto"/>
        <w:rPr>
          <w:sz w:val="20"/>
          <w:szCs w:val="20"/>
          <w:color w:val="auto"/>
        </w:rPr>
      </w:pPr>
      <w:r>
        <w:rPr>
          <w:rFonts w:ascii="Arial" w:cs="Arial" w:eastAsia="Arial" w:hAnsi="Arial"/>
          <w:sz w:val="18"/>
          <w:szCs w:val="18"/>
          <w:color w:val="auto"/>
        </w:rPr>
        <w:t>Taking into consideration performance and reasonable merit increases to position salary for our named executive officers generally at or around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market, in January 2020, the Human Resources Committee raised the annual base pay of Mr. Ken Xie by 6% to $797,000, of Mr. Michael Xie by 4% to $445,000, of Mr. Jensen by 11% to $490,000 and of Mr. Whittle by 6% to $429,000. After these increases, salary for our named executive officers was generally positioned around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competitive market.</w:t>
      </w:r>
    </w:p>
    <w:p>
      <w:pPr>
        <w:spacing w:after="0" w:line="13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b w:val="1"/>
          <w:bCs w:val="1"/>
          <w:i w:val="1"/>
          <w:iCs w:val="1"/>
          <w:color w:val="auto"/>
        </w:rPr>
        <w:t>Equity-Based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granting stock options and RSUs to our named executive officers in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Committee exercised its judgment and considered, among other things, the role and contribution of the named executive officer, the value of unvested stock options and RSUs already held by the executive and Compensia’s data and analysis.</w:t>
      </w:r>
    </w:p>
    <w:p>
      <w:pPr>
        <w:spacing w:after="0" w:line="106"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In January 2020, the Human Resources Committee approved “refresh” awards of stock options exercisable for up to 123,294 shares for Mr. Ken Xie, 48,882 shares for Mr. Michael Xie, 40,740 shares for Mr. Jensen and 23,796 shares for Mr. Whittle. Each of these stock options was granted in accordance with</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Fortinet’s Equity Award Grant Policy discussed in “—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four years, with 25% vesting one year from February 21, 2020 and the remainder vesting monthly thereafter.</w:t>
      </w:r>
    </w:p>
    <w:p>
      <w:pPr>
        <w:spacing w:after="0" w:line="141"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Also in January 2020, the Human Resources Committee approved “refresh” awards of 41,098 RSUs for Mr. Ken Xie, 16,294 RSUs for Mr. Michael Xie, 13,580 RSUs for Mr. Jensen and 7,932 RSUs for</w:t>
      </w:r>
    </w:p>
    <w:p>
      <w:pPr>
        <w:jc w:val="both"/>
        <w:ind w:left="1260" w:right="819"/>
        <w:spacing w:after="0" w:line="255" w:lineRule="auto"/>
        <w:rPr>
          <w:sz w:val="20"/>
          <w:szCs w:val="20"/>
          <w:color w:val="auto"/>
        </w:rPr>
      </w:pPr>
      <w:r>
        <w:rPr>
          <w:rFonts w:ascii="Arial" w:cs="Arial" w:eastAsia="Arial" w:hAnsi="Arial"/>
          <w:sz w:val="18"/>
          <w:szCs w:val="18"/>
          <w:color w:val="auto"/>
        </w:rPr>
        <w:t xml:space="preserve">Mr. Whittle. Each of these RSUs was granted in accordance with Fortinet’s Equity Award Grant Policy discussed in “—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 four years, with 25% vesting one year from February 21, 2020 and the remainder vesting quarterly thereafter.</w:t>
      </w:r>
    </w:p>
    <w:p>
      <w:pPr>
        <w:spacing w:after="0" w:line="122"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b w:val="1"/>
          <w:bCs w:val="1"/>
          <w:i w:val="1"/>
          <w:iCs w:val="1"/>
          <w:color w:val="auto"/>
        </w:rPr>
        <w:t>Variable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determine the executive’s actual level of variable compensation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spacing w:after="0" w:line="10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2020, the Human Resources Committee based the Bonus Program funding on achievement of revenue and operating income targets, as set forth in more detail below, with 60% of the bonus pool funding based on revenue achievement and 40%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spacing w:after="0" w:line="9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For purposes of the Bonus Program, a minimum performance level (based on a percentage of the revenue and operating income target levels) had to be met before funding could occur. For 2020,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p>
      <w:pPr>
        <w:spacing w:after="0" w:line="144" w:lineRule="exact"/>
        <w:rPr>
          <w:sz w:val="20"/>
          <w:szCs w:val="20"/>
          <w:color w:val="auto"/>
        </w:rPr>
      </w:pPr>
    </w:p>
    <w:p>
      <w:pPr>
        <w:ind w:left="1620"/>
        <w:spacing w:after="0"/>
        <w:tabs>
          <w:tab w:leader="none" w:pos="5920" w:val="left"/>
        </w:tabs>
        <w:rPr>
          <w:sz w:val="20"/>
          <w:szCs w:val="20"/>
          <w:color w:val="auto"/>
        </w:rPr>
      </w:pPr>
      <w:r>
        <w:rPr>
          <w:rFonts w:ascii="Arial" w:cs="Arial" w:eastAsia="Arial" w:hAnsi="Arial"/>
          <w:sz w:val="14"/>
          <w:szCs w:val="14"/>
          <w:b w:val="1"/>
          <w:bCs w:val="1"/>
          <w:color w:val="auto"/>
        </w:rPr>
        <w:t>Revenue Performance</w:t>
      </w:r>
      <w:r>
        <w:rPr>
          <w:sz w:val="20"/>
          <w:szCs w:val="20"/>
          <w:color w:val="auto"/>
        </w:rPr>
        <w:tab/>
      </w:r>
      <w:r>
        <w:rPr>
          <w:rFonts w:ascii="Arial" w:cs="Arial" w:eastAsia="Arial" w:hAnsi="Arial"/>
          <w:sz w:val="12"/>
          <w:szCs w:val="12"/>
          <w:b w:val="1"/>
          <w:bCs w:val="1"/>
          <w:color w:val="auto"/>
        </w:rPr>
        <w:t>Funding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90% – 100%</w:t>
            </w: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40% funding for performance at 90% and 6% funding for every</w:t>
            </w:r>
          </w:p>
        </w:tc>
      </w:tr>
      <w:tr>
        <w:trPr>
          <w:trHeight w:val="230"/>
        </w:trPr>
        <w:tc>
          <w:tcPr>
            <w:tcW w:w="1940" w:type="dxa"/>
            <w:vAlign w:val="bottom"/>
          </w:tcPr>
          <w:p>
            <w:pPr>
              <w:spacing w:after="0"/>
              <w:rPr>
                <w:sz w:val="20"/>
                <w:szCs w:val="20"/>
                <w:color w:val="auto"/>
              </w:rPr>
            </w:pP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additional 1% of performance between 90% and 100%</w:t>
            </w:r>
          </w:p>
        </w:tc>
      </w:tr>
      <w:tr>
        <w:trPr>
          <w:trHeight w:val="242"/>
        </w:trPr>
        <w:tc>
          <w:tcPr>
            <w:tcW w:w="1940" w:type="dxa"/>
            <w:vAlign w:val="bottom"/>
          </w:tcPr>
          <w:p>
            <w:pPr>
              <w:spacing w:after="0"/>
              <w:rPr>
                <w:sz w:val="20"/>
                <w:szCs w:val="20"/>
                <w:color w:val="auto"/>
              </w:rPr>
            </w:pPr>
            <w:r>
              <w:rPr>
                <w:rFonts w:ascii="Arial" w:cs="Arial" w:eastAsia="Arial" w:hAnsi="Arial"/>
                <w:sz w:val="18"/>
                <w:szCs w:val="18"/>
                <w:color w:val="auto"/>
              </w:rPr>
              <w:t>100% – 140%</w:t>
            </w: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1% funding for every additional 1% of performance between 100%</w:t>
            </w:r>
          </w:p>
        </w:tc>
      </w:tr>
      <w:tr>
        <w:trPr>
          <w:trHeight w:val="230"/>
        </w:trPr>
        <w:tc>
          <w:tcPr>
            <w:tcW w:w="1940" w:type="dxa"/>
            <w:vAlign w:val="bottom"/>
          </w:tcPr>
          <w:p>
            <w:pPr>
              <w:spacing w:after="0"/>
              <w:rPr>
                <w:sz w:val="20"/>
                <w:szCs w:val="20"/>
                <w:color w:val="auto"/>
              </w:rPr>
            </w:pP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and 140%</w:t>
            </w:r>
          </w:p>
        </w:tc>
      </w:tr>
      <w:tr>
        <w:trPr>
          <w:trHeight w:val="393"/>
        </w:trPr>
        <w:tc>
          <w:tcPr>
            <w:tcW w:w="1940" w:type="dxa"/>
            <w:vAlign w:val="bottom"/>
          </w:tcPr>
          <w:p>
            <w:pPr>
              <w:spacing w:after="0"/>
              <w:rPr>
                <w:sz w:val="20"/>
                <w:szCs w:val="20"/>
                <w:color w:val="auto"/>
              </w:rPr>
            </w:pPr>
            <w:r>
              <w:rPr>
                <w:rFonts w:ascii="Arial" w:cs="Arial" w:eastAsia="Arial" w:hAnsi="Arial"/>
                <w:sz w:val="14"/>
                <w:szCs w:val="14"/>
                <w:b w:val="1"/>
                <w:bCs w:val="1"/>
                <w:color w:val="auto"/>
                <w:w w:val="92"/>
              </w:rPr>
              <w:t>Operating Income Performance</w:t>
            </w:r>
          </w:p>
        </w:tc>
        <w:tc>
          <w:tcPr>
            <w:tcW w:w="220" w:type="dxa"/>
            <w:vAlign w:val="bottom"/>
          </w:tcPr>
          <w:p>
            <w:pPr>
              <w:spacing w:after="0"/>
              <w:rPr>
                <w:sz w:val="24"/>
                <w:szCs w:val="24"/>
                <w:color w:val="auto"/>
              </w:rPr>
            </w:pPr>
          </w:p>
        </w:tc>
        <w:tc>
          <w:tcPr>
            <w:tcW w:w="5320" w:type="dxa"/>
            <w:vAlign w:val="bottom"/>
          </w:tcPr>
          <w:p>
            <w:pPr>
              <w:ind w:left="2160"/>
              <w:spacing w:after="0"/>
              <w:rPr>
                <w:sz w:val="20"/>
                <w:szCs w:val="20"/>
                <w:color w:val="auto"/>
              </w:rPr>
            </w:pPr>
            <w:r>
              <w:rPr>
                <w:rFonts w:ascii="Arial" w:cs="Arial" w:eastAsia="Arial" w:hAnsi="Arial"/>
                <w:sz w:val="14"/>
                <w:szCs w:val="14"/>
                <w:b w:val="1"/>
                <w:bCs w:val="1"/>
                <w:color w:val="auto"/>
              </w:rPr>
              <w:t>Funding Amount</w:t>
            </w:r>
          </w:p>
        </w:tc>
      </w:tr>
      <w:tr>
        <w:trPr>
          <w:trHeight w:val="25"/>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90% – 100%</w:t>
            </w: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40% funding for performance at 90% and 6% funding for every</w:t>
            </w:r>
          </w:p>
        </w:tc>
      </w:tr>
      <w:tr>
        <w:trPr>
          <w:trHeight w:val="230"/>
        </w:trPr>
        <w:tc>
          <w:tcPr>
            <w:tcW w:w="1940" w:type="dxa"/>
            <w:vAlign w:val="bottom"/>
          </w:tcPr>
          <w:p>
            <w:pPr>
              <w:spacing w:after="0"/>
              <w:rPr>
                <w:sz w:val="20"/>
                <w:szCs w:val="20"/>
                <w:color w:val="auto"/>
              </w:rPr>
            </w:pP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additional 1% of performance between 90% and 100%</w:t>
            </w:r>
          </w:p>
        </w:tc>
      </w:tr>
      <w:tr>
        <w:trPr>
          <w:trHeight w:val="242"/>
        </w:trPr>
        <w:tc>
          <w:tcPr>
            <w:tcW w:w="1940" w:type="dxa"/>
            <w:vAlign w:val="bottom"/>
          </w:tcPr>
          <w:p>
            <w:pPr>
              <w:spacing w:after="0"/>
              <w:rPr>
                <w:sz w:val="20"/>
                <w:szCs w:val="20"/>
                <w:color w:val="auto"/>
              </w:rPr>
            </w:pPr>
            <w:r>
              <w:rPr>
                <w:rFonts w:ascii="Arial" w:cs="Arial" w:eastAsia="Arial" w:hAnsi="Arial"/>
                <w:sz w:val="18"/>
                <w:szCs w:val="18"/>
                <w:color w:val="auto"/>
              </w:rPr>
              <w:t>100% – 140%</w:t>
            </w: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1% funding for every additional 1% of performance between 100%</w:t>
            </w:r>
          </w:p>
        </w:tc>
      </w:tr>
      <w:tr>
        <w:trPr>
          <w:trHeight w:val="230"/>
        </w:trPr>
        <w:tc>
          <w:tcPr>
            <w:tcW w:w="1940" w:type="dxa"/>
            <w:vAlign w:val="bottom"/>
          </w:tcPr>
          <w:p>
            <w:pPr>
              <w:spacing w:after="0"/>
              <w:rPr>
                <w:sz w:val="20"/>
                <w:szCs w:val="20"/>
                <w:color w:val="auto"/>
              </w:rPr>
            </w:pPr>
          </w:p>
        </w:tc>
        <w:tc>
          <w:tcPr>
            <w:tcW w:w="5540" w:type="dxa"/>
            <w:vAlign w:val="bottom"/>
            <w:gridSpan w:val="2"/>
          </w:tcPr>
          <w:p>
            <w:pPr>
              <w:ind w:left="220"/>
              <w:spacing w:after="0"/>
              <w:rPr>
                <w:sz w:val="20"/>
                <w:szCs w:val="20"/>
                <w:color w:val="auto"/>
              </w:rPr>
            </w:pPr>
            <w:r>
              <w:rPr>
                <w:rFonts w:ascii="Arial" w:cs="Arial" w:eastAsia="Arial" w:hAnsi="Arial"/>
                <w:sz w:val="18"/>
                <w:szCs w:val="18"/>
                <w:color w:val="auto"/>
              </w:rPr>
              <w:t>and 140%</w:t>
            </w:r>
          </w:p>
        </w:tc>
      </w:tr>
    </w:tbl>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example, for the revenue portion for our named executive officers:</w:t>
      </w:r>
    </w:p>
    <w:p>
      <w:pPr>
        <w:spacing w:after="0" w:line="131" w:lineRule="exact"/>
        <w:rPr>
          <w:sz w:val="20"/>
          <w:szCs w:val="20"/>
          <w:color w:val="auto"/>
        </w:rPr>
      </w:pPr>
    </w:p>
    <w:p>
      <w:pPr>
        <w:ind w:left="1800" w:right="8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90% achievement of the revenue target, the revenue portion of the Bonus Program would be funded at 40%;</w:t>
      </w:r>
    </w:p>
    <w:p>
      <w:pPr>
        <w:spacing w:after="0" w:line="75"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95% achievement of the revenue target, the revenue portion of the Bonus Program would be funded at 70%;</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100% achievement of the revenue target, the revenue portion of the Bonus Program would be funded at 100%; and</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140% achievement of the revenue target, the revenue portion of the Bonus Program would be funded at 140%.</w:t>
      </w:r>
    </w:p>
    <w:p>
      <w:pPr>
        <w:spacing w:after="0" w:line="89" w:lineRule="exact"/>
        <w:rPr>
          <w:sz w:val="20"/>
          <w:szCs w:val="20"/>
          <w:color w:val="auto"/>
        </w:rPr>
      </w:pPr>
    </w:p>
    <w:p>
      <w:pPr>
        <w:ind w:left="1260" w:right="599" w:firstLine="360"/>
        <w:spacing w:after="0" w:line="294" w:lineRule="auto"/>
        <w:rPr>
          <w:sz w:val="20"/>
          <w:szCs w:val="20"/>
          <w:color w:val="auto"/>
        </w:rPr>
      </w:pPr>
      <w:r>
        <w:rPr>
          <w:rFonts w:ascii="Arial" w:cs="Arial" w:eastAsia="Arial" w:hAnsi="Arial"/>
          <w:sz w:val="16"/>
          <w:szCs w:val="16"/>
          <w:color w:val="auto"/>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w:t>
      </w:r>
    </w:p>
    <w:p>
      <w:pPr>
        <w:spacing w:after="0" w:line="80"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Individual target bonuses under the Bonus Program are expressed as a percentage of the named executive officer’s base salary for 100% goal achievement. During 2020, our Chief Executive Officer made recommendations for target bonuses to the Human Resources Committee for Messrs. Jensen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2020, the Human Resources Committee approved target bonuses of 120% of base salary for</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Ken Xie, 75% of base salary for Mr. Michael Xie, 75% of base salary for Mr. Jensen and 65% of base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salary for Mr. Whittle. See “— </w:t>
      </w:r>
      <w:r>
        <w:rPr>
          <w:rFonts w:ascii="Arial" w:cs="Arial" w:eastAsia="Arial" w:hAnsi="Arial"/>
          <w:sz w:val="18"/>
          <w:szCs w:val="18"/>
          <w:i w:val="1"/>
          <w:iCs w:val="1"/>
          <w:color w:val="auto"/>
        </w:rPr>
        <w:t>2020 Summary Compensation Table</w:t>
      </w:r>
      <w:r>
        <w:rPr>
          <w:rFonts w:ascii="Arial" w:cs="Arial" w:eastAsia="Arial" w:hAnsi="Arial"/>
          <w:sz w:val="18"/>
          <w:szCs w:val="18"/>
          <w:color w:val="auto"/>
        </w:rPr>
        <w:t>” below.</w:t>
      </w:r>
    </w:p>
    <w:p>
      <w:pPr>
        <w:spacing w:after="0" w:line="11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As noted above, the Bonus Program was based on revenue and operating income performance targets set at the beginning of the year. The targets were set at levels determined to be challenging and requiring substantial effort on the part of senior management. For 2020, we achieved between 99% and 101% of our quarterly and annual revenue targets and we achieved between 106% and 115% of our quarterly and annual operating income targets. The Human Resources Committee approved bonus payments for our senior management for 2020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102870</wp:posOffset>
            </wp:positionV>
            <wp:extent cx="5203190" cy="1517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319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b w:val="1"/>
          <w:bCs w:val="1"/>
          <w:i w:val="1"/>
          <w:iCs w:val="1"/>
          <w:color w:val="auto"/>
        </w:rPr>
        <w:t>Benefits Programs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2020, our named executive officers received the same employee benefits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other U.S.-based employees and did not receive any additional perquisites. Additional details regarding our benefits programs can be found above in “— </w:t>
      </w:r>
      <w:r>
        <w:rPr>
          <w:rFonts w:ascii="Arial" w:cs="Arial" w:eastAsia="Arial" w:hAnsi="Arial"/>
          <w:sz w:val="18"/>
          <w:szCs w:val="18"/>
          <w:i w:val="1"/>
          <w:iCs w:val="1"/>
          <w:color w:val="auto"/>
        </w:rPr>
        <w:t>Elements of Our Compensation Program — Benefits</w:t>
      </w:r>
      <w:r>
        <w:rPr>
          <w:rFonts w:ascii="Arial" w:cs="Arial" w:eastAsia="Arial" w:hAnsi="Arial"/>
          <w:sz w:val="18"/>
          <w:szCs w:val="18"/>
          <w:color w:val="auto"/>
        </w:rPr>
        <w:t xml:space="preserve"> </w:t>
      </w:r>
      <w:r>
        <w:rPr>
          <w:rFonts w:ascii="Arial" w:cs="Arial" w:eastAsia="Arial" w:hAnsi="Arial"/>
          <w:sz w:val="18"/>
          <w:szCs w:val="18"/>
          <w:i w:val="1"/>
          <w:iCs w:val="1"/>
          <w:color w:val="auto"/>
        </w:rPr>
        <w:t>Programs</w:t>
      </w:r>
      <w:r>
        <w:rPr>
          <w:rFonts w:ascii="Arial" w:cs="Arial" w:eastAsia="Arial" w:hAnsi="Arial"/>
          <w:sz w:val="18"/>
          <w:szCs w:val="18"/>
          <w:color w:val="auto"/>
        </w:rPr>
        <w: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Amended and Restated Change of Control Severance Agreements</w:t>
      </w:r>
    </w:p>
    <w:p>
      <w:pPr>
        <w:spacing w:after="0" w:line="144"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Effective August 2019, we entered into an Amended and Restated Change of Control Severance Agreement with each of our named executive officers. In addition to extending the term of each named executive officer’s existing Change of Control Severance Agreement to August 7, 2024, the Amended and Restated Change of Control Severance Agreements also aligned the change of control terms for each of our named executive officers.</w:t>
      </w:r>
    </w:p>
    <w:p>
      <w:pPr>
        <w:spacing w:after="0" w:line="122"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 xml:space="preserve">These Amended and Restated Change of Control Severance Agreements provide for payments and benefits upon termination of their employment in specified circumstances. These arrangements (including potential payments and terms) are discussed in more detail in the “— </w:t>
      </w:r>
      <w:r>
        <w:rPr>
          <w:rFonts w:ascii="Arial" w:cs="Arial" w:eastAsia="Arial" w:hAnsi="Arial"/>
          <w:sz w:val="17"/>
          <w:szCs w:val="17"/>
          <w:i w:val="1"/>
          <w:iCs w:val="1"/>
          <w:color w:val="auto"/>
        </w:rPr>
        <w:t>Potential Payments Upon Termination</w:t>
      </w:r>
      <w:r>
        <w:rPr>
          <w:rFonts w:ascii="Arial" w:cs="Arial" w:eastAsia="Arial" w:hAnsi="Arial"/>
          <w:sz w:val="17"/>
          <w:szCs w:val="17"/>
          <w:color w:val="auto"/>
        </w:rPr>
        <w:t xml:space="preserve"> </w:t>
      </w:r>
      <w:r>
        <w:rPr>
          <w:rFonts w:ascii="Arial" w:cs="Arial" w:eastAsia="Arial" w:hAnsi="Arial"/>
          <w:sz w:val="17"/>
          <w:szCs w:val="17"/>
          <w:i w:val="1"/>
          <w:iCs w:val="1"/>
          <w:color w:val="auto"/>
        </w:rPr>
        <w:t>or Change of Control</w:t>
      </w:r>
      <w:r>
        <w:rPr>
          <w:rFonts w:ascii="Arial" w:cs="Arial" w:eastAsia="Arial" w:hAnsi="Arial"/>
          <w:sz w:val="17"/>
          <w:szCs w:val="17"/>
          <w:color w:val="auto"/>
        </w:rPr>
        <w:t>” section below. We believe that these agreements help us from a retention standpoint,</w:t>
      </w:r>
    </w:p>
    <w:p>
      <w:pPr>
        <w:sectPr>
          <w:pgSz w:w="11900" w:h="16838" w:orient="portrait"/>
          <w:cols w:equalWidth="0" w:num="1">
            <w:col w:w="9879"/>
          </w:cols>
          <w:pgMar w:left="580" w:top="131"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Timing of Equity Awards</w:t>
      </w:r>
    </w:p>
    <w:p>
      <w:pPr>
        <w:spacing w:after="0" w:line="14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Human Resources Committee approved grants of both “refresh” stock options and RSUs to our named executive officers in January 2020. The Board of Directors and Human Resources Committee reserve the right, however, to grant stock options, RSUs, performance stock units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Performance-Based Compensation Recovery Policy</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4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113" w:lineRule="exact"/>
        <w:rPr>
          <w:sz w:val="20"/>
          <w:szCs w:val="20"/>
          <w:color w:val="auto"/>
        </w:rPr>
      </w:pPr>
    </w:p>
    <w:p>
      <w:pPr>
        <w:ind w:left="1260" w:right="639" w:firstLine="360"/>
        <w:spacing w:after="0" w:line="258" w:lineRule="auto"/>
        <w:rPr>
          <w:sz w:val="20"/>
          <w:szCs w:val="20"/>
          <w:color w:val="auto"/>
        </w:rPr>
      </w:pPr>
      <w:r>
        <w:rPr>
          <w:rFonts w:ascii="Arial" w:cs="Arial" w:eastAsia="Arial" w:hAnsi="Arial"/>
          <w:sz w:val="17"/>
          <w:szCs w:val="17"/>
          <w:color w:val="auto"/>
        </w:rPr>
        <w:t>Section 162(m) of the Internal Revenue Code of 1986, as amended (the “Code”), generally disallows the deductibility by any publicly held corporation of individual compensation expenses in excess of</w:t>
      </w:r>
    </w:p>
    <w:p>
      <w:pPr>
        <w:spacing w:after="0" w:line="1" w:lineRule="exact"/>
        <w:rPr>
          <w:sz w:val="20"/>
          <w:szCs w:val="20"/>
          <w:color w:val="auto"/>
        </w:rPr>
      </w:pPr>
    </w:p>
    <w:p>
      <w:pPr>
        <w:ind w:left="1260" w:right="539"/>
        <w:spacing w:after="0" w:line="248" w:lineRule="auto"/>
        <w:rPr>
          <w:sz w:val="20"/>
          <w:szCs w:val="20"/>
          <w:color w:val="auto"/>
        </w:rPr>
      </w:pPr>
      <w:r>
        <w:rPr>
          <w:rFonts w:ascii="Arial" w:cs="Arial" w:eastAsia="Arial" w:hAnsi="Arial"/>
          <w:sz w:val="17"/>
          <w:szCs w:val="17"/>
          <w:color w:val="auto"/>
        </w:rPr>
        <w:t>$1 million paid to certain executive officers within a taxable year. The Tax Cuts and Jobs Act, which was signed into law in December 2017, limited or eliminated the “performance -based compensation” exception to the Section 162(m) deductibility limit, effective for tax years beginning after December 31, 2017. As a result, any compensation paid to such executive officers in excess of $1 million will be non-deductible unless such compensation was previously exempt and is payable pursuant to a written binding contract that was in effect on November 2, 2017. We believe it is likely that compensation income recognized upon the exercise of stock options granted prior to November 2, 2017 will continue to be tax deductible in</w:t>
      </w:r>
    </w:p>
    <w:p>
      <w:pPr>
        <w:spacing w:after="0" w:line="4"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future years. However, because the tax reform changes are complex and their effect is unsettled, we can offer no such assurance of deductibility. All other compensation paid after December 31, 2017 to such executive officers in excess of $1 million, including cash compensation, stock options, RSUs and PSUs awarded or modified after November 2, 2017, will be non-deductible. We expect that the Human Resources Committee will continue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00"/>
        <w:spacing w:after="0" w:line="257" w:lineRule="auto"/>
        <w:rPr>
          <w:sz w:val="20"/>
          <w:szCs w:val="20"/>
          <w:color w:val="auto"/>
        </w:rPr>
      </w:pPr>
      <w:r>
        <w:rPr>
          <w:rFonts w:ascii="Arial" w:cs="Arial" w:eastAsia="Arial" w:hAnsi="Arial"/>
          <w:sz w:val="18"/>
          <w:szCs w:val="18"/>
          <w:color w:val="auto"/>
        </w:rPr>
        <w:t>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Report</w:t>
      </w:r>
    </w:p>
    <w:p>
      <w:pPr>
        <w:spacing w:after="0" w:line="148" w:lineRule="exact"/>
        <w:rPr>
          <w:sz w:val="20"/>
          <w:szCs w:val="20"/>
          <w:color w:val="auto"/>
        </w:rPr>
      </w:pPr>
    </w:p>
    <w:p>
      <w:pPr>
        <w:ind w:left="1260" w:right="760" w:firstLine="360"/>
        <w:spacing w:after="0" w:line="257" w:lineRule="auto"/>
        <w:rPr>
          <w:sz w:val="20"/>
          <w:szCs w:val="20"/>
          <w:color w:val="auto"/>
        </w:rPr>
      </w:pPr>
      <w:r>
        <w:rPr>
          <w:rFonts w:ascii="Arial" w:cs="Arial" w:eastAsia="Arial" w:hAnsi="Arial"/>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Respectfully submitted by the members of the Human Resources Committee of the Board of Directors</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Judith Sim (Chairperson)</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Kenneth A. Goldman</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Kelly Ducourty</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Christopher B. Paisley</w:t>
      </w:r>
    </w:p>
    <w:p>
      <w:pPr>
        <w:spacing w:after="0" w:line="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Summary Compensation Table</w:t>
      </w:r>
    </w:p>
    <w:p>
      <w:pPr>
        <w:spacing w:after="0" w:line="148" w:lineRule="exact"/>
        <w:rPr>
          <w:sz w:val="20"/>
          <w:szCs w:val="20"/>
          <w:color w:val="auto"/>
        </w:rPr>
      </w:pPr>
    </w:p>
    <w:p>
      <w:pPr>
        <w:ind w:left="1260" w:right="840" w:firstLine="360"/>
        <w:spacing w:after="0" w:line="277" w:lineRule="auto"/>
        <w:rPr>
          <w:sz w:val="20"/>
          <w:szCs w:val="20"/>
          <w:color w:val="auto"/>
        </w:rPr>
      </w:pPr>
      <w:r>
        <w:rPr>
          <w:rFonts w:ascii="Arial" w:cs="Arial" w:eastAsia="Arial" w:hAnsi="Arial"/>
          <w:sz w:val="18"/>
          <w:szCs w:val="18"/>
          <w:color w:val="auto"/>
        </w:rPr>
        <w:t>The following table presents information concerning the compensation of the named executive officers for the years ended December 31, 2020, 2019 and 2018.</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Non-Equity</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Incentive Plan</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4"/>
                <w:szCs w:val="14"/>
                <w:b w:val="1"/>
                <w:bCs w:val="1"/>
                <w:color w:val="auto"/>
              </w:rPr>
              <w:t>Name and Principal Positions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8"/>
              </w:rPr>
              <w:t>Salary ($)</w:t>
            </w:r>
          </w:p>
        </w:tc>
        <w:tc>
          <w:tcPr>
            <w:tcW w:w="120" w:type="dxa"/>
            <w:vAlign w:val="bottom"/>
          </w:tcPr>
          <w:p>
            <w:pPr>
              <w:spacing w:after="0"/>
              <w:rPr>
                <w:sz w:val="21"/>
                <w:szCs w:val="21"/>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Bonus ($)   Awards ($)</w:t>
            </w:r>
            <w:r>
              <w:rPr>
                <w:rFonts w:ascii="Arial" w:cs="Arial" w:eastAsia="Arial" w:hAnsi="Arial"/>
                <w:sz w:val="21"/>
                <w:szCs w:val="21"/>
                <w:b w:val="1"/>
                <w:bCs w:val="1"/>
                <w:color w:val="auto"/>
                <w:w w:val="96"/>
                <w:vertAlign w:val="superscript"/>
              </w:rPr>
              <w:t>(1)</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Awards ($)</w:t>
            </w:r>
            <w:r>
              <w:rPr>
                <w:rFonts w:ascii="Arial" w:cs="Arial" w:eastAsia="Arial" w:hAnsi="Arial"/>
                <w:sz w:val="21"/>
                <w:szCs w:val="21"/>
                <w:b w:val="1"/>
                <w:bCs w:val="1"/>
                <w:color w:val="auto"/>
                <w:w w:val="87"/>
                <w:vertAlign w:val="superscript"/>
              </w:rPr>
              <w:t>(1)</w:t>
            </w:r>
          </w:p>
        </w:tc>
        <w:tc>
          <w:tcPr>
            <w:tcW w:w="90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77"/>
                <w:vertAlign w:val="subscript"/>
              </w:rPr>
              <w:t>($)</w:t>
            </w:r>
            <w:r>
              <w:rPr>
                <w:rFonts w:ascii="Arial" w:cs="Arial" w:eastAsia="Arial" w:hAnsi="Arial"/>
                <w:sz w:val="11"/>
                <w:szCs w:val="11"/>
                <w:b w:val="1"/>
                <w:bCs w:val="1"/>
                <w:color w:val="auto"/>
                <w:w w:val="77"/>
              </w:rPr>
              <w:t>(2)</w:t>
            </w:r>
          </w:p>
        </w:tc>
        <w:tc>
          <w:tcPr>
            <w:tcW w:w="10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77"/>
                <w:vertAlign w:val="subscript"/>
              </w:rPr>
              <w:t>($)</w:t>
            </w:r>
            <w:r>
              <w:rPr>
                <w:rFonts w:ascii="Arial" w:cs="Arial" w:eastAsia="Arial" w:hAnsi="Arial"/>
                <w:sz w:val="11"/>
                <w:szCs w:val="11"/>
                <w:b w:val="1"/>
                <w:bCs w:val="1"/>
                <w:color w:val="auto"/>
                <w:w w:val="77"/>
              </w:rPr>
              <w:t>(3)</w:t>
            </w:r>
          </w:p>
        </w:tc>
        <w:tc>
          <w:tcPr>
            <w:tcW w:w="1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Ken Xie</w:t>
            </w: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797,000</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4,169,569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4,704,899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983,163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10,654,631</w:t>
            </w:r>
          </w:p>
        </w:tc>
        <w:tc>
          <w:tcPr>
            <w:tcW w:w="0" w:type="dxa"/>
            <w:vAlign w:val="bottom"/>
          </w:tcPr>
          <w:p>
            <w:pPr>
              <w:spacing w:after="0"/>
              <w:rPr>
                <w:sz w:val="1"/>
                <w:szCs w:val="1"/>
                <w:color w:val="auto"/>
              </w:rPr>
            </w:pPr>
          </w:p>
        </w:tc>
      </w:tr>
      <w:tr>
        <w:trPr>
          <w:trHeight w:val="257"/>
        </w:trPr>
        <w:tc>
          <w:tcPr>
            <w:tcW w:w="3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750,000</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3,985,666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4,139,334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754,923</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9,629,923</w:t>
            </w:r>
          </w:p>
        </w:tc>
        <w:tc>
          <w:tcPr>
            <w:tcW w:w="0" w:type="dxa"/>
            <w:vAlign w:val="bottom"/>
          </w:tcPr>
          <w:p>
            <w:pPr>
              <w:spacing w:after="0"/>
              <w:rPr>
                <w:sz w:val="1"/>
                <w:szCs w:val="1"/>
                <w:color w:val="auto"/>
              </w:rPr>
            </w:pPr>
          </w:p>
        </w:tc>
      </w:tr>
      <w:tr>
        <w:trPr>
          <w:trHeight w:val="283"/>
        </w:trPr>
        <w:tc>
          <w:tcPr>
            <w:tcW w:w="3180" w:type="dxa"/>
            <w:vAlign w:val="bottom"/>
            <w:tcBorders>
              <w:right w:val="single" w:sz="8" w:color="CCEEFF"/>
            </w:tcBorders>
            <w:shd w:val="clear" w:color="auto" w:fill="CCEEFF"/>
          </w:tcPr>
          <w:p>
            <w:pPr>
              <w:spacing w:after="0"/>
              <w:rPr>
                <w:sz w:val="24"/>
                <w:szCs w:val="24"/>
                <w:color w:val="auto"/>
              </w:rPr>
            </w:pP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625,000</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3,003,220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2,453,000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680,466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6,761,686</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Michael Xie</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2020</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445,000</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1,653,096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1,865,337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343,090</w:t>
            </w:r>
          </w:p>
        </w:tc>
        <w:tc>
          <w:tcPr>
            <w:tcW w:w="100" w:type="dxa"/>
            <w:vAlign w:val="bottom"/>
          </w:tcPr>
          <w:p>
            <w:pPr>
              <w:spacing w:after="0"/>
              <w:rPr>
                <w:sz w:val="22"/>
                <w:szCs w:val="22"/>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4,305,023</w:t>
            </w: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2019</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427,000</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1,758,779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1,826,589</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279,372</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4,291,740</w:t>
            </w: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i w:val="1"/>
                <w:iCs w:val="1"/>
                <w:color w:val="auto"/>
              </w:rPr>
              <w:t>Technology Officer</w:t>
            </w:r>
          </w:p>
        </w:tc>
        <w:tc>
          <w:tcPr>
            <w:tcW w:w="46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89"/>
              </w:rPr>
              <w:t>2018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w w:val="86"/>
              </w:rPr>
              <w:t>427,000</w:t>
            </w:r>
          </w:p>
        </w:tc>
        <w:tc>
          <w:tcPr>
            <w:tcW w:w="120" w:type="dxa"/>
            <w:vAlign w:val="bottom"/>
          </w:tcPr>
          <w:p>
            <w:pPr>
              <w:spacing w:after="0"/>
              <w:rPr>
                <w:sz w:val="20"/>
                <w:szCs w:val="20"/>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2"/>
              </w:rPr>
              <w:t>1,420,673</w:t>
            </w:r>
          </w:p>
        </w:tc>
        <w:tc>
          <w:tcPr>
            <w:tcW w:w="1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2"/>
              </w:rPr>
              <w:t>1,393,304</w:t>
            </w:r>
          </w:p>
        </w:tc>
        <w:tc>
          <w:tcPr>
            <w:tcW w:w="1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232,447</w:t>
            </w:r>
          </w:p>
        </w:tc>
        <w:tc>
          <w:tcPr>
            <w:tcW w:w="100" w:type="dxa"/>
            <w:vAlign w:val="bottom"/>
          </w:tcPr>
          <w:p>
            <w:pPr>
              <w:spacing w:after="0"/>
              <w:rPr>
                <w:sz w:val="20"/>
                <w:szCs w:val="2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3,473,424</w:t>
            </w:r>
          </w:p>
        </w:tc>
        <w:tc>
          <w:tcPr>
            <w:tcW w:w="0" w:type="dxa"/>
            <w:vAlign w:val="bottom"/>
          </w:tcPr>
          <w:p>
            <w:pPr>
              <w:spacing w:after="0"/>
              <w:rPr>
                <w:sz w:val="1"/>
                <w:szCs w:val="1"/>
                <w:color w:val="auto"/>
              </w:rPr>
            </w:pPr>
          </w:p>
        </w:tc>
      </w:tr>
      <w:tr>
        <w:trPr>
          <w:trHeight w:val="100"/>
        </w:trPr>
        <w:tc>
          <w:tcPr>
            <w:tcW w:w="3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Keith Jensen</w:t>
            </w: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490,000</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1,377,749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1,554,638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401,000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3,824,721</w:t>
            </w:r>
          </w:p>
        </w:tc>
        <w:tc>
          <w:tcPr>
            <w:tcW w:w="0" w:type="dxa"/>
            <w:vAlign w:val="bottom"/>
          </w:tcPr>
          <w:p>
            <w:pPr>
              <w:spacing w:after="0"/>
              <w:rPr>
                <w:sz w:val="1"/>
                <w:szCs w:val="1"/>
                <w:color w:val="auto"/>
              </w:rPr>
            </w:pPr>
          </w:p>
        </w:tc>
      </w:tr>
      <w:tr>
        <w:trPr>
          <w:trHeight w:val="257"/>
        </w:trPr>
        <w:tc>
          <w:tcPr>
            <w:tcW w:w="31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442,000</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1,278,225</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1,327,507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340,797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5,188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3,393,717</w:t>
            </w:r>
          </w:p>
        </w:tc>
        <w:tc>
          <w:tcPr>
            <w:tcW w:w="0" w:type="dxa"/>
            <w:vAlign w:val="bottom"/>
          </w:tcPr>
          <w:p>
            <w:pPr>
              <w:spacing w:after="0"/>
              <w:rPr>
                <w:sz w:val="1"/>
                <w:szCs w:val="1"/>
                <w:color w:val="auto"/>
              </w:rPr>
            </w:pPr>
          </w:p>
        </w:tc>
      </w:tr>
      <w:tr>
        <w:trPr>
          <w:trHeight w:val="283"/>
        </w:trPr>
        <w:tc>
          <w:tcPr>
            <w:tcW w:w="3180" w:type="dxa"/>
            <w:vAlign w:val="bottom"/>
            <w:tcBorders>
              <w:right w:val="single" w:sz="8" w:color="CCEEFF"/>
            </w:tcBorders>
            <w:shd w:val="clear" w:color="auto" w:fill="CCEEFF"/>
          </w:tcPr>
          <w:p>
            <w:pPr>
              <w:spacing w:after="0"/>
              <w:rPr>
                <w:sz w:val="24"/>
                <w:szCs w:val="24"/>
                <w:color w:val="auto"/>
              </w:rPr>
            </w:pPr>
          </w:p>
        </w:tc>
        <w:tc>
          <w:tcPr>
            <w:tcW w:w="4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400,000</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line="283" w:lineRule="exact"/>
              <w:rPr>
                <w:sz w:val="20"/>
                <w:szCs w:val="20"/>
                <w:color w:val="auto"/>
              </w:rPr>
            </w:pPr>
            <w:r>
              <w:rPr>
                <w:rFonts w:ascii="Arial" w:cs="Arial" w:eastAsia="Arial" w:hAnsi="Arial"/>
                <w:sz w:val="18"/>
                <w:szCs w:val="18"/>
                <w:color w:val="auto"/>
                <w:w w:val="89"/>
              </w:rPr>
              <w:t>40,000</w:t>
            </w:r>
            <w:r>
              <w:rPr>
                <w:rFonts w:ascii="Arial" w:cs="Arial" w:eastAsia="Arial" w:hAnsi="Arial"/>
                <w:sz w:val="26"/>
                <w:szCs w:val="26"/>
                <w:color w:val="auto"/>
                <w:w w:val="89"/>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600,644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229,116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2,256,012</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John Whittle</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2020</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429,000</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804,736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908,055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230,242</w:t>
            </w:r>
          </w:p>
        </w:tc>
        <w:tc>
          <w:tcPr>
            <w:tcW w:w="100" w:type="dxa"/>
            <w:vAlign w:val="bottom"/>
          </w:tcPr>
          <w:p>
            <w:pPr>
              <w:spacing w:after="0"/>
              <w:rPr>
                <w:sz w:val="22"/>
                <w:szCs w:val="22"/>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2,377,733</w:t>
            </w: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i w:val="1"/>
                <w:iCs w:val="1"/>
                <w:color w:val="auto"/>
                <w:w w:val="97"/>
              </w:rPr>
              <w:t>Executive Vice President of Corporate</w:t>
            </w:r>
          </w:p>
        </w:tc>
        <w:tc>
          <w:tcPr>
            <w:tcW w:w="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2019</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403,000</w:t>
            </w: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910,995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946,119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246,000</w:t>
            </w:r>
          </w:p>
        </w:tc>
        <w:tc>
          <w:tcPr>
            <w:tcW w:w="100" w:type="dxa"/>
            <w:vAlign w:val="bottom"/>
          </w:tcPr>
          <w:p>
            <w:pPr>
              <w:spacing w:after="0"/>
              <w:rPr>
                <w:sz w:val="20"/>
                <w:szCs w:val="20"/>
                <w:color w:val="auto"/>
              </w:rPr>
            </w:pPr>
          </w:p>
        </w:tc>
        <w:tc>
          <w:tcPr>
            <w:tcW w:w="900" w:type="dxa"/>
            <w:vAlign w:val="bottom"/>
          </w:tcPr>
          <w:p>
            <w:pPr>
              <w:jc w:val="right"/>
              <w:ind w:right="155"/>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2,511,614</w:t>
            </w:r>
          </w:p>
        </w:tc>
        <w:tc>
          <w:tcPr>
            <w:tcW w:w="0" w:type="dxa"/>
            <w:vAlign w:val="bottom"/>
          </w:tcPr>
          <w:p>
            <w:pPr>
              <w:spacing w:after="0"/>
              <w:rPr>
                <w:sz w:val="1"/>
                <w:szCs w:val="1"/>
                <w:color w:val="auto"/>
              </w:rPr>
            </w:pPr>
          </w:p>
        </w:tc>
      </w:tr>
      <w:tr>
        <w:trPr>
          <w:trHeight w:val="202"/>
        </w:trPr>
        <w:tc>
          <w:tcPr>
            <w:tcW w:w="318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Development, General Counsel and</w:t>
            </w:r>
          </w:p>
        </w:tc>
        <w:tc>
          <w:tcPr>
            <w:tcW w:w="46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89"/>
              </w:rPr>
              <w:t>2018</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w w:val="86"/>
              </w:rPr>
              <w:t>395,000</w:t>
            </w:r>
          </w:p>
        </w:tc>
        <w:tc>
          <w:tcPr>
            <w:tcW w:w="120" w:type="dxa"/>
            <w:vAlign w:val="bottom"/>
          </w:tcPr>
          <w:p>
            <w:pPr>
              <w:spacing w:after="0"/>
              <w:rPr>
                <w:sz w:val="17"/>
                <w:szCs w:val="17"/>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876,189</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859,041</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260,960</w:t>
            </w:r>
          </w:p>
        </w:tc>
        <w:tc>
          <w:tcPr>
            <w:tcW w:w="100" w:type="dxa"/>
            <w:vAlign w:val="bottom"/>
          </w:tcPr>
          <w:p>
            <w:pPr>
              <w:spacing w:after="0"/>
              <w:rPr>
                <w:sz w:val="17"/>
                <w:szCs w:val="17"/>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2,396,690</w:t>
            </w:r>
          </w:p>
        </w:tc>
        <w:tc>
          <w:tcPr>
            <w:tcW w:w="0" w:type="dxa"/>
            <w:vAlign w:val="bottom"/>
          </w:tcPr>
          <w:p>
            <w:pPr>
              <w:spacing w:after="0"/>
              <w:rPr>
                <w:sz w:val="1"/>
                <w:szCs w:val="1"/>
                <w:color w:val="auto"/>
              </w:rPr>
            </w:pPr>
          </w:p>
        </w:tc>
      </w:tr>
      <w:tr>
        <w:trPr>
          <w:trHeight w:val="122"/>
        </w:trPr>
        <w:tc>
          <w:tcPr>
            <w:tcW w:w="31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Corporate Secretary</w:t>
            </w:r>
          </w:p>
        </w:tc>
        <w:tc>
          <w:tcPr>
            <w:tcW w:w="4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-2134235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-2134235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-2134235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-2134235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-2134235</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-2134235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-2134235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-2134235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222885</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880" w:hanging="360"/>
        <w:spacing w:after="0" w:line="254"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14 to our consolidated financial statements, which are included in our Annual Report on Form 10-K for the year ended December 31, 2020, filed with the SEC on February 19, 2021. The grant date fair value of these awards is determined for financial statement reporting purposes and does not correspond to the actual value that the named executive officers will receive from the awards.</w:t>
      </w:r>
    </w:p>
    <w:p>
      <w:pPr>
        <w:spacing w:after="0" w:line="38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980" w:hanging="360"/>
        <w:spacing w:after="0" w:line="279"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Grants of Plan-Based Awards in 2020 Table</w:t>
      </w:r>
      <w:r>
        <w:rPr>
          <w:rFonts w:ascii="Arial" w:cs="Arial" w:eastAsia="Arial" w:hAnsi="Arial"/>
          <w:sz w:val="17"/>
          <w:szCs w:val="17"/>
          <w:color w:val="auto"/>
        </w:rPr>
        <w:t xml:space="preserve">” under the column “Estimated Future Payouts Under Non-Equity Incentive Plan Awards” for the amounts named executive officers were eligible to earn in fiscal 2020. See also “— </w:t>
      </w:r>
      <w:r>
        <w:rPr>
          <w:rFonts w:ascii="Arial" w:cs="Arial" w:eastAsia="Arial" w:hAnsi="Arial"/>
          <w:sz w:val="17"/>
          <w:szCs w:val="17"/>
          <w:i w:val="1"/>
          <w:iCs w:val="1"/>
          <w:color w:val="auto"/>
        </w:rPr>
        <w:t>Determining the Amount of Elements of Executives’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in 2020 — Variable Pay</w:t>
      </w:r>
      <w:r>
        <w:rPr>
          <w:rFonts w:ascii="Arial" w:cs="Arial" w:eastAsia="Arial" w:hAnsi="Arial"/>
          <w:sz w:val="17"/>
          <w:szCs w:val="17"/>
          <w:color w:val="auto"/>
        </w:rPr>
        <w:t>” above for a discussion regarding our Bonus Program.</w:t>
      </w:r>
    </w:p>
    <w:p>
      <w:pPr>
        <w:spacing w:after="0" w:line="22" w:lineRule="exact"/>
        <w:rPr>
          <w:rFonts w:ascii="Arial" w:cs="Arial" w:eastAsia="Arial" w:hAnsi="Arial"/>
          <w:sz w:val="17"/>
          <w:szCs w:val="17"/>
          <w:color w:val="auto"/>
        </w:rPr>
      </w:pPr>
    </w:p>
    <w:p>
      <w:pPr>
        <w:ind w:left="1620" w:right="1560" w:hanging="36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company matching contributions to Fortinet’s 401(k) plan, a tax-qualified defined contribution plan.</w:t>
      </w:r>
    </w:p>
    <w:p>
      <w:pPr>
        <w:spacing w:after="0" w:line="21" w:lineRule="exact"/>
        <w:rPr>
          <w:rFonts w:ascii="Arial" w:cs="Arial" w:eastAsia="Arial" w:hAnsi="Arial"/>
          <w:sz w:val="18"/>
          <w:szCs w:val="18"/>
          <w:color w:val="auto"/>
        </w:rPr>
      </w:pPr>
    </w:p>
    <w:p>
      <w:pPr>
        <w:ind w:left="1620" w:right="1220" w:hanging="360"/>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 discretionary bonus awarded to Mr. Jensen for his service as Interim Chief Financial Officer prior to his appointment as Chief Financial Officer in May 2018.</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in 2020 Table</w:t>
      </w:r>
    </w:p>
    <w:p>
      <w:pPr>
        <w:spacing w:after="0" w:line="162" w:lineRule="exact"/>
        <w:rPr>
          <w:sz w:val="20"/>
          <w:szCs w:val="20"/>
          <w:color w:val="auto"/>
        </w:rPr>
      </w:pPr>
    </w:p>
    <w:p>
      <w:pPr>
        <w:ind w:left="1260" w:right="1380" w:firstLine="360"/>
        <w:spacing w:after="0" w:line="277" w:lineRule="auto"/>
        <w:rPr>
          <w:sz w:val="20"/>
          <w:szCs w:val="20"/>
          <w:color w:val="auto"/>
        </w:rPr>
      </w:pPr>
      <w:r>
        <w:rPr>
          <w:rFonts w:ascii="Arial" w:cs="Arial" w:eastAsia="Arial" w:hAnsi="Arial"/>
          <w:sz w:val="18"/>
          <w:szCs w:val="18"/>
          <w:color w:val="auto"/>
        </w:rPr>
        <w:t>The following table presents information concerning each grant of an award made to the named executive officers in 2020 under any plan.</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Estimated Future Payouts Under</w:t>
            </w:r>
          </w:p>
        </w:tc>
        <w:tc>
          <w:tcPr>
            <w:tcW w:w="4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All Other Stock</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All Other 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0" w:type="dxa"/>
            <w:vAlign w:val="bottom"/>
            <w:gridSpan w:val="5"/>
          </w:tcPr>
          <w:p>
            <w:pPr>
              <w:jc w:val="center"/>
              <w:spacing w:after="0" w:line="68" w:lineRule="exact"/>
              <w:rPr>
                <w:sz w:val="20"/>
                <w:szCs w:val="20"/>
                <w:color w:val="auto"/>
              </w:rPr>
            </w:pPr>
            <w:r>
              <w:rPr>
                <w:rFonts w:ascii="Arial" w:cs="Arial" w:eastAsia="Arial" w:hAnsi="Arial"/>
                <w:sz w:val="7"/>
                <w:szCs w:val="7"/>
                <w:b w:val="1"/>
                <w:bCs w:val="1"/>
                <w:color w:val="auto"/>
              </w:rPr>
              <w:t>Non-Equity Incentive Plan</w:t>
            </w:r>
          </w:p>
        </w:tc>
        <w:tc>
          <w:tcPr>
            <w:tcW w:w="40" w:type="dxa"/>
            <w:vAlign w:val="bottom"/>
          </w:tcPr>
          <w:p>
            <w:pPr>
              <w:spacing w:after="0"/>
              <w:rPr>
                <w:sz w:val="5"/>
                <w:szCs w:val="5"/>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Awards: Number</w:t>
            </w: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Base Price of Fair Value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spacing w:after="0" w:line="162" w:lineRule="exact"/>
              <w:rPr>
                <w:sz w:val="20"/>
                <w:szCs w:val="20"/>
                <w:color w:val="auto"/>
              </w:rPr>
            </w:pPr>
            <w:r>
              <w:rPr>
                <w:rFonts w:ascii="Arial" w:cs="Arial" w:eastAsia="Arial" w:hAnsi="Arial"/>
                <w:sz w:val="13"/>
                <w:szCs w:val="13"/>
                <w:b w:val="1"/>
                <w:bCs w:val="1"/>
                <w:color w:val="auto"/>
                <w:w w:val="94"/>
              </w:rPr>
              <w:t>Awards</w:t>
            </w:r>
            <w:r>
              <w:rPr>
                <w:rFonts w:ascii="Arial" w:cs="Arial" w:eastAsia="Arial" w:hAnsi="Arial"/>
                <w:sz w:val="18"/>
                <w:szCs w:val="18"/>
                <w:b w:val="1"/>
                <w:bCs w:val="1"/>
                <w:color w:val="auto"/>
                <w:w w:val="94"/>
                <w:vertAlign w:val="superscript"/>
              </w:rPr>
              <w:t>(1)</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4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2"/>
          </w:tcPr>
          <w:p>
            <w:pPr>
              <w:jc w:val="center"/>
              <w:ind w:right="60"/>
              <w:spacing w:after="0" w:line="75" w:lineRule="exact"/>
              <w:rPr>
                <w:sz w:val="20"/>
                <w:szCs w:val="20"/>
                <w:color w:val="auto"/>
              </w:rPr>
            </w:pPr>
            <w:r>
              <w:rPr>
                <w:rFonts w:ascii="Arial" w:cs="Arial" w:eastAsia="Arial" w:hAnsi="Arial"/>
                <w:sz w:val="8"/>
                <w:szCs w:val="8"/>
                <w:b w:val="1"/>
                <w:bCs w:val="1"/>
                <w:color w:val="auto"/>
              </w:rPr>
              <w:t>Number of</w:t>
            </w:r>
          </w:p>
        </w:tc>
        <w:tc>
          <w:tcPr>
            <w:tcW w:w="1120" w:type="dxa"/>
            <w:vAlign w:val="bottom"/>
            <w:gridSpan w:val="2"/>
          </w:tcPr>
          <w:p>
            <w:pPr>
              <w:jc w:val="center"/>
              <w:ind w:right="80"/>
              <w:spacing w:after="0" w:line="75" w:lineRule="exact"/>
              <w:rPr>
                <w:sz w:val="20"/>
                <w:szCs w:val="20"/>
                <w:color w:val="auto"/>
              </w:rPr>
            </w:pPr>
            <w:r>
              <w:rPr>
                <w:rFonts w:ascii="Arial" w:cs="Arial" w:eastAsia="Arial" w:hAnsi="Arial"/>
                <w:sz w:val="8"/>
                <w:szCs w:val="8"/>
                <w:b w:val="1"/>
                <w:bCs w:val="1"/>
                <w:color w:val="auto"/>
              </w:rPr>
              <w:t>of Shares</w:t>
            </w:r>
          </w:p>
        </w:tc>
        <w:tc>
          <w:tcPr>
            <w:tcW w:w="7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Option</w:t>
            </w:r>
          </w:p>
        </w:tc>
        <w:tc>
          <w:tcPr>
            <w:tcW w:w="82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Stock and</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6"/>
              </w:rPr>
              <w:t>Grant</w:t>
            </w:r>
          </w:p>
        </w:tc>
        <w:tc>
          <w:tcPr>
            <w:tcW w:w="7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Approval</w:t>
            </w:r>
          </w:p>
        </w:tc>
        <w:tc>
          <w:tcPr>
            <w:tcW w:w="7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Threshold</w:t>
            </w:r>
          </w:p>
        </w:tc>
        <w:tc>
          <w:tcPr>
            <w:tcW w:w="6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Maximum</w:t>
            </w:r>
          </w:p>
        </w:tc>
        <w:tc>
          <w:tcPr>
            <w:tcW w:w="40" w:type="dxa"/>
            <w:vAlign w:val="bottom"/>
          </w:tcPr>
          <w:p>
            <w:pPr>
              <w:spacing w:after="0"/>
              <w:rPr>
                <w:sz w:val="13"/>
                <w:szCs w:val="13"/>
                <w:color w:val="auto"/>
              </w:rPr>
            </w:pPr>
          </w:p>
        </w:tc>
        <w:tc>
          <w:tcPr>
            <w:tcW w:w="10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85"/>
              </w:rPr>
              <w:t>Shares of Stock</w:t>
            </w:r>
          </w:p>
        </w:tc>
        <w:tc>
          <w:tcPr>
            <w:tcW w:w="11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Underlying</w:t>
            </w: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Type of Award</w:t>
            </w:r>
          </w:p>
        </w:tc>
        <w:tc>
          <w:tcPr>
            <w:tcW w:w="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or Units (#)</w:t>
            </w: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2"/>
          </w:tcPr>
          <w:p>
            <w:pPr>
              <w:jc w:val="right"/>
              <w:spacing w:after="0" w:line="230" w:lineRule="exact"/>
              <w:rPr>
                <w:sz w:val="20"/>
                <w:szCs w:val="20"/>
                <w:color w:val="auto"/>
              </w:rPr>
            </w:pPr>
            <w:r>
              <w:rPr>
                <w:rFonts w:ascii="Arial" w:cs="Arial" w:eastAsia="Arial" w:hAnsi="Arial"/>
                <w:sz w:val="14"/>
                <w:szCs w:val="14"/>
                <w:b w:val="1"/>
                <w:bCs w:val="1"/>
                <w:color w:val="auto"/>
                <w:w w:val="99"/>
              </w:rPr>
              <w:t>($/Share)  Awards ($)</w:t>
            </w:r>
            <w:r>
              <w:rPr>
                <w:rFonts w:ascii="Arial" w:cs="Arial" w:eastAsia="Arial" w:hAnsi="Arial"/>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37"/>
        </w:trPr>
        <w:tc>
          <w:tcPr>
            <w:tcW w:w="1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Xie</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30,605</w:t>
            </w:r>
          </w:p>
        </w:tc>
        <w:tc>
          <w:tcPr>
            <w:tcW w:w="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956,400</w:t>
            </w: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1,338,960</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RSU</w:t>
            </w: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41,098</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4,704,899</w:t>
            </w:r>
          </w:p>
        </w:tc>
        <w:tc>
          <w:tcPr>
            <w:tcW w:w="0" w:type="dxa"/>
            <w:vAlign w:val="bottom"/>
          </w:tcPr>
          <w:p>
            <w:pPr>
              <w:spacing w:after="0"/>
              <w:rPr>
                <w:sz w:val="1"/>
                <w:szCs w:val="1"/>
                <w:color w:val="auto"/>
              </w:rPr>
            </w:pPr>
          </w:p>
        </w:tc>
      </w:tr>
      <w:tr>
        <w:trPr>
          <w:trHeight w:val="269"/>
        </w:trPr>
        <w:tc>
          <w:tcPr>
            <w:tcW w:w="1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Stock Option</w:t>
            </w:r>
          </w:p>
        </w:tc>
        <w:tc>
          <w:tcPr>
            <w:tcW w:w="15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123,294</w:t>
            </w: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114.48</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4,169,569</w:t>
            </w:r>
          </w:p>
        </w:tc>
        <w:tc>
          <w:tcPr>
            <w:tcW w:w="0" w:type="dxa"/>
            <w:vAlign w:val="bottom"/>
          </w:tcPr>
          <w:p>
            <w:pPr>
              <w:spacing w:after="0"/>
              <w:rPr>
                <w:sz w:val="1"/>
                <w:szCs w:val="1"/>
                <w:color w:val="auto"/>
              </w:rPr>
            </w:pPr>
          </w:p>
        </w:tc>
      </w:tr>
      <w:tr>
        <w:trPr>
          <w:trHeight w:val="251"/>
        </w:trPr>
        <w:tc>
          <w:tcPr>
            <w:tcW w:w="1480" w:type="dxa"/>
            <w:vAlign w:val="bottom"/>
            <w:gridSpan w:val="2"/>
          </w:tcPr>
          <w:p>
            <w:pPr>
              <w:spacing w:after="0"/>
              <w:rPr>
                <w:sz w:val="20"/>
                <w:szCs w:val="20"/>
                <w:color w:val="auto"/>
              </w:rPr>
            </w:pPr>
            <w:r>
              <w:rPr>
                <w:rFonts w:ascii="Arial" w:cs="Arial" w:eastAsia="Arial" w:hAnsi="Arial"/>
                <w:sz w:val="16"/>
                <w:szCs w:val="16"/>
                <w:color w:val="auto"/>
              </w:rPr>
              <w:t>Michael Xie</w:t>
            </w: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Cash</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center"/>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10,680</w:t>
            </w:r>
          </w:p>
        </w:tc>
        <w:tc>
          <w:tcPr>
            <w:tcW w:w="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333,750</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467,250</w:t>
            </w:r>
          </w:p>
        </w:tc>
        <w:tc>
          <w:tcPr>
            <w:tcW w:w="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RSU</w:t>
            </w:r>
          </w:p>
        </w:tc>
        <w:tc>
          <w:tcPr>
            <w:tcW w:w="1540" w:type="dxa"/>
            <w:vAlign w:val="bottom"/>
            <w:gridSpan w:val="5"/>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5"/>
              <w:spacing w:after="0"/>
              <w:rPr>
                <w:sz w:val="20"/>
                <w:szCs w:val="20"/>
                <w:color w:val="auto"/>
              </w:rPr>
            </w:pPr>
            <w:r>
              <w:rPr>
                <w:rFonts w:ascii="Arial" w:cs="Arial" w:eastAsia="Arial" w:hAnsi="Arial"/>
                <w:sz w:val="16"/>
                <w:szCs w:val="16"/>
                <w:color w:val="auto"/>
              </w:rPr>
              <w:t>16,294</w:t>
            </w:r>
          </w:p>
        </w:tc>
        <w:tc>
          <w:tcPr>
            <w:tcW w:w="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1,865,337</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60" w:type="dxa"/>
            <w:vAlign w:val="bottom"/>
            <w:gridSpan w:val="6"/>
          </w:tcPr>
          <w:p>
            <w:pPr>
              <w:jc w:val="right"/>
              <w:ind w:right="40"/>
              <w:spacing w:after="0"/>
              <w:rPr>
                <w:sz w:val="20"/>
                <w:szCs w:val="20"/>
                <w:color w:val="auto"/>
              </w:rPr>
            </w:pPr>
            <w:r>
              <w:rPr>
                <w:rFonts w:ascii="Arial" w:cs="Arial" w:eastAsia="Arial" w:hAnsi="Arial"/>
                <w:sz w:val="16"/>
                <w:szCs w:val="16"/>
                <w:color w:val="auto"/>
                <w:w w:val="98"/>
              </w:rPr>
              <w:t>Stock Option 2/21/2020 1/17/2020</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3"/>
              <w:spacing w:after="0"/>
              <w:rPr>
                <w:sz w:val="20"/>
                <w:szCs w:val="20"/>
                <w:color w:val="auto"/>
              </w:rPr>
            </w:pPr>
            <w:r>
              <w:rPr>
                <w:rFonts w:ascii="Arial" w:cs="Arial" w:eastAsia="Arial" w:hAnsi="Arial"/>
                <w:sz w:val="16"/>
                <w:szCs w:val="16"/>
                <w:color w:val="auto"/>
              </w:rPr>
              <w:t>48,882</w:t>
            </w:r>
          </w:p>
        </w:tc>
        <w:tc>
          <w:tcPr>
            <w:tcW w:w="60" w:type="dxa"/>
            <w:vAlign w:val="bottom"/>
          </w:tcPr>
          <w:p>
            <w:pPr>
              <w:spacing w:after="0"/>
              <w:rPr>
                <w:sz w:val="22"/>
                <w:szCs w:val="22"/>
                <w:color w:val="auto"/>
              </w:rPr>
            </w:pP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114.48</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1,653,096</w:t>
            </w:r>
          </w:p>
        </w:tc>
        <w:tc>
          <w:tcPr>
            <w:tcW w:w="0" w:type="dxa"/>
            <w:vAlign w:val="bottom"/>
          </w:tcPr>
          <w:p>
            <w:pPr>
              <w:spacing w:after="0"/>
              <w:rPr>
                <w:sz w:val="1"/>
                <w:szCs w:val="1"/>
                <w:color w:val="auto"/>
              </w:rPr>
            </w:pPr>
          </w:p>
        </w:tc>
      </w:tr>
      <w:tr>
        <w:trPr>
          <w:trHeight w:val="33"/>
        </w:trPr>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Keith Jensen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Cash</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11,760</w:t>
            </w: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367,500</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514,500</w:t>
            </w:r>
          </w:p>
        </w:tc>
        <w:tc>
          <w:tcPr>
            <w:tcW w:w="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RSU</w:t>
            </w: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13,580</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1,554,638</w:t>
            </w:r>
          </w:p>
        </w:tc>
        <w:tc>
          <w:tcPr>
            <w:tcW w:w="0" w:type="dxa"/>
            <w:vAlign w:val="bottom"/>
          </w:tcPr>
          <w:p>
            <w:pPr>
              <w:spacing w:after="0"/>
              <w:rPr>
                <w:sz w:val="1"/>
                <w:szCs w:val="1"/>
                <w:color w:val="auto"/>
              </w:rPr>
            </w:pPr>
          </w:p>
        </w:tc>
      </w:tr>
      <w:tr>
        <w:trPr>
          <w:trHeight w:val="270"/>
        </w:trPr>
        <w:tc>
          <w:tcPr>
            <w:tcW w:w="1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Stock Option</w:t>
            </w:r>
          </w:p>
        </w:tc>
        <w:tc>
          <w:tcPr>
            <w:tcW w:w="15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40,740</w:t>
            </w: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114.48</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1,377,449</w:t>
            </w:r>
          </w:p>
        </w:tc>
        <w:tc>
          <w:tcPr>
            <w:tcW w:w="0" w:type="dxa"/>
            <w:vAlign w:val="bottom"/>
          </w:tcPr>
          <w:p>
            <w:pPr>
              <w:spacing w:after="0"/>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6"/>
                <w:szCs w:val="16"/>
                <w:color w:val="auto"/>
              </w:rPr>
              <w:t>John Whittle</w:t>
            </w: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Cash</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gridSpan w:val="2"/>
          </w:tcPr>
          <w:p>
            <w:pPr>
              <w:jc w:val="center"/>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8,923</w:t>
            </w:r>
          </w:p>
        </w:tc>
        <w:tc>
          <w:tcPr>
            <w:tcW w:w="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278,500</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390,390</w:t>
            </w:r>
          </w:p>
        </w:tc>
        <w:tc>
          <w:tcPr>
            <w:tcW w:w="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RSU</w:t>
            </w:r>
          </w:p>
        </w:tc>
        <w:tc>
          <w:tcPr>
            <w:tcW w:w="1540" w:type="dxa"/>
            <w:vAlign w:val="bottom"/>
            <w:gridSpan w:val="5"/>
          </w:tcPr>
          <w:p>
            <w:pPr>
              <w:jc w:val="right"/>
              <w:ind w:right="40"/>
              <w:spacing w:after="0"/>
              <w:rPr>
                <w:sz w:val="20"/>
                <w:szCs w:val="20"/>
                <w:color w:val="auto"/>
              </w:rPr>
            </w:pPr>
            <w:r>
              <w:rPr>
                <w:rFonts w:ascii="Arial" w:cs="Arial" w:eastAsia="Arial" w:hAnsi="Arial"/>
                <w:sz w:val="16"/>
                <w:szCs w:val="16"/>
                <w:color w:val="auto"/>
              </w:rPr>
              <w:t>2/21/2020 1/17/2020</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5"/>
              <w:spacing w:after="0"/>
              <w:rPr>
                <w:sz w:val="20"/>
                <w:szCs w:val="20"/>
                <w:color w:val="auto"/>
              </w:rPr>
            </w:pPr>
            <w:r>
              <w:rPr>
                <w:rFonts w:ascii="Arial" w:cs="Arial" w:eastAsia="Arial" w:hAnsi="Arial"/>
                <w:sz w:val="16"/>
                <w:szCs w:val="16"/>
                <w:color w:val="auto"/>
              </w:rPr>
              <w:t>7,932</w:t>
            </w:r>
          </w:p>
        </w:tc>
        <w:tc>
          <w:tcPr>
            <w:tcW w:w="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908,055</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60" w:type="dxa"/>
            <w:vAlign w:val="bottom"/>
            <w:gridSpan w:val="6"/>
          </w:tcPr>
          <w:p>
            <w:pPr>
              <w:jc w:val="right"/>
              <w:ind w:right="40"/>
              <w:spacing w:after="0"/>
              <w:rPr>
                <w:sz w:val="20"/>
                <w:szCs w:val="20"/>
                <w:color w:val="auto"/>
              </w:rPr>
            </w:pPr>
            <w:r>
              <w:rPr>
                <w:rFonts w:ascii="Arial" w:cs="Arial" w:eastAsia="Arial" w:hAnsi="Arial"/>
                <w:sz w:val="16"/>
                <w:szCs w:val="16"/>
                <w:color w:val="auto"/>
                <w:w w:val="98"/>
              </w:rPr>
              <w:t>Stock Option 2/21/2020 1/17/2020</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3"/>
              <w:spacing w:after="0"/>
              <w:rPr>
                <w:sz w:val="20"/>
                <w:szCs w:val="20"/>
                <w:color w:val="auto"/>
              </w:rPr>
            </w:pPr>
            <w:r>
              <w:rPr>
                <w:rFonts w:ascii="Arial" w:cs="Arial" w:eastAsia="Arial" w:hAnsi="Arial"/>
                <w:sz w:val="16"/>
                <w:szCs w:val="16"/>
                <w:color w:val="auto"/>
              </w:rPr>
              <w:t>23,796</w:t>
            </w:r>
          </w:p>
        </w:tc>
        <w:tc>
          <w:tcPr>
            <w:tcW w:w="60" w:type="dxa"/>
            <w:vAlign w:val="bottom"/>
          </w:tcPr>
          <w:p>
            <w:pPr>
              <w:spacing w:after="0"/>
              <w:rPr>
                <w:sz w:val="22"/>
                <w:szCs w:val="22"/>
                <w:color w:val="auto"/>
              </w:rPr>
            </w:pPr>
          </w:p>
        </w:tc>
        <w:tc>
          <w:tcPr>
            <w:tcW w:w="780" w:type="dxa"/>
            <w:vAlign w:val="bottom"/>
          </w:tcPr>
          <w:p>
            <w:pPr>
              <w:jc w:val="right"/>
              <w:ind w:right="83"/>
              <w:spacing w:after="0"/>
              <w:rPr>
                <w:sz w:val="20"/>
                <w:szCs w:val="20"/>
                <w:color w:val="auto"/>
              </w:rPr>
            </w:pPr>
            <w:r>
              <w:rPr>
                <w:rFonts w:ascii="Arial" w:cs="Arial" w:eastAsia="Arial" w:hAnsi="Arial"/>
                <w:sz w:val="16"/>
                <w:szCs w:val="16"/>
                <w:color w:val="auto"/>
              </w:rPr>
              <w:t>114.48</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804,736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-1906905</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-1906905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-1906905</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-1906905</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-1906905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-1906905</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-1906905</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-1906905</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-1906905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201295</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1620" w:right="980" w:hanging="360"/>
        <w:spacing w:after="0" w:line="279"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Reflects threshold, target and maximum target bonus amounts for fiscal 2020 performance under the Bonus Program, as described in “</w:t>
      </w:r>
      <w:r>
        <w:rPr>
          <w:rFonts w:ascii="Arial" w:cs="Arial" w:eastAsia="Arial" w:hAnsi="Arial"/>
          <w:sz w:val="17"/>
          <w:szCs w:val="17"/>
          <w:i w:val="1"/>
          <w:iCs w:val="1"/>
          <w:color w:val="auto"/>
        </w:rPr>
        <w:t>Executive Compensation — Determining the Amount of Elements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Executives’ Compensation in 2020 — Variable Pay.</w:t>
      </w:r>
      <w:r>
        <w:rPr>
          <w:rFonts w:ascii="Arial" w:cs="Arial" w:eastAsia="Arial" w:hAnsi="Arial"/>
          <w:sz w:val="17"/>
          <w:szCs w:val="17"/>
          <w:color w:val="auto"/>
        </w:rPr>
        <w:t>” These amounts do not necessarily correspond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actual value that may be received by the named executive officer.</w:t>
      </w:r>
    </w:p>
    <w:p>
      <w:pPr>
        <w:spacing w:after="0" w:line="22" w:lineRule="exact"/>
        <w:rPr>
          <w:rFonts w:ascii="Arial" w:cs="Arial" w:eastAsia="Arial" w:hAnsi="Arial"/>
          <w:sz w:val="17"/>
          <w:szCs w:val="17"/>
          <w:color w:val="auto"/>
        </w:rPr>
      </w:pPr>
    </w:p>
    <w:p>
      <w:pPr>
        <w:ind w:left="1620" w:right="800" w:hanging="360"/>
        <w:spacing w:after="0" w:line="273"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amounts shown represent the grant date fair value of RSUs and stock options granted during fiscal 2020, computed in accordance with FASB ASC Topic 718. The assumptions used in the valuation of these awards are set forth in note 14 to our consolidated financial statements, which are included in our Annual Report on Form 10-K for the year ended December 31, 2020, filed with the SEC on February 19, 2021. Grant date fair value is determined for financial statement reporting purposes and does not correspond to the actual value that the named executive officers will realize from the award.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2020 Fiscal Year-End Table</w:t>
      </w:r>
    </w:p>
    <w:p>
      <w:pPr>
        <w:spacing w:after="0" w:line="162" w:lineRule="exact"/>
        <w:rPr>
          <w:sz w:val="20"/>
          <w:szCs w:val="20"/>
          <w:color w:val="auto"/>
        </w:rPr>
      </w:pPr>
    </w:p>
    <w:p>
      <w:pPr>
        <w:ind w:left="1260" w:right="900" w:firstLine="360"/>
        <w:spacing w:after="0" w:line="277" w:lineRule="auto"/>
        <w:rPr>
          <w:sz w:val="20"/>
          <w:szCs w:val="20"/>
          <w:color w:val="auto"/>
        </w:rPr>
      </w:pPr>
      <w:r>
        <w:rPr>
          <w:rFonts w:ascii="Arial" w:cs="Arial" w:eastAsia="Arial" w:hAnsi="Arial"/>
          <w:sz w:val="18"/>
          <w:szCs w:val="18"/>
          <w:color w:val="auto"/>
        </w:rPr>
        <w:t>The following table presents information concerning unexercised options and unvested RSUs for each named executive officer outstanding as of December 31, 2020.</w:t>
      </w:r>
    </w:p>
    <w:p>
      <w:pPr>
        <w:sectPr>
          <w:pgSz w:w="11900" w:h="16838" w:orient="portrait"/>
          <w:cols w:equalWidth="0" w:num="1">
            <w:col w:w="10220"/>
          </w:cols>
          <w:pgMar w:left="580" w:top="13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32385</wp:posOffset>
            </wp:positionV>
            <wp:extent cx="2588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Number of Securities Underlying</w:t>
      </w:r>
    </w:p>
    <w:p>
      <w:pPr>
        <w:jc w:val="center"/>
        <w:ind w:right="1200"/>
        <w:spacing w:after="0" w:line="226" w:lineRule="auto"/>
        <w:rPr>
          <w:sz w:val="20"/>
          <w:szCs w:val="20"/>
          <w:color w:val="auto"/>
        </w:rPr>
      </w:pPr>
      <w:r>
        <w:rPr>
          <w:rFonts w:ascii="Arial" w:cs="Arial" w:eastAsia="Arial" w:hAnsi="Arial"/>
          <w:sz w:val="14"/>
          <w:szCs w:val="14"/>
          <w:b w:val="1"/>
          <w:bCs w:val="1"/>
          <w:color w:val="auto"/>
        </w:rPr>
        <w:t>Unexercised Options (#)</w:t>
      </w:r>
    </w:p>
    <w:tbl>
      <w:tblPr>
        <w:tblLayout w:type="fixed"/>
        <w:tblInd w:w="0" w:type="dxa"/>
        <w:tblCellMar>
          <w:top w:w="0" w:type="dxa"/>
          <w:left w:w="0" w:type="dxa"/>
          <w:bottom w:w="0" w:type="dxa"/>
          <w:right w:w="0" w:type="dxa"/>
        </w:tblCellMar>
      </w:tblPr>
      <w:tr>
        <w:trPr>
          <w:trHeight w:val="61"/>
        </w:trPr>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restart"/>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Option Exercise</w:t>
            </w:r>
          </w:p>
        </w:tc>
        <w:tc>
          <w:tcPr>
            <w:tcW w:w="98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65"/>
        </w:trPr>
        <w:tc>
          <w:tcPr>
            <w:tcW w:w="1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Grant Date</w:t>
            </w:r>
            <w:r>
              <w:rPr>
                <w:rFonts w:ascii="Arial" w:cs="Arial" w:eastAsia="Arial" w:hAnsi="Arial"/>
                <w:sz w:val="21"/>
                <w:szCs w:val="21"/>
                <w:b w:val="1"/>
                <w:bCs w:val="1"/>
                <w:color w:val="auto"/>
                <w:w w:val="99"/>
                <w:vertAlign w:val="superscript"/>
              </w:rPr>
              <w:t>(1)</w:t>
            </w:r>
            <w:r>
              <w:rPr>
                <w:rFonts w:ascii="Arial" w:cs="Arial" w:eastAsia="Arial" w:hAnsi="Arial"/>
                <w:sz w:val="14"/>
                <w:szCs w:val="14"/>
                <w:b w:val="1"/>
                <w:bCs w:val="1"/>
                <w:color w:val="auto"/>
                <w:w w:val="99"/>
              </w:rPr>
              <w:t xml:space="preserve">   Exercisable</w:t>
            </w: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20" w:type="dxa"/>
            <w:vAlign w:val="bottom"/>
            <w:gridSpan w:val="4"/>
            <w:vMerge w:val="continue"/>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w w:val="94"/>
              </w:rPr>
              <w:t>Unexercisable</w:t>
            </w:r>
          </w:p>
        </w:tc>
        <w:tc>
          <w:tcPr>
            <w:tcW w:w="6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Price ($)</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-8255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-8255</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-8255</wp:posOffset>
            </wp:positionV>
            <wp:extent cx="34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-8255</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-8255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15773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Market Value of</w:t>
            </w:r>
          </w:p>
        </w:tc>
      </w:tr>
      <w:tr>
        <w:trPr>
          <w:trHeight w:val="162"/>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or Units of Stock</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or Units of</w:t>
            </w:r>
          </w:p>
        </w:tc>
      </w:tr>
      <w:tr>
        <w:trPr>
          <w:trHeight w:val="158"/>
        </w:trPr>
        <w:tc>
          <w:tcPr>
            <w:tcW w:w="11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That Have Not</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Stock That Have Not</w:t>
            </w:r>
          </w:p>
        </w:tc>
      </w:tr>
      <w:tr>
        <w:trPr>
          <w:trHeight w:val="229"/>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3"/>
              </w:rPr>
              <w:t>Vested ($)</w:t>
            </w:r>
            <w:r>
              <w:rPr>
                <w:rFonts w:ascii="Arial" w:cs="Arial" w:eastAsia="Arial" w:hAnsi="Arial"/>
                <w:sz w:val="21"/>
                <w:szCs w:val="21"/>
                <w:b w:val="1"/>
                <w:bCs w:val="1"/>
                <w:color w:val="auto"/>
                <w:w w:val="83"/>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-8255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-8255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2020" w:space="720"/>
            <w:col w:w="4940" w:space="60"/>
            <w:col w:w="2480"/>
          </w:cols>
          <w:pgMar w:left="580" w:top="132" w:right="1099" w:bottom="1440" w:gutter="0" w:footer="0" w:header="0"/>
        </w:sectPr>
      </w:pPr>
    </w:p>
    <w:tbl>
      <w:tblPr>
        <w:tblLayout w:type="fixed"/>
        <w:tblInd w:w="500" w:type="dxa"/>
        <w:tblCellMar>
          <w:top w:w="0" w:type="dxa"/>
          <w:left w:w="0" w:type="dxa"/>
          <w:bottom w:w="0" w:type="dxa"/>
          <w:right w:w="0" w:type="dxa"/>
        </w:tblCellMar>
      </w:tblPr>
      <w:tr>
        <w:trPr>
          <w:trHeight w:val="25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 Xie</w:t>
            </w:r>
          </w:p>
        </w:tc>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2/11/2016</w:t>
            </w:r>
          </w:p>
        </w:tc>
        <w:tc>
          <w:tcPr>
            <w:tcW w:w="9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60,000</w:t>
            </w:r>
          </w:p>
        </w:tc>
        <w:tc>
          <w:tcPr>
            <w:tcW w:w="116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23.83</w:t>
            </w:r>
          </w:p>
        </w:tc>
        <w:tc>
          <w:tcPr>
            <w:tcW w:w="11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2/11/2023</w:t>
            </w:r>
          </w:p>
        </w:tc>
        <w:tc>
          <w:tcPr>
            <w:tcW w:w="108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57"/>
        </w:trPr>
        <w:tc>
          <w:tcPr>
            <w:tcW w:w="2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95,833</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4,167</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37.24</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2/16/2024</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3,125</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464,156</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141,666</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58,334</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49.06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2/20/2025</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15,625</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2,320,781</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67,363</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79,613</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84.49</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2/21/2026</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27,558</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4,093,190</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123,294</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114.48</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2/21/2027</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83"/>
        </w:trPr>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41,098</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6,104,286</w:t>
            </w:r>
          </w:p>
        </w:tc>
      </w:tr>
      <w:tr>
        <w:trPr>
          <w:trHeight w:val="270"/>
        </w:trPr>
        <w:tc>
          <w:tcPr>
            <w:tcW w:w="222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2/11/2016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45,000</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23.83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2/11/2023</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57"/>
        </w:trPr>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57,499</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2,501</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37.24</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2/16/2024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2,500</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371,325</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67,015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27,595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49.06</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2/20/2025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8,875</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1,318,204</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29,725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35,132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84.49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2/21/2026</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12,161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1,806,273</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48,882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114.48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2/21/2027</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7"/>
        </w:trPr>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16,294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2,420,148</w:t>
            </w:r>
          </w:p>
        </w:tc>
      </w:tr>
      <w:tr>
        <w:trPr>
          <w:trHeight w:val="277"/>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834</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37.24</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2/16/2024</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57"/>
        </w:trPr>
        <w:tc>
          <w:tcPr>
            <w:tcW w:w="2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1,250</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185,663</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834</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11,667</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49.06</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2/20/2025</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6,250</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928,313</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982</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25,533</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84.49</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2/21/2026</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8,838</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1,312,708</w:t>
            </w:r>
          </w:p>
        </w:tc>
      </w:tr>
      <w:tr>
        <w:trPr>
          <w:trHeight w:val="270"/>
        </w:trPr>
        <w:tc>
          <w:tcPr>
            <w:tcW w:w="2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40,740</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114.48</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2/21/2027</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83"/>
        </w:trPr>
        <w:tc>
          <w:tcPr>
            <w:tcW w:w="2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13,580</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2,017,037</w:t>
            </w:r>
          </w:p>
        </w:tc>
      </w:tr>
      <w:tr>
        <w:trPr>
          <w:trHeight w:val="270"/>
        </w:trPr>
        <w:tc>
          <w:tcPr>
            <w:tcW w:w="222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2/11/2016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625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23.83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2/11/2023</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57"/>
        </w:trPr>
        <w:tc>
          <w:tcPr>
            <w:tcW w:w="2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8,749</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1,251</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37.24</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2/16/2024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2/16/2017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1,875</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278,494</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20,665</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17,019</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49.06</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2/20/2025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2/20/2018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5,472</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812,756</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18,197</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84.49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2/21/2026</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2/21/2019</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6,299</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935,590</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23,796</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114.48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2/21/2027</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2/21/2020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7,932</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1,178,140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right="940" w:hanging="360"/>
        <w:spacing w:after="0" w:line="25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Reflects stock options and RSUs granted under our Amended and Restated 2009 Fortinet, Inc. Equity Incentive Plan (the “2009 Plan”). Unless otherwise indicated below, (i) all options granted to named executive officers vest over four years starting on February 1 of the year of grant, with 25% vesting after one year and the remainder vesting monthly thereafter, and (ii) all RSUs granted to named executive</w:t>
      </w:r>
    </w:p>
    <w:p>
      <w:pPr>
        <w:sectPr>
          <w:pgSz w:w="11900" w:h="16838" w:orient="portrait"/>
          <w:cols w:equalWidth="0" w:num="1">
            <w:col w:w="10220"/>
          </w:cols>
          <w:pgMar w:left="580" w:top="132" w:right="1099" w:bottom="1440" w:gutter="0" w:footer="0" w:header="0"/>
          <w:type w:val="continuous"/>
        </w:sectPr>
      </w:pPr>
    </w:p>
    <w:p>
      <w:pPr>
        <w:spacing w:after="0" w:line="3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61" w:lineRule="auto"/>
        <w:rPr>
          <w:sz w:val="20"/>
          <w:szCs w:val="20"/>
          <w:color w:val="auto"/>
        </w:rPr>
      </w:pPr>
      <w:r>
        <w:rPr>
          <w:rFonts w:ascii="Arial" w:cs="Arial" w:eastAsia="Arial" w:hAnsi="Arial"/>
          <w:sz w:val="18"/>
          <w:szCs w:val="18"/>
          <w:color w:val="auto"/>
        </w:rPr>
        <w:t>officers vest over four years starting on February 1 of the year of grant, with 25% vesting after one year and the remainder vesting quarterly thereafter.</w:t>
      </w:r>
    </w:p>
    <w:p>
      <w:pPr>
        <w:spacing w:after="0" w:line="22" w:lineRule="exact"/>
        <w:rPr>
          <w:sz w:val="20"/>
          <w:szCs w:val="20"/>
          <w:color w:val="auto"/>
        </w:rPr>
      </w:pPr>
    </w:p>
    <w:p>
      <w:pPr>
        <w:jc w:val="both"/>
        <w:ind w:left="1620" w:right="439" w:hanging="360"/>
        <w:spacing w:after="0" w:line="263"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fair market value of the shares underlying the RSUs as of December 31, 2020, based on the closing price on Nasdaq of Fortinet’s common stock on December 31, 2020, which was $148.53 per share.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Option Exercises and Stock Vested Table</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following table presents information concerning amounts realized from stock option exercises and RSUs vested during fiscal 2020 for each of the named executive officers.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Arial" w:cs="Arial" w:eastAsia="Arial" w:hAnsi="Arial"/>
                <w:sz w:val="14"/>
                <w:szCs w:val="14"/>
                <w:b w:val="1"/>
                <w:bCs w:val="1"/>
                <w:color w:val="auto"/>
              </w:rPr>
              <w:t>Option Awards</w:t>
            </w:r>
          </w:p>
        </w:tc>
        <w:tc>
          <w:tcPr>
            <w:tcW w:w="2740" w:type="dxa"/>
            <w:vAlign w:val="bottom"/>
            <w:gridSpan w:val="3"/>
          </w:tcPr>
          <w:p>
            <w:pPr>
              <w:ind w:left="960"/>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 Realized on</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Number of Shares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Value Realized on</w:t>
            </w:r>
          </w:p>
        </w:tc>
      </w:tr>
      <w:tr>
        <w:trPr>
          <w:trHeight w:val="229"/>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Acquired on Exercise (#)</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6"/>
              <w:spacing w:after="0" w:line="230" w:lineRule="exact"/>
              <w:rPr>
                <w:sz w:val="20"/>
                <w:szCs w:val="20"/>
                <w:color w:val="auto"/>
              </w:rPr>
            </w:pPr>
            <w:r>
              <w:rPr>
                <w:rFonts w:ascii="Arial" w:cs="Arial" w:eastAsia="Arial" w:hAnsi="Arial"/>
                <w:sz w:val="14"/>
                <w:szCs w:val="14"/>
                <w:b w:val="1"/>
                <w:bCs w:val="1"/>
                <w:color w:val="auto"/>
                <w:w w:val="98"/>
              </w:rPr>
              <w:t>Exercise ($)</w:t>
            </w:r>
            <w:r>
              <w:rPr>
                <w:rFonts w:ascii="Arial" w:cs="Arial" w:eastAsia="Arial" w:hAnsi="Arial"/>
                <w:sz w:val="21"/>
                <w:szCs w:val="21"/>
                <w:b w:val="1"/>
                <w:bCs w:val="1"/>
                <w:color w:val="auto"/>
                <w:w w:val="98"/>
                <w:vertAlign w:val="superscript"/>
              </w:rPr>
              <w:t>(1)</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Acquired on Vesting (#)</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3"/>
              </w:rPr>
              <w:t>Vesting ($)</w:t>
            </w:r>
            <w:r>
              <w:rPr>
                <w:rFonts w:ascii="Arial" w:cs="Arial" w:eastAsia="Arial" w:hAnsi="Arial"/>
                <w:sz w:val="21"/>
                <w:szCs w:val="21"/>
                <w:b w:val="1"/>
                <w:bCs w:val="1"/>
                <w:color w:val="auto"/>
                <w:w w:val="83"/>
                <w:vertAlign w:val="superscript"/>
              </w:rPr>
              <w:t>(2)</w:t>
            </w:r>
          </w:p>
        </w:tc>
      </w:tr>
      <w:tr>
        <w:trPr>
          <w:trHeight w:val="250"/>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Xie</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48,934</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5,709,558</w:t>
            </w:r>
          </w:p>
        </w:tc>
      </w:tr>
      <w:tr>
        <w:trPr>
          <w:trHeight w:val="257"/>
        </w:trPr>
        <w:tc>
          <w:tcPr>
            <w:tcW w:w="242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29,058</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3,391,142</w:t>
            </w:r>
          </w:p>
        </w:tc>
      </w:tr>
      <w:tr>
        <w:trPr>
          <w:trHeight w:val="257"/>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15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44,997</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2,626,578</w:t>
            </w: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17,812</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2,078,923</w:t>
            </w:r>
          </w:p>
        </w:tc>
      </w:tr>
      <w:tr>
        <w:trPr>
          <w:trHeight w:val="257"/>
        </w:trPr>
        <w:tc>
          <w:tcPr>
            <w:tcW w:w="242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1500" w:type="dxa"/>
            <w:vAlign w:val="bottom"/>
          </w:tcPr>
          <w:p>
            <w:pPr>
              <w:jc w:val="right"/>
              <w:ind w:right="418"/>
              <w:spacing w:after="0"/>
              <w:rPr>
                <w:sz w:val="20"/>
                <w:szCs w:val="20"/>
                <w:color w:val="auto"/>
              </w:rPr>
            </w:pPr>
            <w:r>
              <w:rPr>
                <w:rFonts w:ascii="Arial" w:cs="Arial" w:eastAsia="Arial" w:hAnsi="Arial"/>
                <w:sz w:val="18"/>
                <w:szCs w:val="18"/>
                <w:color w:val="auto"/>
              </w:rPr>
              <w:t>38,736</w:t>
            </w:r>
          </w:p>
        </w:tc>
        <w:tc>
          <w:tcPr>
            <w:tcW w:w="220" w:type="dxa"/>
            <w:vAlign w:val="bottom"/>
          </w:tcPr>
          <w:p>
            <w:pPr>
              <w:spacing w:after="0"/>
              <w:rPr>
                <w:sz w:val="22"/>
                <w:szCs w:val="22"/>
                <w:color w:val="auto"/>
              </w:rPr>
            </w:pP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2,647,491</w:t>
            </w:r>
          </w:p>
        </w:tc>
        <w:tc>
          <w:tcPr>
            <w:tcW w:w="22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18,652</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2,177,116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-659765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-659765</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-659765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-659765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19" w:hanging="360"/>
        <w:spacing w:after="0" w:line="286"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2020.</w:t>
      </w:r>
    </w:p>
    <w:p>
      <w:pPr>
        <w:spacing w:after="0" w:line="16" w:lineRule="exact"/>
        <w:rPr>
          <w:rFonts w:ascii="Arial" w:cs="Arial" w:eastAsia="Arial" w:hAnsi="Arial"/>
          <w:sz w:val="17"/>
          <w:szCs w:val="17"/>
          <w:color w:val="auto"/>
        </w:rPr>
      </w:pPr>
    </w:p>
    <w:p>
      <w:pPr>
        <w:ind w:left="1620" w:right="799" w:hanging="360"/>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value realized on vesting reflects the aggregate fair market value of all Fortinet common stock issued pursuant to vested RSUs during 2020.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On August 7, 2019, we entered into an Amended and Restated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Amended and Restated Change of Control Severance Agreement expires on August 7, 2024.</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Pursuant to each Amended and Restated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spacing w:after="0" w:line="11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Also pursuant to each Amended and Restated Change of Control Agreement, if a named executive 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salary; (ii) acceleration of 100% of the unvested equity awards then held by the named executive officer; and (iii) 12 months of medical, dental and/or vision benefits for the named executive officer and/or the named executive officer’s eligible dependents.</w:t>
      </w:r>
    </w:p>
    <w:p>
      <w:pPr>
        <w:spacing w:after="0" w:line="112" w:lineRule="exact"/>
        <w:rPr>
          <w:sz w:val="20"/>
          <w:szCs w:val="20"/>
          <w:color w:val="auto"/>
        </w:rPr>
      </w:pPr>
    </w:p>
    <w:p>
      <w:pPr>
        <w:ind w:left="1260" w:right="519" w:firstLine="360"/>
        <w:spacing w:after="0" w:line="294" w:lineRule="auto"/>
        <w:rPr>
          <w:sz w:val="20"/>
          <w:szCs w:val="20"/>
          <w:color w:val="auto"/>
        </w:rPr>
      </w:pPr>
      <w:r>
        <w:rPr>
          <w:rFonts w:ascii="Arial" w:cs="Arial" w:eastAsia="Arial" w:hAnsi="Arial"/>
          <w:sz w:val="16"/>
          <w:szCs w:val="16"/>
          <w:color w:val="auto"/>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w:t>
      </w: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is subject to the excise tax imposed by Section 4999 of the Code (as a result of a payment being classified as 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purpose of our Amended and Restated Change of Control Severance Agreements:</w:t>
      </w:r>
    </w:p>
    <w:p>
      <w:pPr>
        <w:spacing w:after="0" w:line="158" w:lineRule="exact"/>
        <w:rPr>
          <w:sz w:val="20"/>
          <w:szCs w:val="20"/>
          <w:color w:val="auto"/>
        </w:rPr>
      </w:pPr>
    </w:p>
    <w:p>
      <w:pPr>
        <w:ind w:left="1980" w:hanging="360"/>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of Control” generally means:</w:t>
      </w:r>
    </w:p>
    <w:p>
      <w:pPr>
        <w:spacing w:after="0" w:line="144" w:lineRule="exact"/>
        <w:rPr>
          <w:rFonts w:ascii="Arial" w:cs="Arial" w:eastAsia="Arial" w:hAnsi="Arial"/>
          <w:sz w:val="18"/>
          <w:szCs w:val="18"/>
          <w:color w:val="auto"/>
        </w:rPr>
      </w:pPr>
    </w:p>
    <w:p>
      <w:pPr>
        <w:ind w:left="2340" w:right="619" w:hanging="360"/>
        <w:spacing w:after="0" w:line="277"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acquisition by one person or group of persons of Fortinet securities representing 50% or more of total voting power at the time of acquisition;</w:t>
      </w:r>
    </w:p>
    <w:p>
      <w:pPr>
        <w:spacing w:after="0" w:line="89" w:lineRule="exact"/>
        <w:rPr>
          <w:rFonts w:ascii="Arial" w:cs="Arial" w:eastAsia="Arial" w:hAnsi="Arial"/>
          <w:sz w:val="18"/>
          <w:szCs w:val="18"/>
          <w:color w:val="auto"/>
        </w:rPr>
      </w:pPr>
    </w:p>
    <w:p>
      <w:pPr>
        <w:ind w:left="2340" w:right="699" w:hanging="360"/>
        <w:spacing w:after="0" w:line="263"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occurring within a 12-month period, which results in fewer than a majority of the directors on the Board of Directors being incumbent directors;</w:t>
      </w:r>
    </w:p>
    <w:p>
      <w:pPr>
        <w:spacing w:after="0" w:line="102" w:lineRule="exact"/>
        <w:rPr>
          <w:rFonts w:ascii="Arial" w:cs="Arial" w:eastAsia="Arial" w:hAnsi="Arial"/>
          <w:sz w:val="18"/>
          <w:szCs w:val="18"/>
          <w:color w:val="auto"/>
        </w:rPr>
      </w:pPr>
    </w:p>
    <w:p>
      <w:pPr>
        <w:ind w:left="2340" w:right="519" w:hanging="360"/>
        <w:spacing w:after="0" w:line="257"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120" w:lineRule="exact"/>
        <w:rPr>
          <w:rFonts w:ascii="Arial" w:cs="Arial" w:eastAsia="Arial" w:hAnsi="Arial"/>
          <w:sz w:val="18"/>
          <w:szCs w:val="18"/>
          <w:color w:val="auto"/>
        </w:rPr>
      </w:pPr>
    </w:p>
    <w:p>
      <w:pPr>
        <w:ind w:left="2340" w:right="419" w:hanging="360"/>
        <w:spacing w:after="0" w:line="263" w:lineRule="auto"/>
        <w:tabs>
          <w:tab w:leader="none" w:pos="23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10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Notwithstanding the foregoing, a transaction that does not constitute a change of control event under Treasury Regulation 1.409A-3(i)(5)(v) or (vii) shall not be considered a Change of Control.</w:t>
      </w:r>
    </w:p>
    <w:p>
      <w:pPr>
        <w:spacing w:after="0" w:line="103" w:lineRule="exact"/>
        <w:rPr>
          <w:sz w:val="20"/>
          <w:szCs w:val="20"/>
          <w:color w:val="auto"/>
        </w:rPr>
      </w:pPr>
    </w:p>
    <w:p>
      <w:pPr>
        <w:ind w:left="1980" w:hanging="360"/>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 generally means:</w:t>
      </w:r>
    </w:p>
    <w:p>
      <w:pPr>
        <w:spacing w:after="0" w:line="144" w:lineRule="exact"/>
        <w:rPr>
          <w:rFonts w:ascii="Arial" w:cs="Arial" w:eastAsia="Arial" w:hAnsi="Arial"/>
          <w:sz w:val="18"/>
          <w:szCs w:val="18"/>
          <w:color w:val="auto"/>
        </w:rPr>
      </w:pPr>
    </w:p>
    <w:p>
      <w:pPr>
        <w:ind w:left="2340" w:right="599" w:hanging="360"/>
        <w:spacing w:after="0" w:line="308" w:lineRule="auto"/>
        <w:tabs>
          <w:tab w:leader="none" w:pos="23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 act of dishonesty by the named executive officer in connection with the named executive officer’s responsibilities as an employee that materially and adversely affects Fortinet;</w:t>
      </w:r>
    </w:p>
    <w:p>
      <w:pPr>
        <w:spacing w:after="0" w:line="65" w:lineRule="exact"/>
        <w:rPr>
          <w:rFonts w:ascii="Arial" w:cs="Arial" w:eastAsia="Arial" w:hAnsi="Arial"/>
          <w:sz w:val="17"/>
          <w:szCs w:val="17"/>
          <w:color w:val="auto"/>
        </w:rPr>
      </w:pPr>
    </w:p>
    <w:p>
      <w:pPr>
        <w:ind w:left="2340" w:right="759" w:hanging="360"/>
        <w:spacing w:after="0" w:line="277" w:lineRule="auto"/>
        <w:tabs>
          <w:tab w:leader="none" w:pos="2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named executive officer’s conviction of, or plea of nolo contendere to, a felony or any crime involving fraud, embezzlement or any other act of moral turpitude;</w:t>
      </w:r>
    </w:p>
    <w:p>
      <w:pPr>
        <w:spacing w:after="0" w:line="102" w:lineRule="exact"/>
        <w:rPr>
          <w:rFonts w:ascii="Arial" w:cs="Arial" w:eastAsia="Arial" w:hAnsi="Arial"/>
          <w:sz w:val="18"/>
          <w:szCs w:val="18"/>
          <w:color w:val="auto"/>
        </w:rPr>
      </w:pPr>
    </w:p>
    <w:p>
      <w:pPr>
        <w:ind w:left="2340" w:right="1159" w:hanging="360"/>
        <w:spacing w:after="0" w:line="277" w:lineRule="auto"/>
        <w:tabs>
          <w:tab w:leader="none" w:pos="2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named executive officer’s gross misconduct that materially and adversely affects Fortinet’s reputation or business; or</w:t>
      </w:r>
    </w:p>
    <w:p>
      <w:pPr>
        <w:spacing w:after="0" w:line="89" w:lineRule="exact"/>
        <w:rPr>
          <w:rFonts w:ascii="Arial" w:cs="Arial" w:eastAsia="Arial" w:hAnsi="Arial"/>
          <w:sz w:val="18"/>
          <w:szCs w:val="18"/>
          <w:color w:val="auto"/>
        </w:rPr>
      </w:pPr>
    </w:p>
    <w:p>
      <w:pPr>
        <w:ind w:left="2340" w:right="439" w:hanging="360"/>
        <w:spacing w:after="0" w:line="254" w:lineRule="auto"/>
        <w:tabs>
          <w:tab w:leader="none" w:pos="23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spacing w:after="0" w:line="127" w:lineRule="exact"/>
        <w:rPr>
          <w:sz w:val="20"/>
          <w:szCs w:val="20"/>
          <w:color w:val="auto"/>
        </w:rPr>
      </w:pPr>
    </w:p>
    <w:p>
      <w:pPr>
        <w:ind w:left="1980" w:right="439" w:hanging="360"/>
        <w:spacing w:after="0" w:line="277" w:lineRule="auto"/>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“Good Reason” generally means the occurrence of one of more of the following events without the named executive officer’s express written consent:</w:t>
      </w:r>
    </w:p>
    <w:p>
      <w:pPr>
        <w:spacing w:after="0" w:line="89" w:lineRule="exact"/>
        <w:rPr>
          <w:rFonts w:ascii="Arial" w:cs="Arial" w:eastAsia="Arial" w:hAnsi="Arial"/>
          <w:sz w:val="18"/>
          <w:szCs w:val="18"/>
          <w:color w:val="auto"/>
        </w:rPr>
      </w:pPr>
    </w:p>
    <w:p>
      <w:pPr>
        <w:ind w:left="2340" w:right="999" w:hanging="360"/>
        <w:spacing w:after="0" w:line="277"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material diminution in the named executive officer’s position or responsibilities with Fortinet;</w:t>
      </w:r>
    </w:p>
    <w:p>
      <w:pPr>
        <w:spacing w:after="0" w:line="89" w:lineRule="exact"/>
        <w:rPr>
          <w:rFonts w:ascii="Arial" w:cs="Arial" w:eastAsia="Arial" w:hAnsi="Arial"/>
          <w:sz w:val="18"/>
          <w:szCs w:val="18"/>
          <w:color w:val="auto"/>
        </w:rPr>
      </w:pPr>
    </w:p>
    <w:p>
      <w:pPr>
        <w:ind w:left="2340" w:hanging="360"/>
        <w:spacing w:after="0"/>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material reduction in the base salary of the named executive officer;</w:t>
      </w:r>
    </w:p>
    <w:p>
      <w:pPr>
        <w:spacing w:after="0" w:line="157" w:lineRule="exact"/>
        <w:rPr>
          <w:rFonts w:ascii="Arial" w:cs="Arial" w:eastAsia="Arial" w:hAnsi="Arial"/>
          <w:sz w:val="18"/>
          <w:szCs w:val="18"/>
          <w:color w:val="auto"/>
        </w:rPr>
      </w:pPr>
    </w:p>
    <w:p>
      <w:pPr>
        <w:ind w:left="2340" w:right="739" w:hanging="360"/>
        <w:spacing w:after="0" w:line="277"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material change in the geographic location of the named executive officer of 25 miles or more;</w:t>
      </w:r>
    </w:p>
    <w:p>
      <w:pPr>
        <w:spacing w:after="0" w:line="89" w:lineRule="exact"/>
        <w:rPr>
          <w:rFonts w:ascii="Arial" w:cs="Arial" w:eastAsia="Arial" w:hAnsi="Arial"/>
          <w:sz w:val="18"/>
          <w:szCs w:val="18"/>
          <w:color w:val="auto"/>
        </w:rPr>
      </w:pPr>
    </w:p>
    <w:p>
      <w:pPr>
        <w:ind w:left="2340" w:right="459" w:hanging="360"/>
        <w:spacing w:after="0" w:line="277"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material breach by Fortinet of any material provision of the Change of Control Severance Agreement; or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499" w:hanging="360"/>
        <w:spacing w:after="0" w:line="277" w:lineRule="auto"/>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Fortinet’s failure to obtain the assumption of the Change of Control Severance Agreement by any successor to substantially all of Fortinet’s business and/or assets.</w:t>
      </w:r>
    </w:p>
    <w:p>
      <w:pPr>
        <w:spacing w:after="0" w:line="89"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Estimated Payments upon Termination or Change in Control</w:t>
      </w:r>
    </w:p>
    <w:p>
      <w:pPr>
        <w:spacing w:after="0" w:line="15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2020, which was December 31, 2020, and the price per share of Fortinet’s common stock was the closing price on Nasdaq as of that date, which was $148.53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Qualifying Termination Not Within One Year after a</w:t>
            </w:r>
          </w:p>
        </w:tc>
        <w:tc>
          <w:tcPr>
            <w:tcW w:w="3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Qualifying Termination Within One Year after a</w:t>
            </w:r>
          </w:p>
        </w:tc>
      </w:tr>
      <w:tr>
        <w:trPr>
          <w:trHeight w:val="243"/>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6"/>
              </w:rPr>
              <w:t>Change of Control</w:t>
            </w:r>
            <w:r>
              <w:rPr>
                <w:rFonts w:ascii="Arial" w:cs="Arial" w:eastAsia="Arial" w:hAnsi="Arial"/>
                <w:sz w:val="21"/>
                <w:szCs w:val="21"/>
                <w:b w:val="1"/>
                <w:bCs w:val="1"/>
                <w:color w:val="auto"/>
                <w:w w:val="86"/>
                <w:vertAlign w:val="superscript"/>
              </w:rPr>
              <w:t>(1)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6"/>
              </w:rPr>
              <w:t>Change of Control</w:t>
            </w:r>
            <w:r>
              <w:rPr>
                <w:rFonts w:ascii="Arial" w:cs="Arial" w:eastAsia="Arial" w:hAnsi="Arial"/>
                <w:sz w:val="21"/>
                <w:szCs w:val="21"/>
                <w:b w:val="1"/>
                <w:bCs w:val="1"/>
                <w:color w:val="auto"/>
                <w:w w:val="86"/>
                <w:vertAlign w:val="superscript"/>
              </w:rPr>
              <w:t>(1)</w:t>
            </w:r>
          </w:p>
        </w:tc>
        <w:tc>
          <w:tcPr>
            <w:tcW w:w="760" w:type="dxa"/>
            <w:vAlign w:val="bottom"/>
            <w:tcBorders>
              <w:bottom w:val="single" w:sz="8" w:color="auto"/>
            </w:tcBorders>
          </w:tcPr>
          <w:p>
            <w:pPr>
              <w:spacing w:after="0"/>
              <w:rPr>
                <w:sz w:val="21"/>
                <w:szCs w:val="21"/>
                <w:color w:val="auto"/>
              </w:rPr>
            </w:pPr>
          </w:p>
        </w:tc>
      </w:tr>
      <w:tr>
        <w:trPr>
          <w:trHeight w:val="156"/>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6"/>
              </w:rPr>
              <w:t>Acceleration of</w:t>
            </w:r>
          </w:p>
        </w:tc>
        <w:tc>
          <w:tcPr>
            <w:tcW w:w="10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COBRA</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6"/>
              </w:rPr>
              <w:t>Acceleration of</w:t>
            </w: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COBRA</w:t>
            </w:r>
          </w:p>
        </w:tc>
      </w:tr>
      <w:tr>
        <w:trPr>
          <w:trHeight w:val="243"/>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Salary ($)</w:t>
            </w:r>
            <w:r>
              <w:rPr>
                <w:rFonts w:ascii="Arial" w:cs="Arial" w:eastAsia="Arial" w:hAnsi="Arial"/>
                <w:sz w:val="21"/>
                <w:szCs w:val="21"/>
                <w:b w:val="1"/>
                <w:bCs w:val="1"/>
                <w:color w:val="auto"/>
                <w:w w:val="84"/>
                <w:vertAlign w:val="superscript"/>
              </w:rPr>
              <w:t>(2)</w:t>
            </w: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Equity Vesting ($)</w:t>
            </w:r>
            <w:r>
              <w:rPr>
                <w:rFonts w:ascii="Arial" w:cs="Arial" w:eastAsia="Arial" w:hAnsi="Arial"/>
                <w:sz w:val="21"/>
                <w:szCs w:val="21"/>
                <w:b w:val="1"/>
                <w:bCs w:val="1"/>
                <w:color w:val="auto"/>
                <w:w w:val="85"/>
                <w:vertAlign w:val="superscript"/>
              </w:rPr>
              <w:t>(3)</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Benefit ($)</w:t>
            </w:r>
            <w:r>
              <w:rPr>
                <w:rFonts w:ascii="Arial" w:cs="Arial" w:eastAsia="Arial" w:hAnsi="Arial"/>
                <w:sz w:val="21"/>
                <w:szCs w:val="21"/>
                <w:b w:val="1"/>
                <w:bCs w:val="1"/>
                <w:color w:val="auto"/>
                <w:w w:val="84"/>
                <w:vertAlign w:val="superscript"/>
              </w:rPr>
              <w:t>(4)</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Salary ($)</w:t>
            </w:r>
            <w:r>
              <w:rPr>
                <w:rFonts w:ascii="Arial" w:cs="Arial" w:eastAsia="Arial" w:hAnsi="Arial"/>
                <w:sz w:val="21"/>
                <w:szCs w:val="21"/>
                <w:b w:val="1"/>
                <w:bCs w:val="1"/>
                <w:color w:val="auto"/>
                <w:w w:val="87"/>
                <w:vertAlign w:val="superscript"/>
              </w:rPr>
              <w:t>(2)</w:t>
            </w: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 Vesting ($)</w:t>
            </w:r>
            <w:r>
              <w:rPr>
                <w:rFonts w:ascii="Arial" w:cs="Arial" w:eastAsia="Arial" w:hAnsi="Arial"/>
                <w:sz w:val="21"/>
                <w:szCs w:val="21"/>
                <w:b w:val="1"/>
                <w:bCs w:val="1"/>
                <w:color w:val="auto"/>
                <w:w w:val="87"/>
                <w:vertAlign w:val="superscript"/>
              </w:rPr>
              <w:t>(5)</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 ($)</w:t>
            </w:r>
            <w:r>
              <w:rPr>
                <w:rFonts w:ascii="Arial" w:cs="Arial" w:eastAsia="Arial" w:hAnsi="Arial"/>
                <w:sz w:val="21"/>
                <w:szCs w:val="21"/>
                <w:b w:val="1"/>
                <w:bCs w:val="1"/>
                <w:color w:val="auto"/>
                <w:w w:val="86"/>
                <w:vertAlign w:val="superscript"/>
              </w:rPr>
              <w:t>(4)</w:t>
            </w:r>
          </w:p>
        </w:tc>
      </w:tr>
      <w:tr>
        <w:trPr>
          <w:trHeight w:val="25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Xie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797,000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28,545,219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30,659</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797,000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28,545,219</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30,659</w:t>
            </w:r>
          </w:p>
        </w:tc>
      </w:tr>
      <w:tr>
        <w:trPr>
          <w:trHeight w:val="257"/>
        </w:trPr>
        <w:tc>
          <w:tcPr>
            <w:tcW w:w="162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445,000</w:t>
            </w:r>
          </w:p>
        </w:tc>
        <w:tc>
          <w:tcPr>
            <w:tcW w:w="220" w:type="dxa"/>
            <w:vAlign w:val="bottom"/>
          </w:tcPr>
          <w:p>
            <w:pPr>
              <w:spacing w:after="0"/>
              <w:rPr>
                <w:sz w:val="22"/>
                <w:szCs w:val="22"/>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12,853,446</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30,659</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445,000</w:t>
            </w:r>
          </w:p>
        </w:tc>
        <w:tc>
          <w:tcPr>
            <w:tcW w:w="200" w:type="dxa"/>
            <w:vAlign w:val="bottom"/>
          </w:tcPr>
          <w:p>
            <w:pPr>
              <w:spacing w:after="0"/>
              <w:rPr>
                <w:sz w:val="22"/>
                <w:szCs w:val="22"/>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12,853,446</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30,659</w:t>
            </w:r>
          </w:p>
        </w:tc>
      </w:tr>
      <w:tr>
        <w:trPr>
          <w:trHeight w:val="257"/>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490,000</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4,872,100</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21,266</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490,000</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8,719,383</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21,266</w:t>
            </w:r>
          </w:p>
        </w:tc>
      </w:tr>
      <w:tr>
        <w:trPr>
          <w:trHeight w:val="257"/>
        </w:trPr>
        <w:tc>
          <w:tcPr>
            <w:tcW w:w="162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429,000</w:t>
            </w:r>
          </w:p>
        </w:tc>
        <w:tc>
          <w:tcPr>
            <w:tcW w:w="220" w:type="dxa"/>
            <w:vAlign w:val="bottom"/>
          </w:tcPr>
          <w:p>
            <w:pPr>
              <w:spacing w:after="0"/>
              <w:rPr>
                <w:sz w:val="22"/>
                <w:szCs w:val="22"/>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4,359,094</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30,659</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429,000</w:t>
            </w:r>
          </w:p>
        </w:tc>
        <w:tc>
          <w:tcPr>
            <w:tcW w:w="200" w:type="dxa"/>
            <w:vAlign w:val="bottom"/>
          </w:tcPr>
          <w:p>
            <w:pPr>
              <w:spacing w:after="0"/>
              <w:rPr>
                <w:sz w:val="22"/>
                <w:szCs w:val="22"/>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7,012,674</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30,659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-659765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-659765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-659765</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-659765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-659765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-659765</wp:posOffset>
            </wp:positionV>
            <wp:extent cx="128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right="779" w:hanging="360"/>
        <w:spacing w:after="0" w:line="26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35" w:lineRule="exact"/>
        <w:rPr>
          <w:rFonts w:ascii="Arial" w:cs="Arial" w:eastAsia="Arial" w:hAnsi="Arial"/>
          <w:sz w:val="18"/>
          <w:szCs w:val="18"/>
          <w:color w:val="auto"/>
        </w:rPr>
      </w:pPr>
    </w:p>
    <w:p>
      <w:pPr>
        <w:ind w:left="1620" w:right="1079" w:hanging="360"/>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severance amount related to base salary was determined based on base salaries in effect on December 31, 2020, the last business day of 2020.</w:t>
      </w:r>
    </w:p>
    <w:p>
      <w:pPr>
        <w:spacing w:after="0" w:line="35" w:lineRule="exact"/>
        <w:rPr>
          <w:rFonts w:ascii="Arial" w:cs="Arial" w:eastAsia="Arial" w:hAnsi="Arial"/>
          <w:sz w:val="18"/>
          <w:szCs w:val="18"/>
          <w:color w:val="auto"/>
        </w:rPr>
      </w:pPr>
    </w:p>
    <w:p>
      <w:pPr>
        <w:ind w:left="1620" w:right="519" w:hanging="360"/>
        <w:spacing w:after="0" w:line="259"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value is calculated by multiplying (i) the number of the named executive officer’s unvested shares that would have vested over the 12 months after December 31, 2020 by (ii) (a) the difference between $148.53 (the per share closing stock price on December 31, 2020) and the exercise price for stock options or (b) $148.53 for RSUs.</w:t>
      </w:r>
    </w:p>
    <w:p>
      <w:pPr>
        <w:spacing w:after="0" w:line="51" w:lineRule="exact"/>
        <w:rPr>
          <w:rFonts w:ascii="Arial" w:cs="Arial" w:eastAsia="Arial" w:hAnsi="Arial"/>
          <w:sz w:val="18"/>
          <w:szCs w:val="18"/>
          <w:color w:val="auto"/>
        </w:rPr>
      </w:pPr>
    </w:p>
    <w:p>
      <w:pPr>
        <w:ind w:left="1620" w:right="699" w:hanging="360"/>
        <w:spacing w:after="0" w:line="26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spacing w:after="0" w:line="35"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value is calculated by multiplying (i) the number of the named executive officer’s total unvested shares by (ii) (a) the difference between $148.53 (the per share closing stock price on December 31, 2020) and the exercise price for stock options or (b) $148.53 for RSUs.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Pay Ratio Disclosure</w:t>
      </w:r>
    </w:p>
    <w:p>
      <w:pPr>
        <w:spacing w:after="0" w:line="162"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the following information about the relationship of the annual total compensation our Chief Executive Officer, Mr. Ken Xie (our “CEO”), and the annual total compensation of the median employee of our company, excluding our CEO. For 2020:</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the annual total compensation of our median employee was $149,450;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80"/>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our CEO as disclosed in the 2020 Summary Compensation Table was $10,654,631; and</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our employees was 71 to 1. This ratio is a reasonable estimate calculated in a manner consistent with SEC rules.</w:t>
      </w:r>
    </w:p>
    <w:p>
      <w:pPr>
        <w:spacing w:after="0" w:line="10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For purposes of calculating the pay ratio for 2020, we elected to use as our median employee the same individual that we originally identified as our median employee for 2019 because there was no significant change to our employee population or compensation arrangements that we reasonably believed would significantly impact our pay ratio disclosure.</w:t>
      </w:r>
    </w:p>
    <w:p>
      <w:pPr>
        <w:spacing w:after="0" w:line="119" w:lineRule="exact"/>
        <w:rPr>
          <w:sz w:val="20"/>
          <w:szCs w:val="20"/>
          <w:color w:val="auto"/>
        </w:rPr>
      </w:pPr>
    </w:p>
    <w:p>
      <w:pPr>
        <w:ind w:left="1260" w:right="1019" w:firstLine="360"/>
        <w:spacing w:after="0" w:line="308" w:lineRule="auto"/>
        <w:rPr>
          <w:sz w:val="20"/>
          <w:szCs w:val="20"/>
          <w:color w:val="auto"/>
        </w:rPr>
      </w:pPr>
      <w:r>
        <w:rPr>
          <w:rFonts w:ascii="Arial" w:cs="Arial" w:eastAsia="Arial" w:hAnsi="Arial"/>
          <w:sz w:val="17"/>
          <w:szCs w:val="17"/>
          <w:color w:val="auto"/>
        </w:rPr>
        <w:t>For a description of our methodology for identifying the median employee, see “CEO Pay Ratio Disclosure” on page 51 of our definitive proxy statement filed with the SEC on April 30, 2019.</w:t>
      </w:r>
    </w:p>
    <w:p>
      <w:pPr>
        <w:spacing w:after="0" w:line="79"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We then calculated the annual total compensation for this individual using the same methodology we use to calculate the amount reported for our CEO in the “Total” column of the 2020 Summary Compensation Table as set forth in this proxy statement.</w:t>
      </w:r>
    </w:p>
    <w:p>
      <w:pPr>
        <w:spacing w:after="0" w:line="10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 Compensation Table for 2020</w:t>
      </w:r>
    </w:p>
    <w:p>
      <w:pPr>
        <w:spacing w:after="0" w:line="158"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The following table provides information concerning the compensation earned by each of our non-employee directors for service on the Board of Directors in fiscal 2020. Messrs. Ken Xie and Michael Xie, who are employees of Fortinet, do not receive additional compensation for their services as directors.</w:t>
      </w:r>
    </w:p>
    <w:p>
      <w:pPr>
        <w:spacing w:after="0" w:line="10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Fees Earned or</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3"/>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Paid in Cash ($)</w:t>
            </w:r>
            <w:r>
              <w:rPr>
                <w:rFonts w:ascii="Arial" w:cs="Arial" w:eastAsia="Arial" w:hAnsi="Arial"/>
                <w:sz w:val="21"/>
                <w:szCs w:val="21"/>
                <w:b w:val="1"/>
                <w:bCs w:val="1"/>
                <w:color w:val="auto"/>
                <w:w w:val="86"/>
                <w:vertAlign w:val="superscript"/>
              </w:rPr>
              <w:t>(1)</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Stock Awards ($)</w:t>
            </w:r>
            <w:r>
              <w:rPr>
                <w:rFonts w:ascii="Arial" w:cs="Arial" w:eastAsia="Arial" w:hAnsi="Arial"/>
                <w:sz w:val="21"/>
                <w:szCs w:val="21"/>
                <w:b w:val="1"/>
                <w:bCs w:val="1"/>
                <w:color w:val="auto"/>
                <w:w w:val="85"/>
                <w:vertAlign w:val="superscript"/>
              </w:rPr>
              <w:t>(2)</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Total ($)</w:t>
            </w:r>
          </w:p>
        </w:tc>
      </w:tr>
      <w:tr>
        <w:trPr>
          <w:trHeight w:val="263"/>
        </w:trPr>
        <w:tc>
          <w:tcPr>
            <w:tcW w:w="41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Kelly Ducourty</w:t>
            </w:r>
            <w:r>
              <w:rPr>
                <w:rFonts w:ascii="Arial" w:cs="Arial" w:eastAsia="Arial" w:hAnsi="Arial"/>
                <w:sz w:val="26"/>
                <w:szCs w:val="26"/>
                <w:color w:val="auto"/>
                <w:vertAlign w:val="superscript"/>
              </w:rPr>
              <w:t>(3)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41,671</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300,699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342,370</w:t>
            </w:r>
          </w:p>
        </w:tc>
      </w:tr>
      <w:tr>
        <w:trPr>
          <w:trHeight w:val="270"/>
        </w:trPr>
        <w:tc>
          <w:tcPr>
            <w:tcW w:w="4180" w:type="dxa"/>
            <w:vAlign w:val="bottom"/>
            <w:gridSpan w:val="2"/>
          </w:tcPr>
          <w:p>
            <w:pPr>
              <w:spacing w:after="0" w:line="270" w:lineRule="exact"/>
              <w:rPr>
                <w:sz w:val="20"/>
                <w:szCs w:val="20"/>
                <w:color w:val="auto"/>
              </w:rPr>
            </w:pPr>
            <w:r>
              <w:rPr>
                <w:rFonts w:ascii="Arial" w:cs="Arial" w:eastAsia="Arial" w:hAnsi="Arial"/>
                <w:sz w:val="18"/>
                <w:szCs w:val="18"/>
                <w:color w:val="auto"/>
              </w:rPr>
              <w:t>Kenneth A. Goldman</w:t>
            </w:r>
            <w:r>
              <w:rPr>
                <w:rFonts w:ascii="Arial" w:cs="Arial" w:eastAsia="Arial" w:hAnsi="Arial"/>
                <w:sz w:val="26"/>
                <w:szCs w:val="26"/>
                <w:color w:val="auto"/>
                <w:vertAlign w:val="superscript"/>
              </w:rPr>
              <w:t>(4)</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13,278</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159,949</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173,227</w:t>
            </w:r>
          </w:p>
        </w:tc>
      </w:tr>
      <w:tr>
        <w:trPr>
          <w:trHeight w:val="270"/>
        </w:trPr>
        <w:tc>
          <w:tcPr>
            <w:tcW w:w="41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Ming Hsieh</w:t>
            </w:r>
            <w:r>
              <w:rPr>
                <w:rFonts w:ascii="Arial" w:cs="Arial" w:eastAsia="Arial" w:hAnsi="Arial"/>
                <w:sz w:val="26"/>
                <w:szCs w:val="26"/>
                <w:color w:val="auto"/>
                <w:vertAlign w:val="superscript"/>
              </w:rPr>
              <w:t>(5)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78,271</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293,393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317,664</w:t>
            </w:r>
          </w:p>
        </w:tc>
      </w:tr>
      <w:tr>
        <w:trPr>
          <w:trHeight w:val="270"/>
        </w:trPr>
        <w:tc>
          <w:tcPr>
            <w:tcW w:w="4180" w:type="dxa"/>
            <w:vAlign w:val="bottom"/>
            <w:gridSpan w:val="2"/>
          </w:tcPr>
          <w:p>
            <w:pPr>
              <w:spacing w:after="0" w:line="270" w:lineRule="exact"/>
              <w:rPr>
                <w:sz w:val="20"/>
                <w:szCs w:val="20"/>
                <w:color w:val="auto"/>
              </w:rPr>
            </w:pPr>
            <w:r>
              <w:rPr>
                <w:rFonts w:ascii="Arial" w:cs="Arial" w:eastAsia="Arial" w:hAnsi="Arial"/>
                <w:sz w:val="18"/>
                <w:szCs w:val="18"/>
                <w:color w:val="auto"/>
              </w:rPr>
              <w:t>Jean Hu</w:t>
            </w:r>
            <w:r>
              <w:rPr>
                <w:rFonts w:ascii="Arial" w:cs="Arial" w:eastAsia="Arial" w:hAnsi="Arial"/>
                <w:sz w:val="26"/>
                <w:szCs w:val="26"/>
                <w:color w:val="auto"/>
                <w:vertAlign w:val="superscript"/>
              </w:rPr>
              <w:t>(6)</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62,392</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239,393</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301,785</w:t>
            </w:r>
          </w:p>
        </w:tc>
      </w:tr>
      <w:tr>
        <w:trPr>
          <w:trHeight w:val="270"/>
        </w:trPr>
        <w:tc>
          <w:tcPr>
            <w:tcW w:w="41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William H. Neukom</w:t>
            </w:r>
            <w:r>
              <w:rPr>
                <w:rFonts w:ascii="Arial" w:cs="Arial" w:eastAsia="Arial" w:hAnsi="Arial"/>
                <w:sz w:val="26"/>
                <w:szCs w:val="26"/>
                <w:color w:val="auto"/>
                <w:vertAlign w:val="superscript"/>
              </w:rPr>
              <w:t>(7)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85,825</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239,393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325,218</w:t>
            </w:r>
          </w:p>
        </w:tc>
      </w:tr>
      <w:tr>
        <w:trPr>
          <w:trHeight w:val="270"/>
        </w:trPr>
        <w:tc>
          <w:tcPr>
            <w:tcW w:w="4180" w:type="dxa"/>
            <w:vAlign w:val="bottom"/>
            <w:gridSpan w:val="2"/>
          </w:tcPr>
          <w:p>
            <w:pPr>
              <w:spacing w:after="0" w:line="27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6"/>
                <w:szCs w:val="26"/>
                <w:color w:val="auto"/>
                <w:vertAlign w:val="superscript"/>
              </w:rPr>
              <w:t>(8)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89,353</w:t>
            </w:r>
          </w:p>
        </w:tc>
        <w:tc>
          <w:tcPr>
            <w:tcW w:w="2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239,393</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328,746</w:t>
            </w:r>
          </w:p>
        </w:tc>
      </w:tr>
      <w:tr>
        <w:trPr>
          <w:trHeight w:val="270"/>
        </w:trPr>
        <w:tc>
          <w:tcPr>
            <w:tcW w:w="41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Judith Sim</w:t>
            </w:r>
            <w:r>
              <w:rPr>
                <w:rFonts w:ascii="Arial" w:cs="Arial" w:eastAsia="Arial" w:hAnsi="Arial"/>
                <w:sz w:val="26"/>
                <w:szCs w:val="26"/>
                <w:color w:val="auto"/>
                <w:vertAlign w:val="superscript"/>
              </w:rPr>
              <w:t>(9)</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83,397</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239,393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322,790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-1207770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-1207770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-1207770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fees earned or paid in cash for services rendered in the last fiscal year.</w:t>
      </w:r>
    </w:p>
    <w:p>
      <w:pPr>
        <w:spacing w:after="0" w:line="76" w:lineRule="exact"/>
        <w:rPr>
          <w:rFonts w:ascii="Arial" w:cs="Arial" w:eastAsia="Arial" w:hAnsi="Arial"/>
          <w:sz w:val="18"/>
          <w:szCs w:val="18"/>
          <w:color w:val="auto"/>
        </w:rPr>
      </w:pPr>
    </w:p>
    <w:p>
      <w:pPr>
        <w:ind w:left="1620" w:right="419" w:hanging="360"/>
        <w:spacing w:after="0" w:line="254"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the RSU award made to each director during the year, computed in accordance with FASB ASC Topic 718. The assumptions used in the valuation of these awards are set forth in note 14 to our consolidated financial statements, which are included in our Annual Report on Form 10-K for the year ended December 31, 2020, filed with the SEC on February 19, 2021. The grant date fair value of these awards is determined for financial statement reporting purposes and does not correspond to the actual value that the directors will receive from the awards.</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57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Ms. Ducourty held 896 RSUs, 448 of which vested on March 31, 2021 and the remainder of which will vest in full on June 17, 2021, so long as Ms. Ducourty is a member of the Board of Directors on such date.</w:t>
      </w:r>
    </w:p>
    <w:p>
      <w:pPr>
        <w:spacing w:after="0" w:line="35" w:lineRule="exact"/>
        <w:rPr>
          <w:rFonts w:ascii="Arial" w:cs="Arial" w:eastAsia="Arial" w:hAnsi="Arial"/>
          <w:sz w:val="18"/>
          <w:szCs w:val="18"/>
          <w:color w:val="auto"/>
        </w:rPr>
      </w:pPr>
    </w:p>
    <w:p>
      <w:pPr>
        <w:jc w:val="both"/>
        <w:ind w:left="1620" w:right="55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Goldman joined the Board of Directors in October 2020. As of December 31, 2020, Mr. Goldman held 1,408 RSUs, all of which will vest in full on June 17, 2021, so long as Mr. Goldman is a member of the Board of Directors on such date.</w:t>
      </w:r>
    </w:p>
    <w:p>
      <w:pPr>
        <w:spacing w:after="0" w:line="35" w:lineRule="exact"/>
        <w:rPr>
          <w:rFonts w:ascii="Arial" w:cs="Arial" w:eastAsia="Arial" w:hAnsi="Arial"/>
          <w:sz w:val="18"/>
          <w:szCs w:val="18"/>
          <w:color w:val="auto"/>
        </w:rPr>
      </w:pPr>
    </w:p>
    <w:p>
      <w:pPr>
        <w:ind w:left="1620" w:right="43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Mr. Hsieh held 896 RSUs, 448 of which vested on March 31, 2021 and the remainder of which will vest in full on June 17, 2021, so long as Mr. Hsieh is a member of the Board of Directors on such date.</w:t>
      </w:r>
    </w:p>
    <w:p>
      <w:pPr>
        <w:spacing w:after="0" w:line="21" w:lineRule="exact"/>
        <w:rPr>
          <w:rFonts w:ascii="Arial" w:cs="Arial" w:eastAsia="Arial" w:hAnsi="Arial"/>
          <w:sz w:val="18"/>
          <w:szCs w:val="18"/>
          <w:color w:val="auto"/>
        </w:rPr>
      </w:pPr>
    </w:p>
    <w:p>
      <w:pPr>
        <w:ind w:left="1620" w:right="61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Ms. Hu held 896 RSUs, 448 of which vested on March 31, 2021 and the remainder of which will vest in full on June 17, 2021, so long as Ms. Hu is a member of the Board of Directors on such date.</w:t>
      </w:r>
    </w:p>
    <w:p>
      <w:pPr>
        <w:spacing w:after="0" w:line="35" w:lineRule="exact"/>
        <w:rPr>
          <w:rFonts w:ascii="Arial" w:cs="Arial" w:eastAsia="Arial" w:hAnsi="Arial"/>
          <w:sz w:val="18"/>
          <w:szCs w:val="18"/>
          <w:color w:val="auto"/>
        </w:rPr>
      </w:pPr>
    </w:p>
    <w:p>
      <w:pPr>
        <w:jc w:val="both"/>
        <w:ind w:left="1620" w:right="65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Mr. Neukom held 896 RSUs, 448 of which vested on March 31, 2021 and the remainder of which will vest in full on June 17, 2021, so long as Mr. Neukom is a member of the Board of Directors on such date.</w:t>
      </w:r>
    </w:p>
    <w:p>
      <w:pPr>
        <w:spacing w:after="0" w:line="35" w:lineRule="exact"/>
        <w:rPr>
          <w:rFonts w:ascii="Arial" w:cs="Arial" w:eastAsia="Arial" w:hAnsi="Arial"/>
          <w:sz w:val="18"/>
          <w:szCs w:val="18"/>
          <w:color w:val="auto"/>
        </w:rPr>
      </w:pPr>
    </w:p>
    <w:p>
      <w:pPr>
        <w:jc w:val="both"/>
        <w:ind w:left="1620" w:right="47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Mr. Paisley held 896 RSUs, 448 of which vested on March 31, 2021 and the remainder of which will vest in full on June 17, 2021, so long as Mr. Paisley is a member of the Board of Directors on such date.</w:t>
      </w:r>
    </w:p>
    <w:p>
      <w:pPr>
        <w:spacing w:after="0" w:line="48"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2020, Ms. Sim held 896 RSUs, 448 of which vested on March 31, 2021 and the remainder of which will vest in full on June 17, 2021, so long as Ms. Sim is a member of the Board of Directors on such date.</w:t>
      </w:r>
    </w:p>
    <w:p>
      <w:pPr>
        <w:spacing w:after="0" w:line="18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Standard Director Compensation Arrangements</w:t>
      </w:r>
    </w:p>
    <w:p>
      <w:pPr>
        <w:spacing w:after="0" w:line="14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Following a review by Compensia of our annual cash retainer policy and equity award grant policy for non-employee directors, in July 2020,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spacing w:after="0" w:line="81" w:lineRule="exact"/>
        <w:rPr>
          <w:sz w:val="20"/>
          <w:szCs w:val="20"/>
          <w:color w:val="auto"/>
        </w:rPr>
      </w:pPr>
    </w:p>
    <w:p>
      <w:pPr>
        <w:ind w:left="1800" w:right="579" w:hanging="180"/>
        <w:spacing w:after="0" w:line="263"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for serving on the Board of Directors of $55,000, paid quarterly, in addition to the annual cash retainer for service on the committees of the Board of Directors as discussed below;</w:t>
      </w:r>
    </w:p>
    <w:p>
      <w:pPr>
        <w:spacing w:after="0" w:line="75"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for serving as lead independent director of the Board of Directors of $35,000, paid quarterly;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for serving in a non-chairperson position on the (i) Audit Committee of</w:t>
      </w:r>
    </w:p>
    <w:p>
      <w:pPr>
        <w:spacing w:after="0" w:line="23"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7"/>
          <w:szCs w:val="17"/>
          <w:color w:val="auto"/>
        </w:rPr>
        <w:t>$13,800, (ii) Human Resources Committee of $10,000 and (iii) Governance Committee of $7,500;</w:t>
      </w:r>
    </w:p>
    <w:p>
      <w:pPr>
        <w:spacing w:after="0" w:line="114"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annual cash retainer of (i) $32,500 for serving as the chairperson of the Audit Committee,</w:t>
      </w:r>
    </w:p>
    <w:p>
      <w:pPr>
        <w:spacing w:after="0" w:line="23" w:lineRule="exact"/>
        <w:rPr>
          <w:rFonts w:ascii="Arial" w:cs="Arial" w:eastAsia="Arial" w:hAnsi="Arial"/>
          <w:sz w:val="18"/>
          <w:szCs w:val="18"/>
          <w:color w:val="auto"/>
        </w:rPr>
      </w:pPr>
    </w:p>
    <w:p>
      <w:pPr>
        <w:ind w:left="1800" w:right="539"/>
        <w:spacing w:after="0" w:line="260" w:lineRule="auto"/>
        <w:rPr>
          <w:rFonts w:ascii="Arial" w:cs="Arial" w:eastAsia="Arial" w:hAnsi="Arial"/>
          <w:sz w:val="18"/>
          <w:szCs w:val="18"/>
          <w:color w:val="auto"/>
        </w:rPr>
      </w:pPr>
      <w:r>
        <w:rPr>
          <w:rFonts w:ascii="Arial" w:cs="Arial" w:eastAsia="Arial" w:hAnsi="Arial"/>
          <w:sz w:val="18"/>
          <w:szCs w:val="18"/>
          <w:color w:val="auto"/>
        </w:rPr>
        <w:t>(ii) $22,500 for serving as the chairperson of the Human Resources Committee and (iii) $15,000 for serving as the chairperson of the Governance Committee;</w:t>
      </w:r>
    </w:p>
    <w:p>
      <w:pPr>
        <w:spacing w:after="0" w:line="77" w:lineRule="exact"/>
        <w:rPr>
          <w:rFonts w:ascii="Arial" w:cs="Arial" w:eastAsia="Arial" w:hAnsi="Arial"/>
          <w:sz w:val="18"/>
          <w:szCs w:val="18"/>
          <w:color w:val="auto"/>
        </w:rPr>
      </w:pPr>
    </w:p>
    <w:p>
      <w:pPr>
        <w:ind w:left="1800" w:right="639" w:hanging="180"/>
        <w:spacing w:after="0" w:line="235"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completion of each full year of service, an annual “refresh” grant of a number of RSUs based on a total grant value equal to the peer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per Compensia’s director compensation analysis (which for 2020 was $250,000), vesting quarterly on the last day of each quarter and with the final installment vesting on the earlier of the last day of the second quarter and the day prior to the next annual meeting of stockholders; and</w:t>
      </w:r>
    </w:p>
    <w:p>
      <w:pPr>
        <w:spacing w:after="0" w:line="84"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newly appointed non-employee directors, an initial grant of a number of RSUs based on a total grant value equal to the then-applicable refresh grant amount, pro-rated based on the projected days from the directors appointment date through the next annual meeting of stockholders, vesting in full on the day prior to the next annual meeting of stockholders.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Prior to July 2020: (i) the annual cash retainer for serving on the Board of Directors was</w:t>
      </w:r>
    </w:p>
    <w:p>
      <w:pPr>
        <w:spacing w:after="0" w:line="12"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$45,000; (ii) the annual cash retainer for serving as lead independent director of the Board of Directors was $25,000; (iii) the</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annual cash retainers for serving in a non-chairperson position on the Audit Committee and Governance Committee were $12,000 and $6,000, respectively; and (iv) the annual cash retainers for serving as the chairperson of the Audit Committee and Human Resources Committee were $27,500 and $20,000, respectively. Otherwise, the compensation described above remained unchanged from the date of the 2020 Annual Meeting.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Non-Employee Director Stock Ownership Guidelines</w:t>
      </w:r>
    </w:p>
    <w:p>
      <w:pPr>
        <w:spacing w:after="0" w:line="144"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In July 2019, the Human Resources Committee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spacing w:after="0" w:line="12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spacing w:after="0" w:line="113"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5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 xml:space="preserve">“Change of Control” in our change of control agreements with our non-employee directors has the same meaning as used in our Change of Control Severance Agreements with the named executive officers. See “— </w:t>
      </w:r>
      <w:r>
        <w:rPr>
          <w:rFonts w:ascii="Arial" w:cs="Arial" w:eastAsia="Arial" w:hAnsi="Arial"/>
          <w:sz w:val="18"/>
          <w:szCs w:val="18"/>
          <w:i w:val="1"/>
          <w:iCs w:val="1"/>
          <w:color w:val="auto"/>
        </w:rPr>
        <w:t>Potential Payments Upon Termination or Change of Control — Termination or 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44"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currently maintain the 2009 Plan, which provides for the issuance of shares of our common stock to our officers and other employees, directors and consultants and which has been approved by our stockholders.</w:t>
      </w:r>
    </w:p>
    <w:p>
      <w:pPr>
        <w:spacing w:after="0" w:line="116"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The following table summarizes the number of outstanding options and rights and number of securities remaining available for future issuance under our equity compensation plans as of December 31, 2020.</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6"/>
                <w:szCs w:val="16"/>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(b)</w:t>
            </w:r>
          </w:p>
        </w:tc>
        <w:tc>
          <w:tcPr>
            <w:tcW w:w="480" w:type="dxa"/>
            <w:vAlign w:val="bottom"/>
          </w:tcPr>
          <w:p>
            <w:pPr>
              <w:spacing w:after="0"/>
              <w:rPr>
                <w:sz w:val="16"/>
                <w:szCs w:val="16"/>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Number of securities remaining</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Number of securities to be</w:t>
            </w: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Weighted-average exercise</w:t>
            </w:r>
          </w:p>
        </w:tc>
        <w:tc>
          <w:tcPr>
            <w:tcW w:w="1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available for future issuance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3"/>
              </w:rPr>
              <w:t>issued upon exercise of</w:t>
            </w: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price per share of</w:t>
            </w:r>
          </w:p>
        </w:tc>
        <w:tc>
          <w:tcPr>
            <w:tcW w:w="1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under equity compensation</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outstanding options,</w:t>
            </w: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outstanding options,</w:t>
            </w:r>
          </w:p>
        </w:tc>
        <w:tc>
          <w:tcPr>
            <w:tcW w:w="1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86"/>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warrants and rights (#)</w:t>
            </w: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warrants and rights ($)</w:t>
            </w: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reflected in column (a)) (#)</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$67.53</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88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12,318,314</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2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7,396,977</w:t>
            </w:r>
          </w:p>
        </w:tc>
        <w:tc>
          <w:tcPr>
            <w:tcW w:w="80" w:type="dxa"/>
            <w:vAlign w:val="bottom"/>
            <w:shd w:val="clear" w:color="auto" w:fill="CCEEFF"/>
          </w:tcPr>
          <w:p>
            <w:pPr>
              <w:spacing w:after="0"/>
              <w:rPr>
                <w:sz w:val="21"/>
                <w:szCs w:val="21"/>
                <w:color w:val="auto"/>
              </w:rPr>
            </w:pPr>
          </w:p>
        </w:tc>
        <w:tc>
          <w:tcPr>
            <w:tcW w:w="158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44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7,396,977</w:t>
            </w:r>
          </w:p>
        </w:tc>
        <w:tc>
          <w:tcPr>
            <w:tcW w:w="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67.53</w:t>
            </w:r>
          </w:p>
        </w:tc>
        <w:tc>
          <w:tcPr>
            <w:tcW w:w="120" w:type="dxa"/>
            <w:vAlign w:val="bottom"/>
            <w:shd w:val="clear" w:color="auto" w:fill="CCEEFF"/>
          </w:tcPr>
          <w:p>
            <w:pPr>
              <w:spacing w:after="0"/>
              <w:rPr>
                <w:sz w:val="24"/>
                <w:szCs w:val="24"/>
                <w:color w:val="auto"/>
              </w:rPr>
            </w:pPr>
          </w:p>
        </w:tc>
        <w:tc>
          <w:tcPr>
            <w:tcW w:w="1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12,318,314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-290830</wp:posOffset>
            </wp:positionV>
            <wp:extent cx="3086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311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-908050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-908050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-908050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ind w:left="1620" w:right="599" w:hanging="360"/>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RSUs, which have no exercise price.</w:t>
      </w:r>
    </w:p>
    <w:p>
      <w:pPr>
        <w:spacing w:after="0" w:line="21" w:lineRule="exact"/>
        <w:rPr>
          <w:rFonts w:ascii="Arial" w:cs="Arial" w:eastAsia="Arial" w:hAnsi="Arial"/>
          <w:sz w:val="18"/>
          <w:szCs w:val="18"/>
          <w:color w:val="auto"/>
        </w:rPr>
      </w:pPr>
    </w:p>
    <w:p>
      <w:pPr>
        <w:ind w:left="1620" w:right="439" w:hanging="360"/>
        <w:spacing w:after="0" w:line="277"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12,318,314 shares of common stock available for issuance under the 2009 Plan, which was the only equity compensation plan that we maintained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Related-Person Transactions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44"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each of our directors and officers to the fullest extent permitted by Delaware law. In addition, we have entered into indemnification agreements with each of our directors and executive officers.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of Related-Person Transactions</w:t>
      </w:r>
    </w:p>
    <w:p>
      <w:pPr>
        <w:spacing w:after="0" w:line="162"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10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For purposes of these procedures, the terms “related person” and “transaction” have the meanings contained in Item 404 of Regulation S-K.</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individuals and entities that are considered “related persons” include:</w:t>
      </w:r>
    </w:p>
    <w:p>
      <w:pPr>
        <w:spacing w:after="0" w:line="117"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Directors, nominees for director and executive officers of Fortinet;</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known to be the beneficial owner of more than five percent of Fortinet’s common stock (a “5% Stockholder”); and</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immediate family member, as defined in Item 404(a) of Regulation S-K, of a director, nominee for director, executive officer and 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OWNERSHIP OF SECURITIES</w:t>
      </w:r>
    </w:p>
    <w:p>
      <w:pPr>
        <w:spacing w:after="0" w:line="14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Fortinet’s common stock, as of March 31, 2021, for the following:</w:t>
      </w:r>
    </w:p>
    <w:p>
      <w:pPr>
        <w:spacing w:after="0" w:line="62" w:lineRule="exact"/>
        <w:rPr>
          <w:sz w:val="20"/>
          <w:szCs w:val="20"/>
          <w:color w:val="auto"/>
        </w:rPr>
      </w:pPr>
    </w:p>
    <w:p>
      <w:pPr>
        <w:ind w:left="1800" w:right="43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the outstanding shares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non-employee directors and nominees;</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of this proxy statement;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directors and current executive officers of Fortinet as a group.</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 w:type="dxa"/>
            <w:vAlign w:val="bottom"/>
            <w:vMerge w:val="restart"/>
          </w:tcPr>
          <w:p>
            <w:pPr>
              <w:spacing w:after="0"/>
              <w:rPr>
                <w:sz w:val="14"/>
                <w:szCs w:val="14"/>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5% Stockholders, Directors, Director Nominees and Officers</w:t>
            </w:r>
            <w:r>
              <w:rPr>
                <w:rFonts w:ascii="Arial" w:cs="Arial" w:eastAsia="Arial" w:hAnsi="Arial"/>
                <w:sz w:val="21"/>
                <w:szCs w:val="21"/>
                <w:b w:val="1"/>
                <w:bCs w:val="1"/>
                <w:color w:val="auto"/>
                <w:vertAlign w:val="superscript"/>
              </w:rPr>
              <w:t>(1)</w:t>
            </w:r>
          </w:p>
        </w:tc>
        <w:tc>
          <w:tcPr>
            <w:tcW w:w="220" w:type="dxa"/>
            <w:vAlign w:val="bottom"/>
            <w:vMerge w:val="restart"/>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5"/>
              </w:rPr>
              <w:t>Shares Beneficially</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Percentage Beneficially</w:t>
            </w:r>
          </w:p>
        </w:tc>
        <w:tc>
          <w:tcPr>
            <w:tcW w:w="0" w:type="dxa"/>
            <w:vAlign w:val="bottom"/>
          </w:tcPr>
          <w:p>
            <w:pPr>
              <w:spacing w:after="0"/>
              <w:rPr>
                <w:sz w:val="1"/>
                <w:szCs w:val="1"/>
                <w:color w:val="auto"/>
              </w:rPr>
            </w:pPr>
          </w:p>
        </w:tc>
      </w:tr>
      <w:tr>
        <w:trPr>
          <w:trHeight w:val="243"/>
        </w:trPr>
        <w:tc>
          <w:tcPr>
            <w:tcW w:w="360" w:type="dxa"/>
            <w:vAlign w:val="bottom"/>
            <w:vMerge w:val="continue"/>
          </w:tcPr>
          <w:p>
            <w:pPr>
              <w:spacing w:after="0"/>
              <w:rPr>
                <w:sz w:val="21"/>
                <w:szCs w:val="21"/>
                <w:color w:val="auto"/>
              </w:rPr>
            </w:pPr>
          </w:p>
        </w:tc>
        <w:tc>
          <w:tcPr>
            <w:tcW w:w="448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Owned (#)</w:t>
            </w:r>
            <w:r>
              <w:rPr>
                <w:rFonts w:ascii="Arial" w:cs="Arial" w:eastAsia="Arial" w:hAnsi="Arial"/>
                <w:sz w:val="21"/>
                <w:szCs w:val="21"/>
                <w:b w:val="1"/>
                <w:bCs w:val="1"/>
                <w:color w:val="auto"/>
                <w:vertAlign w:val="superscript"/>
              </w:rPr>
              <w:t>(2)</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Owned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700" w:type="dxa"/>
            <w:vAlign w:val="bottom"/>
            <w:gridSpan w:val="3"/>
          </w:tcPr>
          <w:p>
            <w:pPr>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(3)</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15,921,531</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7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(4)</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10,757,484</w:t>
            </w:r>
          </w:p>
        </w:tc>
        <w:tc>
          <w:tcPr>
            <w:tcW w:w="1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5"/>
        </w:trPr>
        <w:tc>
          <w:tcPr>
            <w:tcW w:w="5060" w:type="dxa"/>
            <w:vAlign w:val="bottom"/>
            <w:gridSpan w:val="4"/>
          </w:tcPr>
          <w:p>
            <w:pPr>
              <w:ind w:left="360"/>
              <w:spacing w:after="0"/>
              <w:rPr>
                <w:sz w:val="20"/>
                <w:szCs w:val="20"/>
                <w:color w:val="auto"/>
              </w:rPr>
            </w:pPr>
            <w:r>
              <w:rPr>
                <w:rFonts w:ascii="Arial" w:cs="Arial" w:eastAsia="Arial" w:hAnsi="Arial"/>
                <w:sz w:val="18"/>
                <w:szCs w:val="18"/>
                <w:b w:val="1"/>
                <w:bCs w:val="1"/>
                <w:color w:val="auto"/>
              </w:rPr>
              <w:t>Non-Employee Directors and Nominees: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Kelly Ducourty</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1,765</w:t>
            </w: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700" w:type="dxa"/>
            <w:vAlign w:val="bottom"/>
            <w:gridSpan w:val="3"/>
          </w:tcPr>
          <w:p>
            <w:pPr>
              <w:spacing w:after="0" w:line="270" w:lineRule="exact"/>
              <w:rPr>
                <w:sz w:val="20"/>
                <w:szCs w:val="20"/>
                <w:color w:val="auto"/>
              </w:rPr>
            </w:pPr>
            <w:r>
              <w:rPr>
                <w:rFonts w:ascii="Arial" w:cs="Arial" w:eastAsia="Arial" w:hAnsi="Arial"/>
                <w:sz w:val="18"/>
                <w:szCs w:val="18"/>
                <w:color w:val="auto"/>
              </w:rPr>
              <w:t>Kenneth A. Goldman</w:t>
            </w:r>
            <w:r>
              <w:rPr>
                <w:rFonts w:ascii="Arial" w:cs="Arial" w:eastAsia="Arial" w:hAnsi="Arial"/>
                <w:sz w:val="26"/>
                <w:szCs w:val="26"/>
                <w:color w:val="auto"/>
                <w:vertAlign w:val="superscript"/>
              </w:rPr>
              <w:t>(5)</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4,350</w:t>
            </w:r>
          </w:p>
        </w:tc>
        <w:tc>
          <w:tcPr>
            <w:tcW w:w="16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Ming Hsieh</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8,202</w:t>
            </w: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60" w:type="dxa"/>
            <w:vAlign w:val="bottom"/>
            <w:gridSpan w:val="4"/>
          </w:tcPr>
          <w:p>
            <w:pPr>
              <w:ind w:left="360"/>
              <w:spacing w:after="0"/>
              <w:rPr>
                <w:sz w:val="20"/>
                <w:szCs w:val="20"/>
                <w:color w:val="auto"/>
              </w:rPr>
            </w:pPr>
            <w:r>
              <w:rPr>
                <w:rFonts w:ascii="Arial" w:cs="Arial" w:eastAsia="Arial" w:hAnsi="Arial"/>
                <w:sz w:val="18"/>
                <w:szCs w:val="18"/>
                <w:color w:val="auto"/>
              </w:rPr>
              <w:t>Jean Hu</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3,476</w:t>
            </w:r>
          </w:p>
        </w:tc>
        <w:tc>
          <w:tcPr>
            <w:tcW w:w="16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H. Neukom</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54,973</w:t>
            </w: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60" w:type="dxa"/>
            <w:vAlign w:val="bottom"/>
            <w:gridSpan w:val="4"/>
          </w:tcPr>
          <w:p>
            <w:pPr>
              <w:ind w:left="360"/>
              <w:spacing w:after="0"/>
              <w:rPr>
                <w:sz w:val="20"/>
                <w:szCs w:val="20"/>
                <w:color w:val="auto"/>
              </w:rPr>
            </w:pPr>
            <w:r>
              <w:rPr>
                <w:rFonts w:ascii="Arial" w:cs="Arial" w:eastAsia="Arial" w:hAnsi="Arial"/>
                <w:sz w:val="18"/>
                <w:szCs w:val="18"/>
                <w:color w:val="auto"/>
              </w:rPr>
              <w:t>Christopher B. Paisley</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76,823</w:t>
            </w:r>
          </w:p>
        </w:tc>
        <w:tc>
          <w:tcPr>
            <w:tcW w:w="16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Sim</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25,702</w:t>
            </w: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060" w:type="dxa"/>
            <w:vAlign w:val="bottom"/>
            <w:gridSpan w:val="4"/>
          </w:tcPr>
          <w:p>
            <w:pPr>
              <w:ind w:left="360"/>
              <w:spacing w:after="0"/>
              <w:rPr>
                <w:sz w:val="20"/>
                <w:szCs w:val="20"/>
                <w:color w:val="auto"/>
              </w:rPr>
            </w:pPr>
            <w:r>
              <w:rPr>
                <w:rFonts w:ascii="Arial" w:cs="Arial" w:eastAsia="Arial" w:hAnsi="Arial"/>
                <w:sz w:val="18"/>
                <w:szCs w:val="18"/>
                <w:b w:val="1"/>
                <w:bCs w:val="1"/>
                <w:color w:val="auto"/>
              </w:rPr>
              <w:t>Named Executive Officers: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7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Ken Xie</w:t>
            </w:r>
            <w:r>
              <w:rPr>
                <w:rFonts w:ascii="Arial" w:cs="Arial" w:eastAsia="Arial" w:hAnsi="Arial"/>
                <w:sz w:val="26"/>
                <w:szCs w:val="26"/>
                <w:color w:val="auto"/>
                <w:vertAlign w:val="superscript"/>
              </w:rPr>
              <w:t>(6)</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15,731,750</w:t>
            </w:r>
          </w:p>
        </w:tc>
        <w:tc>
          <w:tcPr>
            <w:tcW w:w="16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700" w:type="dxa"/>
            <w:vAlign w:val="bottom"/>
            <w:gridSpan w:val="3"/>
          </w:tcPr>
          <w:p>
            <w:pPr>
              <w:spacing w:after="0" w:line="270" w:lineRule="exact"/>
              <w:rPr>
                <w:sz w:val="20"/>
                <w:szCs w:val="20"/>
                <w:color w:val="auto"/>
              </w:rPr>
            </w:pPr>
            <w:r>
              <w:rPr>
                <w:rFonts w:ascii="Arial" w:cs="Arial" w:eastAsia="Arial" w:hAnsi="Arial"/>
                <w:sz w:val="18"/>
                <w:szCs w:val="18"/>
                <w:color w:val="auto"/>
              </w:rPr>
              <w:t>Michael Xie</w:t>
            </w:r>
            <w:r>
              <w:rPr>
                <w:rFonts w:ascii="Arial" w:cs="Arial" w:eastAsia="Arial" w:hAnsi="Arial"/>
                <w:sz w:val="26"/>
                <w:szCs w:val="26"/>
                <w:color w:val="auto"/>
                <w:vertAlign w:val="superscript"/>
              </w:rPr>
              <w:t>(7)</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14,467,931</w:t>
            </w:r>
          </w:p>
        </w:tc>
        <w:tc>
          <w:tcPr>
            <w:tcW w:w="1620" w:type="dxa"/>
            <w:vAlign w:val="bottom"/>
            <w:gridSpan w:val="2"/>
          </w:tcPr>
          <w:p>
            <w:pPr>
              <w:jc w:val="right"/>
              <w:ind w:right="32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70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Keith Jensen</w:t>
            </w:r>
            <w:r>
              <w:rPr>
                <w:rFonts w:ascii="Arial" w:cs="Arial" w:eastAsia="Arial" w:hAnsi="Arial"/>
                <w:sz w:val="26"/>
                <w:szCs w:val="26"/>
                <w:color w:val="auto"/>
                <w:vertAlign w:val="superscript"/>
              </w:rPr>
              <w:t>(8)</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11,907</w:t>
            </w: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060" w:type="dxa"/>
            <w:vAlign w:val="bottom"/>
            <w:gridSpan w:val="4"/>
          </w:tcPr>
          <w:p>
            <w:pPr>
              <w:ind w:left="360"/>
              <w:spacing w:after="0" w:line="283" w:lineRule="exact"/>
              <w:rPr>
                <w:sz w:val="20"/>
                <w:szCs w:val="20"/>
                <w:color w:val="auto"/>
              </w:rPr>
            </w:pPr>
            <w:r>
              <w:rPr>
                <w:rFonts w:ascii="Arial" w:cs="Arial" w:eastAsia="Arial" w:hAnsi="Arial"/>
                <w:sz w:val="18"/>
                <w:szCs w:val="18"/>
                <w:color w:val="auto"/>
              </w:rPr>
              <w:t>John Whittle</w:t>
            </w:r>
            <w:r>
              <w:rPr>
                <w:rFonts w:ascii="Arial" w:cs="Arial" w:eastAsia="Arial" w:hAnsi="Arial"/>
                <w:sz w:val="26"/>
                <w:szCs w:val="26"/>
                <w:color w:val="auto"/>
                <w:vertAlign w:val="superscript"/>
              </w:rPr>
              <w:t>(9)</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37,150</w:t>
            </w:r>
          </w:p>
        </w:tc>
        <w:tc>
          <w:tcPr>
            <w:tcW w:w="16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470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All directors and current executive officers as a group</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360" w:type="dxa"/>
            <w:vAlign w:val="bottom"/>
          </w:tcPr>
          <w:p>
            <w:pPr>
              <w:spacing w:after="0"/>
              <w:rPr>
                <w:sz w:val="24"/>
                <w:szCs w:val="24"/>
                <w:color w:val="auto"/>
              </w:rPr>
            </w:pPr>
          </w:p>
        </w:tc>
        <w:tc>
          <w:tcPr>
            <w:tcW w:w="470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(11 persons)</w:t>
            </w:r>
            <w:r>
              <w:rPr>
                <w:rFonts w:ascii="Arial" w:cs="Arial" w:eastAsia="Arial" w:hAnsi="Arial"/>
                <w:sz w:val="26"/>
                <w:szCs w:val="26"/>
                <w:color w:val="auto"/>
                <w:vertAlign w:val="superscript"/>
              </w:rPr>
              <w:t>(10)</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30,424,029</w:t>
            </w:r>
          </w:p>
        </w:tc>
        <w:tc>
          <w:tcPr>
            <w:tcW w:w="16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30"/>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-3308350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-3308350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less than 1% of the total.</w:t>
      </w:r>
    </w:p>
    <w:p>
      <w:pPr>
        <w:spacing w:after="0" w:line="90" w:lineRule="exact"/>
        <w:rPr>
          <w:sz w:val="20"/>
          <w:szCs w:val="20"/>
          <w:color w:val="auto"/>
        </w:rPr>
      </w:pPr>
    </w:p>
    <w:p>
      <w:pPr>
        <w:ind w:left="1620" w:right="859" w:hanging="360"/>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otherwise indicated in the table, the address for each listed person is c/o Fortinet, Inc., 899 Kifer Road, Sunnyvale, California 94086.</w:t>
      </w:r>
    </w:p>
    <w:p>
      <w:pPr>
        <w:spacing w:after="0" w:line="21" w:lineRule="exact"/>
        <w:rPr>
          <w:rFonts w:ascii="Arial" w:cs="Arial" w:eastAsia="Arial" w:hAnsi="Arial"/>
          <w:sz w:val="18"/>
          <w:szCs w:val="18"/>
          <w:color w:val="auto"/>
        </w:rPr>
      </w:pPr>
    </w:p>
    <w:p>
      <w:pPr>
        <w:ind w:left="1620" w:right="479" w:hanging="360"/>
        <w:spacing w:after="0" w:line="271" w:lineRule="auto"/>
        <w:tabs>
          <w:tab w:leader="none" w:pos="1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2021,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163,292,090 shares of common stock outstanding on March 31, 2021.</w:t>
      </w:r>
    </w:p>
    <w:p>
      <w:pPr>
        <w:spacing w:after="0" w:line="29" w:lineRule="exact"/>
        <w:rPr>
          <w:rFonts w:ascii="Arial" w:cs="Arial" w:eastAsia="Arial" w:hAnsi="Arial"/>
          <w:sz w:val="17"/>
          <w:szCs w:val="17"/>
          <w:color w:val="auto"/>
        </w:rPr>
      </w:pPr>
    </w:p>
    <w:p>
      <w:pPr>
        <w:ind w:left="1620" w:right="599" w:hanging="360"/>
        <w:spacing w:after="0" w:line="259"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solely on information reported by The Vanguard Group (“Vanguard”) on Schedule 13G/A filed with the SEC on February 8, 2021. Vanguard reported beneficial ownership of 15,921,531 shares, including 15,316,061 shares over which it has sole dispositive power. The address of Vanguard is 100 Vanguard Boulevard, Malvern, Pennsylvania 19355.</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hanging="360"/>
        <w:spacing w:after="0" w:line="235"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solely on information reported by BlackRock, Inc. (“BlackRock”) on Schedule 13G/A filed with the SEC on January 29, 2021. BlackRock reported beneficial ownership of 10,757,484 shares, including 9,424,518 shares over which it has sole voting power and 10,757,484 shares over which it has sole dispositive power. The address of BlackRock is 55 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 New York, New York 10055.</w:t>
      </w:r>
    </w:p>
    <w:p>
      <w:pPr>
        <w:spacing w:after="0" w:line="57"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4,150 shares held by the Goldman-Valeriote Trust u/a/d 11/15/95, for which Mr. Goldman serves as trustee; and (ii) 200 shares held by GV Partners, L.P., for which Mr. Goldman is the managing member.</w:t>
      </w:r>
    </w:p>
    <w:p>
      <w:pPr>
        <w:spacing w:after="0" w:line="35" w:lineRule="exact"/>
        <w:rPr>
          <w:rFonts w:ascii="Arial" w:cs="Arial" w:eastAsia="Arial" w:hAnsi="Arial"/>
          <w:sz w:val="18"/>
          <w:szCs w:val="18"/>
          <w:color w:val="auto"/>
        </w:rPr>
      </w:pPr>
    </w:p>
    <w:p>
      <w:pPr>
        <w:ind w:left="1620" w:right="719" w:hanging="360"/>
        <w:spacing w:after="0" w:line="274"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Includes: (i) 12,559,057 shares held of record by Mr. Ken Xie; and (ii) 2,720,236 shares held by the Xie Foundation, a non-profit entity for which Mr. Ken Xie serves as co-president and a director.</w:t>
      </w:r>
    </w:p>
    <w:p>
      <w:pPr>
        <w:ind w:left="1620" w:right="479"/>
        <w:spacing w:after="0" w:line="253" w:lineRule="auto"/>
        <w:rPr>
          <w:rFonts w:ascii="Arial" w:cs="Arial" w:eastAsia="Arial" w:hAnsi="Arial"/>
          <w:sz w:val="17"/>
          <w:szCs w:val="17"/>
          <w:color w:val="auto"/>
        </w:rPr>
      </w:pPr>
      <w:r>
        <w:rPr>
          <w:rFonts w:ascii="Arial" w:cs="Arial" w:eastAsia="Arial" w:hAnsi="Arial"/>
          <w:sz w:val="18"/>
          <w:szCs w:val="18"/>
          <w:color w:val="auto"/>
        </w:rPr>
        <w:t>Mr. Ken Xie has no pecuniary interest in and disclaims beneficial ownership of the shares held by the Xie Foundation. Also includes: (i) 443,701 shares issuable upon the exercise of stock options held by Mr. Ken Xie that are exercisable within 60 days of March 31, 2021; and (ii) 8,756 shares issuable upon the settlement of RSUs that will vest within 60 days of March 31, 2021.</w:t>
      </w:r>
    </w:p>
    <w:p>
      <w:pPr>
        <w:spacing w:after="0" w:line="57" w:lineRule="exact"/>
        <w:rPr>
          <w:rFonts w:ascii="Arial" w:cs="Arial" w:eastAsia="Arial" w:hAnsi="Arial"/>
          <w:sz w:val="17"/>
          <w:szCs w:val="17"/>
          <w:color w:val="auto"/>
        </w:rPr>
      </w:pPr>
    </w:p>
    <w:p>
      <w:pPr>
        <w:ind w:left="1620" w:right="839" w:hanging="360"/>
        <w:spacing w:after="0" w:line="274"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Includes: (i) 6,030,025 shares held of record by Mr. Michael Xie; (ii) 1,991,686 shares held by the 2010 K.A. Family Trust dated May 3, 2010, for which Mr. Michael Xie serves as a trustee;</w:t>
      </w:r>
    </w:p>
    <w:p>
      <w:pPr>
        <w:ind w:left="1620" w:right="439"/>
        <w:spacing w:after="0" w:line="265" w:lineRule="auto"/>
        <w:tabs>
          <w:tab w:leader="none" w:pos="1956" w:val="left"/>
        </w:tabs>
        <w:numPr>
          <w:ilvl w:val="1"/>
          <w:numId w:val="71"/>
        </w:numPr>
        <w:rPr>
          <w:rFonts w:ascii="Arial" w:cs="Arial" w:eastAsia="Arial" w:hAnsi="Arial"/>
          <w:sz w:val="17"/>
          <w:szCs w:val="17"/>
          <w:color w:val="auto"/>
        </w:rPr>
      </w:pPr>
      <w:r>
        <w:rPr>
          <w:rFonts w:ascii="Arial" w:cs="Arial" w:eastAsia="Arial" w:hAnsi="Arial"/>
          <w:sz w:val="17"/>
          <w:szCs w:val="17"/>
          <w:color w:val="auto"/>
        </w:rPr>
        <w:t>3,488,214 shares held by the K.A. Children’s Trust dated February 9, 2011, for which Mr. Michael Xie serves as a trustee; and (iv) 2,720,236 shares held by the Xie Foundation, a non-profit entity for which Mr. Michael Xie serves as co-president and a director. Mr. Michael Xie has no pecuniary interest in and disclaims beneficial ownership of the shares held by the Xie Foundation. Also includes</w:t>
      </w:r>
    </w:p>
    <w:p>
      <w:pPr>
        <w:ind w:left="1620" w:right="779"/>
        <w:spacing w:after="0" w:line="255" w:lineRule="auto"/>
        <w:tabs>
          <w:tab w:leader="none" w:pos="1849" w:val="left"/>
        </w:tabs>
        <w:numPr>
          <w:ilvl w:val="1"/>
          <w:numId w:val="72"/>
        </w:numPr>
        <w:rPr>
          <w:rFonts w:ascii="Arial" w:cs="Arial" w:eastAsia="Arial" w:hAnsi="Arial"/>
          <w:sz w:val="18"/>
          <w:szCs w:val="18"/>
          <w:color w:val="auto"/>
        </w:rPr>
      </w:pPr>
      <w:r>
        <w:rPr>
          <w:rFonts w:ascii="Arial" w:cs="Arial" w:eastAsia="Arial" w:hAnsi="Arial"/>
          <w:sz w:val="18"/>
          <w:szCs w:val="18"/>
          <w:color w:val="auto"/>
        </w:rPr>
        <w:t>233,626 shares issuable upon the exercise of stock options held by Mr. Michael Xie that are exercisable within 60 days of March 31, 2021; and (ii) 4,144 shares issuable upon the settlement of RSUs that will vest within 60 days of March 31, 2021.</w:t>
      </w:r>
    </w:p>
    <w:p>
      <w:pPr>
        <w:spacing w:after="0" w:line="4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 837 shares held of record by Mr. Jensen; (ii) 7,990 shares issuable upon the exercise of stock options held by Mr. Jensen that are exercisable within 60 days of March 31, 2021; and (iii) 3,080 shares issuable upon the settlement of RSUs held by Mr. Jensen that will vest within 60 days of March 31, 2021.</w:t>
      </w:r>
    </w:p>
    <w:p>
      <w:pPr>
        <w:spacing w:after="0" w:line="38" w:lineRule="exact"/>
        <w:rPr>
          <w:rFonts w:ascii="Arial" w:cs="Arial" w:eastAsia="Arial" w:hAnsi="Arial"/>
          <w:sz w:val="18"/>
          <w:szCs w:val="18"/>
          <w:color w:val="auto"/>
        </w:rPr>
      </w:pPr>
    </w:p>
    <w:p>
      <w:pPr>
        <w:jc w:val="both"/>
        <w:ind w:left="1620" w:right="779" w:hanging="360"/>
        <w:spacing w:after="0" w:line="26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 34,862 shares issuable upon the exercise of stock options held by Mr. Whittle that are exercisable within 60 days of March 31, 2021; and (ii) 2,288 shares issuable upon the settlement of RSUs that will vest within 60 days of March 31, 2021.</w:t>
      </w:r>
    </w:p>
    <w:p>
      <w:pPr>
        <w:spacing w:after="0" w:line="48" w:lineRule="exact"/>
        <w:rPr>
          <w:rFonts w:ascii="Arial" w:cs="Arial" w:eastAsia="Arial" w:hAnsi="Arial"/>
          <w:sz w:val="18"/>
          <w:szCs w:val="18"/>
          <w:color w:val="auto"/>
        </w:rPr>
      </w:pPr>
    </w:p>
    <w:p>
      <w:pPr>
        <w:ind w:left="1620" w:right="519" w:hanging="360"/>
        <w:spacing w:after="0" w:line="25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 29,685,582 shares held by the current directors and executive officers; (ii) 720,179 shares issuable upon the exercise of stock options held by the current directors and executive officers that are exercisable within 60 days of March 31, 2021; and (iii) 18,268 shares issuable upon the settlement of RSUs held by the current directors and executive officers that will vest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11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has:</w:t>
      </w:r>
    </w:p>
    <w:p>
      <w:pPr>
        <w:spacing w:after="0" w:line="117" w:lineRule="exact"/>
        <w:rPr>
          <w:sz w:val="20"/>
          <w:szCs w:val="20"/>
          <w:color w:val="auto"/>
        </w:rPr>
      </w:pPr>
    </w:p>
    <w:p>
      <w:pPr>
        <w:ind w:left="1800" w:right="41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Fortinet management and with Deloitte &amp; Touche LLP, Fortinet’s independent registered public accounting firm;</w:t>
      </w:r>
    </w:p>
    <w:p>
      <w:pPr>
        <w:spacing w:after="0" w:line="62" w:lineRule="exact"/>
        <w:rPr>
          <w:rFonts w:ascii="Arial" w:cs="Arial" w:eastAsia="Arial" w:hAnsi="Arial"/>
          <w:sz w:val="18"/>
          <w:szCs w:val="18"/>
          <w:color w:val="auto"/>
        </w:rPr>
      </w:pPr>
    </w:p>
    <w:p>
      <w:pPr>
        <w:ind w:left="1800" w:right="111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Discussed with Deloitte &amp; Touche LLP the matters required to be discussed by the Auditing Standard No. 1301 adopted by the Public Company Accounting Oversight Board regarding “Communication with Audit Committees”; and</w:t>
      </w:r>
    </w:p>
    <w:p>
      <w:pPr>
        <w:spacing w:after="0" w:line="75"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06"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Based upon these discussions and review, the Audit Committee recommended to the Board of Directors that the audited financial statements be included in Fortinet’s Annual Report on Form 10-K for the fiscal year ended December 31, 2020 for filing with the United States Securities and Exchange Commission.</w:t>
      </w:r>
    </w:p>
    <w:p>
      <w:pPr>
        <w:spacing w:after="0" w:line="98"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Respectfully submitted by the members of the Audit Committee of the Board of Directors</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Christopher B. Paisley (Chairperson)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Jean 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Fortinet knows of no other matters to be submitted at the 2021 Annual Meeting. If any other matters properly come before the 2021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19"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It is important that your shares be represented at the 2021 Annual Meeting, regardless of the number of shares that you hold. You are, therefore, urged to vote as instructed in the Notice, via the internet or by telephone as promptly as possible to ensure your vote is recorded.</w:t>
      </w:r>
    </w:p>
    <w:p>
      <w:pPr>
        <w:spacing w:after="0" w:line="11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BOARD OF DIRECTORS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451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834517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168910</wp:posOffset>
            </wp:positionV>
            <wp:extent cx="6831965" cy="83451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834517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lvl w:ilvl="1">
      <w:lvlJc w:val="left"/>
      <w:lvlText w:val="(%2)"/>
      <w:numFmt w:val="decimal"/>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upperLetter"/>
      <w:start w:val="1"/>
    </w:lvl>
  </w:abstractNum>
  <w:abstractNum w:abstractNumId="5">
    <w:nsid w:val="2D517796"/>
    <w:multiLevelType w:val="hybridMultilevel"/>
    <w:lvl w:ilvl="0">
      <w:lvlJc w:val="left"/>
      <w:lvlText w:val="%1:"/>
      <w:numFmt w:val="upperLetter"/>
      <w:start w:val="17"/>
    </w:lvl>
  </w:abstractNum>
  <w:abstractNum w:abstractNumId="6">
    <w:nsid w:val="580BD78F"/>
    <w:multiLevelType w:val="hybridMultilevel"/>
    <w:lvl w:ilvl="0">
      <w:lvlJc w:val="left"/>
      <w:lvlText w:val="%1:"/>
      <w:numFmt w:val="upperLetter"/>
      <w:start w:val="1"/>
    </w:lvl>
  </w:abstractNum>
  <w:abstractNum w:abstractNumId="7">
    <w:nsid w:val="153EA438"/>
    <w:multiLevelType w:val="hybridMultilevel"/>
    <w:lvl w:ilvl="0">
      <w:lvlJc w:val="left"/>
      <w:lvlText w:val="%1:"/>
      <w:numFmt w:val="upperLetter"/>
      <w:start w:val="1"/>
    </w:lvl>
    <w:lvl w:ilvl="1">
      <w:lvlJc w:val="left"/>
      <w:lvlText w:val="•"/>
      <w:numFmt w:val="bullet"/>
      <w:start w:val="1"/>
    </w:lvl>
  </w:abstractNum>
  <w:abstractNum w:abstractNumId="8">
    <w:nsid w:val="3855585C"/>
    <w:multiLevelType w:val="hybridMultilevel"/>
    <w:lvl w:ilvl="0">
      <w:lvlJc w:val="left"/>
      <w:lvlText w:val="%1:"/>
      <w:numFmt w:val="upperLetter"/>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upperLetter"/>
      <w:start w:val="16"/>
    </w:lvl>
    <w:lvl w:ilvl="1">
      <w:lvlJc w:val="left"/>
      <w:lvlText w:val="•"/>
      <w:numFmt w:val="bullet"/>
      <w:start w:val="1"/>
    </w:lvl>
  </w:abstractNum>
  <w:abstractNum w:abstractNumId="11">
    <w:nsid w:val="2A487CB0"/>
    <w:multiLevelType w:val="hybridMultilevel"/>
    <w:lvl w:ilvl="0">
      <w:lvlJc w:val="left"/>
      <w:lvlText w:val="%1:"/>
      <w:numFmt w:val="upperLetter"/>
      <w:start w:val="1"/>
    </w:lvl>
  </w:abstractNum>
  <w:abstractNum w:abstractNumId="12">
    <w:nsid w:val="1D4ED43B"/>
    <w:multiLevelType w:val="hybridMultilevel"/>
    <w:lvl w:ilvl="0">
      <w:lvlJc w:val="left"/>
      <w:lvlText w:val="%1:"/>
      <w:numFmt w:val="upperLetter"/>
      <w:start w:val="1"/>
    </w:lvl>
    <w:lvl w:ilvl="1">
      <w:lvlJc w:val="left"/>
      <w:lvlText w:val="•"/>
      <w:numFmt w:val="bullet"/>
      <w:start w:val="1"/>
    </w:lvl>
  </w:abstractNum>
  <w:abstractNum w:abstractNumId="13">
    <w:nsid w:val="725A06FB"/>
    <w:multiLevelType w:val="hybridMultilevel"/>
    <w:lvl w:ilvl="0">
      <w:lvlJc w:val="left"/>
      <w:lvlText w:val="%1:"/>
      <w:numFmt w:val="upperLetter"/>
      <w:start w:val="1"/>
    </w:lvl>
  </w:abstractNum>
  <w:abstractNum w:abstractNumId="14">
    <w:nsid w:val="2CD89A32"/>
    <w:multiLevelType w:val="hybridMultilevel"/>
    <w:lvl w:ilvl="0">
      <w:lvlJc w:val="left"/>
      <w:lvlText w:val="%1:"/>
      <w:numFmt w:val="upperLetter"/>
      <w:start w:val="1"/>
    </w:lvl>
  </w:abstractNum>
  <w:abstractNum w:abstractNumId="15">
    <w:nsid w:val="57E4CCAF"/>
    <w:multiLevelType w:val="hybridMultilevel"/>
    <w:lvl w:ilvl="0">
      <w:lvlJc w:val="left"/>
      <w:lvlText w:val="%1:"/>
      <w:numFmt w:val="upperLetter"/>
      <w:start w:val="1"/>
    </w:lvl>
    <w:lvl w:ilvl="1">
      <w:lvlJc w:val="left"/>
      <w:lvlText w:val="•"/>
      <w:numFmt w:val="bullet"/>
      <w:start w:val="1"/>
    </w:lvl>
  </w:abstractNum>
  <w:abstractNum w:abstractNumId="16">
    <w:nsid w:val="7A6D8D3C"/>
    <w:multiLevelType w:val="hybridMultilevel"/>
    <w:lvl w:ilvl="0">
      <w:lvlJc w:val="left"/>
      <w:lvlText w:val="%1:"/>
      <w:numFmt w:val="upperLetter"/>
      <w:start w:val="1"/>
    </w:lvl>
  </w:abstractNum>
  <w:abstractNum w:abstractNumId="17">
    <w:nsid w:val="4B588F54"/>
    <w:multiLevelType w:val="hybridMultilevel"/>
    <w:lvl w:ilvl="0">
      <w:lvlJc w:val="left"/>
      <w:lvlText w:val="%1:"/>
      <w:numFmt w:val="upperLetter"/>
      <w:start w:val="1"/>
    </w:lvl>
  </w:abstractNum>
  <w:abstractNum w:abstractNumId="18">
    <w:nsid w:val="542289EC"/>
    <w:multiLevelType w:val="hybridMultilevel"/>
    <w:lvl w:ilvl="0">
      <w:lvlJc w:val="left"/>
      <w:lvlText w:val="%1:"/>
      <w:numFmt w:val="upperLetter"/>
      <w:start w:val="1"/>
    </w:lvl>
    <w:lvl w:ilvl="1">
      <w:lvlJc w:val="left"/>
      <w:lvlText w:val="•"/>
      <w:numFmt w:val="bullet"/>
      <w:start w:val="1"/>
    </w:lvl>
  </w:abstractNum>
  <w:abstractNum w:abstractNumId="19">
    <w:nsid w:val="6DE91B18"/>
    <w:multiLevelType w:val="hybridMultilevel"/>
    <w:lvl w:ilvl="0">
      <w:lvlJc w:val="left"/>
      <w:lvlText w:val="%1:"/>
      <w:numFmt w:val="upperLetter"/>
      <w:start w:val="1"/>
    </w:lvl>
  </w:abstractNum>
  <w:abstractNum w:abstractNumId="20">
    <w:nsid w:val="38437FDB"/>
    <w:multiLevelType w:val="hybridMultilevel"/>
    <w:lvl w:ilvl="0">
      <w:lvlJc w:val="left"/>
      <w:lvlText w:val="%1:"/>
      <w:numFmt w:val="upperLetter"/>
      <w:start w:val="1"/>
    </w:lvl>
  </w:abstractNum>
  <w:abstractNum w:abstractNumId="21">
    <w:nsid w:val="7644A45C"/>
    <w:multiLevelType w:val="hybridMultilevel"/>
    <w:lvl w:ilvl="0">
      <w:lvlJc w:val="left"/>
      <w:lvlText w:val="%1:"/>
      <w:numFmt w:val="upperLetter"/>
      <w:start w:val="1"/>
    </w:lvl>
  </w:abstractNum>
  <w:abstractNum w:abstractNumId="22">
    <w:nsid w:val="32FFF902"/>
    <w:multiLevelType w:val="hybridMultilevel"/>
    <w:lvl w:ilvl="0">
      <w:lvlJc w:val="left"/>
      <w:lvlText w:val="%1:"/>
      <w:numFmt w:val="upperLetter"/>
      <w:start w:val="1"/>
    </w:lvl>
  </w:abstractNum>
  <w:abstractNum w:abstractNumId="23">
    <w:nsid w:val="684A481A"/>
    <w:multiLevelType w:val="hybridMultilevel"/>
    <w:lvl w:ilvl="0">
      <w:lvlJc w:val="left"/>
      <w:lvlText w:val="%1:"/>
      <w:numFmt w:val="upperLetter"/>
      <w:start w:val="1"/>
    </w:lvl>
  </w:abstractNum>
  <w:abstractNum w:abstractNumId="24">
    <w:nsid w:val="579478FE"/>
    <w:multiLevelType w:val="hybridMultilevel"/>
    <w:lvl w:ilvl="0">
      <w:lvlJc w:val="left"/>
      <w:lvlText w:val="%1:"/>
      <w:numFmt w:val="upperLetter"/>
      <w:start w:val="1"/>
    </w:lvl>
  </w:abstractNum>
  <w:abstractNum w:abstractNumId="25">
    <w:nsid w:val="749ABB43"/>
    <w:multiLevelType w:val="hybridMultilevel"/>
    <w:lvl w:ilvl="0">
      <w:lvlJc w:val="left"/>
      <w:lvlText w:val="%1:"/>
      <w:numFmt w:val="upperLetter"/>
      <w:start w:val="17"/>
    </w:lvl>
  </w:abstractNum>
  <w:abstractNum w:abstractNumId="26">
    <w:nsid w:val="3DC240FB"/>
    <w:multiLevelType w:val="hybridMultilevel"/>
    <w:lvl w:ilvl="0">
      <w:lvlJc w:val="left"/>
      <w:lvlText w:val="%1:"/>
      <w:numFmt w:val="upperLetter"/>
      <w:start w:val="1"/>
    </w:lvl>
  </w:abstractNum>
  <w:abstractNum w:abstractNumId="27">
    <w:nsid w:val="1BA026FA"/>
    <w:multiLevelType w:val="hybridMultilevel"/>
    <w:lvl w:ilvl="0">
      <w:lvlJc w:val="left"/>
      <w:lvlText w:val="(%1)"/>
      <w:numFmt w:val="lowerRoman"/>
      <w:start w:val="1"/>
    </w:lvl>
  </w:abstractNum>
  <w:abstractNum w:abstractNumId="28">
    <w:nsid w:val="79A1DEAA"/>
    <w:multiLevelType w:val="hybridMultilevel"/>
    <w:lvl w:ilvl="0">
      <w:lvlJc w:val="left"/>
      <w:lvlText w:val="%1:"/>
      <w:numFmt w:val="upperLetter"/>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2"/>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lowerLetter"/>
      <w:start w:val="9"/>
    </w:lvl>
    <w:lvl w:ilvl="1">
      <w:lvlJc w:val="left"/>
      <w:lvlText w:val="(%2)"/>
      <w:numFmt w:val="lowerLetter"/>
      <w:start w:val="1"/>
    </w:lvl>
  </w:abstractNum>
  <w:abstractNum w:abstractNumId="57">
    <w:nsid w:val="1DBABF00"/>
    <w:multiLevelType w:val="hybridMultilevel"/>
    <w:lvl w:ilvl="0">
      <w:lvlJc w:val="left"/>
      <w:lvlText w:val="(%1)"/>
      <w:numFmt w:val="lowerLetter"/>
      <w:start w:val="35"/>
    </w:lvl>
    <w:lvl w:ilvl="1">
      <w:lvlJc w:val="left"/>
      <w:lvlText w:val="(%2)"/>
      <w:numFmt w:val="lowerLetter"/>
      <w:start w:val="1"/>
    </w:lvl>
  </w:abstractNum>
  <w:abstractNum w:abstractNumId="58">
    <w:nsid w:val="4AD084E9"/>
    <w:multiLevelType w:val="hybridMultilevel"/>
    <w:lvl w:ilvl="0">
      <w:lvlJc w:val="left"/>
      <w:lvlText w:val="(%1)"/>
      <w:numFmt w:val="lowerLetter"/>
      <w:start w:val="61"/>
    </w:lvl>
    <w:lvl w:ilvl="1">
      <w:lvlJc w:val="left"/>
      <w:lvlText w:val="(%2)"/>
      <w:numFmt w:val="lowerLetter"/>
      <w:start w:val="1"/>
    </w:lvl>
  </w:abstractNum>
  <w:abstractNum w:abstractNumId="59">
    <w:nsid w:val="1F48EAA1"/>
    <w:multiLevelType w:val="hybridMultilevel"/>
    <w:lvl w:ilvl="0">
      <w:lvlJc w:val="left"/>
      <w:lvlText w:val="(%1)"/>
      <w:numFmt w:val="lowerLetter"/>
      <w:start w:val="5"/>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3"/>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4"/>
    </w:lvl>
    <w:lvl w:ilvl="1">
      <w:lvlJc w:val="left"/>
      <w:lvlText w:val="(%2)"/>
      <w:numFmt w:val="lowerRoman"/>
      <w:start w:val="3"/>
    </w:lvl>
  </w:abstractNum>
  <w:abstractNum w:abstractNumId="71">
    <w:nsid w:val="1EBA5D23"/>
    <w:multiLevelType w:val="hybridMultilevel"/>
    <w:lvl w:ilvl="0">
      <w:lvlJc w:val="left"/>
      <w:lvlText w:val="%1"/>
      <w:numFmt w:val="decimal"/>
      <w:start w:val="1"/>
    </w:lvl>
    <w:lvl w:ilvl="1">
      <w:lvlJc w:val="left"/>
      <w:lvlText w:val="(%2)"/>
      <w:numFmt w:val="lowerRoman"/>
      <w:start w:val="1"/>
    </w:lvl>
  </w:abstractNum>
  <w:abstractNum w:abstractNumId="72">
    <w:nsid w:val="661E3F1E"/>
    <w:multiLevelType w:val="hybridMultilevel"/>
    <w:lvl w:ilvl="0">
      <w:lvlJc w:val="left"/>
      <w:lvlText w:val="(%1)"/>
      <w:numFmt w:val="decimal"/>
      <w:start w:val="8"/>
    </w:lvl>
    <w:lvl w:ilvl="1">
      <w:lvlJc w:val="left"/>
      <w:lvlText w:val="%2"/>
      <w:numFmt w:val="lowerRoman"/>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2021-04-28T15:45:19Z</dcterms:created>
  <dcterms:modified xsi:type="dcterms:W3CDTF">2021-04-28T15:45:19Z</dcterms:modified>
</cp:coreProperties>
</file>