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76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97"/>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0" w:type="dxa"/>
            <w:vAlign w:val="bottom"/>
          </w:tcPr>
          <w:p>
            <w:pPr>
              <w:ind w:left="300"/>
              <w:spacing w:after="0"/>
              <w:rPr>
                <w:sz w:val="20"/>
                <w:szCs w:val="20"/>
                <w:color w:val="auto"/>
              </w:rPr>
            </w:pPr>
            <w:r>
              <w:rPr>
                <w:rFonts w:ascii="Arial" w:cs="Arial" w:eastAsia="Arial" w:hAnsi="Arial"/>
                <w:sz w:val="18"/>
                <w:szCs w:val="18"/>
                <w:b w:val="1"/>
                <w:bCs w:val="1"/>
                <w:color w:val="auto"/>
                <w:w w:val="87"/>
              </w:rPr>
              <w:t>Commission file number: 001-34511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tbl>
      <w:tblPr>
        <w:tblLayout w:type="fixed"/>
        <w:tblInd w:w="1820" w:type="dxa"/>
        <w:tblCellMar>
          <w:top w:w="0" w:type="dxa"/>
          <w:left w:w="0" w:type="dxa"/>
          <w:bottom w:w="0" w:type="dxa"/>
          <w:right w:w="0" w:type="dxa"/>
        </w:tblCellMar>
      </w:tblPr>
      <w:tr>
        <w:trPr>
          <w:trHeight w:val="529"/>
        </w:trPr>
        <w:tc>
          <w:tcPr>
            <w:tcW w:w="6080" w:type="dxa"/>
            <w:vAlign w:val="bottom"/>
            <w:gridSpan w:val="3"/>
          </w:tcPr>
          <w:p>
            <w:pPr>
              <w:jc w:val="center"/>
              <w:ind w:left="1627"/>
              <w:spacing w:after="0"/>
              <w:rPr>
                <w:sz w:val="20"/>
                <w:szCs w:val="20"/>
                <w:color w:val="auto"/>
              </w:rPr>
            </w:pPr>
            <w:r>
              <w:rPr>
                <w:rFonts w:ascii="Arial" w:cs="Arial" w:eastAsia="Arial" w:hAnsi="Arial"/>
                <w:sz w:val="43"/>
                <w:szCs w:val="43"/>
                <w:b w:val="1"/>
                <w:bCs w:val="1"/>
                <w:color w:val="auto"/>
              </w:rPr>
              <w:t>FORTINET, INC.</w:t>
            </w:r>
          </w:p>
        </w:tc>
        <w:tc>
          <w:tcPr>
            <w:tcW w:w="1320" w:type="dxa"/>
            <w:vAlign w:val="bottom"/>
          </w:tcPr>
          <w:p>
            <w:pPr>
              <w:spacing w:after="0"/>
              <w:rPr>
                <w:sz w:val="24"/>
                <w:szCs w:val="24"/>
                <w:color w:val="auto"/>
              </w:rPr>
            </w:pPr>
          </w:p>
        </w:tc>
      </w:tr>
      <w:tr>
        <w:trPr>
          <w:trHeight w:val="228"/>
        </w:trPr>
        <w:tc>
          <w:tcPr>
            <w:tcW w:w="6080" w:type="dxa"/>
            <w:vAlign w:val="bottom"/>
            <w:gridSpan w:val="3"/>
          </w:tcPr>
          <w:p>
            <w:pPr>
              <w:jc w:val="center"/>
              <w:ind w:left="1627"/>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c>
          <w:tcPr>
            <w:tcW w:w="1320" w:type="dxa"/>
            <w:vAlign w:val="bottom"/>
          </w:tcPr>
          <w:p>
            <w:pPr>
              <w:spacing w:after="0"/>
              <w:rPr>
                <w:sz w:val="19"/>
                <w:szCs w:val="19"/>
                <w:color w:val="auto"/>
              </w:rPr>
            </w:pPr>
          </w:p>
        </w:tc>
      </w:tr>
      <w:tr>
        <w:trPr>
          <w:trHeight w:val="178"/>
        </w:trPr>
        <w:tc>
          <w:tcPr>
            <w:tcW w:w="270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05"/>
        </w:trPr>
        <w:tc>
          <w:tcPr>
            <w:tcW w:w="6080" w:type="dxa"/>
            <w:vAlign w:val="bottom"/>
            <w:gridSpan w:val="3"/>
          </w:tcPr>
          <w:p>
            <w:pPr>
              <w:jc w:val="center"/>
              <w:ind w:right="3980"/>
              <w:spacing w:after="0"/>
              <w:rPr>
                <w:sz w:val="20"/>
                <w:szCs w:val="20"/>
                <w:color w:val="auto"/>
              </w:rPr>
            </w:pPr>
            <w:r>
              <w:rPr>
                <w:rFonts w:ascii="Arial" w:cs="Arial" w:eastAsia="Arial" w:hAnsi="Arial"/>
                <w:sz w:val="18"/>
                <w:szCs w:val="18"/>
                <w:b w:val="1"/>
                <w:bCs w:val="1"/>
                <w:color w:val="auto"/>
                <w:w w:val="88"/>
              </w:rPr>
              <w:t>Delaware</w:t>
            </w:r>
          </w:p>
        </w:tc>
        <w:tc>
          <w:tcPr>
            <w:tcW w:w="1320" w:type="dxa"/>
            <w:vAlign w:val="bottom"/>
          </w:tcPr>
          <w:p>
            <w:pPr>
              <w:jc w:val="right"/>
              <w:ind w:right="44"/>
              <w:spacing w:after="0"/>
              <w:rPr>
                <w:sz w:val="20"/>
                <w:szCs w:val="20"/>
                <w:color w:val="auto"/>
              </w:rPr>
            </w:pPr>
            <w:r>
              <w:rPr>
                <w:rFonts w:ascii="Arial" w:cs="Arial" w:eastAsia="Arial" w:hAnsi="Arial"/>
                <w:sz w:val="18"/>
                <w:szCs w:val="18"/>
                <w:b w:val="1"/>
                <w:bCs w:val="1"/>
                <w:color w:val="auto"/>
              </w:rPr>
              <w:t>77-0560389</w:t>
            </w:r>
          </w:p>
        </w:tc>
      </w:tr>
      <w:tr>
        <w:trPr>
          <w:trHeight w:val="149"/>
        </w:trPr>
        <w:tc>
          <w:tcPr>
            <w:tcW w:w="6080" w:type="dxa"/>
            <w:vAlign w:val="bottom"/>
            <w:gridSpan w:val="3"/>
          </w:tcPr>
          <w:p>
            <w:pPr>
              <w:jc w:val="center"/>
              <w:ind w:right="40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2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080" w:type="dxa"/>
            <w:vAlign w:val="bottom"/>
            <w:gridSpan w:val="3"/>
          </w:tcPr>
          <w:p>
            <w:pPr>
              <w:jc w:val="center"/>
              <w:ind w:right="4000"/>
              <w:spacing w:after="0"/>
              <w:rPr>
                <w:sz w:val="20"/>
                <w:szCs w:val="20"/>
                <w:color w:val="auto"/>
              </w:rPr>
            </w:pPr>
            <w:r>
              <w:rPr>
                <w:rFonts w:ascii="Arial" w:cs="Arial" w:eastAsia="Arial" w:hAnsi="Arial"/>
                <w:sz w:val="14"/>
                <w:szCs w:val="14"/>
                <w:b w:val="1"/>
                <w:bCs w:val="1"/>
                <w:color w:val="auto"/>
                <w:w w:val="88"/>
              </w:rPr>
              <w:t>incorporation or organization)</w:t>
            </w:r>
          </w:p>
        </w:tc>
        <w:tc>
          <w:tcPr>
            <w:tcW w:w="1320" w:type="dxa"/>
            <w:vAlign w:val="bottom"/>
          </w:tcPr>
          <w:p>
            <w:pPr>
              <w:jc w:val="center"/>
              <w:ind w:left="1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6080" w:type="dxa"/>
            <w:vAlign w:val="bottom"/>
            <w:gridSpan w:val="3"/>
          </w:tcPr>
          <w:p>
            <w:pPr>
              <w:jc w:val="center"/>
              <w:ind w:right="4000"/>
              <w:spacing w:after="0"/>
              <w:rPr>
                <w:sz w:val="20"/>
                <w:szCs w:val="20"/>
                <w:color w:val="auto"/>
              </w:rPr>
            </w:pPr>
            <w:r>
              <w:rPr>
                <w:rFonts w:ascii="Arial" w:cs="Arial" w:eastAsia="Arial" w:hAnsi="Arial"/>
                <w:sz w:val="18"/>
                <w:szCs w:val="18"/>
                <w:b w:val="1"/>
                <w:bCs w:val="1"/>
                <w:color w:val="auto"/>
                <w:w w:val="91"/>
              </w:rPr>
              <w:t>1090 Kifer Road</w:t>
            </w:r>
          </w:p>
        </w:tc>
        <w:tc>
          <w:tcPr>
            <w:tcW w:w="1320" w:type="dxa"/>
            <w:vAlign w:val="bottom"/>
          </w:tcPr>
          <w:p>
            <w:pPr>
              <w:spacing w:after="0"/>
              <w:rPr>
                <w:sz w:val="24"/>
                <w:szCs w:val="24"/>
                <w:color w:val="auto"/>
              </w:rPr>
            </w:pPr>
          </w:p>
        </w:tc>
      </w:tr>
      <w:tr>
        <w:trPr>
          <w:trHeight w:val="231"/>
        </w:trPr>
        <w:tc>
          <w:tcPr>
            <w:tcW w:w="6080" w:type="dxa"/>
            <w:vAlign w:val="bottom"/>
            <w:gridSpan w:val="3"/>
          </w:tcPr>
          <w:p>
            <w:pPr>
              <w:jc w:val="center"/>
              <w:ind w:right="4000"/>
              <w:spacing w:after="0"/>
              <w:rPr>
                <w:sz w:val="20"/>
                <w:szCs w:val="20"/>
                <w:color w:val="auto"/>
              </w:rPr>
            </w:pPr>
            <w:r>
              <w:rPr>
                <w:rFonts w:ascii="Arial" w:cs="Arial" w:eastAsia="Arial" w:hAnsi="Arial"/>
                <w:sz w:val="18"/>
                <w:szCs w:val="18"/>
                <w:b w:val="1"/>
                <w:bCs w:val="1"/>
                <w:color w:val="auto"/>
                <w:w w:val="89"/>
              </w:rPr>
              <w:t>Sunnyvale, California</w:t>
            </w:r>
          </w:p>
        </w:tc>
        <w:tc>
          <w:tcPr>
            <w:tcW w:w="1320" w:type="dxa"/>
            <w:vAlign w:val="bottom"/>
          </w:tcPr>
          <w:p>
            <w:pPr>
              <w:jc w:val="right"/>
              <w:ind w:right="244"/>
              <w:spacing w:after="0"/>
              <w:rPr>
                <w:sz w:val="20"/>
                <w:szCs w:val="20"/>
                <w:color w:val="auto"/>
              </w:rPr>
            </w:pPr>
            <w:r>
              <w:rPr>
                <w:rFonts w:ascii="Arial" w:cs="Arial" w:eastAsia="Arial" w:hAnsi="Arial"/>
                <w:sz w:val="18"/>
                <w:szCs w:val="18"/>
                <w:b w:val="1"/>
                <w:bCs w:val="1"/>
                <w:color w:val="auto"/>
              </w:rPr>
              <w:t>94086</w:t>
            </w:r>
          </w:p>
        </w:tc>
      </w:tr>
      <w:tr>
        <w:trPr>
          <w:trHeight w:val="174"/>
        </w:trPr>
        <w:tc>
          <w:tcPr>
            <w:tcW w:w="6080" w:type="dxa"/>
            <w:vAlign w:val="bottom"/>
            <w:gridSpan w:val="3"/>
          </w:tcPr>
          <w:p>
            <w:pPr>
              <w:jc w:val="center"/>
              <w:ind w:right="4000"/>
              <w:spacing w:after="0"/>
              <w:rPr>
                <w:sz w:val="20"/>
                <w:szCs w:val="20"/>
                <w:color w:val="auto"/>
              </w:rPr>
            </w:pPr>
            <w:r>
              <w:rPr>
                <w:rFonts w:ascii="Arial" w:cs="Arial" w:eastAsia="Arial" w:hAnsi="Arial"/>
                <w:sz w:val="14"/>
                <w:szCs w:val="14"/>
                <w:b w:val="1"/>
                <w:bCs w:val="1"/>
                <w:color w:val="auto"/>
                <w:w w:val="85"/>
              </w:rPr>
              <w:t>(Address principal executive offices)</w:t>
            </w:r>
          </w:p>
        </w:tc>
        <w:tc>
          <w:tcPr>
            <w:tcW w:w="1320" w:type="dxa"/>
            <w:vAlign w:val="bottom"/>
          </w:tcPr>
          <w:p>
            <w:pPr>
              <w:jc w:val="center"/>
              <w:ind w:left="1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5080" w:type="dxa"/>
            <w:vAlign w:val="bottom"/>
            <w:gridSpan w:val="2"/>
          </w:tcPr>
          <w:p>
            <w:pPr>
              <w:jc w:val="center"/>
              <w:ind w:left="2607"/>
              <w:spacing w:after="0"/>
              <w:rPr>
                <w:sz w:val="20"/>
                <w:szCs w:val="20"/>
                <w:color w:val="auto"/>
              </w:rPr>
            </w:pPr>
            <w:r>
              <w:rPr>
                <w:rFonts w:ascii="Arial" w:cs="Arial" w:eastAsia="Arial" w:hAnsi="Arial"/>
                <w:sz w:val="18"/>
                <w:szCs w:val="18"/>
                <w:b w:val="1"/>
                <w:bCs w:val="1"/>
                <w:color w:val="auto"/>
                <w:w w:val="89"/>
              </w:rPr>
              <w:t>(408) 235-7700</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4"/>
        </w:trPr>
        <w:tc>
          <w:tcPr>
            <w:tcW w:w="6080" w:type="dxa"/>
            <w:vAlign w:val="bottom"/>
            <w:gridSpan w:val="3"/>
          </w:tcPr>
          <w:p>
            <w:pPr>
              <w:jc w:val="center"/>
              <w:ind w:left="1607"/>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3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7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00" w:type="dxa"/>
            <w:vAlign w:val="bottom"/>
          </w:tcPr>
          <w:p>
            <w:pPr>
              <w:ind w:left="3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5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As of July 30, 2010, there were 71,351,749 shares of the registrant’s common stock outstanding.</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4"/>
        </w:trPr>
        <w:tc>
          <w:tcPr>
            <w:tcW w:w="1760" w:type="dxa"/>
            <w:vAlign w:val="bottom"/>
            <w:tcBorders>
              <w:bottom w:val="single" w:sz="8" w:color="auto"/>
            </w:tcBorders>
          </w:tcPr>
          <w:p>
            <w:pPr>
              <w:spacing w:after="0"/>
              <w:rPr>
                <w:sz w:val="14"/>
                <w:szCs w:val="14"/>
                <w:color w:val="auto"/>
              </w:rPr>
            </w:pPr>
          </w:p>
        </w:tc>
        <w:tc>
          <w:tcPr>
            <w:tcW w:w="67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gridSpan w:val="4"/>
            <w:vMerge w:val="restart"/>
          </w:tcPr>
          <w:p>
            <w:pPr>
              <w:jc w:val="center"/>
              <w:ind w:right="5460"/>
              <w:spacing w:after="0"/>
              <w:rPr>
                <w:rFonts w:ascii="Arial" w:cs="Arial" w:eastAsia="Arial" w:hAnsi="Arial"/>
                <w:sz w:val="18"/>
                <w:szCs w:val="18"/>
                <w:b w:val="1"/>
                <w:bCs w:val="1"/>
                <w:color w:val="0000EE"/>
                <w:w w:val="97"/>
              </w:rPr>
            </w:pPr>
            <w:hyperlink w:anchor="page3">
              <w:r>
                <w:rPr>
                  <w:rFonts w:ascii="Arial" w:cs="Arial" w:eastAsia="Arial" w:hAnsi="Arial"/>
                  <w:sz w:val="18"/>
                  <w:szCs w:val="18"/>
                  <w:b w:val="1"/>
                  <w:bCs w:val="1"/>
                  <w:color w:val="0000EE"/>
                  <w:w w:val="97"/>
                </w:rPr>
                <w:t>Part I</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2880" w:type="dxa"/>
            <w:vAlign w:val="bottom"/>
            <w:gridSpan w:val="5"/>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260" w:type="dxa"/>
            <w:vAlign w:val="bottom"/>
            <w:gridSpan w:val="1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39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606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40" w:type="dxa"/>
            <w:vAlign w:val="bottom"/>
            <w:gridSpan w:val="5"/>
          </w:tcPr>
          <w:p>
            <w:pPr>
              <w:jc w:val="center"/>
              <w:ind w:right="5420"/>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4320" w:type="dxa"/>
            <w:vAlign w:val="bottom"/>
            <w:gridSpan w:val="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520" w:type="dxa"/>
            <w:vAlign w:val="bottom"/>
            <w:tcBorders>
              <w:top w:val="single" w:sz="8" w:color="0000EE"/>
            </w:tcBorders>
            <w:gridSpan w:val="3"/>
          </w:tcPr>
          <w:p>
            <w:pPr>
              <w:spacing w:after="0"/>
              <w:rPr>
                <w:sz w:val="24"/>
                <w:szCs w:val="24"/>
                <w:color w:val="auto"/>
              </w:rPr>
            </w:pPr>
          </w:p>
        </w:tc>
        <w:tc>
          <w:tcPr>
            <w:tcW w:w="54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89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260" w:type="dxa"/>
            <w:vAlign w:val="bottom"/>
            <w:gridSpan w:val="14"/>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Exhibits</w:t>
              </w:r>
            </w:hyperlink>
          </w:p>
        </w:tc>
        <w:tc>
          <w:tcPr>
            <w:tcW w:w="3640" w:type="dxa"/>
            <w:vAlign w:val="bottom"/>
            <w:tcBorders>
              <w:top w:val="single" w:sz="8" w:color="0000EE"/>
            </w:tcBorders>
            <w:gridSpan w:val="7"/>
          </w:tcPr>
          <w:p>
            <w:pPr>
              <w:spacing w:after="0"/>
              <w:rPr>
                <w:sz w:val="17"/>
                <w:szCs w:val="17"/>
                <w:color w:val="auto"/>
              </w:rPr>
            </w:pPr>
          </w:p>
        </w:tc>
        <w:tc>
          <w:tcPr>
            <w:tcW w:w="60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260" w:type="dxa"/>
            <w:vAlign w:val="bottom"/>
            <w:gridSpan w:val="1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320" w:type="dxa"/>
            <w:vAlign w:val="bottom"/>
          </w:tcPr>
          <w:p>
            <w:pPr>
              <w:jc w:val="center"/>
              <w:ind w:left="1712"/>
              <w:spacing w:after="0"/>
              <w:rPr>
                <w:sz w:val="20"/>
                <w:szCs w:val="20"/>
                <w:color w:val="auto"/>
              </w:rPr>
            </w:pPr>
            <w:r>
              <w:rPr>
                <w:rFonts w:ascii="Arial" w:cs="Arial" w:eastAsia="Arial" w:hAnsi="Arial"/>
                <w:sz w:val="18"/>
                <w:szCs w:val="18"/>
                <w:b w:val="1"/>
                <w:bCs w:val="1"/>
                <w:color w:val="auto"/>
                <w:w w:val="97"/>
              </w:rPr>
              <w:t>Part I</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32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320" w:type="dxa"/>
            <w:vAlign w:val="bottom"/>
          </w:tcPr>
          <w:p>
            <w:pPr>
              <w:jc w:val="center"/>
              <w:ind w:left="1692"/>
              <w:spacing w:after="0"/>
              <w:rPr>
                <w:sz w:val="20"/>
                <w:szCs w:val="20"/>
                <w:color w:val="auto"/>
              </w:rPr>
            </w:pPr>
            <w:r>
              <w:rPr>
                <w:rFonts w:ascii="Arial" w:cs="Arial" w:eastAsia="Arial" w:hAnsi="Arial"/>
                <w:sz w:val="18"/>
                <w:szCs w:val="18"/>
                <w:b w:val="1"/>
                <w:bCs w:val="1"/>
                <w:color w:val="auto"/>
                <w:w w:val="97"/>
              </w:rPr>
              <w:t>FORTINET, INC. AND SUBSIDIARIES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320" w:type="dxa"/>
            <w:vAlign w:val="bottom"/>
          </w:tcPr>
          <w:p>
            <w:pPr>
              <w:jc w:val="center"/>
              <w:ind w:left="169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320" w:type="dxa"/>
            <w:vAlign w:val="bottom"/>
          </w:tcPr>
          <w:p>
            <w:pPr>
              <w:jc w:val="center"/>
              <w:ind w:left="1692"/>
              <w:spacing w:after="0"/>
              <w:rPr>
                <w:sz w:val="20"/>
                <w:szCs w:val="20"/>
                <w:color w:val="auto"/>
              </w:rPr>
            </w:pPr>
            <w:r>
              <w:rPr>
                <w:rFonts w:ascii="Arial" w:cs="Arial" w:eastAsia="Arial" w:hAnsi="Arial"/>
                <w:sz w:val="18"/>
                <w:szCs w:val="18"/>
                <w:b w:val="1"/>
                <w:bCs w:val="1"/>
                <w:color w:val="auto"/>
                <w:w w:val="85"/>
              </w:rPr>
              <w:t>(in thousands, except per share amounts)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24"/>
                <w:szCs w:val="2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116,435</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135,912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47,856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Accounts receivable, net of allowance for doubtful accounts of $303 and $367 at June 30, 2010 and December 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2009, respectively</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59,806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cost of revenues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32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345,407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342,217</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960" w:type="dxa"/>
            <w:vAlign w:val="bottom"/>
            <w:gridSpan w:val="2"/>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DEFERRED COST OF REVENUES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ASSET—Non-current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56,613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447,597</w:t>
            </w:r>
          </w:p>
        </w:tc>
        <w:tc>
          <w:tcPr>
            <w:tcW w:w="240" w:type="dxa"/>
            <w:vAlign w:val="bottom"/>
          </w:tcPr>
          <w:p>
            <w:pPr>
              <w:spacing w:after="0"/>
              <w:rPr>
                <w:sz w:val="19"/>
                <w:szCs w:val="19"/>
                <w:color w:val="auto"/>
              </w:rPr>
            </w:pPr>
          </w:p>
        </w:tc>
        <w:tc>
          <w:tcPr>
            <w:tcW w:w="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387,213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8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12,639</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payroll and compensation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154,271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180,565</w:t>
            </w:r>
          </w:p>
        </w:tc>
        <w:tc>
          <w:tcPr>
            <w:tcW w:w="0" w:type="dxa"/>
            <w:vAlign w:val="bottom"/>
          </w:tcPr>
          <w:p>
            <w:pPr>
              <w:spacing w:after="0"/>
              <w:rPr>
                <w:sz w:val="1"/>
                <w:szCs w:val="1"/>
                <w:color w:val="auto"/>
              </w:rPr>
            </w:pPr>
          </w:p>
        </w:tc>
      </w:tr>
      <w:tr>
        <w:trPr>
          <w:trHeight w:val="322"/>
        </w:trPr>
        <w:tc>
          <w:tcPr>
            <w:tcW w:w="8980" w:type="dxa"/>
            <w:vAlign w:val="bottom"/>
            <w:gridSpan w:val="3"/>
          </w:tcPr>
          <w:p>
            <w:pPr>
              <w:spacing w:after="0"/>
              <w:rPr>
                <w:sz w:val="20"/>
                <w:szCs w:val="20"/>
                <w:color w:val="auto"/>
              </w:rPr>
            </w:pPr>
            <w:r>
              <w:rPr>
                <w:rFonts w:ascii="Arial" w:cs="Arial" w:eastAsia="Arial" w:hAnsi="Arial"/>
                <w:sz w:val="18"/>
                <w:szCs w:val="18"/>
                <w:color w:val="auto"/>
              </w:rPr>
              <w:t>DEFERRED REVENUE—Non-current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71,250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61,393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32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271,243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244,761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4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9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8"/>
              </w:rPr>
              <w:t>Common stock, $0.001 par value - 300,000 shares authorized; 71,171 and 67,517 shares issued and 70,466 and 66,813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June 30, 2010 and December 31, 2009, respectively</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227,587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(48,885)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320" w:type="dxa"/>
            <w:vAlign w:val="bottom"/>
          </w:tcPr>
          <w:p>
            <w:pPr>
              <w:ind w:left="22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176,354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142,452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447,597</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4"/>
                <w:szCs w:val="14"/>
                <w:color w:val="auto"/>
              </w:rPr>
            </w:pPr>
          </w:p>
        </w:tc>
        <w:tc>
          <w:tcPr>
            <w:tcW w:w="18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5"/>
              </w:rPr>
              <w:t>June 28,</w:t>
            </w: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5"/>
              </w:rPr>
              <w:t>June 30,</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9"/>
              </w:rPr>
              <w:t>June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Product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31,037</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24,451</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58,147</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Ratable product and services</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146,126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115,539</w:t>
            </w:r>
          </w:p>
        </w:tc>
        <w:tc>
          <w:tcPr>
            <w:tcW w:w="0" w:type="dxa"/>
            <w:vAlign w:val="bottom"/>
          </w:tcPr>
          <w:p>
            <w:pPr>
              <w:spacing w:after="0"/>
              <w:rPr>
                <w:sz w:val="1"/>
                <w:szCs w:val="1"/>
                <w:color w:val="auto"/>
              </w:rPr>
            </w:pPr>
          </w:p>
        </w:tc>
      </w:tr>
      <w:tr>
        <w:trPr>
          <w:trHeight w:val="222"/>
        </w:trPr>
        <w:tc>
          <w:tcPr>
            <w:tcW w:w="73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11,822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Services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5,357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Ratable product and services</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860"/>
              <w:spacing w:after="0"/>
              <w:rPr>
                <w:sz w:val="20"/>
                <w:szCs w:val="20"/>
                <w:color w:val="auto"/>
              </w:rPr>
            </w:pPr>
            <w:r>
              <w:rPr>
                <w:rFonts w:ascii="Arial" w:cs="Arial" w:eastAsia="Arial" w:hAnsi="Arial"/>
                <w:sz w:val="18"/>
                <w:szCs w:val="18"/>
                <w:color w:val="auto"/>
              </w:rPr>
              <w:t>Total cost of revenue</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20,165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16,979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39,540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Product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19,215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14,135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28,116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Ratable product and services</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gross profit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106,586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83,906</w:t>
            </w:r>
          </w:p>
        </w:tc>
        <w:tc>
          <w:tcPr>
            <w:tcW w:w="0" w:type="dxa"/>
            <w:vAlign w:val="bottom"/>
          </w:tcPr>
          <w:p>
            <w:pPr>
              <w:spacing w:after="0"/>
              <w:rPr>
                <w:sz w:val="1"/>
                <w:szCs w:val="1"/>
                <w:color w:val="auto"/>
              </w:rPr>
            </w:pPr>
          </w:p>
        </w:tc>
      </w:tr>
      <w:tr>
        <w:trPr>
          <w:trHeight w:val="222"/>
        </w:trPr>
        <w:tc>
          <w:tcPr>
            <w:tcW w:w="73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27,777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24,341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54,500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46,386</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39,391</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90,102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8,204</w:t>
            </w:r>
          </w:p>
        </w:tc>
        <w:tc>
          <w:tcPr>
            <w:tcW w:w="0" w:type="dxa"/>
            <w:vAlign w:val="bottom"/>
          </w:tcPr>
          <w:p>
            <w:pPr>
              <w:spacing w:after="0"/>
              <w:rPr>
                <w:sz w:val="1"/>
                <w:szCs w:val="1"/>
                <w:color w:val="auto"/>
              </w:rPr>
            </w:pPr>
          </w:p>
        </w:tc>
      </w:tr>
      <w:tr>
        <w:trPr>
          <w:trHeight w:val="322"/>
        </w:trPr>
        <w:tc>
          <w:tcPr>
            <w:tcW w:w="73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535</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(EXPENSE)—Net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1"/>
        </w:trPr>
        <w:tc>
          <w:tcPr>
            <w:tcW w:w="73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10,266</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5,228</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6,869</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4,576</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11,087</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attributable to common stockholders (Note 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0.10</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0.16</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68,495</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20,574</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75,637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64,032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75,433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53"/>
              <w:spacing w:after="0" w:line="129" w:lineRule="exact"/>
              <w:rPr>
                <w:sz w:val="20"/>
                <w:szCs w:val="20"/>
                <w:color w:val="auto"/>
              </w:rPr>
            </w:pPr>
            <w:r>
              <w:rPr>
                <w:rFonts w:ascii="Arial" w:cs="Arial" w:eastAsia="Arial" w:hAnsi="Arial"/>
                <w:sz w:val="14"/>
                <w:szCs w:val="14"/>
                <w:b w:val="1"/>
                <w:bCs w:val="1"/>
                <w:color w:val="auto"/>
                <w:w w:val="89"/>
              </w:rPr>
              <w:t>June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11,087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2,842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Write-off of intangible assets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Amortization of investment premiums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Excess tax benefit from employee stock option plans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(3,652)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280"/>
              <w:spacing w:after="0"/>
              <w:rPr>
                <w:sz w:val="20"/>
                <w:szCs w:val="20"/>
                <w:color w:val="auto"/>
              </w:rPr>
            </w:pPr>
            <w:r>
              <w:rPr>
                <w:rFonts w:ascii="Arial" w:cs="Arial" w:eastAsia="Arial" w:hAnsi="Arial"/>
                <w:sz w:val="18"/>
                <w:szCs w:val="18"/>
                <w:color w:val="auto"/>
              </w:rPr>
              <w:t>Accounts receivable—net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(5,255)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280"/>
              <w:spacing w:after="0"/>
              <w:rPr>
                <w:sz w:val="20"/>
                <w:szCs w:val="20"/>
                <w:color w:val="auto"/>
              </w:rPr>
            </w:pPr>
            <w:r>
              <w:rPr>
                <w:rFonts w:ascii="Arial" w:cs="Arial" w:eastAsia="Arial" w:hAnsi="Arial"/>
                <w:sz w:val="18"/>
                <w:szCs w:val="18"/>
                <w:color w:val="auto"/>
              </w:rPr>
              <w:t>Deferred tax assets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280"/>
              <w:spacing w:after="0"/>
              <w:rPr>
                <w:sz w:val="20"/>
                <w:szCs w:val="20"/>
                <w:color w:val="auto"/>
              </w:rPr>
            </w:pPr>
            <w:r>
              <w:rPr>
                <w:rFonts w:ascii="Arial" w:cs="Arial" w:eastAsia="Arial" w:hAnsi="Arial"/>
                <w:sz w:val="18"/>
                <w:szCs w:val="18"/>
                <w:color w:val="auto"/>
              </w:rPr>
              <w:t>Deferred cost of revenues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assets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2,352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liabilities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280"/>
              <w:spacing w:after="0"/>
              <w:rPr>
                <w:sz w:val="20"/>
                <w:szCs w:val="20"/>
                <w:color w:val="auto"/>
              </w:rPr>
            </w:pPr>
            <w:r>
              <w:rPr>
                <w:rFonts w:ascii="Arial" w:cs="Arial" w:eastAsia="Arial" w:hAnsi="Arial"/>
                <w:sz w:val="18"/>
                <w:szCs w:val="18"/>
                <w:color w:val="auto"/>
              </w:rPr>
              <w:t>Accrued payroll and compensation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2,686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revenue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280"/>
              <w:spacing w:after="0"/>
              <w:rPr>
                <w:sz w:val="20"/>
                <w:szCs w:val="20"/>
                <w:color w:val="auto"/>
              </w:rPr>
            </w:pPr>
            <w:r>
              <w:rPr>
                <w:rFonts w:ascii="Arial" w:cs="Arial" w:eastAsia="Arial" w:hAnsi="Arial"/>
                <w:sz w:val="18"/>
                <w:szCs w:val="18"/>
                <w:color w:val="auto"/>
              </w:rPr>
              <w:t>Income taxes payable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3,533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29,893</w:t>
            </w:r>
          </w:p>
        </w:tc>
        <w:tc>
          <w:tcPr>
            <w:tcW w:w="0" w:type="dxa"/>
            <w:vAlign w:val="bottom"/>
          </w:tcPr>
          <w:p>
            <w:pPr>
              <w:spacing w:after="0"/>
              <w:rPr>
                <w:sz w:val="1"/>
                <w:szCs w:val="1"/>
                <w:color w:val="auto"/>
              </w:rPr>
            </w:pPr>
          </w:p>
        </w:tc>
      </w:tr>
      <w:tr>
        <w:trPr>
          <w:trHeight w:val="222"/>
        </w:trPr>
        <w:tc>
          <w:tcPr>
            <w:tcW w:w="77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investments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(191,806)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Maturities and sales of investments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44,176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vMerge w:val="restart"/>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(149,859)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 and warrants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12,541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 costs paid in connection with Initial Public Offering</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Repurchase of convertible preferred shares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shares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Excess tax benefit from employee stock option plans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3,652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(14,767)</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(1,251)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(96,023)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323"/>
        </w:trPr>
        <w:tc>
          <w:tcPr>
            <w:tcW w:w="7700" w:type="dxa"/>
            <w:vAlign w:val="bottom"/>
            <w:gridSpan w:val="2"/>
          </w:tcPr>
          <w:p>
            <w:pPr>
              <w:spacing w:after="0"/>
              <w:rPr>
                <w:sz w:val="20"/>
                <w:szCs w:val="20"/>
                <w:color w:val="auto"/>
              </w:rPr>
            </w:pPr>
            <w:r>
              <w:rPr>
                <w:rFonts w:ascii="Arial" w:cs="Arial" w:eastAsia="Arial" w:hAnsi="Arial"/>
                <w:sz w:val="18"/>
                <w:szCs w:val="18"/>
                <w:color w:val="auto"/>
              </w:rPr>
              <w:t>CASH AND CASH EQUIVALENTS—Beginning of period</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212,458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56,571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EQUIVALENTS—End of period</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116,435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51,819</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income taxes</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property and equipment not yet paid</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90"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—Fortinet, Inc. (“Fortinet”) was incorporated in Delaware in November 2000 and is a leading provider of network security appliances and</w:t>
      </w:r>
      <w:r>
        <w:rPr>
          <w:rFonts w:ascii="Arial" w:cs="Arial" w:eastAsia="Arial" w:hAnsi="Arial"/>
          <w:sz w:val="18"/>
          <w:szCs w:val="18"/>
          <w:b w:val="1"/>
          <w:bCs w:val="1"/>
          <w:color w:val="auto"/>
        </w:rPr>
        <w:t xml:space="preserve"> </w:t>
      </w:r>
      <w:r>
        <w:rPr>
          <w:rFonts w:ascii="Arial" w:cs="Arial" w:eastAsia="Arial" w:hAnsi="Arial"/>
          <w:sz w:val="18"/>
          <w:szCs w:val="18"/>
          <w:color w:val="auto"/>
        </w:rPr>
        <w:t>Unified Threat Management (UTM) network security solutions to enterprises, service providers and government entities worldwide. Fortinet’s solutions are designed to integrate multiple levels of security protection, including firewall, virtual private networking, antivirus, intrusion prevention, web filtering, antispam and WAN acceleration.</w:t>
      </w:r>
    </w:p>
    <w:p>
      <w:pPr>
        <w:spacing w:after="0" w:line="13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Basis of Presentation and Preparation</w:t>
      </w:r>
      <w:r>
        <w:rPr>
          <w:rFonts w:ascii="Arial" w:cs="Arial" w:eastAsia="Arial" w:hAnsi="Arial"/>
          <w:sz w:val="16"/>
          <w:szCs w:val="16"/>
          <w:color w:val="auto"/>
        </w:rPr>
        <w:t>—The condensed consolidated financial statements include the accounts of Fortinet and its wholly owned</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(collectively, the “Company,” “we,” “us,” or “our”). All intercompany transactions and balances have been eliminated in consolidation. The accompanying condensed consolidated balance sheet as of June 30, 2010, the condensed consolidated statements of operations for the three and six months ended June 30, 2010 and June 28, 2009, and the condensed consolidated statements of cash flows for the six months ended June 30, 2010 and June 28, 2009 are unaudited. The condensed consolidated balance sheet data as of December 31, 2009 was derived from the audited consolidated financial statements which are included in our Annual Report on Form 10-K (“Form 10-K”). The accompanying statements should be read in conjunction with the audited consolidated financial statements and related notes contained in our Form 10-K.</w:t>
      </w:r>
    </w:p>
    <w:p>
      <w:pPr>
        <w:spacing w:after="0" w:line="11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unaudited interim condensed consolidated financial statements for the three and six months ended June 30, 2010 and June 28, 2009 have been prepared on the same basis as the audited consolidated statements and reflect all adjustments, consisting of normal recurring adjustments which are, in the opinion of management, necessary for a fair presentation of our financial position, results of operations, and cash flows for the interim period presented. The statements have been prepared in accordance with accounting principles generally accepted in the United States of America (“U.S. GAAP” or “GAAP”) pursuant to the rules and regulations of the Securities and Exchange Commission (“SEC”). Accordingly, certain information and footnote disclosures normally included in financial statements prepared in accordance with U.S. GAAP have been condensed or omitted pursuant to such rules and regulations. The results of operations for the three and six months ended June 30, 2010 are not necessarily indicative of the operating results for any subsequent quarter, for the full fiscal year or any future periods.</w:t>
      </w:r>
    </w:p>
    <w:p>
      <w:pPr>
        <w:spacing w:after="0" w:line="11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Until the second quarter of fiscal 2009, we had a 52- to 53-week year ending on the Sunday closest to December 31 of each year. Commencing in the third quarter of fiscal 2009, we began operating and reporting financial results on a calendar quarter and year basis. Our second quarter of fiscal 2009 ended on</w:t>
      </w:r>
    </w:p>
    <w:p>
      <w:pPr>
        <w:ind w:right="40"/>
        <w:spacing w:after="0" w:line="261" w:lineRule="auto"/>
        <w:rPr>
          <w:sz w:val="20"/>
          <w:szCs w:val="20"/>
          <w:color w:val="auto"/>
        </w:rPr>
      </w:pPr>
      <w:r>
        <w:rPr>
          <w:rFonts w:ascii="Arial" w:cs="Arial" w:eastAsia="Arial" w:hAnsi="Arial"/>
          <w:sz w:val="18"/>
          <w:szCs w:val="18"/>
          <w:color w:val="auto"/>
        </w:rPr>
        <w:t>June 28, 2009. The second quarters of 2010 and 2009 were both comprised of 91 days. The six months ended June 30, 2010 and June 28, 2009 were comprised of 181 days and 182 days, respectively.</w:t>
      </w:r>
    </w:p>
    <w:p>
      <w:pPr>
        <w:spacing w:after="0" w:line="13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condensed consolidated financial statements in conformity with U.S. GAAP requires management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and assumptions that affect the reported amounts of assets and liabilities at the date of the condensed consolidated financial statements and the reported amounts of revenues and expenses during the reporting period. Such management estimates include implicit service periods for revenue recognition, litigation and settlement costs and other loss contingencies, sales returns and allowances, reserve for bad debt, inventory write-offs, reserve for warranty costs, valuation of deferred tax assets, and tangible and intangible assets. We base our estimates on historical experience and also on assumptions that we believe are reasonable. Actual results could differ from those estimates.</w:t>
      </w:r>
    </w:p>
    <w:p>
      <w:pPr>
        <w:spacing w:after="0" w:line="111" w:lineRule="exact"/>
        <w:rPr>
          <w:sz w:val="20"/>
          <w:szCs w:val="20"/>
          <w:color w:val="auto"/>
        </w:rPr>
      </w:pPr>
    </w:p>
    <w:p>
      <w:pPr>
        <w:ind w:right="40" w:firstLine="456"/>
        <w:spacing w:after="0" w:line="313" w:lineRule="auto"/>
        <w:rPr>
          <w:sz w:val="20"/>
          <w:szCs w:val="20"/>
          <w:color w:val="auto"/>
        </w:rPr>
      </w:pPr>
      <w:r>
        <w:rPr>
          <w:rFonts w:ascii="Arial" w:cs="Arial" w:eastAsia="Arial" w:hAnsi="Arial"/>
          <w:sz w:val="15"/>
          <w:szCs w:val="15"/>
          <w:b w:val="1"/>
          <w:bCs w:val="1"/>
          <w:color w:val="auto"/>
        </w:rPr>
        <w:t>Certain Significant Risks and Uncertainties</w:t>
      </w:r>
      <w:r>
        <w:rPr>
          <w:rFonts w:ascii="Arial" w:cs="Arial" w:eastAsia="Arial" w:hAnsi="Arial"/>
          <w:sz w:val="15"/>
          <w:szCs w:val="15"/>
          <w:color w:val="auto"/>
        </w:rPr>
        <w:t>—We are subject to certain risks and uncertainties that could have a material adverse effect on our future</w:t>
      </w:r>
      <w:r>
        <w:rPr>
          <w:rFonts w:ascii="Arial" w:cs="Arial" w:eastAsia="Arial" w:hAnsi="Arial"/>
          <w:sz w:val="15"/>
          <w:szCs w:val="15"/>
          <w:b w:val="1"/>
          <w:bCs w:val="1"/>
          <w:color w:val="auto"/>
        </w:rPr>
        <w:t xml:space="preserve"> </w:t>
      </w:r>
      <w:r>
        <w:rPr>
          <w:rFonts w:ascii="Arial" w:cs="Arial" w:eastAsia="Arial" w:hAnsi="Arial"/>
          <w:sz w:val="15"/>
          <w:szCs w:val="15"/>
          <w:color w:val="auto"/>
        </w:rPr>
        <w:t>financial position or results of operations, such as the following: changes in level of demand for our products and services, seasonality, the timing of new product introductions, price and sales competition and our ability to adapt to changing market conditions and dynamics, changes in the expenses caused, for example, by fluctuations in foreign currency exchange rates, management of inventory, internal control over financial reporting, market acceptance of our new products and services, demand for UTM products and services in general, failure of our channel partners to perform, the quality of our products and services, general economic conditions, challenges in doing business outside of the United States of America, changes in customer relationships, litigation, or claims against us based on intellectual property, patent, product regulatory or other factors (Note 7), product obsolescence, and our ability to attract and retain qualified employees.</w:t>
      </w:r>
    </w:p>
    <w:p>
      <w:pPr>
        <w:spacing w:after="0" w:line="10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rely on sole suppliers and independent contract manufacturers for certain of our components and one third-party logistics company for distribution of some of our products. The inability of any of these parties to fulfill our supply and logistics requirements could negatively impact our future operating results.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—Financial instruments that subject us to concentrations of credit risk consist primarily of cash,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and accounts receivable. We maintain our cash and cash equivalents in fixed income securities with major financial institutions, which our management assesses to be of high credit quality, in order to limit the exposure of each investment. Deposits held with banks may exceed the amount of insurance provided on such deposits.</w:t>
      </w:r>
    </w:p>
    <w:p>
      <w:pPr>
        <w:spacing w:after="0" w:line="142"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Credit risk with respect to accounts receivable in general is diversified due to the number of different entities comprising our customer base and their location throughout the world. We perform ongoing credit evaluations of our customers and generally do not require collateral on accounts receivable. We maintain reserves for estimated potential credit losses.</w:t>
      </w:r>
    </w:p>
    <w:p>
      <w:pPr>
        <w:spacing w:after="0" w:line="14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During the three and six months ended June 30, 2010, no single customer accounted for more than 10% of total net revenue. During the three and six months ended June 28, 2009, one distributor customer accounted for 11% and 13%, respectively, of total net revenue.</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At June 30, 2010, no single customer accounted for more than 10% of net accounts receivable. At December 31, 2009, one distributor customer accounted for 15% of net accounts receivable.</w:t>
      </w:r>
    </w:p>
    <w:p>
      <w:pPr>
        <w:spacing w:after="0" w:line="126"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Fair Value of Financial Instruments</w:t>
      </w:r>
      <w:r>
        <w:rPr>
          <w:rFonts w:ascii="Arial" w:cs="Arial" w:eastAsia="Arial" w:hAnsi="Arial"/>
          <w:sz w:val="16"/>
          <w:szCs w:val="16"/>
          <w:color w:val="auto"/>
        </w:rPr>
        <w:t>—Accounting Standards Codification (ASC) 825 (formerly referred to as Statement of Financial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Standards (SFAS) No. 107, </w:t>
      </w:r>
      <w:r>
        <w:rPr>
          <w:rFonts w:ascii="Arial" w:cs="Arial" w:eastAsia="Arial" w:hAnsi="Arial"/>
          <w:sz w:val="16"/>
          <w:szCs w:val="16"/>
          <w:i w:val="1"/>
          <w:iCs w:val="1"/>
          <w:color w:val="auto"/>
        </w:rPr>
        <w:t>Disclosures about Fair Value of Financial Instruments</w:t>
      </w:r>
      <w:r>
        <w:rPr>
          <w:rFonts w:ascii="Arial" w:cs="Arial" w:eastAsia="Arial" w:hAnsi="Arial"/>
          <w:sz w:val="16"/>
          <w:szCs w:val="16"/>
          <w:color w:val="auto"/>
        </w:rPr>
        <w:t>) requires disclosure of fair value information about financial instruments, whether or not recognized in the balance sheet, for which it is practicable to estimate that value. Due to their short-term nature, the carrying amounts reported in the condensed consolidated financial statements approximate the fair value for cash and cash equivalents, accounts receivable, and accounts payable.</w:t>
      </w:r>
    </w:p>
    <w:p>
      <w:pPr>
        <w:spacing w:after="0" w:line="103"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—ASC 220 (formerly referred to as SFAS No. 130,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establishes standards for the reporting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displaying of comprehensive income and its components. Comprehensive income includes certain changes in equity from non-owner sources that are excluded from net income. Specifically, cumulative foreign currency translation adjustments and unrealized gains and losses are included in comprehensive income in stockholders’ equity.</w:t>
      </w:r>
    </w:p>
    <w:p>
      <w:pPr>
        <w:spacing w:after="0" w:line="136"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Foreign Currency Translation</w:t>
      </w:r>
      <w:r>
        <w:rPr>
          <w:rFonts w:ascii="Arial" w:cs="Arial" w:eastAsia="Arial" w:hAnsi="Arial"/>
          <w:sz w:val="16"/>
          <w:szCs w:val="16"/>
          <w:color w:val="auto"/>
        </w:rPr>
        <w:t>—Assets and liabilities of foreign subsidiaries are translated into U.S. dollars using the exchange rates in effect at the</w:t>
      </w:r>
      <w:r>
        <w:rPr>
          <w:rFonts w:ascii="Arial" w:cs="Arial" w:eastAsia="Arial" w:hAnsi="Arial"/>
          <w:sz w:val="16"/>
          <w:szCs w:val="16"/>
          <w:b w:val="1"/>
          <w:bCs w:val="1"/>
          <w:color w:val="auto"/>
        </w:rPr>
        <w:t xml:space="preserve"> </w:t>
      </w:r>
      <w:r>
        <w:rPr>
          <w:rFonts w:ascii="Arial" w:cs="Arial" w:eastAsia="Arial" w:hAnsi="Arial"/>
          <w:sz w:val="16"/>
          <w:szCs w:val="16"/>
          <w:color w:val="auto"/>
        </w:rPr>
        <w:t>balance sheet dates and revenue and expenses are translated using average exchange rates during the period. The resulting foreign translation adjustments are recorded in accumulated other comprehensive income. Foreign currency transaction gains (losses) of $0.1 million and $(0.3) million, are included in other income (expense), net for the three months ended June 30, 2010 and June 28, 2009, respectively. Foreign currency transaction gains (losses) of $(0.2) million and $0.2 million, are included in other income (expense), net for the six months ended June 30, 2010 and June 28, 2009, respectively.</w:t>
      </w:r>
    </w:p>
    <w:p>
      <w:pPr>
        <w:spacing w:after="0" w:line="108"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b w:val="1"/>
          <w:bCs w:val="1"/>
          <w:color w:val="auto"/>
        </w:rPr>
        <w:t>Cash, Cash Equivalents and Investments</w:t>
      </w:r>
      <w:r>
        <w:rPr>
          <w:rFonts w:ascii="Arial" w:cs="Arial" w:eastAsia="Arial" w:hAnsi="Arial"/>
          <w:sz w:val="18"/>
          <w:szCs w:val="18"/>
          <w:color w:val="auto"/>
        </w:rPr>
        <w:t>—We consider all highly liquid investments, purchased with original maturities of three months or less, to be</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Cash and cash equivalents consist of cash on-hand, balances with banks, and highly liquid investments in money market funds, commercial paper, government securities, certificates of deposit, and corporate debt securities.</w:t>
      </w:r>
    </w:p>
    <w:p>
      <w:pPr>
        <w:spacing w:after="0" w:line="138"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We classify our investments as available-for-sale at the time of purchase since it is our intent that these investments are available for current operations, and include these investments on our balance sheet as either short-term or long-term investments depending on their maturity at the time of purchase. Investments with original maturities greater than three months that mature less than one year from the condensed consolidated balance sheet date are classified as short-term investments. Investments with maturities greater than one year from the condensed consolidated balance sheet date are classified as long-term investments.</w:t>
      </w:r>
    </w:p>
    <w:p>
      <w:pPr>
        <w:spacing w:after="0" w:line="9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Investments are considered to be impaired when a decline in fair value is judged to be other-than-temporary. We consult with our investment managers and consider available quantitative and qualitative evidence in evaluating potential impairment of our investments on a quarterly basis. If the cost of an investment exceeds its fair value, we evaluate, among other factors, general market conditions, the duration and extent to which the fair value is less than cost, and our intent and ability to hold the investment. Once a decline in fair value is determined to be other-than-temporary, an impairment charge is recorded and a new cost basis in the investment is established.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Inventory</w:t>
      </w:r>
      <w:r>
        <w:rPr>
          <w:rFonts w:ascii="Arial" w:cs="Arial" w:eastAsia="Arial" w:hAnsi="Arial"/>
          <w:sz w:val="18"/>
          <w:szCs w:val="18"/>
          <w:color w:val="auto"/>
        </w:rPr>
        <w:t>—Inventory is recorded at the lower of cost (using the first-in, first-out method) or market, after we give appropriate consideration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obsolescence and inventory in excess of anticipated future demand. In assessing the ultimate recoverability of inventory, we are required to make estimates regarding future customer demand, the timing of new product introductions, economic trends and market conditions. If the actual product demand is significantly lower than forecasted, we could be required to record additional inventory write-downs, which could have an adverse impact on our gross margins and profitability.</w:t>
      </w:r>
    </w:p>
    <w:p>
      <w:pPr>
        <w:spacing w:after="0" w:line="112"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color w:val="auto"/>
        </w:rPr>
        <w:t>Deferred Cost of Revenues</w:t>
      </w:r>
      <w:r>
        <w:rPr>
          <w:rFonts w:ascii="Arial" w:cs="Arial" w:eastAsia="Arial" w:hAnsi="Arial"/>
          <w:sz w:val="16"/>
          <w:szCs w:val="16"/>
          <w:color w:val="auto"/>
        </w:rPr>
        <w:t>—Deferred cost of revenues represent the unamortized cost of products associated with ratable product and services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which is based upon the actual cost of the hardware sold and is recognized over the service periods of the arrangements. Deferred cost of revenue associated with deferred revenue expected to be recognized within the next twelve months is classified as a current asset and deferred cost of revenue associated with deferred revenue not expected to be recognized within the next twelve months is classified as a non-current asset.</w:t>
      </w:r>
    </w:p>
    <w:p>
      <w:pPr>
        <w:spacing w:after="0" w:line="76" w:lineRule="exact"/>
        <w:rPr>
          <w:sz w:val="20"/>
          <w:szCs w:val="20"/>
          <w:color w:val="auto"/>
        </w:rPr>
      </w:pPr>
    </w:p>
    <w:p>
      <w:pPr>
        <w:jc w:val="both"/>
        <w:ind w:right="160" w:firstLine="456"/>
        <w:spacing w:after="0" w:line="310" w:lineRule="auto"/>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6"/>
          <w:szCs w:val="16"/>
          <w:color w:val="auto"/>
        </w:rPr>
        <w:t>—Property and equipment are stated at cost. Depreciation is computed using the straight-line method over the estimated useful</w:t>
      </w:r>
      <w:r>
        <w:rPr>
          <w:rFonts w:ascii="Arial" w:cs="Arial" w:eastAsia="Arial" w:hAnsi="Arial"/>
          <w:sz w:val="16"/>
          <w:szCs w:val="16"/>
          <w:b w:val="1"/>
          <w:bCs w:val="1"/>
          <w:color w:val="auto"/>
        </w:rPr>
        <w:t xml:space="preserve"> </w:t>
      </w:r>
      <w:r>
        <w:rPr>
          <w:rFonts w:ascii="Arial" w:cs="Arial" w:eastAsia="Arial" w:hAnsi="Arial"/>
          <w:sz w:val="16"/>
          <w:szCs w:val="16"/>
          <w:color w:val="auto"/>
        </w:rPr>
        <w:t>lives of the assets, generally one to three years. Evaluation units are transferred from inventory at cost and are amortized over one year from the date of transfer. Leasehold improvements are amortized over the shorter of the estimated useful lives of the improvements or the lease term.</w:t>
      </w:r>
    </w:p>
    <w:p>
      <w:pPr>
        <w:spacing w:after="0" w:line="70" w:lineRule="exact"/>
        <w:rPr>
          <w:sz w:val="20"/>
          <w:szCs w:val="20"/>
          <w:color w:val="auto"/>
        </w:rPr>
      </w:pPr>
    </w:p>
    <w:p>
      <w:pPr>
        <w:ind w:firstLine="456"/>
        <w:spacing w:after="0" w:line="320" w:lineRule="auto"/>
        <w:rPr>
          <w:sz w:val="20"/>
          <w:szCs w:val="20"/>
          <w:color w:val="auto"/>
        </w:rPr>
      </w:pPr>
      <w:r>
        <w:rPr>
          <w:rFonts w:ascii="Arial" w:cs="Arial" w:eastAsia="Arial" w:hAnsi="Arial"/>
          <w:sz w:val="15"/>
          <w:szCs w:val="15"/>
          <w:b w:val="1"/>
          <w:bCs w:val="1"/>
          <w:color w:val="auto"/>
        </w:rPr>
        <w:t>Impairment of Long-Lived Assets</w:t>
      </w:r>
      <w:r>
        <w:rPr>
          <w:rFonts w:ascii="Arial" w:cs="Arial" w:eastAsia="Arial" w:hAnsi="Arial"/>
          <w:sz w:val="15"/>
          <w:szCs w:val="15"/>
          <w:color w:val="auto"/>
        </w:rPr>
        <w:t>—We evaluate events and changes in circumstances that could indicate carrying amounts of long-lived assets,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intangible assets, may not be recoverable. When such events or changes in circumstances occur, we assess the recoverability of long-lived assets by determining whether the carrying value of such assets 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Revenue</w:t>
      </w:r>
      <w:r>
        <w:rPr>
          <w:rFonts w:ascii="Arial" w:cs="Arial" w:eastAsia="Arial" w:hAnsi="Arial"/>
          <w:sz w:val="18"/>
          <w:szCs w:val="18"/>
          <w:color w:val="auto"/>
        </w:rPr>
        <w:t>—Deferred revenue consists of amounts that have been invoiced but that have not yet been recognized as revenue.</w:t>
      </w:r>
    </w:p>
    <w:p>
      <w:pPr>
        <w:spacing w:after="0" w:line="144" w:lineRule="exact"/>
        <w:rPr>
          <w:sz w:val="20"/>
          <w:szCs w:val="20"/>
          <w:color w:val="auto"/>
        </w:rPr>
      </w:pPr>
    </w:p>
    <w:p>
      <w:pPr>
        <w:ind w:right="20" w:firstLine="456"/>
        <w:spacing w:after="0" w:line="316" w:lineRule="auto"/>
        <w:rPr>
          <w:sz w:val="20"/>
          <w:szCs w:val="20"/>
          <w:color w:val="auto"/>
        </w:rPr>
      </w:pPr>
      <w:r>
        <w:rPr>
          <w:rFonts w:ascii="Arial" w:cs="Arial" w:eastAsia="Arial" w:hAnsi="Arial"/>
          <w:sz w:val="15"/>
          <w:szCs w:val="15"/>
          <w:b w:val="1"/>
          <w:bCs w:val="1"/>
          <w:color w:val="auto"/>
        </w:rPr>
        <w:t>Income Taxes</w:t>
      </w:r>
      <w:r>
        <w:rPr>
          <w:rFonts w:ascii="Arial" w:cs="Arial" w:eastAsia="Arial" w:hAnsi="Arial"/>
          <w:sz w:val="15"/>
          <w:szCs w:val="15"/>
          <w:color w:val="auto"/>
        </w:rPr>
        <w:t>—We record income taxes using the asset and liability method, which requires the recognition of deferred tax assets and liabilities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expected future tax consequences of events that have been recognized in our financial statements or tax returns. In estimating future tax consequences, generally all expected future events other than enactments or changes in the tax law or rates are considered. We assess the likelihood that some portion or all of our deferred tax assets will be recovered from future taxable income within the respective jurisdictions, and to the extent we believe that recovery does not meet the “more-likely-than-not” standard, based solely on its technical merits as of the reporting date, we establish a valuation allowance. We consider many factors when evaluating and estimating our tax positions and tax benefits, which may require periodic adjustments and which may not accurately anticipate actual outcomes.</w:t>
      </w:r>
    </w:p>
    <w:p>
      <w:pPr>
        <w:spacing w:after="0" w:line="7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operate in various tax jurisdictions and are subject to audit by various tax authorities. We provide for tax contingencies whenever it is deemed more likely than not that a tax asset has been impaired or a tax liability has been incurred for events such as tax claims or changes in tax laws. Tax contingencies are based upon their technical merits, relevant tax law and the specific facts and circumstances as of each reporting period. Changes in facts and circumstances could result in material changes to the amounts recorded for such tax contingencies.</w:t>
      </w:r>
    </w:p>
    <w:p>
      <w:pPr>
        <w:spacing w:after="0" w:line="110" w:lineRule="exact"/>
        <w:rPr>
          <w:sz w:val="20"/>
          <w:szCs w:val="20"/>
          <w:color w:val="auto"/>
        </w:rPr>
      </w:pPr>
    </w:p>
    <w:p>
      <w:pPr>
        <w:ind w:right="380" w:firstLine="456"/>
        <w:spacing w:after="0" w:line="310"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—We apply ASC 718 (formerly referred to as SFAS No. 123R) to our stock option grants, which requires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related to share-based transactions, including employee stock options, to be measured and recognized in the financial statements based on fair value. Under ASC 718, the fair value of each option award is estimated on the grant date using the Black-Scholes option pricing model.</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 Costs</w:t>
      </w:r>
      <w:r>
        <w:rPr>
          <w:rFonts w:ascii="Arial" w:cs="Arial" w:eastAsia="Arial" w:hAnsi="Arial"/>
          <w:sz w:val="18"/>
          <w:szCs w:val="18"/>
          <w:color w:val="auto"/>
        </w:rPr>
        <w:t>—Research and development costs are expensed as incurred.</w:t>
      </w:r>
    </w:p>
    <w:p>
      <w:pPr>
        <w:spacing w:after="0" w:line="144"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b w:val="1"/>
          <w:bCs w:val="1"/>
          <w:color w:val="auto"/>
        </w:rPr>
        <w:t>Software Development Costs</w:t>
      </w:r>
      <w:r>
        <w:rPr>
          <w:rFonts w:ascii="Arial" w:cs="Arial" w:eastAsia="Arial" w:hAnsi="Arial"/>
          <w:sz w:val="18"/>
          <w:szCs w:val="18"/>
          <w:color w:val="auto"/>
        </w:rPr>
        <w:t>—The costs to develop software have not been capitalized as we believe our current software development process is</w:t>
      </w:r>
      <w:r>
        <w:rPr>
          <w:rFonts w:ascii="Arial" w:cs="Arial" w:eastAsia="Arial" w:hAnsi="Arial"/>
          <w:sz w:val="18"/>
          <w:szCs w:val="18"/>
          <w:b w:val="1"/>
          <w:bCs w:val="1"/>
          <w:color w:val="auto"/>
        </w:rPr>
        <w:t xml:space="preserve"> </w:t>
      </w:r>
      <w:r>
        <w:rPr>
          <w:rFonts w:ascii="Arial" w:cs="Arial" w:eastAsia="Arial" w:hAnsi="Arial"/>
          <w:sz w:val="18"/>
          <w:szCs w:val="18"/>
          <w:color w:val="auto"/>
        </w:rPr>
        <w:t>essentially completed concurrent with the establishment of technological feasibility.</w:t>
      </w:r>
    </w:p>
    <w:p>
      <w:pPr>
        <w:spacing w:after="0" w:line="93" w:lineRule="exact"/>
        <w:rPr>
          <w:sz w:val="20"/>
          <w:szCs w:val="20"/>
          <w:color w:val="auto"/>
        </w:rPr>
      </w:pPr>
    </w:p>
    <w:p>
      <w:pPr>
        <w:jc w:val="both"/>
        <w:ind w:right="160" w:firstLine="456"/>
        <w:spacing w:after="0" w:line="258"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—We derive revenue from sales of products, including appliances and software, and services, including subscription, support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services. Our appliances include operating system software that is integrated into the appliance hardware and is deemed essential to its functionality. As a result, we account for revenue in accordance with ASC 985-605 (formerly referred to as Statement of Position 97-2 (SOP 97-2) </w:t>
      </w:r>
      <w:r>
        <w:rPr>
          <w:rFonts w:ascii="Arial" w:cs="Arial" w:eastAsia="Arial" w:hAnsi="Arial"/>
          <w:sz w:val="18"/>
          <w:szCs w:val="18"/>
          <w:i w:val="1"/>
          <w:iCs w:val="1"/>
          <w:color w:val="auto"/>
        </w:rPr>
        <w:t>Software Revenue Recognition</w:t>
      </w:r>
      <w:r>
        <w:rPr>
          <w:rFonts w:ascii="Arial" w:cs="Arial" w:eastAsia="Arial" w:hAnsi="Arial"/>
          <w:sz w:val="18"/>
          <w:szCs w:val="18"/>
          <w:color w:val="auto"/>
        </w:rPr>
        <w:t>), and all related interpretations.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revenue can be recognized until all of the following criteria have been met:</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Persuasive evidence of an arrangement exists. Binding contracts or purchase orders are generally used to determine the existence of an arrangement.</w:t>
      </w:r>
    </w:p>
    <w:p>
      <w:pPr>
        <w:spacing w:after="0" w:line="124" w:lineRule="exact"/>
        <w:rPr>
          <w:rFonts w:ascii="Arial" w:cs="Arial" w:eastAsia="Arial" w:hAnsi="Arial"/>
          <w:sz w:val="15"/>
          <w:szCs w:val="15"/>
          <w:color w:val="auto"/>
        </w:rPr>
      </w:pPr>
    </w:p>
    <w:p>
      <w:pPr>
        <w:ind w:left="900" w:right="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Delivery has occurred. Delivery occurs when we fulfill an order and title and risk of loss has been transferred or upon delivery of the service contract registration code.</w:t>
      </w:r>
    </w:p>
    <w:p>
      <w:pPr>
        <w:spacing w:after="0" w:line="50" w:lineRule="exact"/>
        <w:rPr>
          <w:rFonts w:ascii="Arial" w:cs="Arial" w:eastAsia="Arial" w:hAnsi="Arial"/>
          <w:sz w:val="18"/>
          <w:szCs w:val="18"/>
          <w:color w:val="auto"/>
        </w:rPr>
      </w:pPr>
    </w:p>
    <w:p>
      <w:pPr>
        <w:jc w:val="both"/>
        <w:ind w:left="900" w:right="20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fee is fixed or determinable. We assess whether the fee is fixed or determinable based on the payment terms associated with the transaction. In the event payment terms differ from our standard business practices, the fees are deemed to be not fixed or determinable and revenue is recognized when the payments become due, provided the remaining criteria for revenue recognition have been met.</w:t>
      </w:r>
    </w:p>
    <w:p>
      <w:pPr>
        <w:spacing w:after="0" w:line="25" w:lineRule="exact"/>
        <w:rPr>
          <w:rFonts w:ascii="Arial" w:cs="Arial" w:eastAsia="Arial" w:hAnsi="Arial"/>
          <w:sz w:val="16"/>
          <w:szCs w:val="16"/>
          <w:color w:val="auto"/>
        </w:rPr>
      </w:pPr>
    </w:p>
    <w:p>
      <w:pPr>
        <w:ind w:left="900" w:right="5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Collectability is probable. We assess collectability based primarily on creditworthiness as determined by credit checks and analysis, as well as payment history. Payment terms generally range from 30 to 90 days from invoice date.</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arrangements which include customer acceptance criteria, no revenue is recognized prior to acceptance. We recognize product revenue on sales to distributors that have no right of return and end-customers upon shipment of the appliance, once all other revenue recognition criteria have been met. We also make sales through distributors under agreements that allow for rights of returns. We recognize product revenue on sales made through such distributors upon sale by the distributor to the end-customer, at which time the rights of return lapse. Substantially all of our products have been sold in combination with services which consist of subscriptions and/or support. Subscription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commence our subscription and support services on the date the customer registers the appliance. The customer is then entitled to service for the stated contractual period beginning on the registration date.</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use the residual method to recognize revenue when an arrangement includes one or more elements to be delivered at a future date and vendor-specific objective evidence (“VSOE”) of the fair value of all undelivered elements exists. Under the residual method, the fair value of the undelivered elements is deferred and the remaining portion of the contract fee is recognized as product revenue. In cases where VSOE of fair value of the undelivered elements does not exist (typically due to a lack of VSOE on the subscription and support services for that specific arrangement), revenue for the entire arrangement is recognized ratably over the performance period of the undelivered elements. Revenue related to these arrangements is included in ratable product and services revenue in the accompanying condensed consolidated statements of operations. VSOE of fair value for elements of an arrangement is based upon the pricing for those services when sold separately. Revenue for professional services and training is recognized upon completion of the related services.</w:t>
      </w:r>
    </w:p>
    <w:p>
      <w:pPr>
        <w:spacing w:after="0" w:line="11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We offer certain sales incentives to channel partners. We reduce revenue for estimates of sales returns and allowances.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01"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b w:val="1"/>
          <w:bCs w:val="1"/>
          <w:color w:val="auto"/>
        </w:rPr>
        <w:t>Accounts Receivable</w:t>
      </w:r>
      <w:r>
        <w:rPr>
          <w:rFonts w:ascii="Arial" w:cs="Arial" w:eastAsia="Arial" w:hAnsi="Arial"/>
          <w:sz w:val="16"/>
          <w:szCs w:val="16"/>
          <w:color w:val="auto"/>
        </w:rPr>
        <w:t>—Trade accounts receivable are recorded at the invoiced amount, net of allowances for doubtful accounts and reserves for sales</w:t>
      </w:r>
      <w:r>
        <w:rPr>
          <w:rFonts w:ascii="Arial" w:cs="Arial" w:eastAsia="Arial" w:hAnsi="Arial"/>
          <w:sz w:val="16"/>
          <w:szCs w:val="16"/>
          <w:b w:val="1"/>
          <w:bCs w:val="1"/>
          <w:color w:val="auto"/>
        </w:rPr>
        <w:t xml:space="preserve"> </w:t>
      </w:r>
      <w:r>
        <w:rPr>
          <w:rFonts w:ascii="Arial" w:cs="Arial" w:eastAsia="Arial" w:hAnsi="Arial"/>
          <w:sz w:val="16"/>
          <w:szCs w:val="16"/>
          <w:color w:val="auto"/>
        </w:rPr>
        <w:t>returns and allowances. The allowance for doubtful accounts is based on our assessment of the collectability of customer accounts. We regularly review the allowance by considering factors such as historical experience, credit quality, age of the accounts receivable balances and current economic conditions that may affect a customer’s ability to pay. The reserve for sales returns and allowances is based on specific criteria including agreements to provide rebates and other factors known at the time, as well as estimates of the amount of goods shipped that will be returned. To determine the adequacy of the reserves for sales returns and allowances, we analyze historical experience of actual rebates and returns as well as current product return information.</w:t>
      </w:r>
    </w:p>
    <w:p>
      <w:pPr>
        <w:spacing w:after="0" w:line="111"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b w:val="1"/>
          <w:bCs w:val="1"/>
          <w:color w:val="auto"/>
        </w:rPr>
        <w:t>Warranties</w:t>
      </w:r>
      <w:r>
        <w:rPr>
          <w:rFonts w:ascii="Arial" w:cs="Arial" w:eastAsia="Arial" w:hAnsi="Arial"/>
          <w:sz w:val="16"/>
          <w:szCs w:val="16"/>
          <w:color w:val="auto"/>
        </w:rPr>
        <w:t>—We generally provide a one-year warranty on hardware products and a 90-day warranty on software. A provision for estimated future costs</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warranty activities is recorded as a component of cost of product revenues when the product revenues are recognized, based upon historical product failure rates and historical costs incurred in correcting product failures. In the event we change our warranty reserve estimates, the resulting charge against future cost of sales or reversal of previously recorded charges may materially affect our gross margins and operating results.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warranty activities are summarized as follows ($ amounts in 000’s):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10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9"/>
              </w:rPr>
              <w:t>For The 6 Months</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For The Year</w:t>
            </w:r>
          </w:p>
        </w:tc>
      </w:tr>
      <w:tr>
        <w:trPr>
          <w:trHeight w:val="149"/>
        </w:trPr>
        <w:tc>
          <w:tcPr>
            <w:tcW w:w="6280" w:type="dxa"/>
            <w:vAlign w:val="bottom"/>
          </w:tcPr>
          <w:p>
            <w:pPr>
              <w:spacing w:after="0"/>
              <w:rPr>
                <w:sz w:val="12"/>
                <w:szCs w:val="12"/>
                <w:color w:val="auto"/>
              </w:rPr>
            </w:pPr>
          </w:p>
        </w:tc>
        <w:tc>
          <w:tcPr>
            <w:tcW w:w="210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0"/>
              </w:rPr>
              <w:t>Ended And As Of</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 And As Of</w:t>
            </w:r>
          </w:p>
        </w:tc>
      </w:tr>
      <w:tr>
        <w:trPr>
          <w:trHeight w:val="161"/>
        </w:trPr>
        <w:tc>
          <w:tcPr>
            <w:tcW w:w="62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 2010</w:t>
            </w:r>
          </w:p>
        </w:tc>
        <w:tc>
          <w:tcPr>
            <w:tcW w:w="10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December 31, 2009</w:t>
            </w:r>
          </w:p>
        </w:tc>
        <w:tc>
          <w:tcPr>
            <w:tcW w:w="100" w:type="dxa"/>
            <w:vAlign w:val="bottom"/>
          </w:tcPr>
          <w:p>
            <w:pPr>
              <w:spacing w:after="0"/>
              <w:rPr>
                <w:sz w:val="14"/>
                <w:szCs w:val="14"/>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balance-beginning of the period</w:t>
            </w: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2,257</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2,882</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Warranty costs incurred</w:t>
            </w:r>
          </w:p>
        </w:tc>
        <w:tc>
          <w:tcPr>
            <w:tcW w:w="2100" w:type="dxa"/>
            <w:vAlign w:val="bottom"/>
            <w:gridSpan w:val="2"/>
          </w:tcPr>
          <w:p>
            <w:pPr>
              <w:jc w:val="right"/>
              <w:ind w:right="980"/>
              <w:spacing w:after="0"/>
              <w:rPr>
                <w:sz w:val="20"/>
                <w:szCs w:val="20"/>
                <w:color w:val="auto"/>
              </w:rPr>
            </w:pPr>
            <w:r>
              <w:rPr>
                <w:rFonts w:ascii="Arial" w:cs="Arial" w:eastAsia="Arial" w:hAnsi="Arial"/>
                <w:sz w:val="18"/>
                <w:szCs w:val="18"/>
                <w:color w:val="auto"/>
              </w:rPr>
              <w:t>(639)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(1,502)</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warranty</w:t>
            </w: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326</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Adjustments to previous estimates</w:t>
            </w: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10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balance-end of the period</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04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00" w:type="dxa"/>
            <w:vAlign w:val="bottom"/>
            <w:shd w:val="clear" w:color="auto" w:fill="CCEEFF"/>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Foreign Currency Derivatives</w:t>
      </w:r>
      <w:r>
        <w:rPr>
          <w:rFonts w:ascii="Arial" w:cs="Arial" w:eastAsia="Arial" w:hAnsi="Arial"/>
          <w:sz w:val="16"/>
          <w:szCs w:val="16"/>
          <w:color w:val="auto"/>
        </w:rPr>
        <w:t>—Our sales contracts are primarily denominated in U.S. dollars and therefore substantially all of our revenue is not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foreign currency translation risk. However, a substantial portion of our operating expenses incurred outside the U.S. are denominated in foreign currencies and are subject to fluctuations due to changes in foreign currency exchange rates, particularly changes in the Canadian Dollar (CAD), Euro (EUR), British Pound (GBP), and Yen. We use foreign exchange forward contracts to partially mitigate the impact of fluctuations in foreign currency rates on certain balance sheet accounts, and occasionally to hedge future forecasted expenses. We do not use these contracts for speculative or trading purposes. These contracts typically have maturities between one and three months, and we record gains and losses from these instruments in other income (expense), net. Additionally, independent of any hedging activities, fluctuations in foreign currency exchange rates may cause us to recognize transaction gains and losses in our condensed consolidated statements of operations. We recognized other income (expense), net of $0.1 million and $(0.3) million in the three months ended June 30, 2010 and June 28, 2009, respectively, and $(0.2) million and $0.2 million in the six months ended June 30, 2010 and June 28, 2009, respectively, due to foreign currency transaction gains (losses).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help protect against significant fluctuations in value and the volatility of future cash flows caused by changes in currency exchange rates, we engage in foreign currency risk management activities to hedge balance sheet items denominated in EUR, GBP, and CAD, and occasionally to hedge future forecasted expenses denominated in EUR. Changes in the fair value of forward exchange contracts related to balance sheet accounts are recorded as other income (expense), net in the condensed consolidated statement of operations. The derivative instruments generally have maturities of 90 days. All of the derivative instruments are with high quality financial institutions and we monitor the creditworthiness of these parties. Our hedging activities are intended to reduce, but not eliminate, the impact of currency exchange rate movements. As our hedging activities are relatively short-term in nature, long-term material changes in the value of the U.S. dollar versus the EUR, GBP, CAD or Yen could adversely impact our operating expenses in the future.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notional amount of forward exchange contracts to hedge operating expenses and balance sheet accounts as of June 30, 2010 was (in 000’s):</w:t>
      </w:r>
    </w:p>
    <w:p>
      <w:pPr>
        <w:spacing w:after="0" w:line="3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Buy/Sell</w:t>
            </w:r>
          </w:p>
        </w:tc>
        <w:tc>
          <w:tcPr>
            <w:tcW w:w="1040" w:type="dxa"/>
            <w:vAlign w:val="bottom"/>
          </w:tcPr>
          <w:p>
            <w:pPr>
              <w:spacing w:after="0"/>
              <w:rPr>
                <w:sz w:val="14"/>
                <w:szCs w:val="14"/>
                <w:color w:val="auto"/>
              </w:rPr>
            </w:pP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Notional</w:t>
            </w:r>
          </w:p>
        </w:tc>
      </w:tr>
      <w:tr>
        <w:trPr>
          <w:trHeight w:val="210"/>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 hedge operating expenses:</w:t>
            </w:r>
          </w:p>
        </w:tc>
        <w:tc>
          <w:tcPr>
            <w:tcW w:w="1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76"/>
        </w:trPr>
        <w:tc>
          <w:tcPr>
            <w:tcW w:w="636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Currency</w:t>
            </w: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720" w:type="dxa"/>
            <w:vAlign w:val="bottom"/>
            <w:tcBorders>
              <w:top w:val="single" w:sz="8" w:color="auto"/>
            </w:tcBorders>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Buy</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149"/>
        </w:trPr>
        <w:tc>
          <w:tcPr>
            <w:tcW w:w="7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 hedge balance sheet accounts:</w:t>
            </w:r>
          </w:p>
        </w:tc>
        <w:tc>
          <w:tcPr>
            <w:tcW w:w="1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76"/>
        </w:trPr>
        <w:tc>
          <w:tcPr>
            <w:tcW w:w="636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Currency</w:t>
            </w: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720" w:type="dxa"/>
            <w:vAlign w:val="bottom"/>
            <w:tcBorders>
              <w:top w:val="single" w:sz="8" w:color="auto"/>
            </w:tcBorders>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Buy</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8,077</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GBP</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Buy</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3,814</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CAD</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Buy</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January 2010, the Financial Accounting Standards Board (FASB) issued revised guidance on disclosures related to fair value measurements. This guidance requires new disclosures about significant transfers in and out of Level 1 and Level 2 and separate disclosures about purchases, sales, issuances, and settlements with respect to Level 3 measurements. The guidance also clarifies existing fair value disclosures about valuation techniques and inputs used to measure fair value. The new disclosures and clarifications of existing disclosures are effective for us beginning in the first quarter of 2010, except for the disclosures about purchases, sales, issuances, and settlements relating to Level 3 measurements, which will be effective for us in the first quarter of 2011. We do not expect the adoption to have a material impact on our financial statements.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In September 2009, the Emerging Issues Task Force (EITF) reached a consensus on ASC 605-25 (formerly referred to as (EITF) 08-1,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 with Multiple Deliverables</w:t>
      </w:r>
      <w:r>
        <w:rPr>
          <w:rFonts w:ascii="Arial" w:cs="Arial" w:eastAsia="Arial" w:hAnsi="Arial"/>
          <w:sz w:val="18"/>
          <w:szCs w:val="18"/>
          <w:color w:val="auto"/>
        </w:rPr>
        <w:t>). ASC 605-25 eliminates the criterion for objective and reliable evidence of fair value for the undelivered products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Instead, revenue arrangements with multiple deliverables should be divided into separate units of accounting if the deliverables meet both of the following criteria:</w:t>
      </w:r>
    </w:p>
    <w:p>
      <w:pPr>
        <w:spacing w:after="0" w:line="6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delivered items have value to the customer on a stand-alone basis.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arrangement includes a general right of return relative to the delivered items, delivery or performance of the undelivered items is considered probable and substantially in the control of the vendor.</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ASC 605-25 eliminates the use of the residual method of allocation and requires, instead, that arrangement consideration be allocated, at the inception of the arrangement, to all deliverables based on their relative selling price (i.e., the relative selling price method). When applying the relative selling price method, a hierarchy is used for estimating the selling price for each of the deliverables. The hierarchy establishes that the method for determining estimated selling price should be chosen in the following order of priority:</w:t>
      </w:r>
    </w:p>
    <w:p>
      <w:pPr>
        <w:spacing w:after="0" w:line="6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VSOE of the selling price;</w:t>
      </w:r>
    </w:p>
    <w:p>
      <w:pPr>
        <w:spacing w:after="0" w:line="9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Third-party evidence (TPE) of the selling price - prices of the vendor’s or any competitor’s largely interchangeable products or services, in standalone sales to similarly situated customers;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Best estimate of the selling price.</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September 2009, the FASB reached a consensus on ASC 985-605 (formerly referred to as EITF 09-3, </w:t>
      </w:r>
      <w:r>
        <w:rPr>
          <w:rFonts w:ascii="Arial" w:cs="Arial" w:eastAsia="Arial" w:hAnsi="Arial"/>
          <w:sz w:val="16"/>
          <w:szCs w:val="16"/>
          <w:i w:val="1"/>
          <w:iCs w:val="1"/>
          <w:color w:val="auto"/>
        </w:rPr>
        <w:t>Certain Revenue Arrangements That Include</w:t>
      </w:r>
      <w:r>
        <w:rPr>
          <w:rFonts w:ascii="Arial" w:cs="Arial" w:eastAsia="Arial" w:hAnsi="Arial"/>
          <w:sz w:val="16"/>
          <w:szCs w:val="16"/>
          <w:color w:val="auto"/>
        </w:rPr>
        <w:t xml:space="preserve"> </w:t>
      </w:r>
      <w:r>
        <w:rPr>
          <w:rFonts w:ascii="Arial" w:cs="Arial" w:eastAsia="Arial" w:hAnsi="Arial"/>
          <w:sz w:val="16"/>
          <w:szCs w:val="16"/>
          <w:i w:val="1"/>
          <w:iCs w:val="1"/>
          <w:color w:val="auto"/>
        </w:rPr>
        <w:t>Software Elements</w:t>
      </w:r>
      <w:r>
        <w:rPr>
          <w:rFonts w:ascii="Arial" w:cs="Arial" w:eastAsia="Arial" w:hAnsi="Arial"/>
          <w:sz w:val="16"/>
          <w:szCs w:val="16"/>
          <w:color w:val="auto"/>
        </w:rPr>
        <w:t>). Arrangements to sell joint hardware and software products where the software and non-software components function together to deliver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essential functionality will no longer be scoped into software accounting rules, but will be subject to non-software multiple element accounting guidance (ASC 605-25). ASC 985-605 and ASC 605-25 provide a list of items to consider when determining whether the software and non-software components function together to deliver a product’s essential functionality. ASC 985-605 must be adopted for arrangements entered into beginning January 1, 2011, and may be early-adopted. We plan to adopt ASC 985-605 and ASC 605-25 in the first quarter of 2011, and are currently evaluating the impact of adoption on our condensed consolidated financial statements.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 AND FAIR VALUE MEASUREMENTS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investments in available-for-sale securities ($ amounts in 000’s):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85"/>
              </w:rPr>
              <w:t>June 30, 2010</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2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Amortized</w:t>
            </w:r>
          </w:p>
        </w:tc>
        <w:tc>
          <w:tcPr>
            <w:tcW w:w="5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Unrealized</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90"/>
              </w:rPr>
              <w:t>Unrealized</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Estimated 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560" w:type="dxa"/>
            <w:vAlign w:val="bottom"/>
          </w:tcPr>
          <w:p>
            <w:pPr>
              <w:spacing w:after="0"/>
              <w:rPr>
                <w:sz w:val="14"/>
                <w:szCs w:val="14"/>
                <w:color w:val="auto"/>
              </w:rPr>
            </w:pPr>
          </w:p>
        </w:tc>
        <w:tc>
          <w:tcPr>
            <w:tcW w:w="620" w:type="dxa"/>
            <w:vAlign w:val="bottom"/>
          </w:tcPr>
          <w:p>
            <w:pPr>
              <w:jc w:val="right"/>
              <w:ind w:right="63"/>
              <w:spacing w:after="0"/>
              <w:rPr>
                <w:sz w:val="20"/>
                <w:szCs w:val="20"/>
                <w:color w:val="auto"/>
              </w:rPr>
            </w:pPr>
            <w:r>
              <w:rPr>
                <w:rFonts w:ascii="Arial" w:cs="Arial" w:eastAsia="Arial" w:hAnsi="Arial"/>
                <w:sz w:val="14"/>
                <w:szCs w:val="14"/>
                <w:b w:val="1"/>
                <w:bCs w:val="1"/>
                <w:color w:val="auto"/>
              </w:rPr>
              <w:t>Gains</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79"/>
              </w:rPr>
              <w:t>Loss</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7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U.S. government and agency securities</w:t>
            </w:r>
          </w:p>
        </w:tc>
        <w:tc>
          <w:tcPr>
            <w:tcW w:w="760" w:type="dxa"/>
            <w:vAlign w:val="bottom"/>
          </w:tcPr>
          <w:p>
            <w:pPr>
              <w:jc w:val="right"/>
              <w:spacing w:after="0"/>
              <w:rPr>
                <w:sz w:val="20"/>
                <w:szCs w:val="20"/>
                <w:color w:val="auto"/>
              </w:rPr>
            </w:pPr>
            <w:r>
              <w:rPr>
                <w:rFonts w:ascii="Arial" w:cs="Arial" w:eastAsia="Arial" w:hAnsi="Arial"/>
                <w:sz w:val="18"/>
                <w:szCs w:val="18"/>
                <w:color w:val="auto"/>
              </w:rPr>
              <w:t>52,209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debt securities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129,538</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52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Commercial paper</w:t>
            </w:r>
          </w:p>
        </w:tc>
        <w:tc>
          <w:tcPr>
            <w:tcW w:w="760" w:type="dxa"/>
            <w:vAlign w:val="bottom"/>
          </w:tcPr>
          <w:p>
            <w:pPr>
              <w:jc w:val="right"/>
              <w:spacing w:after="0"/>
              <w:rPr>
                <w:sz w:val="20"/>
                <w:szCs w:val="20"/>
                <w:color w:val="auto"/>
              </w:rPr>
            </w:pPr>
            <w:r>
              <w:rPr>
                <w:rFonts w:ascii="Arial" w:cs="Arial" w:eastAsia="Arial" w:hAnsi="Arial"/>
                <w:sz w:val="18"/>
                <w:szCs w:val="18"/>
                <w:color w:val="auto"/>
              </w:rPr>
              <w:t>10,991</w:t>
            </w:r>
          </w:p>
        </w:tc>
        <w:tc>
          <w:tcPr>
            <w:tcW w:w="56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available-for-sale securities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192,738</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60" w:type="dxa"/>
            <w:vAlign w:val="bottom"/>
            <w:gridSpan w:val="2"/>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52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87"/>
              </w:rPr>
              <w:t>December 31, 2009</w:t>
            </w: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92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Amortized</w:t>
            </w:r>
          </w:p>
        </w:tc>
        <w:tc>
          <w:tcPr>
            <w:tcW w:w="5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Unrealized</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90"/>
              </w:rPr>
              <w:t>Unrealized</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Estimated 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560" w:type="dxa"/>
            <w:vAlign w:val="bottom"/>
          </w:tcPr>
          <w:p>
            <w:pPr>
              <w:spacing w:after="0"/>
              <w:rPr>
                <w:sz w:val="14"/>
                <w:szCs w:val="14"/>
                <w:color w:val="auto"/>
              </w:rPr>
            </w:pPr>
          </w:p>
        </w:tc>
        <w:tc>
          <w:tcPr>
            <w:tcW w:w="620" w:type="dxa"/>
            <w:vAlign w:val="bottom"/>
          </w:tcPr>
          <w:p>
            <w:pPr>
              <w:jc w:val="right"/>
              <w:ind w:right="63"/>
              <w:spacing w:after="0"/>
              <w:rPr>
                <w:sz w:val="20"/>
                <w:szCs w:val="20"/>
                <w:color w:val="auto"/>
              </w:rPr>
            </w:pPr>
            <w:r>
              <w:rPr>
                <w:rFonts w:ascii="Arial" w:cs="Arial" w:eastAsia="Arial" w:hAnsi="Arial"/>
                <w:sz w:val="14"/>
                <w:szCs w:val="14"/>
                <w:b w:val="1"/>
                <w:bCs w:val="1"/>
                <w:color w:val="auto"/>
              </w:rPr>
              <w:t>Gains</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79"/>
              </w:rPr>
              <w:t>Loss</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7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U.S. government and agency securities</w:t>
            </w:r>
          </w:p>
        </w:tc>
        <w:tc>
          <w:tcPr>
            <w:tcW w:w="760" w:type="dxa"/>
            <w:vAlign w:val="bottom"/>
          </w:tcPr>
          <w:p>
            <w:pPr>
              <w:jc w:val="right"/>
              <w:spacing w:after="0"/>
              <w:rPr>
                <w:sz w:val="20"/>
                <w:szCs w:val="20"/>
                <w:color w:val="auto"/>
              </w:rPr>
            </w:pPr>
            <w:r>
              <w:rPr>
                <w:rFonts w:ascii="Arial" w:cs="Arial" w:eastAsia="Arial" w:hAnsi="Arial"/>
                <w:sz w:val="18"/>
                <w:szCs w:val="18"/>
                <w:color w:val="auto"/>
              </w:rPr>
              <w:t>2,000</w:t>
            </w:r>
          </w:p>
        </w:tc>
        <w:tc>
          <w:tcPr>
            <w:tcW w:w="56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debt securities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tcPr>
          <w:p>
            <w:pPr>
              <w:ind w:left="440"/>
              <w:spacing w:after="0"/>
              <w:rPr>
                <w:sz w:val="20"/>
                <w:szCs w:val="20"/>
                <w:color w:val="auto"/>
              </w:rPr>
            </w:pPr>
            <w:r>
              <w:rPr>
                <w:rFonts w:ascii="Arial" w:cs="Arial" w:eastAsia="Arial" w:hAnsi="Arial"/>
                <w:sz w:val="18"/>
                <w:szCs w:val="18"/>
                <w:color w:val="auto"/>
              </w:rPr>
              <w:t>Commercial paper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w:t>
            </w:r>
          </w:p>
        </w:tc>
        <w:tc>
          <w:tcPr>
            <w:tcW w:w="560" w:type="dxa"/>
            <w:vAlign w:val="bottom"/>
          </w:tcPr>
          <w:p>
            <w:pPr>
              <w:spacing w:after="0"/>
              <w:rPr>
                <w:sz w:val="19"/>
                <w:szCs w:val="19"/>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available-for-sale securities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w w:val="91"/>
              </w:rPr>
              <w:t>The contractual maturities of our investments are as follows ($ amounts in 000’s):</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9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5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135,912</w:t>
            </w:r>
          </w:p>
        </w:tc>
        <w:tc>
          <w:tcPr>
            <w:tcW w:w="52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Due within one to two years</w:t>
            </w: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56,613</w:t>
            </w:r>
          </w:p>
        </w:tc>
        <w:tc>
          <w:tcPr>
            <w:tcW w:w="5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192,525</w:t>
            </w:r>
          </w:p>
        </w:tc>
        <w:tc>
          <w:tcPr>
            <w:tcW w:w="52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Available-for-sale securities are reported at fair value, with unrealized gains and losses, net of tax, included as a separate component of stockholders’ equity and in total comprehensive income. Realized gains and losses on available-for-sale securities are included in other income in our condensed consolidated statements of operations.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unrealized losses on our available-for-sale investments in market funds, commercial paper, corporate debt securities and U.S. government debt securities were caused by market value declines as a result of the recent economic environment, as well as fluctuations in market interest rates. Because the decline in market value is attributable to changes in market conditions, not credit quality, and because we do not intend to, and are not likely to be required to, sell those investments prior to a recovery of par value, we do not consider these investments to be other-than temporarily impaired at June 30, 2010.</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Realized gains or losses from the sale of available-for-sale securities were not significant for any period presented.</w:t>
      </w:r>
    </w:p>
    <w:p>
      <w:pPr>
        <w:spacing w:after="0" w:line="165" w:lineRule="exact"/>
        <w:rPr>
          <w:sz w:val="20"/>
          <w:szCs w:val="20"/>
          <w:color w:val="auto"/>
        </w:rPr>
      </w:pPr>
    </w:p>
    <w:p>
      <w:pPr>
        <w:ind w:right="320" w:firstLine="456"/>
        <w:spacing w:after="0" w:line="339" w:lineRule="auto"/>
        <w:rPr>
          <w:sz w:val="20"/>
          <w:szCs w:val="20"/>
          <w:color w:val="auto"/>
        </w:rPr>
      </w:pPr>
      <w:r>
        <w:rPr>
          <w:rFonts w:ascii="Arial" w:cs="Arial" w:eastAsia="Arial" w:hAnsi="Arial"/>
          <w:sz w:val="16"/>
          <w:szCs w:val="16"/>
          <w:b w:val="1"/>
          <w:bCs w:val="1"/>
          <w:color w:val="auto"/>
        </w:rPr>
        <w:t>Fair Value Accounting</w:t>
      </w:r>
      <w:r>
        <w:rPr>
          <w:rFonts w:ascii="Arial" w:cs="Arial" w:eastAsia="Arial" w:hAnsi="Arial"/>
          <w:sz w:val="16"/>
          <w:szCs w:val="16"/>
          <w:color w:val="auto"/>
        </w:rPr>
        <w:t>—We adopted ASC 820 (formerly referred to as SFAS No. 157,</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Fair Value Measurement</w:t>
      </w:r>
      <w:r>
        <w:rPr>
          <w:rFonts w:ascii="Arial" w:cs="Arial" w:eastAsia="Arial" w:hAnsi="Arial"/>
          <w:sz w:val="16"/>
          <w:szCs w:val="16"/>
          <w:color w:val="auto"/>
        </w:rPr>
        <w:t>) effective January 1, 2008. ASC 820</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establishes a valuation hierarchy for disclosure of the inputs to fair value measurement. This hierarchy prioritizes the inputs into three broad levels as follows: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Level 3—Inputs are unobservable inputs based on our own assumptions used to measure assets and liabilities at fair value. The inputs require significant management judgment or estimation.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presents the fair value of our financial assets as of June 30, 2010 and December 31, 2009 using the ASC 820 input categories ($ amounts in 000’s):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June 30, 2010</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 2009</w:t>
            </w: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Quoted</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Quoted</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Prices in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Prices in</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Active</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Active</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Markets</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Markets</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For</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Observable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For</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Observable</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Aggregate</w:t>
            </w:r>
          </w:p>
        </w:tc>
        <w:tc>
          <w:tcPr>
            <w:tcW w:w="2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Identical</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Remaining</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Fair</w:t>
            </w: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Identical</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Assets</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Inputs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8"/>
              </w:rPr>
              <w:t>Assets</w:t>
            </w: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(Level 1)</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(Level 2)</w:t>
            </w: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(Level 1)</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(Level 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available-for-sale securities: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U.S. government and agency securities</w:t>
            </w:r>
          </w:p>
        </w:tc>
        <w:tc>
          <w:tcPr>
            <w:tcW w:w="760" w:type="dxa"/>
            <w:vAlign w:val="bottom"/>
          </w:tcPr>
          <w:p>
            <w:pPr>
              <w:jc w:val="right"/>
              <w:spacing w:after="0"/>
              <w:rPr>
                <w:sz w:val="20"/>
                <w:szCs w:val="20"/>
                <w:color w:val="auto"/>
              </w:rPr>
            </w:pPr>
            <w:r>
              <w:rPr>
                <w:rFonts w:ascii="Arial" w:cs="Arial" w:eastAsia="Arial" w:hAnsi="Arial"/>
                <w:sz w:val="18"/>
                <w:szCs w:val="18"/>
                <w:color w:val="auto"/>
              </w:rPr>
              <w:t>52,239</w:t>
            </w:r>
          </w:p>
        </w:tc>
        <w:tc>
          <w:tcPr>
            <w:tcW w:w="22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52,239</w:t>
            </w:r>
          </w:p>
        </w:tc>
        <w:tc>
          <w:tcPr>
            <w:tcW w:w="760" w:type="dxa"/>
            <w:vAlign w:val="bottom"/>
          </w:tcPr>
          <w:p>
            <w:pPr>
              <w:jc w:val="right"/>
              <w:spacing w:after="0"/>
              <w:rPr>
                <w:sz w:val="20"/>
                <w:szCs w:val="20"/>
                <w:color w:val="auto"/>
              </w:rPr>
            </w:pPr>
            <w:r>
              <w:rPr>
                <w:rFonts w:ascii="Arial" w:cs="Arial" w:eastAsia="Arial" w:hAnsi="Arial"/>
                <w:sz w:val="18"/>
                <w:szCs w:val="18"/>
                <w:color w:val="auto"/>
              </w:rPr>
              <w:t>1,998</w:t>
            </w:r>
          </w:p>
        </w:tc>
        <w:tc>
          <w:tcPr>
            <w:tcW w:w="2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debt securities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129,296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129,296</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41,875</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41,875</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Commercial paper</w:t>
            </w:r>
          </w:p>
        </w:tc>
        <w:tc>
          <w:tcPr>
            <w:tcW w:w="760" w:type="dxa"/>
            <w:vAlign w:val="bottom"/>
          </w:tcPr>
          <w:p>
            <w:pPr>
              <w:jc w:val="right"/>
              <w:spacing w:after="0"/>
              <w:rPr>
                <w:sz w:val="20"/>
                <w:szCs w:val="20"/>
                <w:color w:val="auto"/>
              </w:rPr>
            </w:pPr>
            <w:r>
              <w:rPr>
                <w:rFonts w:ascii="Arial" w:cs="Arial" w:eastAsia="Arial" w:hAnsi="Arial"/>
                <w:sz w:val="18"/>
                <w:szCs w:val="18"/>
                <w:color w:val="auto"/>
              </w:rPr>
              <w:t>10,990</w:t>
            </w:r>
          </w:p>
        </w:tc>
        <w:tc>
          <w:tcPr>
            <w:tcW w:w="22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10,990</w:t>
            </w:r>
          </w:p>
        </w:tc>
        <w:tc>
          <w:tcPr>
            <w:tcW w:w="760" w:type="dxa"/>
            <w:vAlign w:val="bottom"/>
          </w:tcPr>
          <w:p>
            <w:pPr>
              <w:jc w:val="right"/>
              <w:spacing w:after="0"/>
              <w:rPr>
                <w:sz w:val="20"/>
                <w:szCs w:val="20"/>
                <w:color w:val="auto"/>
              </w:rPr>
            </w:pPr>
            <w:r>
              <w:rPr>
                <w:rFonts w:ascii="Arial" w:cs="Arial" w:eastAsia="Arial" w:hAnsi="Arial"/>
                <w:sz w:val="18"/>
                <w:szCs w:val="18"/>
                <w:color w:val="auto"/>
              </w:rPr>
              <w:t>3,983</w:t>
            </w:r>
          </w:p>
        </w:tc>
        <w:tc>
          <w:tcPr>
            <w:tcW w:w="2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73,722</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179,444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179,444</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Cash equivalents and available-for-sale securities</w:t>
            </w: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266,247</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203,018</w:t>
            </w:r>
          </w:p>
        </w:tc>
        <w:tc>
          <w:tcPr>
            <w:tcW w:w="2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63,229</w:t>
            </w:r>
          </w:p>
        </w:tc>
        <w:tc>
          <w:tcPr>
            <w:tcW w:w="760" w:type="dxa"/>
            <w:vAlign w:val="bottom"/>
          </w:tcPr>
          <w:p>
            <w:pPr>
              <w:jc w:val="right"/>
              <w:spacing w:after="0"/>
              <w:rPr>
                <w:sz w:val="20"/>
                <w:szCs w:val="20"/>
                <w:color w:val="auto"/>
              </w:rPr>
            </w:pPr>
            <w:r>
              <w:rPr>
                <w:rFonts w:ascii="Arial" w:cs="Arial" w:eastAsia="Arial" w:hAnsi="Arial"/>
                <w:sz w:val="18"/>
                <w:szCs w:val="18"/>
                <w:color w:val="auto"/>
              </w:rPr>
              <w:t>227,300</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221,319</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5,981</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33,014</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tcPr>
          <w:p>
            <w:pPr>
              <w:ind w:left="440"/>
              <w:spacing w:after="0"/>
              <w:rPr>
                <w:sz w:val="20"/>
                <w:szCs w:val="20"/>
                <w:color w:val="auto"/>
              </w:rPr>
            </w:pPr>
            <w:r>
              <w:rPr>
                <w:rFonts w:ascii="Arial" w:cs="Arial" w:eastAsia="Arial" w:hAnsi="Arial"/>
                <w:sz w:val="18"/>
                <w:szCs w:val="18"/>
                <w:color w:val="auto"/>
              </w:rPr>
              <w:t>Total cash, cash equivalents and available-for-sale securities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308,960</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260,314</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Reported as: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760" w:type="dxa"/>
            <w:vAlign w:val="bottom"/>
          </w:tcPr>
          <w:p>
            <w:pPr>
              <w:jc w:val="right"/>
              <w:spacing w:after="0"/>
              <w:rPr>
                <w:sz w:val="20"/>
                <w:szCs w:val="20"/>
                <w:color w:val="auto"/>
              </w:rPr>
            </w:pPr>
            <w:r>
              <w:rPr>
                <w:rFonts w:ascii="Arial" w:cs="Arial" w:eastAsia="Arial" w:hAnsi="Arial"/>
                <w:sz w:val="18"/>
                <w:szCs w:val="18"/>
                <w:color w:val="auto"/>
              </w:rPr>
              <w:t>116,435</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212,458</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investments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135,912</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47,856</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Pr>
          <w:p>
            <w:pPr>
              <w:ind w:left="440"/>
              <w:spacing w:after="0"/>
              <w:rPr>
                <w:sz w:val="20"/>
                <w:szCs w:val="20"/>
                <w:color w:val="auto"/>
              </w:rPr>
            </w:pPr>
            <w:r>
              <w:rPr>
                <w:rFonts w:ascii="Arial" w:cs="Arial" w:eastAsia="Arial" w:hAnsi="Arial"/>
                <w:sz w:val="18"/>
                <w:szCs w:val="18"/>
                <w:color w:val="auto"/>
              </w:rPr>
              <w:t>Long-term investments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56,613</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cash, cash equivalents and available-for-sale securities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308,960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260,314</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classify investments within Level 1 if quoted prices are available in active markets.</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We classify items in Level 2 if the investments are valued using observable inputs to quoted market prices, benchmark yields, reported trades, broker/dealer quotes or alternative pricing sources with reasonable levels of price transparency.</w:t>
      </w:r>
    </w:p>
    <w:p>
      <w:pPr>
        <w:spacing w:after="0" w:line="132" w:lineRule="exact"/>
        <w:rPr>
          <w:sz w:val="20"/>
          <w:szCs w:val="20"/>
          <w:color w:val="auto"/>
        </w:rPr>
      </w:pPr>
    </w:p>
    <w:p>
      <w:pPr>
        <w:ind w:right="1180" w:firstLine="456"/>
        <w:spacing w:after="0" w:line="268" w:lineRule="auto"/>
        <w:rPr>
          <w:sz w:val="20"/>
          <w:szCs w:val="20"/>
          <w:color w:val="auto"/>
        </w:rPr>
      </w:pPr>
      <w:r>
        <w:rPr>
          <w:rFonts w:ascii="Arial" w:cs="Arial" w:eastAsia="Arial" w:hAnsi="Arial"/>
          <w:sz w:val="18"/>
          <w:szCs w:val="18"/>
          <w:color w:val="auto"/>
        </w:rPr>
        <w:t>We did not hold financial assets or liabilities which were recorded at fair value using inputs in the Level 3 category as of June 30, 2010 and December 31,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consisted of the following ($ amounts in 000’s):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202"/>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Finished goods</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8,817</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12,121</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EQUIPMENT—Net</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76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6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consisted of the following ($ amounts in 000’s):</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1140" w:type="dxa"/>
            <w:vAlign w:val="bottom"/>
            <w:gridSpan w:val="4"/>
          </w:tcPr>
          <w:p>
            <w:pPr>
              <w:jc w:val="center"/>
              <w:ind w:left="35"/>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2010</w:t>
            </w:r>
          </w:p>
        </w:tc>
        <w:tc>
          <w:tcPr>
            <w:tcW w:w="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Evaluation units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9,887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8,887</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8,827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Leasehold improvements and tooling</w:t>
            </w:r>
          </w:p>
        </w:tc>
        <w:tc>
          <w:tcPr>
            <w:tcW w:w="4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4,155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and equipment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24,187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(17,450)</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(16,214)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4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Depreciation expense was $1.5 million and $1.2 million during the three months ended June 30, 2010 and June 28, 2009, respectively. Depreciation expense was $2.8 million and $2.4 million during the six months ended June 30, 2010 and June 28, 2009,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(LOSS) PER SHARE</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Basic net income (loss) per share is computed by dividing net income attributable to common stockholders by the weighted-average number of common shares outstanding during the period. Diluted net income (loss) per share is computed by dividing net income attributable to common stockholders by the weighted-average number of common shares outstanding, plus the dilutive effects of stock options and warrants.</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November 2009, all of our outstanding convertible preferred stock converted into common stock in connection with our initial public offering. For periods that ended prior to such conversion, net income per share information is computed using the two-class method. The convertible preferred shares were entitled to receive annual non-cumulative dividends of $0.02, $0.05, $0.12, $0.12 and $0.30 per share for Series A, B, C, D, and E, respectively, payable prior to and in preference to holders of common stock. After the payment of such dividends, convertible preferred shares were further entitled to receive a proportionate amount of any dividends paid on common stock on an if-converted basis. As a result of such dividend rights, the convertible preferred shares were considered to be participating securities. Under the two-class method of computing earnings per share, net income attributable to common stockholders is computed by an adjustment to subtract from net income the portion of current period earnings that the preferred shareholders would have been entitled to receive pursuant to their dividend rights had all of the period’s earnings been distributed. No such adjustment to earnings is made during periods with a net loss, as the holders of the convertible preferred shares had no obligation to fund losses.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Net income per share information for the quarter and six months ended June 28, 2009 gives effect to the repurchase of convertible preferred shares (Note 8). The excess of the fair value of the consideration paid for such preferred stock over the carrying value of the preferred stock represents a return to the preferred stockholders and is treated in a manner similar to the treatment of dividends paid to the holders of preferred stock in the computation of earnings per share. As a result, the premium paid is subtracted to derive net income attributable to common stockholders in determining earnings per share.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(loss) per share is as follows ($ and share amounts in 000’s, except per share amounts):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7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5"/>
              </w:rPr>
              <w:t>Three Months Ended</w:t>
            </w:r>
          </w:p>
        </w:tc>
        <w:tc>
          <w:tcPr>
            <w:tcW w:w="15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June 30,</w:t>
            </w: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June 28,</w:t>
            </w:r>
          </w:p>
        </w:tc>
        <w:tc>
          <w:tcPr>
            <w:tcW w:w="300" w:type="dxa"/>
            <w:vAlign w:val="bottom"/>
          </w:tcPr>
          <w:p>
            <w:pPr>
              <w:spacing w:after="0"/>
              <w:rPr>
                <w:sz w:val="11"/>
                <w:szCs w:val="11"/>
                <w:color w:val="auto"/>
              </w:rPr>
            </w:pPr>
          </w:p>
        </w:tc>
        <w:tc>
          <w:tcPr>
            <w:tcW w:w="88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June 30,</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June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2010</w:t>
            </w:r>
          </w:p>
        </w:tc>
        <w:tc>
          <w:tcPr>
            <w:tcW w:w="88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Net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6,869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4,576</w:t>
            </w:r>
          </w:p>
        </w:tc>
        <w:tc>
          <w:tcPr>
            <w:tcW w:w="3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11,087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Premium paid on repurchase of convertible preferred shares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(4,035)</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Income allocated to participating securities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(541)</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 - basic and diluted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11,087</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Basic shares: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Weighted-average common shares outstanding - basic</w:t>
            </w:r>
          </w:p>
        </w:tc>
        <w:tc>
          <w:tcPr>
            <w:tcW w:w="580" w:type="dxa"/>
            <w:vAlign w:val="bottom"/>
          </w:tcPr>
          <w:p>
            <w:pPr>
              <w:jc w:val="right"/>
              <w:spacing w:after="0"/>
              <w:rPr>
                <w:sz w:val="20"/>
                <w:szCs w:val="20"/>
                <w:color w:val="auto"/>
              </w:rPr>
            </w:pPr>
            <w:r>
              <w:rPr>
                <w:rFonts w:ascii="Arial" w:cs="Arial" w:eastAsia="Arial" w:hAnsi="Arial"/>
                <w:sz w:val="18"/>
                <w:szCs w:val="18"/>
                <w:color w:val="auto"/>
              </w:rPr>
              <w:t>68,495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20,574</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67,842</w:t>
            </w: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Diluted shares: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Weighted-average common shares outstanding - basic</w:t>
            </w:r>
          </w:p>
        </w:tc>
        <w:tc>
          <w:tcPr>
            <w:tcW w:w="580" w:type="dxa"/>
            <w:vAlign w:val="bottom"/>
          </w:tcPr>
          <w:p>
            <w:pPr>
              <w:jc w:val="right"/>
              <w:spacing w:after="0"/>
              <w:rPr>
                <w:sz w:val="20"/>
                <w:szCs w:val="20"/>
                <w:color w:val="auto"/>
              </w:rPr>
            </w:pPr>
            <w:r>
              <w:rPr>
                <w:rFonts w:ascii="Arial" w:cs="Arial" w:eastAsia="Arial" w:hAnsi="Arial"/>
                <w:sz w:val="18"/>
                <w:szCs w:val="18"/>
                <w:color w:val="auto"/>
              </w:rPr>
              <w:t>68,495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20,574</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67,842</w:t>
            </w: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potentially dilutive securities: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rPr>
              <w:t>Employee stock options</w:t>
            </w:r>
          </w:p>
        </w:tc>
        <w:tc>
          <w:tcPr>
            <w:tcW w:w="580" w:type="dxa"/>
            <w:vAlign w:val="bottom"/>
          </w:tcPr>
          <w:p>
            <w:pPr>
              <w:jc w:val="right"/>
              <w:spacing w:after="0"/>
              <w:rPr>
                <w:sz w:val="20"/>
                <w:szCs w:val="20"/>
                <w:color w:val="auto"/>
              </w:rPr>
            </w:pPr>
            <w:r>
              <w:rPr>
                <w:rFonts w:ascii="Arial" w:cs="Arial" w:eastAsia="Arial" w:hAnsi="Arial"/>
                <w:sz w:val="18"/>
                <w:szCs w:val="18"/>
                <w:color w:val="auto"/>
              </w:rPr>
              <w:t>7,057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5,968</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7,505</w:t>
            </w:r>
          </w:p>
        </w:tc>
        <w:tc>
          <w:tcPr>
            <w:tcW w:w="3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Warrants to purchase common stock</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rPr>
              <w:t>Convertible preferred stock</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37,476</w:t>
            </w:r>
          </w:p>
        </w:tc>
        <w:tc>
          <w:tcPr>
            <w:tcW w:w="300" w:type="dxa"/>
            <w:vAlign w:val="bottom"/>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to compute diluted net income (loss) per share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75,637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64,032</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75,433</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20,767</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0.09</w:t>
            </w:r>
          </w:p>
        </w:tc>
        <w:tc>
          <w:tcPr>
            <w:tcW w:w="3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0.15</w:t>
            </w:r>
          </w:p>
        </w:tc>
        <w:tc>
          <w:tcPr>
            <w:tcW w:w="3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has been allocated to the common and preferred stock based on their respective rights to share in dividends.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outstanding options, warrants and convertible preferred stock were excluded from the computation of diluted net income (loss) per common share applicable to common stockholders for the periods presented as their effect would have been antidilutive (in 000’s):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4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June 30,</w:t>
            </w: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June 28,</w:t>
            </w:r>
          </w:p>
        </w:tc>
        <w:tc>
          <w:tcPr>
            <w:tcW w:w="30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June 30,</w:t>
            </w: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June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4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9,799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89"/>
              </w:rPr>
              <w:t>Convertible preferred stock (on an if-converted to common stock basis)</w:t>
            </w:r>
          </w:p>
        </w:tc>
        <w:tc>
          <w:tcPr>
            <w:tcW w:w="2180" w:type="dxa"/>
            <w:vAlign w:val="bottom"/>
          </w:tcPr>
          <w:p>
            <w:pPr>
              <w:spacing w:after="0"/>
              <w:rPr>
                <w:sz w:val="18"/>
                <w:szCs w:val="18"/>
                <w:color w:val="auto"/>
              </w:rPr>
            </w:pPr>
          </w:p>
        </w:tc>
        <w:tc>
          <w:tcPr>
            <w:tcW w:w="58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37,476</w:t>
            </w:r>
          </w:p>
        </w:tc>
        <w:tc>
          <w:tcPr>
            <w:tcW w:w="4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47,275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180" w:type="dxa"/>
            <w:vAlign w:val="bottom"/>
            <w:vMerge w:val="restart"/>
          </w:tcPr>
          <w:p>
            <w:pPr>
              <w:jc w:val="right"/>
              <w:ind w:right="1852"/>
              <w:spacing w:after="0"/>
              <w:rPr>
                <w:sz w:val="20"/>
                <w:szCs w:val="20"/>
                <w:color w:val="auto"/>
              </w:rPr>
            </w:pPr>
            <w:r>
              <w:rPr>
                <w:rFonts w:ascii="Arial" w:cs="Arial" w:eastAsia="Arial" w:hAnsi="Arial"/>
                <w:sz w:val="18"/>
                <w:szCs w:val="18"/>
                <w:color w:val="auto"/>
              </w:rPr>
              <w:t>15</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DEFERRED REVENUES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revenues consisted of the following ($ amounts in 000’s):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900" w:type="dxa"/>
            <w:vAlign w:val="bottom"/>
          </w:tcPr>
          <w:p>
            <w:pPr>
              <w:jc w:val="right"/>
              <w:ind w:right="137"/>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6580" w:type="dxa"/>
            <w:vAlign w:val="bottom"/>
          </w:tcPr>
          <w:p>
            <w:pPr>
              <w:spacing w:after="0"/>
              <w:rPr>
                <w:sz w:val="14"/>
                <w:szCs w:val="14"/>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8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2009</w:t>
            </w: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4,141</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Services</w:t>
            </w:r>
          </w:p>
        </w:tc>
        <w:tc>
          <w:tcPr>
            <w:tcW w:w="900" w:type="dxa"/>
            <w:vAlign w:val="bottom"/>
          </w:tcPr>
          <w:p>
            <w:pPr>
              <w:jc w:val="right"/>
              <w:spacing w:after="0"/>
              <w:rPr>
                <w:sz w:val="20"/>
                <w:szCs w:val="20"/>
                <w:color w:val="auto"/>
              </w:rPr>
            </w:pPr>
            <w:r>
              <w:rPr>
                <w:rFonts w:ascii="Arial" w:cs="Arial" w:eastAsia="Arial" w:hAnsi="Arial"/>
                <w:sz w:val="18"/>
                <w:szCs w:val="18"/>
                <w:color w:val="auto"/>
              </w:rPr>
              <w:t>190,571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168,314</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Ratable products and services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29,470</w:t>
            </w:r>
          </w:p>
        </w:tc>
        <w:tc>
          <w:tcPr>
            <w:tcW w:w="3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29,475</w:t>
            </w: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Total deferred revenues</w:t>
            </w:r>
          </w:p>
        </w:tc>
        <w:tc>
          <w:tcPr>
            <w:tcW w:w="900" w:type="dxa"/>
            <w:vAlign w:val="bottom"/>
          </w:tcPr>
          <w:p>
            <w:pPr>
              <w:jc w:val="right"/>
              <w:spacing w:after="0"/>
              <w:rPr>
                <w:sz w:val="20"/>
                <w:szCs w:val="20"/>
                <w:color w:val="auto"/>
              </w:rPr>
            </w:pPr>
            <w:r>
              <w:rPr>
                <w:rFonts w:ascii="Arial" w:cs="Arial" w:eastAsia="Arial" w:hAnsi="Arial"/>
                <w:sz w:val="18"/>
                <w:szCs w:val="18"/>
                <w:color w:val="auto"/>
              </w:rPr>
              <w:t>225,521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201,930</w:t>
            </w:r>
          </w:p>
        </w:tc>
      </w:tr>
      <w:tr>
        <w:trPr>
          <w:trHeight w:val="20"/>
        </w:trPr>
        <w:tc>
          <w:tcPr>
            <w:tcW w:w="6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Reported As: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Current</w:t>
            </w:r>
          </w:p>
        </w:tc>
        <w:tc>
          <w:tcPr>
            <w:tcW w:w="900" w:type="dxa"/>
            <w:vAlign w:val="bottom"/>
          </w:tcPr>
          <w:p>
            <w:pPr>
              <w:jc w:val="right"/>
              <w:spacing w:after="0"/>
              <w:rPr>
                <w:sz w:val="20"/>
                <w:szCs w:val="20"/>
                <w:color w:val="auto"/>
              </w:rPr>
            </w:pPr>
            <w:r>
              <w:rPr>
                <w:rFonts w:ascii="Arial" w:cs="Arial" w:eastAsia="Arial" w:hAnsi="Arial"/>
                <w:sz w:val="18"/>
                <w:szCs w:val="18"/>
                <w:color w:val="auto"/>
              </w:rPr>
              <w:t>154,271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140,537</w:t>
            </w: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Non-current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71,250</w:t>
            </w:r>
          </w:p>
        </w:tc>
        <w:tc>
          <w:tcPr>
            <w:tcW w:w="3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61,393</w:t>
            </w: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Total deferred revenues</w:t>
            </w:r>
          </w:p>
        </w:tc>
        <w:tc>
          <w:tcPr>
            <w:tcW w:w="900" w:type="dxa"/>
            <w:vAlign w:val="bottom"/>
          </w:tcPr>
          <w:p>
            <w:pPr>
              <w:jc w:val="right"/>
              <w:spacing w:after="0"/>
              <w:rPr>
                <w:sz w:val="20"/>
                <w:szCs w:val="20"/>
                <w:color w:val="auto"/>
              </w:rPr>
            </w:pPr>
            <w:r>
              <w:rPr>
                <w:rFonts w:ascii="Arial" w:cs="Arial" w:eastAsia="Arial" w:hAnsi="Arial"/>
                <w:sz w:val="18"/>
                <w:szCs w:val="18"/>
                <w:color w:val="auto"/>
              </w:rPr>
              <w:t>225,521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201,930</w:t>
            </w:r>
          </w:p>
        </w:tc>
      </w:tr>
      <w:tr>
        <w:trPr>
          <w:trHeight w:val="20"/>
        </w:trPr>
        <w:tc>
          <w:tcPr>
            <w:tcW w:w="6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90" w:lineRule="exact"/>
        <w:rPr>
          <w:sz w:val="20"/>
          <w:szCs w:val="20"/>
          <w:color w:val="auto"/>
        </w:rPr>
      </w:pPr>
    </w:p>
    <w:p>
      <w:pPr>
        <w:jc w:val="both"/>
        <w:ind w:right="200" w:firstLine="456"/>
        <w:spacing w:after="0" w:line="310" w:lineRule="auto"/>
        <w:rPr>
          <w:sz w:val="20"/>
          <w:szCs w:val="20"/>
          <w:color w:val="auto"/>
        </w:rPr>
      </w:pPr>
      <w:r>
        <w:rPr>
          <w:rFonts w:ascii="Arial" w:cs="Arial" w:eastAsia="Arial" w:hAnsi="Arial"/>
          <w:sz w:val="16"/>
          <w:szCs w:val="16"/>
          <w:b w:val="1"/>
          <w:bCs w:val="1"/>
          <w:color w:val="auto"/>
        </w:rPr>
        <w:t>Leases and Minimum Royalties</w:t>
      </w:r>
      <w:r>
        <w:rPr>
          <w:rFonts w:ascii="Arial" w:cs="Arial" w:eastAsia="Arial" w:hAnsi="Arial"/>
          <w:sz w:val="16"/>
          <w:szCs w:val="16"/>
          <w:color w:val="auto"/>
        </w:rPr>
        <w:t>—We lease our facilities under various noncancelable operating leases, which expire through 2015. Rent expense was</w:t>
      </w:r>
      <w:r>
        <w:rPr>
          <w:rFonts w:ascii="Arial" w:cs="Arial" w:eastAsia="Arial" w:hAnsi="Arial"/>
          <w:sz w:val="16"/>
          <w:szCs w:val="16"/>
          <w:b w:val="1"/>
          <w:bCs w:val="1"/>
          <w:color w:val="auto"/>
        </w:rPr>
        <w:t xml:space="preserve"> </w:t>
      </w:r>
      <w:r>
        <w:rPr>
          <w:rFonts w:ascii="Arial" w:cs="Arial" w:eastAsia="Arial" w:hAnsi="Arial"/>
          <w:sz w:val="16"/>
          <w:szCs w:val="16"/>
          <w:color w:val="auto"/>
        </w:rPr>
        <w:t>$1.8 million and $1.5 million for the three months ended June 30, 2010 and June 28, 2009, respectively, and $3.5 million and $2.9 million for the six months ended June 30, 2010 and June 28, 2009, respectively. Rent expense is recognized using the straight-line method over the term of the lease.</w:t>
      </w:r>
    </w:p>
    <w:p>
      <w:pPr>
        <w:spacing w:after="0" w:line="10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entered into a Settlement and Patent License Agreement with Trend Micro in January 2006 (see Litigation section below). The aggregate future noncancelable minimum rental payments on operating leases and minimum royalties payable if we continued paying under the Trend Micro Settlement and License Agreement as of June 30, 2010 are as follows ($ amounts in 000’s):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860" w:type="dxa"/>
            <w:vAlign w:val="bottom"/>
          </w:tcPr>
          <w:p>
            <w:pPr>
              <w:jc w:val="right"/>
              <w:ind w:right="157"/>
              <w:spacing w:after="0"/>
              <w:rPr>
                <w:sz w:val="20"/>
                <w:szCs w:val="20"/>
                <w:color w:val="auto"/>
              </w:rPr>
            </w:pPr>
            <w:r>
              <w:rPr>
                <w:rFonts w:ascii="Arial" w:cs="Arial" w:eastAsia="Arial" w:hAnsi="Arial"/>
                <w:sz w:val="14"/>
                <w:szCs w:val="14"/>
                <w:b w:val="1"/>
                <w:bCs w:val="1"/>
                <w:color w:val="auto"/>
              </w:rPr>
              <w:t>Rental</w:t>
            </w:r>
          </w:p>
        </w:tc>
        <w:tc>
          <w:tcPr>
            <w:tcW w:w="260" w:type="dxa"/>
            <w:vAlign w:val="bottom"/>
          </w:tcPr>
          <w:p>
            <w:pPr>
              <w:spacing w:after="0"/>
              <w:rPr>
                <w:sz w:val="14"/>
                <w:szCs w:val="14"/>
                <w:color w:val="auto"/>
              </w:rPr>
            </w:pPr>
          </w:p>
        </w:tc>
        <w:tc>
          <w:tcPr>
            <w:tcW w:w="88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9"/>
              </w:rPr>
              <w:t xml:space="preserve">Royalty </w:t>
            </w:r>
            <w:r>
              <w:rPr>
                <w:rFonts w:ascii="Arial" w:cs="Arial" w:eastAsia="Arial" w:hAnsi="Arial"/>
                <w:sz w:val="22"/>
                <w:szCs w:val="22"/>
                <w:b w:val="1"/>
                <w:bCs w:val="1"/>
                <w:color w:val="auto"/>
                <w:w w:val="99"/>
                <w:vertAlign w:val="superscript"/>
              </w:rPr>
              <w:t>(1)</w:t>
            </w:r>
          </w:p>
        </w:tc>
        <w:tc>
          <w:tcPr>
            <w:tcW w:w="0" w:type="dxa"/>
            <w:vAlign w:val="bottom"/>
          </w:tcPr>
          <w:p>
            <w:pPr>
              <w:spacing w:after="0"/>
              <w:rPr>
                <w:sz w:val="1"/>
                <w:szCs w:val="1"/>
                <w:color w:val="auto"/>
              </w:rPr>
            </w:pPr>
          </w:p>
        </w:tc>
      </w:tr>
      <w:tr>
        <w:trPr>
          <w:trHeight w:val="161"/>
        </w:trPr>
        <w:tc>
          <w:tcPr>
            <w:tcW w:w="6680" w:type="dxa"/>
            <w:vAlign w:val="bottom"/>
          </w:tcPr>
          <w:p>
            <w:pPr>
              <w:spacing w:after="0"/>
              <w:rPr>
                <w:sz w:val="14"/>
                <w:szCs w:val="14"/>
                <w:color w:val="auto"/>
              </w:rPr>
            </w:pPr>
          </w:p>
        </w:tc>
        <w:tc>
          <w:tcPr>
            <w:tcW w:w="8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Payment</w:t>
            </w:r>
          </w:p>
        </w:tc>
        <w:tc>
          <w:tcPr>
            <w:tcW w:w="26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Fiscal Years: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2010 (remainder)</w:t>
            </w:r>
          </w:p>
        </w:tc>
        <w:tc>
          <w:tcPr>
            <w:tcW w:w="860" w:type="dxa"/>
            <w:vAlign w:val="bottom"/>
          </w:tcPr>
          <w:p>
            <w:pPr>
              <w:jc w:val="right"/>
              <w:spacing w:after="0"/>
              <w:rPr>
                <w:sz w:val="20"/>
                <w:szCs w:val="20"/>
                <w:color w:val="auto"/>
              </w:rPr>
            </w:pPr>
            <w:r>
              <w:rPr>
                <w:rFonts w:ascii="Arial" w:cs="Arial" w:eastAsia="Arial" w:hAnsi="Arial"/>
                <w:sz w:val="18"/>
                <w:szCs w:val="18"/>
                <w:color w:val="auto"/>
              </w:rPr>
              <w:t>5,242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2012</w:t>
            </w:r>
          </w:p>
        </w:tc>
        <w:tc>
          <w:tcPr>
            <w:tcW w:w="860" w:type="dxa"/>
            <w:vAlign w:val="bottom"/>
          </w:tcPr>
          <w:p>
            <w:pPr>
              <w:jc w:val="right"/>
              <w:spacing w:after="0"/>
              <w:rPr>
                <w:sz w:val="20"/>
                <w:szCs w:val="20"/>
                <w:color w:val="auto"/>
              </w:rPr>
            </w:pPr>
            <w:r>
              <w:rPr>
                <w:rFonts w:ascii="Arial" w:cs="Arial" w:eastAsia="Arial" w:hAnsi="Arial"/>
                <w:sz w:val="18"/>
                <w:szCs w:val="18"/>
                <w:color w:val="auto"/>
              </w:rPr>
              <w:t>4,426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2014</w:t>
            </w:r>
          </w:p>
        </w:tc>
        <w:tc>
          <w:tcPr>
            <w:tcW w:w="860" w:type="dxa"/>
            <w:vAlign w:val="bottom"/>
          </w:tcPr>
          <w:p>
            <w:pPr>
              <w:jc w:val="right"/>
              <w:spacing w:after="0"/>
              <w:rPr>
                <w:sz w:val="20"/>
                <w:szCs w:val="20"/>
                <w:color w:val="auto"/>
              </w:rPr>
            </w:pPr>
            <w:r>
              <w:rPr>
                <w:rFonts w:ascii="Arial" w:cs="Arial" w:eastAsia="Arial" w:hAnsi="Arial"/>
                <w:sz w:val="18"/>
                <w:szCs w:val="18"/>
                <w:color w:val="auto"/>
              </w:rPr>
              <w:t>1,775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2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2"/>
        </w:trPr>
        <w:tc>
          <w:tcPr>
            <w:tcW w:w="668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jc w:val="right"/>
              <w:spacing w:after="0"/>
              <w:rPr>
                <w:sz w:val="20"/>
                <w:szCs w:val="20"/>
                <w:color w:val="auto"/>
              </w:rPr>
            </w:pPr>
            <w:r>
              <w:rPr>
                <w:rFonts w:ascii="Arial" w:cs="Arial" w:eastAsia="Arial" w:hAnsi="Arial"/>
                <w:sz w:val="18"/>
                <w:szCs w:val="18"/>
                <w:color w:val="auto"/>
              </w:rPr>
              <w:t>22,142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line="29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minimum royalties claimed by Trend Micro pursuant to the January 2006 settlement and license agreement between Trend Micro and Fortinet, which are subject to dispute. See “Part II: Item 1 - Legal Proceedings.” The $500,000 listed in the chart above as the “2010 (remainder)” represent the minimum royalties, pursuant to the settlement and license agreement, for the third and fourth quarters of fiscal 2010. We have accrued $3.0 million as of June 30, 2010 related to amounts under the settlement and license agreement which have not been paid pursuant to the dispute.</w:t>
      </w:r>
    </w:p>
    <w:p>
      <w:pPr>
        <w:spacing w:after="0" w:line="107" w:lineRule="exact"/>
        <w:rPr>
          <w:sz w:val="20"/>
          <w:szCs w:val="20"/>
          <w:color w:val="auto"/>
        </w:rPr>
      </w:pPr>
    </w:p>
    <w:p>
      <w:pPr>
        <w:ind w:right="140" w:firstLine="456"/>
        <w:spacing w:after="0" w:line="296" w:lineRule="auto"/>
        <w:rPr>
          <w:sz w:val="20"/>
          <w:szCs w:val="20"/>
          <w:color w:val="auto"/>
        </w:rPr>
      </w:pPr>
      <w:r>
        <w:rPr>
          <w:rFonts w:ascii="Arial" w:cs="Arial" w:eastAsia="Arial" w:hAnsi="Arial"/>
          <w:sz w:val="16"/>
          <w:szCs w:val="16"/>
          <w:b w:val="1"/>
          <w:bCs w:val="1"/>
          <w:color w:val="auto"/>
        </w:rPr>
        <w:t>Contract Manufacturer Commitments</w:t>
      </w:r>
      <w:r>
        <w:rPr>
          <w:rFonts w:ascii="Arial" w:cs="Arial" w:eastAsia="Arial" w:hAnsi="Arial"/>
          <w:sz w:val="16"/>
          <w:szCs w:val="16"/>
          <w:color w:val="auto"/>
        </w:rPr>
        <w:t>—Our independent contract manufacturers procure components and build our products based on our forecasts.</w:t>
      </w:r>
      <w:r>
        <w:rPr>
          <w:rFonts w:ascii="Arial" w:cs="Arial" w:eastAsia="Arial" w:hAnsi="Arial"/>
          <w:sz w:val="16"/>
          <w:szCs w:val="16"/>
          <w:b w:val="1"/>
          <w:bCs w:val="1"/>
          <w:color w:val="auto"/>
        </w:rPr>
        <w:t xml:space="preserve"> </w:t>
      </w:r>
      <w:r>
        <w:rPr>
          <w:rFonts w:ascii="Arial" w:cs="Arial" w:eastAsia="Arial" w:hAnsi="Arial"/>
          <w:sz w:val="16"/>
          <w:szCs w:val="16"/>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June 30, 2010, we had $20.8 million of open purchase orders with our independent contract manufacturers that may not be cancelable.</w:t>
      </w:r>
    </w:p>
    <w:p>
      <w:pPr>
        <w:spacing w:after="0" w:line="108"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Litigation</w:t>
      </w:r>
      <w:r>
        <w:rPr>
          <w:rFonts w:ascii="Arial" w:cs="Arial" w:eastAsia="Arial" w:hAnsi="Arial"/>
          <w:sz w:val="18"/>
          <w:szCs w:val="18"/>
          <w:color w:val="auto"/>
        </w:rPr>
        <w:t>—The Company is subject to certain other legal proceedings and claims that have arisen in the ordinary course of business and have not been</w:t>
      </w:r>
      <w:r>
        <w:rPr>
          <w:rFonts w:ascii="Arial" w:cs="Arial" w:eastAsia="Arial" w:hAnsi="Arial"/>
          <w:sz w:val="18"/>
          <w:szCs w:val="18"/>
          <w:b w:val="1"/>
          <w:bCs w:val="1"/>
          <w:color w:val="auto"/>
        </w:rPr>
        <w:t xml:space="preserve"> </w:t>
      </w:r>
      <w:r>
        <w:rPr>
          <w:rFonts w:ascii="Arial" w:cs="Arial" w:eastAsia="Arial" w:hAnsi="Arial"/>
          <w:sz w:val="18"/>
          <w:szCs w:val="18"/>
          <w:color w:val="auto"/>
        </w:rPr>
        <w:t>fully adjudicated, which are discussed in “Part II: Item 1 - Legal Proceedings” of this Quarterly Report on Form 10-Q. Although no assurance may be given, we believe that we are not presently a party to any litigation the outcome of which will individually or in the aggregate be reasonably expected to have a material adverse effect on our business, operating results, cash flows, or financial condition.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—Under the indemnification provisions of our standard sales contracts, we agree to defend our customers against third-party claims</w:t>
      </w:r>
      <w:r>
        <w:rPr>
          <w:rFonts w:ascii="Arial" w:cs="Arial" w:eastAsia="Arial" w:hAnsi="Arial"/>
          <w:sz w:val="18"/>
          <w:szCs w:val="18"/>
          <w:b w:val="1"/>
          <w:bCs w:val="1"/>
          <w:color w:val="auto"/>
        </w:rPr>
        <w:t xml:space="preserve"> </w:t>
      </w:r>
      <w:r>
        <w:rPr>
          <w:rFonts w:ascii="Arial" w:cs="Arial" w:eastAsia="Arial" w:hAnsi="Arial"/>
          <w:sz w:val="18"/>
          <w:szCs w:val="18"/>
          <w:color w:val="auto"/>
        </w:rPr>
        <w:t>asserting infringement of certain intellectual property rights, which may include patents, copyrights, trademarks, or trade secrets, and to pay judgments entered on such claims. Our exposure under these indemnification provisions is generally limited to the total amount paid by our customer under the agreement. However, certain agreements include indemnification provisions that could potentially expose us to losses in excess of the amount received under the agreement. To date, there have been no claims under such indemnification provisions.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Common Shares Reserved for Issuance</w:t>
      </w:r>
      <w:r>
        <w:rPr>
          <w:rFonts w:ascii="Arial" w:cs="Arial" w:eastAsia="Arial" w:hAnsi="Arial"/>
          <w:sz w:val="16"/>
          <w:szCs w:val="16"/>
          <w:color w:val="auto"/>
        </w:rPr>
        <w:t>—At June 30, 2010, we had reserved shares of common stock for issuance as follows (in 000’s):</w:t>
      </w:r>
    </w:p>
    <w:p>
      <w:pPr>
        <w:spacing w:after="0" w:line="249"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Reserved under stock option plans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w:t>
            </w: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22,741</w:t>
            </w: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b w:val="1"/>
          <w:bCs w:val="1"/>
          <w:color w:val="auto"/>
        </w:rPr>
        <w:t>Stock Repurchase</w:t>
      </w:r>
      <w:r>
        <w:rPr>
          <w:rFonts w:ascii="Arial" w:cs="Arial" w:eastAsia="Arial" w:hAnsi="Arial"/>
          <w:sz w:val="16"/>
          <w:szCs w:val="16"/>
          <w:color w:val="auto"/>
        </w:rPr>
        <w:t>—While we were a privately-held company, during the first six months of fiscal 2009, our board of directors approved a stock</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 authorization. This repurchase authorization allowed us to repurchase up to $20.0 million of our convertible preferred and common stock at $4.25 per share through June 17, 2009. This repurchase authorization expressly excluded our board members and senior management. We repurchased 704,632 shares of common stock and 3,004,165 shares of convertible preferred stock for a total consideration of $15.7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PLANS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2000 Stock Plan</w:t>
      </w:r>
      <w:r>
        <w:rPr>
          <w:rFonts w:ascii="Arial" w:cs="Arial" w:eastAsia="Arial" w:hAnsi="Arial"/>
          <w:sz w:val="18"/>
          <w:szCs w:val="18"/>
          <w:color w:val="auto"/>
        </w:rPr>
        <w:t>—During 2000, we adopted the 2000 Stock Option Plan, which was amended and restated in April 2006 and further amended in March</w:t>
      </w:r>
      <w:r>
        <w:rPr>
          <w:rFonts w:ascii="Arial" w:cs="Arial" w:eastAsia="Arial" w:hAnsi="Arial"/>
          <w:sz w:val="18"/>
          <w:szCs w:val="18"/>
          <w:b w:val="1"/>
          <w:bCs w:val="1"/>
          <w:color w:val="auto"/>
        </w:rPr>
        <w:t xml:space="preserve"> </w:t>
      </w:r>
      <w:r>
        <w:rPr>
          <w:rFonts w:ascii="Arial" w:cs="Arial" w:eastAsia="Arial" w:hAnsi="Arial"/>
          <w:sz w:val="18"/>
          <w:szCs w:val="18"/>
          <w:color w:val="auto"/>
        </w:rPr>
        <w:t>2008 (the “Amended and Restated 2000 Stock Plan”). The Amended and Restated 2000 Stock Plan includes both incentive and non-statutory stock options. Under the Amended and Restated 2000 Stock Plan, we may grant options to purchase up to 21,500,000 shares of common stock to employees, directors and other service providers at prices not less than the fair market value at date of grant for incentive stock options and not less than 85% of fair market value for non-statutory options. Options granted to a person who, at the time of the grant, owns more than 10% of the voting power of all classes of stock shall be at no less than 110% of the fair market value and expire five years from the date of grant. All other options generally have a contractual term of 10 years. Options generally vest over four years.</w:t>
      </w:r>
    </w:p>
    <w:p>
      <w:pPr>
        <w:spacing w:after="0" w:line="14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2008 Stock Plan</w:t>
      </w:r>
      <w:r>
        <w:rPr>
          <w:rFonts w:ascii="Arial" w:cs="Arial" w:eastAsia="Arial" w:hAnsi="Arial"/>
          <w:sz w:val="18"/>
          <w:szCs w:val="18"/>
          <w:color w:val="auto"/>
        </w:rPr>
        <w:t>—On January 28, 2008, our board of directors approved the 2008 Stock Plan (the “2008 Plan”) and French Sub-Plan, which includes both</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and non-statutory stock options. The maximum aggregate number of shares which may be subject to options and sold under the 2008 Plan and the French Sub-Plan is 5,000,000 shares, plus any shares that, as of the date of stockholder approval of the 2008 Plan, have been reserved but not issued under the 2000 Plan or shares subject to stock options or similar awards granted under the 2000 Plan that expire or otherwise terminate without having been exercised in full or that are forfeited to or repurchased by us.</w:t>
      </w:r>
    </w:p>
    <w:p>
      <w:pPr>
        <w:spacing w:after="0" w:line="14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Under the 2008 Plan and the French Sub-Plan, we may grant options to employees, directors and other service providers. In the case of an incentive stock option granted to an employee, who at the time of grant, owns stock representing more than 10% of the total combined voting power of all classes of stock, the exercise price shall be no less than 110% of the fair market value per share on the date of grant and expire five years from the date of grant, and for options granted to any other employee, the per share exercise price shall be no less than 100% of the fair market value per share on the date of grant. In the case of a nonstatutory stock option and options granted to other service providers, the per share exercise price shall be no less than 100% of the fair market value per share on the date of grant.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b w:val="1"/>
          <w:bCs w:val="1"/>
          <w:color w:val="auto"/>
        </w:rPr>
        <w:t>2009 Equity Incentive Plan</w:t>
      </w:r>
      <w:r>
        <w:rPr>
          <w:rFonts w:ascii="Arial" w:cs="Arial" w:eastAsia="Arial" w:hAnsi="Arial"/>
          <w:sz w:val="15"/>
          <w:szCs w:val="15"/>
          <w:color w:val="auto"/>
        </w:rPr>
        <w:t>—On November 17, 2009, our board of directors approved the 2009 Equity Incentive Plan (the “2009 Plan”) and French Sub-Plan, which includes awards of stock options, stock appreciation rights, restricted stock, restricted stock units, and performance units or performance shares. The maximum aggregate number of shares that may be issued under the 2009 Plan is 9,000,000 shares, plus any shares subject to stock options or similar awards granted under the 2008 Plan and the Amended and Restated 2000 Stock Plan that expire or otherwise terminate without having been exercised in full and shares issued pursuant to awards granted under the 2008 Plan and the Amended and Restated 2000 Stock Plan that are forfeited to or repurchased by the Company, with the maximum number of shares to be added to the 2009 Plan pursuant to such terminations, forfeitures and repurchases not to exceed 21,000,000 shares. The shares may be authorized, but unissued or reacquired common stock. The number of shares available for issuance under the 2009 Plan will be increased on the first day of each fiscal year beginning with the 2011 fiscal year, in an amount equal to the lesser of (i) 7,000,000 shares, (ii) five percent (5%) of the outstanding shares on the last day of the immediately preceding fiscal year, or (iii) such number of shares determined by the board of directors.</w:t>
      </w:r>
    </w:p>
    <w:p>
      <w:pPr>
        <w:spacing w:after="0" w:line="10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2009 Plan and the French Sub-Plan, we may grant awards to employees, directors and other service providers. In the case of an incentive stock option granted to an employee who, at the time of the grant, owns stock representing more than 10% of the voting power of all classes of stock, the exercise price shall be no less than 110% of the fair market value per share on the date of grant and expire five years from the date of grant, and for options granted to any other employee, the per share exercise price shall be no less than 100% of the fair market value per share on the date of grant. In the case of a non statutory stock option and options granted to other service providers, the per share exercise price shall be no less than 100% of the fair market value per share on the date of grant. Options granted to individuals owning less than 10% of the total combined voting power of all classes of stock generally have a contractual term of seven years, and options generally vest over four years.</w:t>
      </w:r>
    </w:p>
    <w:p>
      <w:pPr>
        <w:spacing w:after="0" w:line="112" w:lineRule="exact"/>
        <w:rPr>
          <w:sz w:val="20"/>
          <w:szCs w:val="20"/>
          <w:color w:val="auto"/>
        </w:rPr>
      </w:pPr>
    </w:p>
    <w:p>
      <w:pPr>
        <w:jc w:val="both"/>
        <w:ind w:right="260" w:firstLine="456"/>
        <w:spacing w:after="0" w:line="339" w:lineRule="auto"/>
        <w:rPr>
          <w:sz w:val="20"/>
          <w:szCs w:val="20"/>
          <w:color w:val="auto"/>
        </w:rPr>
      </w:pPr>
      <w:r>
        <w:rPr>
          <w:rFonts w:ascii="Arial" w:cs="Arial" w:eastAsia="Arial" w:hAnsi="Arial"/>
          <w:sz w:val="15"/>
          <w:szCs w:val="15"/>
          <w:b w:val="1"/>
          <w:bCs w:val="1"/>
          <w:color w:val="auto"/>
        </w:rPr>
        <w:t>Stock-based compensation under ASC 718</w:t>
      </w:r>
      <w:r>
        <w:rPr>
          <w:rFonts w:ascii="Arial" w:cs="Arial" w:eastAsia="Arial" w:hAnsi="Arial"/>
          <w:sz w:val="15"/>
          <w:szCs w:val="15"/>
          <w:color w:val="auto"/>
        </w:rPr>
        <w:t>—We apply ASC 718 to our stock option grants, which requires compensation costs related to share-based</w:t>
      </w:r>
      <w:r>
        <w:rPr>
          <w:rFonts w:ascii="Arial" w:cs="Arial" w:eastAsia="Arial" w:hAnsi="Arial"/>
          <w:sz w:val="15"/>
          <w:szCs w:val="15"/>
          <w:b w:val="1"/>
          <w:bCs w:val="1"/>
          <w:color w:val="auto"/>
        </w:rPr>
        <w:t xml:space="preserve"> </w:t>
      </w:r>
      <w:r>
        <w:rPr>
          <w:rFonts w:ascii="Arial" w:cs="Arial" w:eastAsia="Arial" w:hAnsi="Arial"/>
          <w:sz w:val="15"/>
          <w:szCs w:val="15"/>
          <w:color w:val="auto"/>
        </w:rPr>
        <w:t>transactions, including employee stock options, to be recognized in the financial statements based on fair value. Under ASC 718, the fair value of each option award is estimated on the grant date using the Black-Scholes option pricing model. We determined weighted-average valuation assumptions as follows: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method</w:t>
      </w:r>
      <w:r>
        <w:rPr>
          <w:rFonts w:ascii="Arial" w:cs="Arial" w:eastAsia="Arial" w:hAnsi="Arial"/>
          <w:sz w:val="18"/>
          <w:szCs w:val="18"/>
          <w:color w:val="auto"/>
        </w:rPr>
        <w:t>—We estimate the fair value of stock options granted using the Black-Scholes valuation model.</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our stock-based awards are expected to be outstanding. As we do not have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experience for determining the expected term of the stock option awards granted, we have based our expected term on the simplified method available under ASC 718-10 (formerly referred to as Staff Accounting Bulletin 110).</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computation of expected volatility for the periods presented includes the historical and implied stock volatility of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from a representative peer group selected based on industry and market capitalization data as we did not have sufficient trading history to calculate it directly.</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the shares of common stock that underlie the stock options we have granted has historically been</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our board of directors. Because there was no public market for our common stock, prior to our initial public offering in November 2009, our board determined the fair value of our common stock at the time of grant of the option by considering a number of objective and subjective factors, our sales of preferred stock to unrelated third parties, our operating and financial performance, the lack of liquidity of our capital stock and trends in the broader network security and computer networking market.</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—We base the risk-free interest rate used in the Black-Scholes valuation model on the implied yield available 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zero-coupon issues with an equivalent remaining term.</w:t>
      </w:r>
    </w:p>
    <w:p>
      <w:pPr>
        <w:spacing w:after="0" w:line="132" w:lineRule="exact"/>
        <w:rPr>
          <w:sz w:val="20"/>
          <w:szCs w:val="20"/>
          <w:color w:val="auto"/>
        </w:rPr>
      </w:pPr>
    </w:p>
    <w:p>
      <w:pPr>
        <w:jc w:val="center"/>
        <w:ind w:left="260" w:right="440"/>
        <w:spacing w:after="0" w:line="440"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expected dividend weighted-average assumption is based on our current expectations about our anticipated dividend policy.</w:t>
      </w:r>
      <w:r>
        <w:rPr>
          <w:rFonts w:ascii="Arial" w:cs="Arial" w:eastAsia="Arial" w:hAnsi="Arial"/>
          <w:sz w:val="18"/>
          <w:szCs w:val="18"/>
          <w:i w:val="1"/>
          <w:iCs w:val="1"/>
          <w:color w:val="auto"/>
        </w:rPr>
        <w:t xml:space="preserve"> </w:t>
      </w: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weighted-average assumptions relating to our stock options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gridSpan w:val="7"/>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780" w:type="dxa"/>
            <w:vAlign w:val="bottom"/>
            <w:gridSpan w:val="5"/>
          </w:tcPr>
          <w:p>
            <w:pPr>
              <w:jc w:val="right"/>
              <w:ind w:right="304"/>
              <w:spacing w:after="0"/>
              <w:rPr>
                <w:sz w:val="20"/>
                <w:szCs w:val="20"/>
                <w:color w:val="auto"/>
              </w:rPr>
            </w:pPr>
            <w:r>
              <w:rPr>
                <w:rFonts w:ascii="Arial" w:cs="Arial" w:eastAsia="Arial" w:hAnsi="Arial"/>
                <w:sz w:val="14"/>
                <w:szCs w:val="14"/>
                <w:b w:val="1"/>
                <w:bCs w:val="1"/>
                <w:color w:val="auto"/>
              </w:rPr>
              <w:t>Six Months Ended</w:t>
            </w:r>
          </w:p>
        </w:tc>
      </w:tr>
      <w:tr>
        <w:trPr>
          <w:trHeight w:val="129"/>
        </w:trPr>
        <w:tc>
          <w:tcPr>
            <w:tcW w:w="9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June 30,</w:t>
            </w:r>
          </w:p>
        </w:tc>
        <w:tc>
          <w:tcPr>
            <w:tcW w:w="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June 28,</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28,</w:t>
            </w:r>
          </w:p>
        </w:tc>
      </w:tr>
      <w:tr>
        <w:trPr>
          <w:trHeight w:val="161"/>
        </w:trPr>
        <w:tc>
          <w:tcPr>
            <w:tcW w:w="9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87"/>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2009</w:t>
            </w:r>
          </w:p>
        </w:tc>
      </w:tr>
      <w:tr>
        <w:trPr>
          <w:trHeight w:val="210"/>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Volatility (%)</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37.6 - 40.5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50.1 - 51.8</w:t>
            </w:r>
          </w:p>
        </w:tc>
      </w:tr>
      <w:tr>
        <w:trPr>
          <w:trHeight w:val="216"/>
        </w:trPr>
        <w:tc>
          <w:tcPr>
            <w:tcW w:w="9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Dividend rate (%)</w:t>
            </w:r>
          </w:p>
        </w:tc>
        <w:tc>
          <w:tcPr>
            <w:tcW w:w="40" w:type="dxa"/>
            <w:vAlign w:val="bottom"/>
          </w:tcPr>
          <w:p>
            <w:pPr>
              <w:spacing w:after="0"/>
              <w:rPr>
                <w:sz w:val="18"/>
                <w:szCs w:val="18"/>
                <w:color w:val="auto"/>
              </w:rPr>
            </w:pPr>
          </w:p>
        </w:tc>
        <w:tc>
          <w:tcPr>
            <w:tcW w:w="7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60" w:type="dxa"/>
            <w:vAlign w:val="bottom"/>
          </w:tcPr>
          <w:p>
            <w:pPr>
              <w:jc w:val="right"/>
              <w:ind w:right="24"/>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2.3 - 2.4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1.3 - 1.6</w:t>
            </w:r>
          </w:p>
        </w:tc>
      </w:tr>
      <w:tr>
        <w:trPr>
          <w:trHeight w:val="222"/>
        </w:trPr>
        <w:tc>
          <w:tcPr>
            <w:tcW w:w="9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370"/>
        </w:trPr>
        <w:tc>
          <w:tcPr>
            <w:tcW w:w="7800" w:type="dxa"/>
            <w:vAlign w:val="bottom"/>
            <w:gridSpan w:val="10"/>
          </w:tcPr>
          <w:p>
            <w:pPr>
              <w:spacing w:after="0"/>
              <w:rPr>
                <w:sz w:val="20"/>
                <w:szCs w:val="20"/>
                <w:color w:val="auto"/>
              </w:rPr>
            </w:pPr>
            <w:r>
              <w:rPr>
                <w:rFonts w:ascii="Arial" w:cs="Arial" w:eastAsia="Arial" w:hAnsi="Arial"/>
                <w:sz w:val="18"/>
                <w:szCs w:val="18"/>
                <w:color w:val="auto"/>
                <w:w w:val="94"/>
              </w:rPr>
              <w:t>Stock-based compensation expense is included in costs and expenses as follows ($ amounts in 000’s):</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3"/>
        </w:trPr>
        <w:tc>
          <w:tcPr>
            <w:tcW w:w="9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1780" w:type="dxa"/>
            <w:vAlign w:val="bottom"/>
            <w:gridSpan w:val="5"/>
          </w:tcPr>
          <w:p>
            <w:pPr>
              <w:jc w:val="right"/>
              <w:ind w:right="284"/>
              <w:spacing w:after="0"/>
              <w:rPr>
                <w:sz w:val="20"/>
                <w:szCs w:val="20"/>
                <w:color w:val="auto"/>
              </w:rPr>
            </w:pPr>
            <w:r>
              <w:rPr>
                <w:rFonts w:ascii="Arial" w:cs="Arial" w:eastAsia="Arial" w:hAnsi="Arial"/>
                <w:sz w:val="14"/>
                <w:szCs w:val="14"/>
                <w:b w:val="1"/>
                <w:bCs w:val="1"/>
                <w:color w:val="auto"/>
              </w:rPr>
              <w:t>Six Months Ended</w:t>
            </w:r>
          </w:p>
        </w:tc>
      </w:tr>
      <w:tr>
        <w:trPr>
          <w:trHeight w:val="129"/>
        </w:trPr>
        <w:tc>
          <w:tcPr>
            <w:tcW w:w="9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w w:val="89"/>
              </w:rPr>
              <w:t>June 28,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top w:val="single" w:sz="8" w:color="auto"/>
            </w:tcBorders>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28,</w:t>
            </w:r>
          </w:p>
        </w:tc>
      </w:tr>
      <w:tr>
        <w:trPr>
          <w:trHeight w:val="161"/>
        </w:trPr>
        <w:tc>
          <w:tcPr>
            <w:tcW w:w="9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r>
      <w:tr>
        <w:trPr>
          <w:trHeight w:val="210"/>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Cost of services revenue</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296</w:t>
            </w:r>
          </w:p>
        </w:tc>
      </w:tr>
      <w:tr>
        <w:trPr>
          <w:trHeight w:val="216"/>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16"/>
        </w:trPr>
        <w:tc>
          <w:tcPr>
            <w:tcW w:w="9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Sales and marketing</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897</w:t>
            </w:r>
          </w:p>
        </w:tc>
        <w:tc>
          <w:tcPr>
            <w:tcW w:w="2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692</w:t>
            </w:r>
          </w:p>
        </w:tc>
        <w:tc>
          <w:tcPr>
            <w:tcW w:w="2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1,763</w:t>
            </w: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1,336</w:t>
            </w:r>
          </w:p>
        </w:tc>
      </w:tr>
      <w:tr>
        <w:trPr>
          <w:trHeight w:val="216"/>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r>
      <w:tr>
        <w:trPr>
          <w:trHeight w:val="222"/>
        </w:trPr>
        <w:tc>
          <w:tcPr>
            <w:tcW w:w="9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2,264</w:t>
            </w:r>
          </w:p>
        </w:tc>
        <w:tc>
          <w:tcPr>
            <w:tcW w:w="22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1,793</w:t>
            </w:r>
          </w:p>
        </w:tc>
        <w:tc>
          <w:tcPr>
            <w:tcW w:w="2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4,412</w:t>
            </w:r>
          </w:p>
        </w:tc>
        <w:tc>
          <w:tcPr>
            <w:tcW w:w="2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3,343</w:t>
            </w:r>
          </w:p>
        </w:tc>
      </w:tr>
      <w:tr>
        <w:trPr>
          <w:trHeight w:val="20"/>
        </w:trPr>
        <w:tc>
          <w:tcPr>
            <w:tcW w:w="9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summary of the option activity under our stock plans and changes during the reporting periods are presented below (in 000’s,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Options Outstanding</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Weighted-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4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Shares</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Remaining</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Available</w:t>
            </w: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8"/>
              </w:rPr>
              <w:t>Number</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4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For Grant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4"/>
              </w:rPr>
              <w:t>Of Shares</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Price ($)</w:t>
            </w:r>
          </w:p>
        </w:tc>
        <w:tc>
          <w:tcPr>
            <w:tcW w:w="40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Life (Years)</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 xml:space="preserve">Value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2009</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9,049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17,205</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(1,521)</w:t>
            </w:r>
          </w:p>
        </w:tc>
        <w:tc>
          <w:tcPr>
            <w:tcW w:w="580" w:type="dxa"/>
            <w:vAlign w:val="bottom"/>
          </w:tcPr>
          <w:p>
            <w:pPr>
              <w:jc w:val="right"/>
              <w:spacing w:after="0"/>
              <w:rPr>
                <w:sz w:val="20"/>
                <w:szCs w:val="20"/>
                <w:color w:val="auto"/>
              </w:rPr>
            </w:pPr>
            <w:r>
              <w:rPr>
                <w:rFonts w:ascii="Arial" w:cs="Arial" w:eastAsia="Arial" w:hAnsi="Arial"/>
                <w:sz w:val="18"/>
                <w:szCs w:val="18"/>
                <w:color w:val="auto"/>
              </w:rPr>
              <w:t>1,521</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16.90</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464</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Exercised (aggregate intrinsic value of $48,021)</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(3,654)</w:t>
            </w:r>
          </w:p>
        </w:tc>
        <w:tc>
          <w:tcPr>
            <w:tcW w:w="580" w:type="dxa"/>
            <w:vAlign w:val="bottom"/>
          </w:tcPr>
          <w:p>
            <w:pPr>
              <w:jc w:val="right"/>
              <w:spacing w:after="0"/>
              <w:rPr>
                <w:sz w:val="20"/>
                <w:szCs w:val="20"/>
                <w:color w:val="auto"/>
              </w:rPr>
            </w:pPr>
            <w:r>
              <w:rPr>
                <w:rFonts w:ascii="Arial" w:cs="Arial" w:eastAsia="Arial" w:hAnsi="Arial"/>
                <w:sz w:val="18"/>
                <w:szCs w:val="18"/>
                <w:color w:val="auto"/>
              </w:rPr>
              <w:t>3.43</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Balance—June 30, 2010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7,992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14,608</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expected to vest—June 30, 2010</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6.45</w:t>
            </w:r>
          </w:p>
        </w:tc>
        <w:tc>
          <w:tcPr>
            <w:tcW w:w="1500" w:type="dxa"/>
            <w:vAlign w:val="bottom"/>
            <w:gridSpan w:val="3"/>
            <w:vMerge w:val="restart"/>
          </w:tcPr>
          <w:p>
            <w:pPr>
              <w:jc w:val="right"/>
              <w:ind w:right="400"/>
              <w:spacing w:after="0"/>
              <w:rPr>
                <w:sz w:val="20"/>
                <w:szCs w:val="20"/>
                <w:color w:val="auto"/>
              </w:rPr>
            </w:pPr>
            <w:r>
              <w:rPr>
                <w:rFonts w:ascii="Arial" w:cs="Arial" w:eastAsia="Arial" w:hAnsi="Arial"/>
                <w:sz w:val="18"/>
                <w:szCs w:val="18"/>
                <w:color w:val="auto"/>
              </w:rPr>
              <w:t>4.97</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6"/>
              </w:rPr>
              <w:t>142,797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14,236</w:t>
            </w:r>
          </w:p>
        </w:tc>
        <w:tc>
          <w:tcPr>
            <w:tcW w:w="4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exercisable—June 30, 2010</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4.48</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105,219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At June 30, 2010, total compensation cost related to unvested stock-based awards granted to employees under our stock plans but not yet recognized was $21.1 million, net of estimated forfeitures. This cost is expected to be amortized on a straight-line basis over a weighted-average period of 2.53 years. Future option grants will increase the amount of compensation expense to be recorded in these periods.</w:t>
      </w:r>
    </w:p>
    <w:p>
      <w:pPr>
        <w:spacing w:after="0" w:line="14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total fair value of awards vested under our stock plans was $1.7 million and $2.0 million for the three months ended June 30, 2010 and June 28, 2009, respectively. The total fair value of awards vested under our stock plans was $5.0 million and $2.9 million for the six months ended June 30, 2010 and</w:t>
      </w:r>
    </w:p>
    <w:p>
      <w:pPr>
        <w:ind w:right="60"/>
        <w:spacing w:after="0" w:line="261" w:lineRule="auto"/>
        <w:rPr>
          <w:sz w:val="20"/>
          <w:szCs w:val="20"/>
          <w:color w:val="auto"/>
        </w:rPr>
      </w:pPr>
      <w:r>
        <w:rPr>
          <w:rFonts w:ascii="Arial" w:cs="Arial" w:eastAsia="Arial" w:hAnsi="Arial"/>
          <w:sz w:val="18"/>
          <w:szCs w:val="18"/>
          <w:color w:val="auto"/>
        </w:rPr>
        <w:t>June 28, 2009, respectively. The weighted-average fair value of options granted during the second quarter of 2010 was $5.99 per share, and during the six months ended June 30, 2010 was $6.24 per share.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260" w:firstLine="456"/>
        <w:spacing w:after="0" w:line="293" w:lineRule="auto"/>
        <w:rPr>
          <w:sz w:val="20"/>
          <w:szCs w:val="20"/>
          <w:color w:val="auto"/>
        </w:rPr>
      </w:pPr>
      <w:r>
        <w:rPr>
          <w:rFonts w:ascii="Arial" w:cs="Arial" w:eastAsia="Arial" w:hAnsi="Arial"/>
          <w:sz w:val="16"/>
          <w:szCs w:val="16"/>
          <w:b w:val="1"/>
          <w:bCs w:val="1"/>
          <w:color w:val="auto"/>
        </w:rPr>
        <w:t>Non-employees</w:t>
      </w:r>
      <w:r>
        <w:rPr>
          <w:rFonts w:ascii="Arial" w:cs="Arial" w:eastAsia="Arial" w:hAnsi="Arial"/>
          <w:sz w:val="16"/>
          <w:szCs w:val="16"/>
          <w:color w:val="auto"/>
        </w:rPr>
        <w:t>—During the three months ended June 30, 2010 and June 28, 2009, no options were granted to non-employees in exchange for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During the six months ended June 30, 2010, we issued options to purchase 9,400 shares of common stock, at an exercise price of $16.86 per share, to non-employees in exchange for services. No options were granted to non-employees in exchange for services during the six months ended June 28, 2009. These options vest over periods of up to 48 months, and in accordance with ASC 505-50 (formerly referred to as EITF Issue No. 96-18, </w:t>
      </w:r>
      <w:r>
        <w:rPr>
          <w:rFonts w:ascii="Arial" w:cs="Arial" w:eastAsia="Arial" w:hAnsi="Arial"/>
          <w:sz w:val="16"/>
          <w:szCs w:val="16"/>
          <w:i w:val="1"/>
          <w:iCs w:val="1"/>
          <w:color w:val="auto"/>
        </w:rPr>
        <w:t>Accounting for Equity</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that are Issued to Other Than Employees for Acquiring, or in Conjunction with Selling Goods or Services</w:t>
      </w:r>
      <w:r>
        <w:rPr>
          <w:rFonts w:ascii="Arial" w:cs="Arial" w:eastAsia="Arial" w:hAnsi="Arial"/>
          <w:sz w:val="16"/>
          <w:szCs w:val="16"/>
          <w:color w:val="auto"/>
        </w:rPr>
        <w:t>), we accounted for these options as</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awards. The options were valued using the Black-Scholes option pricing model with the following weighted-average assumptions:</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980" w:type="dxa"/>
            <w:vAlign w:val="bottom"/>
            <w:tcBorders>
              <w:bottom w:val="single" w:sz="8" w:color="auto"/>
            </w:tcBorders>
            <w:gridSpan w:val="3"/>
          </w:tcPr>
          <w:p>
            <w:pPr>
              <w:jc w:val="right"/>
              <w:ind w:right="306"/>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2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4"/>
                <w:szCs w:val="14"/>
                <w:b w:val="1"/>
                <w:bCs w:val="1"/>
                <w:color w:val="auto"/>
              </w:rPr>
              <w:t>Six Months Ended</w:t>
            </w:r>
          </w:p>
        </w:tc>
      </w:tr>
      <w:tr>
        <w:trPr>
          <w:trHeight w:val="129"/>
        </w:trPr>
        <w:tc>
          <w:tcPr>
            <w:tcW w:w="4420" w:type="dxa"/>
            <w:vAlign w:val="bottom"/>
          </w:tcPr>
          <w:p>
            <w:pPr>
              <w:spacing w:after="0"/>
              <w:rPr>
                <w:sz w:val="11"/>
                <w:szCs w:val="11"/>
                <w:color w:val="auto"/>
              </w:rPr>
            </w:pPr>
          </w:p>
        </w:tc>
        <w:tc>
          <w:tcPr>
            <w:tcW w:w="860" w:type="dxa"/>
            <w:vAlign w:val="bottom"/>
          </w:tcPr>
          <w:p>
            <w:pPr>
              <w:jc w:val="right"/>
              <w:ind w:right="121"/>
              <w:spacing w:after="0" w:line="129"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1"/>
                <w:szCs w:val="11"/>
                <w:color w:val="auto"/>
              </w:rPr>
            </w:pPr>
          </w:p>
        </w:tc>
        <w:tc>
          <w:tcPr>
            <w:tcW w:w="860" w:type="dxa"/>
            <w:vAlign w:val="bottom"/>
          </w:tcPr>
          <w:p>
            <w:pPr>
              <w:jc w:val="right"/>
              <w:ind w:right="126"/>
              <w:spacing w:after="0" w:line="129" w:lineRule="exact"/>
              <w:rPr>
                <w:sz w:val="20"/>
                <w:szCs w:val="20"/>
                <w:color w:val="auto"/>
              </w:rPr>
            </w:pPr>
            <w:r>
              <w:rPr>
                <w:rFonts w:ascii="Arial" w:cs="Arial" w:eastAsia="Arial" w:hAnsi="Arial"/>
                <w:sz w:val="14"/>
                <w:szCs w:val="14"/>
                <w:b w:val="1"/>
                <w:bCs w:val="1"/>
                <w:color w:val="auto"/>
              </w:rPr>
              <w:t>June 28,</w:t>
            </w:r>
          </w:p>
        </w:tc>
        <w:tc>
          <w:tcPr>
            <w:tcW w:w="260" w:type="dxa"/>
            <w:vAlign w:val="bottom"/>
          </w:tcPr>
          <w:p>
            <w:pPr>
              <w:spacing w:after="0"/>
              <w:rPr>
                <w:sz w:val="11"/>
                <w:szCs w:val="11"/>
                <w:color w:val="auto"/>
              </w:rPr>
            </w:pPr>
          </w:p>
        </w:tc>
        <w:tc>
          <w:tcPr>
            <w:tcW w:w="880" w:type="dxa"/>
            <w:vAlign w:val="bottom"/>
          </w:tcPr>
          <w:p>
            <w:pPr>
              <w:jc w:val="right"/>
              <w:ind w:right="127"/>
              <w:spacing w:after="0" w:line="129"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1"/>
                <w:szCs w:val="11"/>
                <w:color w:val="auto"/>
              </w:rPr>
            </w:pPr>
          </w:p>
        </w:tc>
        <w:tc>
          <w:tcPr>
            <w:tcW w:w="880" w:type="dxa"/>
            <w:vAlign w:val="bottom"/>
          </w:tcPr>
          <w:p>
            <w:pPr>
              <w:jc w:val="right"/>
              <w:ind w:right="126"/>
              <w:spacing w:after="0" w:line="129" w:lineRule="exact"/>
              <w:rPr>
                <w:sz w:val="20"/>
                <w:szCs w:val="20"/>
                <w:color w:val="auto"/>
              </w:rPr>
            </w:pPr>
            <w:r>
              <w:rPr>
                <w:rFonts w:ascii="Arial" w:cs="Arial" w:eastAsia="Arial" w:hAnsi="Arial"/>
                <w:sz w:val="14"/>
                <w:szCs w:val="14"/>
                <w:b w:val="1"/>
                <w:bCs w:val="1"/>
                <w:color w:val="auto"/>
              </w:rPr>
              <w:t>June 28,</w:t>
            </w:r>
          </w:p>
        </w:tc>
      </w:tr>
      <w:tr>
        <w:trPr>
          <w:trHeight w:val="161"/>
        </w:trPr>
        <w:tc>
          <w:tcPr>
            <w:tcW w:w="4420" w:type="dxa"/>
            <w:vAlign w:val="bottom"/>
          </w:tcPr>
          <w:p>
            <w:pPr>
              <w:spacing w:after="0"/>
              <w:rPr>
                <w:sz w:val="14"/>
                <w:szCs w:val="14"/>
                <w:color w:val="auto"/>
              </w:rPr>
            </w:pPr>
          </w:p>
        </w:tc>
        <w:tc>
          <w:tcPr>
            <w:tcW w:w="8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86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ind w:right="227"/>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2009</w:t>
            </w: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Volatility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37.6 - 40.5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50.1 - 51.8</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Dividend rate (%)</w:t>
            </w: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ind w:right="2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2.3 - 2.4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1.3 - 1.6</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4.82 - 6.50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3.58 - 7.25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4.82 - 6.75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3.58 - 7.49</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effective tax rate was 33.1% for the three months ended June 30, 2010, compared to an effective tax rate of 12.5% for the three months ended June 28, 2009. The effective tax rate was 34.7% for the six months ended June 30, 2010, compared to an effective tax rate of 13.6% for the six months ended June 28, 2009. The provision for income taxes for the quarter and six months ended June 30, 2010 is comprised of foreign income taxes, U.S. federal and state taxes, and withholding tax. The provision for income taxes for the quarter and six months ended June 28, 2009 is comprised primarily of foreign income taxes, U.S. federal alternative minimum tax, state income taxes, and withholding tax.</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June 30, 2010 and December 31, 2009, unrecognized tax benefits determined in accordance with authoritative guidance on accounting for uncertainty in income taxes, approximated $3.4 million for both periods. There were no significant changes in the unrecognized tax benefits for this period. The total amount of unrecognized tax benefits, if recognized, would favorably impact the effective tax rate.</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For the three and six months ended June 30, 2010 and June 28, 2009, interest and penalties related to unrecognized tax benefits were immaterial. We do not expect any material unrecognized tax benefits to expire within the next twelve months.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have established a 401(k) tax-deferred savings plan (the “401(k) Plan”) which permits participants to make contributions by salary deduction pursuant to Section 401(k) of the Internal Revenue Code. We are responsible for administrative costs of the 401(k) Plan and have made no contributions to the 401(k) Plan since inception.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CERTAIN RELATIONSHIPS AND RELATED PARTY TRANSACTIONS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the three and six months ended June 28, 2009, we paid compensation of $41,000 and $85,000, respectively, to two employees who are directly related to a former board member. This individual ceased being a board member as of October 2009.</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February 2008, we entered into a 23-month non-cancelable facility lease agreement, determined to be an arms’ length transaction, with an entity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affiliated with one of our former board members. Under the terms of the agreement, in 2008, we paid approximately $284,000 for tenant improvements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$316,000 for a refundable deposit. For the three and six months ended June 28, 2009 we paid $249,000 and $499,000, respectively, for office rent and operating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The lease expired on December 31,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ASC 280 (formerly referred to as SFAS No. 131, </w:t>
      </w:r>
      <w:r>
        <w:rPr>
          <w:rFonts w:ascii="Arial" w:cs="Arial" w:eastAsia="Arial" w:hAnsi="Arial"/>
          <w:sz w:val="16"/>
          <w:szCs w:val="16"/>
          <w:i w:val="1"/>
          <w:iCs w:val="1"/>
          <w:color w:val="auto"/>
        </w:rPr>
        <w:t>Disclosures about Segments of an Enterprise and Related Information)</w:t>
      </w:r>
      <w:r>
        <w:rPr>
          <w:rFonts w:ascii="Arial" w:cs="Arial" w:eastAsia="Arial" w:hAnsi="Arial"/>
          <w:sz w:val="16"/>
          <w:szCs w:val="16"/>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are considered to be in a single reportable segment and operating unit structure.</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Revenue by geographic region is based on the billing address of the customer. The following tables set forth revenue, interest income and property and equipment by geographic region ($ amounts in 000’s):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3"/>
          </w:tcPr>
          <w:p>
            <w:pPr>
              <w:jc w:val="right"/>
              <w:ind w:right="37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4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28,</w:t>
            </w:r>
          </w:p>
        </w:tc>
        <w:tc>
          <w:tcPr>
            <w:tcW w:w="42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4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28,</w:t>
            </w:r>
          </w:p>
        </w:tc>
        <w:tc>
          <w:tcPr>
            <w:tcW w:w="0" w:type="dxa"/>
            <w:vAlign w:val="bottom"/>
          </w:tcPr>
          <w:p>
            <w:pPr>
              <w:spacing w:after="0"/>
              <w:rPr>
                <w:sz w:val="1"/>
                <w:szCs w:val="1"/>
                <w:color w:val="auto"/>
              </w:rPr>
            </w:pPr>
          </w:p>
        </w:tc>
      </w:tr>
      <w:tr>
        <w:trPr>
          <w:trHeight w:val="161"/>
        </w:trPr>
        <w:tc>
          <w:tcPr>
            <w:tcW w:w="3580" w:type="dxa"/>
            <w:vAlign w:val="bottom"/>
            <w:gridSpan w:val="6"/>
          </w:tcPr>
          <w:p>
            <w:pPr>
              <w:spacing w:after="0"/>
              <w:rPr>
                <w:sz w:val="20"/>
                <w:szCs w:val="20"/>
                <w:color w:val="auto"/>
              </w:rPr>
            </w:pPr>
            <w:r>
              <w:rPr>
                <w:rFonts w:ascii="Arial" w:cs="Arial" w:eastAsia="Arial" w:hAnsi="Arial"/>
                <w:sz w:val="14"/>
                <w:szCs w:val="14"/>
                <w:b w:val="1"/>
                <w:bCs w:val="1"/>
                <w:color w:val="auto"/>
              </w:rPr>
              <w:t>Revenue</w:t>
            </w:r>
          </w:p>
        </w:tc>
        <w:tc>
          <w:tcPr>
            <w:tcW w:w="1520" w:type="dxa"/>
            <w:vAlign w:val="bottom"/>
            <w:gridSpan w:val="2"/>
          </w:tcPr>
          <w:p>
            <w:pPr>
              <w:jc w:val="center"/>
              <w:ind w:left="659"/>
              <w:spacing w:after="0"/>
              <w:rPr>
                <w:sz w:val="20"/>
                <w:szCs w:val="20"/>
                <w:color w:val="auto"/>
              </w:rPr>
            </w:pPr>
            <w:r>
              <w:rPr>
                <w:rFonts w:ascii="Arial" w:cs="Arial" w:eastAsia="Arial" w:hAnsi="Arial"/>
                <w:sz w:val="14"/>
                <w:szCs w:val="14"/>
                <w:b w:val="1"/>
                <w:bCs w:val="1"/>
                <w:color w:val="auto"/>
                <w:w w:val="83"/>
              </w:rPr>
              <w:t>2010</w:t>
            </w:r>
          </w:p>
        </w:tc>
        <w:tc>
          <w:tcPr>
            <w:tcW w:w="1180" w:type="dxa"/>
            <w:vAlign w:val="bottom"/>
            <w:gridSpan w:val="2"/>
          </w:tcPr>
          <w:p>
            <w:pPr>
              <w:jc w:val="center"/>
              <w:ind w:left="320"/>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122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Americas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28,890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22,597</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Europe, Middle East and Africa (EMEA)</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29,482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23,003</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56,556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43,785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Asia Pacific and Japan (APAC)</w:t>
            </w:r>
          </w:p>
        </w:tc>
        <w:tc>
          <w:tcPr>
            <w:tcW w:w="7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17,959</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15,745</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36,863</w:t>
            </w:r>
          </w:p>
        </w:tc>
        <w:tc>
          <w:tcPr>
            <w:tcW w:w="4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gridSpan w:val="4"/>
          </w:tcPr>
          <w:p>
            <w:pPr>
              <w:ind w:left="400"/>
              <w:spacing w:after="0"/>
              <w:rPr>
                <w:sz w:val="20"/>
                <w:szCs w:val="20"/>
                <w:color w:val="auto"/>
              </w:rPr>
            </w:pPr>
            <w:r>
              <w:rPr>
                <w:rFonts w:ascii="Arial" w:cs="Arial" w:eastAsia="Arial" w:hAnsi="Arial"/>
                <w:sz w:val="18"/>
                <w:szCs w:val="18"/>
                <w:color w:val="auto"/>
              </w:rPr>
              <w:t>Total revenue</w:t>
            </w:r>
          </w:p>
        </w:tc>
        <w:tc>
          <w:tcPr>
            <w:tcW w:w="7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76,331</w:t>
            </w:r>
          </w:p>
        </w:tc>
        <w:tc>
          <w:tcPr>
            <w:tcW w:w="4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61,345</w:t>
            </w:r>
          </w:p>
        </w:tc>
        <w:tc>
          <w:tcPr>
            <w:tcW w:w="4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146,126</w:t>
            </w:r>
          </w:p>
        </w:tc>
        <w:tc>
          <w:tcPr>
            <w:tcW w:w="4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3"/>
          </w:tcPr>
          <w:p>
            <w:pPr>
              <w:jc w:val="right"/>
              <w:ind w:right="37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4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28,</w:t>
            </w:r>
          </w:p>
        </w:tc>
        <w:tc>
          <w:tcPr>
            <w:tcW w:w="42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4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80" w:type="dxa"/>
            <w:vAlign w:val="bottom"/>
            <w:gridSpan w:val="6"/>
          </w:tcPr>
          <w:p>
            <w:pPr>
              <w:spacing w:after="0"/>
              <w:rPr>
                <w:sz w:val="20"/>
                <w:szCs w:val="20"/>
                <w:color w:val="auto"/>
              </w:rPr>
            </w:pPr>
            <w:r>
              <w:rPr>
                <w:rFonts w:ascii="Arial" w:cs="Arial" w:eastAsia="Arial" w:hAnsi="Arial"/>
                <w:sz w:val="14"/>
                <w:szCs w:val="14"/>
                <w:b w:val="1"/>
                <w:bCs w:val="1"/>
                <w:color w:val="auto"/>
              </w:rPr>
              <w:t>Interest Income</w:t>
            </w:r>
          </w:p>
        </w:tc>
        <w:tc>
          <w:tcPr>
            <w:tcW w:w="1520" w:type="dxa"/>
            <w:vAlign w:val="bottom"/>
            <w:gridSpan w:val="2"/>
          </w:tcPr>
          <w:p>
            <w:pPr>
              <w:jc w:val="center"/>
              <w:ind w:left="659"/>
              <w:spacing w:after="0"/>
              <w:rPr>
                <w:sz w:val="20"/>
                <w:szCs w:val="20"/>
                <w:color w:val="auto"/>
              </w:rPr>
            </w:pPr>
            <w:r>
              <w:rPr>
                <w:rFonts w:ascii="Arial" w:cs="Arial" w:eastAsia="Arial" w:hAnsi="Arial"/>
                <w:sz w:val="14"/>
                <w:szCs w:val="14"/>
                <w:b w:val="1"/>
                <w:bCs w:val="1"/>
                <w:color w:val="auto"/>
                <w:w w:val="83"/>
              </w:rPr>
              <w:t>2010</w:t>
            </w:r>
          </w:p>
        </w:tc>
        <w:tc>
          <w:tcPr>
            <w:tcW w:w="1180" w:type="dxa"/>
            <w:vAlign w:val="bottom"/>
            <w:gridSpan w:val="2"/>
          </w:tcPr>
          <w:p>
            <w:pPr>
              <w:jc w:val="center"/>
              <w:ind w:left="320"/>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122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85"/>
              </w:rPr>
              <w:t>June 28,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Americas</w:t>
            </w:r>
          </w:p>
        </w:tc>
        <w:tc>
          <w:tcPr>
            <w:tcW w:w="2680" w:type="dxa"/>
            <w:vAlign w:val="bottom"/>
            <w:gridSpan w:val="2"/>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EMEA</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APAC</w:t>
            </w: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gridSpan w:val="4"/>
          </w:tcPr>
          <w:p>
            <w:pPr>
              <w:ind w:left="400"/>
              <w:spacing w:after="0"/>
              <w:rPr>
                <w:sz w:val="20"/>
                <w:szCs w:val="20"/>
                <w:color w:val="auto"/>
              </w:rPr>
            </w:pPr>
            <w:r>
              <w:rPr>
                <w:rFonts w:ascii="Arial" w:cs="Arial" w:eastAsia="Arial" w:hAnsi="Arial"/>
                <w:sz w:val="18"/>
                <w:szCs w:val="18"/>
                <w:color w:val="auto"/>
              </w:rPr>
              <w:t>Total interest income</w:t>
            </w:r>
          </w:p>
        </w:tc>
        <w:tc>
          <w:tcPr>
            <w:tcW w:w="7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4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4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4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22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3580" w:type="dxa"/>
            <w:vAlign w:val="bottom"/>
            <w:gridSpan w:val="6"/>
          </w:tcPr>
          <w:p>
            <w:pPr>
              <w:spacing w:after="0"/>
              <w:rPr>
                <w:sz w:val="20"/>
                <w:szCs w:val="20"/>
                <w:color w:val="auto"/>
              </w:rPr>
            </w:pPr>
            <w:r>
              <w:rPr>
                <w:rFonts w:ascii="Arial" w:cs="Arial" w:eastAsia="Arial" w:hAnsi="Arial"/>
                <w:sz w:val="14"/>
                <w:szCs w:val="14"/>
                <w:b w:val="1"/>
                <w:bCs w:val="1"/>
                <w:color w:val="auto"/>
              </w:rPr>
              <w:t>Property and Equipment</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122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Americas</w:t>
            </w:r>
          </w:p>
        </w:tc>
        <w:tc>
          <w:tcPr>
            <w:tcW w:w="2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EMEA</w:t>
            </w: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APAC</w:t>
            </w: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4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gridSpan w:val="4"/>
          </w:tcPr>
          <w:p>
            <w:pPr>
              <w:ind w:left="400"/>
              <w:spacing w:after="0"/>
              <w:rPr>
                <w:sz w:val="20"/>
                <w:szCs w:val="20"/>
                <w:color w:val="auto"/>
              </w:rPr>
            </w:pPr>
            <w:r>
              <w:rPr>
                <w:rFonts w:ascii="Arial" w:cs="Arial" w:eastAsia="Arial" w:hAnsi="Arial"/>
                <w:sz w:val="18"/>
                <w:szCs w:val="18"/>
                <w:color w:val="auto"/>
              </w:rPr>
              <w:t>Total property and equipment—net</w:t>
            </w: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6,737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20" w:type="dxa"/>
            <w:vAlign w:val="bottom"/>
            <w:gridSpan w:val="2"/>
            <w:vMerge w:val="restart"/>
          </w:tcPr>
          <w:p>
            <w:pPr>
              <w:jc w:val="right"/>
              <w:ind w:right="601"/>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statements concerning our expectations:</w:t>
      </w:r>
    </w:p>
    <w:p>
      <w:pPr>
        <w:spacing w:after="0" w:line="59"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regarding the significance of stock compensation as an expense;</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regarding the proportion of our revenue that consists of our service revenues and future trends with respect to service revenue as we renew existing services contracts and expand our customer base;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regarding the percentage of our revenue attributable to ratable product and services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regarding our royalty payments to Trend Micro;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regarding trends in our costs of revenues, services gross margin and overall gross margin;</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regarding trends in our operating expenses, including personnel costs, research and development expense, sales and marketing expense and general and administrative expense;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regarding the sufficiency of our existing cash and cash equivalents to meet our cash needs for at least the next 12 months;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regarding the impact of inflation and foreign currency exchange rates;</w:t>
      </w:r>
    </w:p>
    <w:p>
      <w:pPr>
        <w:spacing w:after="0" w:line="17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as well as other statements regarding our future operations, financial condition and prospects and business strategies.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included elsewhere in this Quarterly Report on Form 10-Q and in our other Securities and Exchange Commission filings, including our Annual Report on Form 10-K for the year ended December 31, 2009, which was filed on March 5, 2010.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 leading provider of network security appliances and a market leader in Unified Threat Management (“UTM”) network security solutions. We provide broad, integrated and high performance protection against dynamic security threats while simplifying the IT security infrastructure for enterprises, service providers and government entities worldwide. As of June 30, 2010, we had shipped over 575,000 appliances to more than 5,000 channel partners and to more than 100,000 end-customers worldwide, including a majority of the 2009 Fortune Global 100.</w:t>
      </w:r>
    </w:p>
    <w:p>
      <w:pPr>
        <w:spacing w:after="0" w:line="11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Our core UTM product line of FortiGate appliances ships with a set of security and networking capabilities, including firewall, VPN, antivirus, intrusion prevention, Web filtering, antispam and WAN acceleration functionality. We derive a substantial majority of product sales from our FortiGate appliances, which range from the FortiGate-30, designed for small businesses and branch offices, to the FortiGate-5000 series for large enterprises and service providers. On an annual basis for each of the last three fiscal years, sales of FortiGate products have generally been balanced across entry-level (FortiGate-30 to -100 series), mid-range (FortiGate-200 to -800 series) and high-end (FortiGate-1000 to -5000 series) models with each product category representing approximately one-third of FortiGate sales, with normal variances from quarter to quarter. For example, in the second quarter of 2010 the percentage of our FortiGate related billings from the high-end category was 35% versus 30% in the second quarter of 2009, while the entry-level category decreased from 39% to 35% over the same period, and the mid-range category remained flat. Our UTM solution also includes our FortiGuard security subscription services, which end-customers can subscribe to in order to obtain access to dynamic updates to the antivirus, intrusion prevention, Web filtering and antispam functionality included in our appliances. End-customers can also choose to purchase FortiCare technical support services for our products. We complement our core FortiGate product line with other appliances and software that offer additional protection from security threats to other critical areas of the enterprise, such as messaging, Web-based traffic and databases, and employee computers or handheld devices. During the quarter, we introduced new technology that extended or enhanced our FortiGate, FortiWeb, FortiManager, FortiAnalyzer and FortiScan appliance families.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a global, geographically diversified business, with more than 60% of our total revenue generated outside of the Americas region. For the three months ended June 30, 2010, $28.9 million, or 38%, of our total revenue was generated from the Americas, representing an increase of 28% over the same period of the prior year. EMEA generated $29.5 million, or 39%, of our total revenue during the three months ended June 30, 2010, representing an increase of 28% over the same period of the prior year. APAC generated $18.0 million, or 23%, of our total revenue during the three months ended June 30, 2010, representing an increase of 14% compared to the same period of the prior year. We sell globally in U.S. dollars, while our international expenses are denominated in local currencies.</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Billings is a non-GAAP financial measure that we define as total revenue plus the change in deferred revenue (further described below), was $90.3 million, an increase of 31% compared to the second quarter of 2009. We saw an increase in the number of deals involving sales that were greater than $100,000 and a substantial increase in the number of deals greater than $500,000 compared to the same quarter in the prior year. We believe that significant factors driving this increase relate to greater visibility, improved branding and transparency from being a public company, which enabled us to further penetrate the enterprise and service provider markets.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Total revenue was $76.3 million for the three months ended June 30, 2010, an increase of 24% compared to the same period in the prior year. Product revenue was $31.0 million, an increase of 27% compared to the three months ended June 28, 2009. A factor in the product revenue growth was the introduction of new products over the past year. Services revenue was $41.0 million, an increase of 22% compared to the three months ended June 28, 2009. Services revenue provides a source of recurring revenue for us, representing 54% and 55% of total revenue for the three months ended June 30, 2010 and June 28, 2009, respectively, and is important to our future revenue and profitability. Ratable product and services revenue was $4.3 million, an increase of 27% compared to the three months ended June 28, 2009.</w:t>
      </w:r>
    </w:p>
    <w:p>
      <w:pPr>
        <w:spacing w:after="0" w:line="14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total operating expenses were $46.4 million for the three months ended June 30, 2010, an increase of 18% compared to the same period in the prior year. Specifically, the 24% increase in revenues over the 14% increase in sales and marketing expense from the same period in the prior year demonstrates the leverage that we are achieving from the investment in our sales force during prior quarters. Although we expect to continue to realize efficiency gains in sales and marketing expense, any additional leverage we realize will be at a decreasing rate. We are also seeing efficiencies in our overall headcount as our annualized second quarter of 2010 revenue per employee, defined as quarterly revenue, annualized and divided by average headcount, has reached $241,000, up from $215,000 for the second quarter of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sales strategy is based on a distribution model whereby we primarily sell our products and services directly to distributors who sell to resellers and service providers, who, in turn, sell to our end-customers. In certain cases, we sell directly to government-focused resellers, large service providers and major systems integrators, who have significant purchasing power and unique customer deployment requirements. Typically, FortiGuard security subscription services and FortiCare technical support services are purchased along with our appliances. We invoice at the time of our sale for the total price of the products and subscription and support services, and the invoice generally becomes payable within 30 to 90 days. We generally recognize product revenue up-front but defer revenue for the sale of new and renewal subscription and support services contracts. We recognize the related services revenue over the service period, which is typically one year from the date the end-customer registers for these services (the date on which the services can first be used by the customer), although, it could be longer as we are experiencing growth in sales of multi-year support and subscription contracts. As a result, our sales of new and renewal services increase our deferred revenue balance, which contributes significantly to our positive cash flow from operations.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monitor the key financial metrics set forth below to help us evaluate growth trends, establish budgets, measure the effectiveness of our sales and marketing efforts and assess operational efficiencies. Our total deferred revenue increased by $14.0 million from $211.5 million at March 31, 2010 to $225.5 million at June 30, 2010. Revenue recognized plus the change in deferred revenue from the beginning to the end of the period is a useful metric that management identifies as billings. Billings for services drive deferred revenue, which is an important indicator of the health and visibility of our business, and has historically represented a majority of the quarterly revenue that we recognize. We also ended the second quarter of 2010 with $309.0 million in cash, cash equivalents and investments and have had positive cash flow from operations every fiscal year since 2005. We discuss revenue, gross margin, and the components of operating income and margin below under “Components of Operating Results,” and we discuss our cash, cash equivalents, and investments under “Liquidity and Capital Resources.” Deferred revenue and cash flow from operations are discussed immediately below the following table.</w:t>
      </w:r>
    </w:p>
    <w:p>
      <w:pPr>
        <w:spacing w:after="0" w:line="1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3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For The Three Months Ended Or As Of</w:t>
            </w:r>
          </w:p>
        </w:tc>
      </w:tr>
      <w:tr>
        <w:trPr>
          <w:trHeight w:val="142"/>
        </w:trPr>
        <w:tc>
          <w:tcPr>
            <w:tcW w:w="4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94"/>
              </w:rPr>
              <w:t>June 30, 2010</w:t>
            </w:r>
          </w:p>
        </w:tc>
        <w:tc>
          <w:tcPr>
            <w:tcW w:w="90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4"/>
              </w:rPr>
              <w:t>June 28, 2009</w:t>
            </w:r>
          </w:p>
        </w:tc>
        <w:tc>
          <w:tcPr>
            <w:tcW w:w="44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900" w:type="dxa"/>
            <w:vAlign w:val="bottom"/>
            <w:gridSpan w:val="2"/>
          </w:tcPr>
          <w:p>
            <w:pPr>
              <w:jc w:val="right"/>
              <w:ind w:right="774"/>
              <w:spacing w:after="0" w:line="142" w:lineRule="exact"/>
              <w:rPr>
                <w:sz w:val="20"/>
                <w:szCs w:val="20"/>
                <w:color w:val="auto"/>
              </w:rPr>
            </w:pPr>
            <w:r>
              <w:rPr>
                <w:rFonts w:ascii="Arial" w:cs="Arial" w:eastAsia="Arial" w:hAnsi="Arial"/>
                <w:sz w:val="14"/>
                <w:szCs w:val="14"/>
                <w:b w:val="1"/>
                <w:bCs w:val="1"/>
                <w:color w:val="auto"/>
                <w:w w:val="86"/>
              </w:rPr>
              <w:t>amounts in 000’s)</w:t>
            </w:r>
          </w:p>
        </w:tc>
        <w:tc>
          <w:tcPr>
            <w:tcW w:w="440" w:type="dxa"/>
            <w:vAlign w:val="bottom"/>
          </w:tcPr>
          <w:p>
            <w:pPr>
              <w:spacing w:after="0"/>
              <w:rPr>
                <w:sz w:val="12"/>
                <w:szCs w:val="12"/>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76,331</w:t>
            </w: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61,345</w:t>
            </w:r>
          </w:p>
        </w:tc>
        <w:tc>
          <w:tcPr>
            <w:tcW w:w="44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ind w:left="440"/>
              <w:spacing w:after="0"/>
              <w:rPr>
                <w:sz w:val="20"/>
                <w:szCs w:val="20"/>
                <w:color w:val="auto"/>
              </w:rPr>
            </w:pPr>
            <w:r>
              <w:rPr>
                <w:rFonts w:ascii="Arial" w:cs="Arial" w:eastAsia="Arial" w:hAnsi="Arial"/>
                <w:sz w:val="18"/>
                <w:szCs w:val="18"/>
                <w:color w:val="auto"/>
              </w:rPr>
              <w:t>Gross margin</w:t>
            </w:r>
          </w:p>
        </w:tc>
        <w:tc>
          <w:tcPr>
            <w:tcW w:w="1880" w:type="dxa"/>
            <w:vAlign w:val="bottom"/>
            <w:gridSpan w:val="2"/>
          </w:tcPr>
          <w:p>
            <w:pPr>
              <w:jc w:val="right"/>
              <w:ind w:right="692"/>
              <w:spacing w:after="0"/>
              <w:rPr>
                <w:sz w:val="20"/>
                <w:szCs w:val="20"/>
                <w:color w:val="auto"/>
              </w:rPr>
            </w:pPr>
            <w:r>
              <w:rPr>
                <w:rFonts w:ascii="Arial" w:cs="Arial" w:eastAsia="Arial" w:hAnsi="Arial"/>
                <w:sz w:val="18"/>
                <w:szCs w:val="18"/>
                <w:color w:val="auto"/>
              </w:rPr>
              <w:t>74%</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72%</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r>
              <w:rPr>
                <w:rFonts w:ascii="Arial" w:cs="Arial" w:eastAsia="Arial" w:hAnsi="Arial"/>
                <w:sz w:val="11"/>
                <w:szCs w:val="11"/>
                <w:color w:val="auto"/>
              </w:rPr>
              <w:t>(1)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44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ind w:left="440"/>
              <w:spacing w:after="0"/>
              <w:rPr>
                <w:sz w:val="20"/>
                <w:szCs w:val="20"/>
                <w:color w:val="auto"/>
              </w:rPr>
            </w:pPr>
            <w:r>
              <w:rPr>
                <w:rFonts w:ascii="Arial" w:cs="Arial" w:eastAsia="Arial" w:hAnsi="Arial"/>
                <w:sz w:val="18"/>
                <w:szCs w:val="18"/>
                <w:color w:val="auto"/>
              </w:rPr>
              <w:t>Operating margin</w:t>
            </w:r>
          </w:p>
        </w:tc>
        <w:tc>
          <w:tcPr>
            <w:tcW w:w="1880" w:type="dxa"/>
            <w:vAlign w:val="bottom"/>
            <w:gridSpan w:val="2"/>
          </w:tcPr>
          <w:p>
            <w:pPr>
              <w:jc w:val="right"/>
              <w:ind w:right="692"/>
              <w:spacing w:after="0"/>
              <w:rPr>
                <w:sz w:val="20"/>
                <w:szCs w:val="20"/>
                <w:color w:val="auto"/>
              </w:rPr>
            </w:pPr>
            <w:r>
              <w:rPr>
                <w:rFonts w:ascii="Arial" w:cs="Arial" w:eastAsia="Arial" w:hAnsi="Arial"/>
                <w:sz w:val="18"/>
                <w:szCs w:val="18"/>
                <w:color w:val="auto"/>
              </w:rPr>
              <w:t>13%</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225,521</w:t>
            </w: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185,069</w:t>
            </w:r>
          </w:p>
        </w:tc>
        <w:tc>
          <w:tcPr>
            <w:tcW w:w="44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ind w:left="440"/>
              <w:spacing w:after="0"/>
              <w:rPr>
                <w:sz w:val="20"/>
                <w:szCs w:val="20"/>
                <w:color w:val="auto"/>
              </w:rPr>
            </w:pPr>
            <w:r>
              <w:rPr>
                <w:rFonts w:ascii="Arial" w:cs="Arial" w:eastAsia="Arial" w:hAnsi="Arial"/>
                <w:sz w:val="18"/>
                <w:szCs w:val="18"/>
                <w:color w:val="auto"/>
              </w:rPr>
              <w:t>Increase in total deferred revenue</w:t>
            </w:r>
          </w:p>
        </w:tc>
        <w:tc>
          <w:tcPr>
            <w:tcW w:w="980" w:type="dxa"/>
            <w:vAlign w:val="bottom"/>
          </w:tcPr>
          <w:p>
            <w:pPr>
              <w:jc w:val="right"/>
              <w:spacing w:after="0"/>
              <w:rPr>
                <w:sz w:val="20"/>
                <w:szCs w:val="20"/>
                <w:color w:val="auto"/>
              </w:rPr>
            </w:pPr>
            <w:r>
              <w:rPr>
                <w:rFonts w:ascii="Arial" w:cs="Arial" w:eastAsia="Arial" w:hAnsi="Arial"/>
                <w:sz w:val="18"/>
                <w:szCs w:val="18"/>
                <w:color w:val="auto"/>
              </w:rPr>
              <w:t>13,984</w:t>
            </w:r>
          </w:p>
        </w:tc>
        <w:tc>
          <w:tcPr>
            <w:tcW w:w="9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7,458</w:t>
            </w:r>
          </w:p>
        </w:tc>
        <w:tc>
          <w:tcPr>
            <w:tcW w:w="44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investments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308,960</w:t>
            </w: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136,422</w:t>
            </w:r>
          </w:p>
        </w:tc>
        <w:tc>
          <w:tcPr>
            <w:tcW w:w="44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Cash flow from operations</w:t>
            </w:r>
          </w:p>
        </w:tc>
        <w:tc>
          <w:tcPr>
            <w:tcW w:w="980" w:type="dxa"/>
            <w:vAlign w:val="bottom"/>
          </w:tcPr>
          <w:p>
            <w:pPr>
              <w:jc w:val="right"/>
              <w:spacing w:after="0"/>
              <w:rPr>
                <w:sz w:val="20"/>
                <w:szCs w:val="20"/>
                <w:color w:val="auto"/>
              </w:rPr>
            </w:pPr>
            <w:r>
              <w:rPr>
                <w:rFonts w:ascii="Arial" w:cs="Arial" w:eastAsia="Arial" w:hAnsi="Arial"/>
                <w:sz w:val="18"/>
                <w:szCs w:val="18"/>
                <w:color w:val="auto"/>
              </w:rPr>
              <w:t>17,950</w:t>
            </w:r>
          </w:p>
        </w:tc>
        <w:tc>
          <w:tcPr>
            <w:tcW w:w="9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14,322</w:t>
            </w:r>
          </w:p>
        </w:tc>
        <w:tc>
          <w:tcPr>
            <w:tcW w:w="44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w:t>
            </w:r>
            <w:r>
              <w:rPr>
                <w:rFonts w:ascii="Arial" w:cs="Arial" w:eastAsia="Arial" w:hAnsi="Arial"/>
                <w:sz w:val="11"/>
                <w:szCs w:val="11"/>
                <w:color w:val="auto"/>
              </w:rPr>
              <w:t>(2)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16,735</w:t>
            </w: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13,936</w:t>
            </w:r>
          </w:p>
        </w:tc>
        <w:tc>
          <w:tcPr>
            <w:tcW w:w="440" w:type="dxa"/>
            <w:vAlign w:val="bottom"/>
            <w:shd w:val="clear" w:color="auto" w:fill="CCEEFF"/>
          </w:tcPr>
          <w:p>
            <w:pPr>
              <w:spacing w:after="0"/>
              <w:rPr>
                <w:sz w:val="18"/>
                <w:szCs w:val="18"/>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4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235"/>
        </w:trPr>
        <w:tc>
          <w:tcPr>
            <w:tcW w:w="5360" w:type="dxa"/>
            <w:vAlign w:val="bottom"/>
            <w:gridSpan w:val="2"/>
          </w:tcPr>
          <w:p>
            <w:pPr>
              <w:spacing w:after="0"/>
              <w:rPr>
                <w:sz w:val="20"/>
                <w:szCs w:val="20"/>
                <w:color w:val="auto"/>
              </w:rPr>
            </w:pPr>
            <w:r>
              <w:rPr>
                <w:rFonts w:ascii="Arial" w:cs="Arial" w:eastAsia="Arial" w:hAnsi="Arial"/>
                <w:sz w:val="18"/>
                <w:szCs w:val="18"/>
                <w:color w:val="auto"/>
              </w:rPr>
              <w:t>(1)  Includes: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23"/>
        </w:trPr>
        <w:tc>
          <w:tcPr>
            <w:tcW w:w="5360" w:type="dxa"/>
            <w:vAlign w:val="bottom"/>
            <w:gridSpan w:val="2"/>
          </w:tcPr>
          <w:p>
            <w:pPr>
              <w:ind w:left="44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Pr>
          <w:p>
            <w:pPr>
              <w:jc w:val="right"/>
              <w:spacing w:after="0"/>
              <w:rPr>
                <w:sz w:val="20"/>
                <w:szCs w:val="20"/>
                <w:color w:val="auto"/>
              </w:rPr>
            </w:pPr>
            <w:r>
              <w:rPr>
                <w:rFonts w:ascii="Arial" w:cs="Arial" w:eastAsia="Arial" w:hAnsi="Arial"/>
                <w:sz w:val="18"/>
                <w:szCs w:val="18"/>
                <w:color w:val="auto"/>
              </w:rPr>
              <w:t>2,264</w:t>
            </w:r>
          </w:p>
        </w:tc>
        <w:tc>
          <w:tcPr>
            <w:tcW w:w="9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1,793</w:t>
            </w:r>
          </w:p>
        </w:tc>
        <w:tc>
          <w:tcPr>
            <w:tcW w:w="440" w:type="dxa"/>
            <w:vAlign w:val="bottom"/>
          </w:tcPr>
          <w:p>
            <w:pPr>
              <w:spacing w:after="0"/>
              <w:rPr>
                <w:sz w:val="19"/>
                <w:szCs w:val="19"/>
                <w:color w:val="auto"/>
              </w:rPr>
            </w:pPr>
          </w:p>
        </w:tc>
      </w:tr>
      <w:tr>
        <w:trPr>
          <w:trHeight w:val="222"/>
        </w:trPr>
        <w:tc>
          <w:tcPr>
            <w:tcW w:w="5360" w:type="dxa"/>
            <w:vAlign w:val="bottom"/>
            <w:gridSpan w:val="2"/>
          </w:tcPr>
          <w:p>
            <w:pPr>
              <w:ind w:left="440"/>
              <w:spacing w:after="0"/>
              <w:rPr>
                <w:sz w:val="20"/>
                <w:szCs w:val="20"/>
                <w:color w:val="auto"/>
              </w:rPr>
            </w:pPr>
            <w:r>
              <w:rPr>
                <w:rFonts w:ascii="Arial" w:cs="Arial" w:eastAsia="Arial" w:hAnsi="Arial"/>
                <w:sz w:val="18"/>
                <w:szCs w:val="18"/>
                <w:color w:val="auto"/>
              </w:rPr>
              <w:t>Non-cash asset acquisition related write-offs</w:t>
            </w:r>
          </w:p>
        </w:tc>
        <w:tc>
          <w:tcPr>
            <w:tcW w:w="1880" w:type="dxa"/>
            <w:vAlign w:val="bottom"/>
            <w:gridSpan w:val="2"/>
          </w:tcPr>
          <w:p>
            <w:pPr>
              <w:jc w:val="right"/>
              <w:ind w:right="9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631</w:t>
            </w:r>
          </w:p>
        </w:tc>
        <w:tc>
          <w:tcPr>
            <w:tcW w:w="440" w:type="dxa"/>
            <w:vAlign w:val="bottom"/>
          </w:tcPr>
          <w:p>
            <w:pPr>
              <w:spacing w:after="0"/>
              <w:rPr>
                <w:sz w:val="19"/>
                <w:szCs w:val="19"/>
                <w:color w:val="auto"/>
              </w:rPr>
            </w:pPr>
          </w:p>
        </w:tc>
      </w:tr>
    </w:tbl>
    <w:p>
      <w:pPr>
        <w:ind w:left="1820" w:right="1820" w:hanging="441"/>
        <w:spacing w:after="0" w:line="261" w:lineRule="auto"/>
        <w:tabs>
          <w:tab w:leader="none" w:pos="1768" w:val="left"/>
        </w:tabs>
        <w:numPr>
          <w:ilvl w:val="0"/>
          <w:numId w:val="8"/>
        </w:numPr>
        <w:rPr>
          <w:rFonts w:ascii="Arial" w:cs="Arial" w:eastAsia="Arial" w:hAnsi="Arial"/>
          <w:sz w:val="18"/>
          <w:szCs w:val="18"/>
          <w:color w:val="auto"/>
        </w:rPr>
      </w:pPr>
      <w:r>
        <w:rPr>
          <w:rFonts w:ascii="Arial" w:cs="Arial" w:eastAsia="Arial" w:hAnsi="Arial"/>
          <w:sz w:val="18"/>
          <w:szCs w:val="18"/>
          <w:color w:val="auto"/>
        </w:rPr>
        <w:t>Free cash flow is a non-GAAP financial measure, which we define as cash flow from operations minus capital expenditures, as further described below.</w:t>
      </w:r>
    </w:p>
    <w:p>
      <w:pPr>
        <w:spacing w:after="0" w:line="13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Deferred revenue. </w:t>
      </w:r>
      <w:r>
        <w:rPr>
          <w:rFonts w:ascii="Arial" w:cs="Arial" w:eastAsia="Arial" w:hAnsi="Arial"/>
          <w:sz w:val="16"/>
          <w:szCs w:val="16"/>
          <w:color w:val="auto"/>
        </w:rPr>
        <w:t>Our deferred revenue consists of amounts that have been invoiced but that have not yet been recognized as revenue. The majority of our</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revenue balance consists of the unamortized portion of services revenue from subscription and support service contracts. We monitor our deferred revenue balance because it represents a significant portion of revenue to be recognized in future periods. We also assess the increase in our deferred revenue balance plus revenue we recognized in a particular period as a measure of our sales activity for that period.</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Cash flow from operations. </w:t>
      </w:r>
      <w:r>
        <w:rPr>
          <w:rFonts w:ascii="Arial" w:cs="Arial" w:eastAsia="Arial" w:hAnsi="Arial"/>
          <w:sz w:val="16"/>
          <w:szCs w:val="16"/>
          <w:color w:val="auto"/>
        </w:rPr>
        <w:t>We monitor cash flow from operations as a measure of our overall business performance. Our cash flow from operations is</w:t>
      </w:r>
      <w:r>
        <w:rPr>
          <w:rFonts w:ascii="Arial" w:cs="Arial" w:eastAsia="Arial" w:hAnsi="Arial"/>
          <w:sz w:val="16"/>
          <w:szCs w:val="16"/>
          <w:i w:val="1"/>
          <w:iCs w:val="1"/>
          <w:color w:val="auto"/>
        </w:rPr>
        <w:t xml:space="preserve"> </w:t>
      </w:r>
      <w:r>
        <w:rPr>
          <w:rFonts w:ascii="Arial" w:cs="Arial" w:eastAsia="Arial" w:hAnsi="Arial"/>
          <w:sz w:val="16"/>
          <w:szCs w:val="16"/>
          <w:color w:val="auto"/>
        </w:rPr>
        <w:t>driven in large part by advance payments for both new and renewal contracts for subscription and support services, consistent with our billings for the period. Monitoring cash flow from operations enables us to analyze our financial performance without the non-cash effects of certain items such as depreciation, amortization and stock-based compensation expenses, thereby allowing us to better understand and manage the cash needs of our business. Our cash flow from operations was $18.0 million in the second quarter of 2010 and $14.3 million in the second quarter of 2009. In the second quarter of 2010, free cash flow (a non-GAAP measure, described in the “Non-GAAP Financial Measures” below) was $16.7 million, compared to $13.9 million in the second quarter of 2009.</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supplement our condensed consolidated financial statements presented in accordance with U.S. GAAP, we consider certain financial measures that are not prepared in accordance with GAAP, including non-GAAP gross margin, non-GAAP income from operations and operating margin, non-GAAP operating expenses, non-GAAP net income and free cash flow. These non-GAAP measures are not based on any standardized methodology prescribed by GAAP and are not necessarily comparable to similar measures presented by other companies. Non-GAAP gross margin is gross margin as reported on our condensed consolidated statements of operations, excluding the impact of stock-based compensation expense, which is a non-cash charge, and non-cash asset acquisition related write-offs. Non-GAAP income from operations is operating income, as reported on our condensed consolidated statements of operations, excluding the impact of stock-based compensation expense and non-cash asset acquisition related write-offs. The non-cash asset acquisition related write-offs that we exclude from GAAP financial measures are expenses for intangible assets that have no future value, but these expenses do not include amortization related to the intangible assets that provide an ongoing benefit to our recurring operations. Non-GAAP operating margin is non-GAAP income from operations divided by revenue. Non-GAAP operating expenses exclude the impact of stock-based compensation expense. Non-GAAP net income is net income plus stock-based compensation expense and non-cash asset acquisition related write-offs, less the related tax effects. Free cash flow, an alternative non-GAAP measure of liquidity, is defined as net cash provided by operating activities less capital expenditures.</w:t>
      </w:r>
    </w:p>
    <w:p>
      <w:pPr>
        <w:spacing w:after="0" w:line="12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use these non-GAAP financial measures internally in analyzing our financial results and believe they are useful to investors, as a supplement to GAAP measures, in evaluating our ongoing operational performance. We believe that the use of these non-GAAP financial measures provides an additional tool for investors to use in evaluating ongoing operating results and trends and in comparing our financial results with other companies in our industry, many of which present similar non-GAAP financial measures to investors.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believe that these non-GAAP financial measures are appropriate to enhance an overall understanding of our past financial performance, as they help illustrate underlying trends in our business that could otherwise be masked by the effect of the expenses that we exclude in these non-GAAP financial measures. Furthermore, we use many of these measures to establish budgets and operational goals for managing our business and evaluating our performance. We believe that the expenses that we exclude in these non-GAAP financial measures are not reflective of these underlying business trends or useful measures for determining our operational performance and overall business strategy. By excluding these expenses, we believe that our management and investors can better compare our recurring core business operating results over multiple periods.</w:t>
      </w:r>
    </w:p>
    <w:p>
      <w:pPr>
        <w:spacing w:after="0" w:line="12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These non-GAAP financial measures should not be considered in isolation from, or as a substitute for, financial information prepared in accordance with GAAP. There are a number of limitations related to the use of these non-GAAP financial measures versus the nearest GAAP equivalent of these financial measures. First, these non-GAAP financial measures exclude certain recurring, non-cash charges such as stock-based compensation expense and asset acquisition related write-offs. Stock-based compensation has been, and will continue to be for the foreseeable future, a significant recurring expense in our business and is an important part of our employees’ compensation that reflects their performance. Second, the expenses that we exclude in our calculation of these non-GAAP financial measures may differ from the expenses, if any, that our peer companies may exclude when they report their results of operations. We compensate for these limitations by providing the nearest GAAP equivalents of these non-GAAP financial measures and describing these GAAP equivalents in our Results of Operations below.</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tables reconcile GAAP gross margin, income from operations, operating margin, certain operating expenses and net income as reported on our condensed consolidated statements of operations to non-GAAP gross margin, non-GAAP income from operations, non-GAAP operating margin, certain non-GAAP operating expenses and non-GAAP net income for the second fiscal quarters of 2010 and 2009. For the second quarter of 2010, both GAAP and non-GAAP results below include approximately $0.6 million of payroll tax expense resulting from the exercise of employee stock options during the quarter. We did not exclude this amount from our GAAP results. Payroll tax expense associated with stock option exercises during the second quarter of 2009 was immaterial.</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106"/>
              <w:spacing w:after="0"/>
              <w:rPr>
                <w:sz w:val="20"/>
                <w:szCs w:val="20"/>
                <w:color w:val="auto"/>
              </w:rPr>
            </w:pPr>
            <w:r>
              <w:rPr>
                <w:rFonts w:ascii="Arial" w:cs="Arial" w:eastAsia="Arial" w:hAnsi="Arial"/>
                <w:sz w:val="14"/>
                <w:szCs w:val="14"/>
                <w:b w:val="1"/>
                <w:bCs w:val="1"/>
                <w:color w:val="auto"/>
                <w:w w:val="88"/>
              </w:rPr>
              <w:t>Three Months Ended</w:t>
            </w: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257"/>
              <w:spacing w:after="0" w:line="142" w:lineRule="exact"/>
              <w:rPr>
                <w:sz w:val="20"/>
                <w:szCs w:val="20"/>
                <w:color w:val="auto"/>
              </w:rPr>
            </w:pPr>
            <w:r>
              <w:rPr>
                <w:rFonts w:ascii="Arial" w:cs="Arial" w:eastAsia="Arial" w:hAnsi="Arial"/>
                <w:sz w:val="14"/>
                <w:szCs w:val="14"/>
                <w:b w:val="1"/>
                <w:bCs w:val="1"/>
                <w:color w:val="auto"/>
              </w:rPr>
              <w:t>June 30, 2010</w:t>
            </w:r>
          </w:p>
        </w:tc>
        <w:tc>
          <w:tcPr>
            <w:tcW w:w="30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266"/>
              <w:spacing w:after="0" w:line="142" w:lineRule="exact"/>
              <w:rPr>
                <w:sz w:val="20"/>
                <w:szCs w:val="20"/>
                <w:color w:val="auto"/>
              </w:rPr>
            </w:pPr>
            <w:r>
              <w:rPr>
                <w:rFonts w:ascii="Arial" w:cs="Arial" w:eastAsia="Arial" w:hAnsi="Arial"/>
                <w:sz w:val="14"/>
                <w:szCs w:val="14"/>
                <w:b w:val="1"/>
                <w:bCs w:val="1"/>
                <w:color w:val="auto"/>
              </w:rPr>
              <w:t>June 28, 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300" w:type="dxa"/>
            <w:vAlign w:val="bottom"/>
          </w:tcPr>
          <w:p>
            <w:pPr>
              <w:spacing w:after="0"/>
              <w:rPr>
                <w:sz w:val="14"/>
                <w:szCs w:val="14"/>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jc w:val="center"/>
              <w:ind w:right="86"/>
              <w:spacing w:after="0" w:line="142" w:lineRule="exact"/>
              <w:rPr>
                <w:sz w:val="20"/>
                <w:szCs w:val="20"/>
                <w:color w:val="auto"/>
              </w:rPr>
            </w:pPr>
            <w:r>
              <w:rPr>
                <w:rFonts w:ascii="Arial" w:cs="Arial" w:eastAsia="Arial" w:hAnsi="Arial"/>
                <w:sz w:val="14"/>
                <w:szCs w:val="14"/>
                <w:b w:val="1"/>
                <w:bCs w:val="1"/>
                <w:color w:val="auto"/>
                <w:w w:val="86"/>
              </w:rPr>
              <w:t>($ amounts in 000’s)</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76,331</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61,345</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GAAP gross profit and margin</w:t>
            </w:r>
          </w:p>
        </w:tc>
        <w:tc>
          <w:tcPr>
            <w:tcW w:w="2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73.6</w:t>
            </w: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line="20" w:lineRule="exact"/>
              <w:rPr>
                <w:sz w:val="1"/>
                <w:szCs w:val="1"/>
                <w:color w:val="auto"/>
              </w:rPr>
            </w:pPr>
          </w:p>
        </w:tc>
      </w:tr>
      <w:tr>
        <w:trPr>
          <w:trHeight w:val="208"/>
        </w:trPr>
        <w:tc>
          <w:tcPr>
            <w:tcW w:w="4800" w:type="dxa"/>
            <w:vAlign w:val="bottom"/>
            <w:gridSpan w:val="2"/>
            <w:vMerge w:val="continue"/>
          </w:tcPr>
          <w:p>
            <w:pPr>
              <w:spacing w:after="0"/>
              <w:rPr>
                <w:sz w:val="18"/>
                <w:szCs w:val="18"/>
                <w:color w:val="auto"/>
              </w:rPr>
            </w:pPr>
          </w:p>
        </w:tc>
        <w:tc>
          <w:tcPr>
            <w:tcW w:w="3420" w:type="dxa"/>
            <w:vAlign w:val="bottom"/>
            <w:gridSpan w:val="3"/>
          </w:tcPr>
          <w:p>
            <w:pPr>
              <w:jc w:val="right"/>
              <w:ind w:right="320"/>
              <w:spacing w:after="0"/>
              <w:rPr>
                <w:sz w:val="20"/>
                <w:szCs w:val="20"/>
                <w:color w:val="auto"/>
              </w:rPr>
            </w:pPr>
            <w:r>
              <w:rPr>
                <w:rFonts w:ascii="Arial" w:cs="Arial" w:eastAsia="Arial" w:hAnsi="Arial"/>
                <w:sz w:val="18"/>
                <w:szCs w:val="18"/>
                <w:color w:val="auto"/>
              </w:rPr>
              <w:t>56,166</w:t>
            </w:r>
          </w:p>
        </w:tc>
        <w:tc>
          <w:tcPr>
            <w:tcW w:w="50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44,366</w:t>
            </w:r>
          </w:p>
        </w:tc>
        <w:tc>
          <w:tcPr>
            <w:tcW w:w="8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Stock-based compensation expense</w:t>
            </w:r>
          </w:p>
        </w:tc>
        <w:tc>
          <w:tcPr>
            <w:tcW w:w="3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1280"/>
              <w:spacing w:after="0"/>
              <w:rPr>
                <w:sz w:val="20"/>
                <w:szCs w:val="20"/>
                <w:color w:val="auto"/>
              </w:rPr>
            </w:pPr>
            <w:r>
              <w:rPr>
                <w:rFonts w:ascii="Arial" w:cs="Arial" w:eastAsia="Arial" w:hAnsi="Arial"/>
                <w:sz w:val="18"/>
                <w:szCs w:val="18"/>
                <w:color w:val="auto"/>
                <w:w w:val="98"/>
              </w:rPr>
              <w:t>Non-cash asset acquisition related write-offs</w:t>
            </w:r>
          </w:p>
        </w:tc>
        <w:tc>
          <w:tcPr>
            <w:tcW w:w="2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Non-GAAP gross profit and margin</w:t>
            </w:r>
          </w:p>
        </w:tc>
        <w:tc>
          <w:tcPr>
            <w:tcW w:w="2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56,426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45,196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GAAP income from operations and margin</w:t>
            </w:r>
          </w:p>
        </w:tc>
        <w:tc>
          <w:tcPr>
            <w:tcW w:w="2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gridSpan w:val="2"/>
            <w:vMerge w:val="continue"/>
          </w:tcPr>
          <w:p>
            <w:pPr>
              <w:spacing w:after="0"/>
              <w:rPr>
                <w:sz w:val="18"/>
                <w:szCs w:val="18"/>
                <w:color w:val="auto"/>
              </w:rPr>
            </w:pPr>
          </w:p>
        </w:tc>
        <w:tc>
          <w:tcPr>
            <w:tcW w:w="3420" w:type="dxa"/>
            <w:vAlign w:val="bottom"/>
            <w:gridSpan w:val="3"/>
          </w:tcPr>
          <w:p>
            <w:pPr>
              <w:jc w:val="right"/>
              <w:ind w:right="320"/>
              <w:spacing w:after="0"/>
              <w:rPr>
                <w:sz w:val="20"/>
                <w:szCs w:val="20"/>
                <w:color w:val="auto"/>
              </w:rPr>
            </w:pPr>
            <w:r>
              <w:rPr>
                <w:rFonts w:ascii="Arial" w:cs="Arial" w:eastAsia="Arial" w:hAnsi="Arial"/>
                <w:sz w:val="18"/>
                <w:szCs w:val="18"/>
                <w:color w:val="auto"/>
              </w:rPr>
              <w:t>9,780</w:t>
            </w:r>
          </w:p>
        </w:tc>
        <w:tc>
          <w:tcPr>
            <w:tcW w:w="500" w:type="dxa"/>
            <w:vAlign w:val="bottom"/>
          </w:tcPr>
          <w:p>
            <w:pPr>
              <w:jc w:val="right"/>
              <w:spacing w:after="0"/>
              <w:rPr>
                <w:sz w:val="20"/>
                <w:szCs w:val="20"/>
                <w:color w:val="auto"/>
              </w:rPr>
            </w:pPr>
            <w:r>
              <w:rPr>
                <w:rFonts w:ascii="Arial" w:cs="Arial" w:eastAsia="Arial" w:hAnsi="Arial"/>
                <w:sz w:val="18"/>
                <w:szCs w:val="18"/>
                <w:color w:val="auto"/>
              </w:rPr>
              <w:t>12.8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4,975</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2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280"/>
              <w:spacing w:after="0"/>
              <w:rPr>
                <w:sz w:val="20"/>
                <w:szCs w:val="20"/>
                <w:color w:val="auto"/>
              </w:rPr>
            </w:pPr>
            <w:r>
              <w:rPr>
                <w:rFonts w:ascii="Arial" w:cs="Arial" w:eastAsia="Arial" w:hAnsi="Arial"/>
                <w:sz w:val="18"/>
                <w:szCs w:val="18"/>
                <w:color w:val="auto"/>
              </w:rPr>
              <w:t>Cost of revenue</w:t>
            </w:r>
          </w:p>
        </w:tc>
        <w:tc>
          <w:tcPr>
            <w:tcW w:w="3420" w:type="dxa"/>
            <w:vAlign w:val="bottom"/>
            <w:gridSpan w:val="3"/>
          </w:tcPr>
          <w:p>
            <w:pPr>
              <w:jc w:val="right"/>
              <w:ind w:right="320"/>
              <w:spacing w:after="0"/>
              <w:rPr>
                <w:sz w:val="20"/>
                <w:szCs w:val="20"/>
                <w:color w:val="auto"/>
              </w:rPr>
            </w:pPr>
            <w:r>
              <w:rPr>
                <w:rFonts w:ascii="Arial" w:cs="Arial" w:eastAsia="Arial" w:hAnsi="Arial"/>
                <w:sz w:val="18"/>
                <w:szCs w:val="18"/>
                <w:color w:val="auto"/>
              </w:rPr>
              <w:t>260</w:t>
            </w: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Research and development</w:t>
            </w:r>
          </w:p>
        </w:tc>
        <w:tc>
          <w:tcPr>
            <w:tcW w:w="3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587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280"/>
              <w:spacing w:after="0"/>
              <w:rPr>
                <w:sz w:val="20"/>
                <w:szCs w:val="20"/>
                <w:color w:val="auto"/>
              </w:rPr>
            </w:pPr>
            <w:r>
              <w:rPr>
                <w:rFonts w:ascii="Arial" w:cs="Arial" w:eastAsia="Arial" w:hAnsi="Arial"/>
                <w:sz w:val="18"/>
                <w:szCs w:val="18"/>
                <w:color w:val="auto"/>
              </w:rPr>
              <w:t>Sales and marketing</w:t>
            </w:r>
          </w:p>
        </w:tc>
        <w:tc>
          <w:tcPr>
            <w:tcW w:w="3420" w:type="dxa"/>
            <w:vAlign w:val="bottom"/>
            <w:gridSpan w:val="3"/>
          </w:tcPr>
          <w:p>
            <w:pPr>
              <w:jc w:val="right"/>
              <w:ind w:right="320"/>
              <w:spacing w:after="0"/>
              <w:rPr>
                <w:sz w:val="20"/>
                <w:szCs w:val="20"/>
                <w:color w:val="auto"/>
              </w:rPr>
            </w:pPr>
            <w:r>
              <w:rPr>
                <w:rFonts w:ascii="Arial" w:cs="Arial" w:eastAsia="Arial" w:hAnsi="Arial"/>
                <w:sz w:val="18"/>
                <w:szCs w:val="18"/>
                <w:color w:val="auto"/>
              </w:rPr>
              <w:t>897</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General and administrative</w:t>
            </w:r>
          </w:p>
        </w:tc>
        <w:tc>
          <w:tcPr>
            <w:tcW w:w="2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860"/>
              <w:spacing w:after="0"/>
              <w:rPr>
                <w:sz w:val="20"/>
                <w:szCs w:val="20"/>
                <w:color w:val="auto"/>
              </w:rPr>
            </w:pPr>
            <w:r>
              <w:rPr>
                <w:rFonts w:ascii="Arial" w:cs="Arial" w:eastAsia="Arial" w:hAnsi="Arial"/>
                <w:sz w:val="18"/>
                <w:szCs w:val="18"/>
                <w:color w:val="auto"/>
              </w:rPr>
              <w:t>Total stock-based compensation</w:t>
            </w:r>
          </w:p>
        </w:tc>
        <w:tc>
          <w:tcPr>
            <w:tcW w:w="2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780" w:type="dxa"/>
            <w:vAlign w:val="bottom"/>
            <w:vMerge w:val="continue"/>
          </w:tcPr>
          <w:p>
            <w:pPr>
              <w:spacing w:after="0"/>
              <w:rPr>
                <w:sz w:val="19"/>
                <w:szCs w:val="19"/>
                <w:color w:val="auto"/>
              </w:rPr>
            </w:pPr>
          </w:p>
        </w:tc>
        <w:tc>
          <w:tcPr>
            <w:tcW w:w="244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2,264</w:t>
            </w: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1,793</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asset acquisition related write-offs</w:t>
            </w:r>
          </w:p>
        </w:tc>
        <w:tc>
          <w:tcPr>
            <w:tcW w:w="2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gridSpan w:val="2"/>
          </w:tcPr>
          <w:p>
            <w:pPr>
              <w:spacing w:after="0"/>
              <w:rPr>
                <w:sz w:val="20"/>
                <w:szCs w:val="20"/>
                <w:color w:val="auto"/>
              </w:rPr>
            </w:pPr>
            <w:r>
              <w:rPr>
                <w:rFonts w:ascii="Arial" w:cs="Arial" w:eastAsia="Arial" w:hAnsi="Arial"/>
                <w:sz w:val="18"/>
                <w:szCs w:val="18"/>
                <w:color w:val="auto"/>
              </w:rPr>
              <w:t>Non-GAAP income from operations and margin</w:t>
            </w:r>
          </w:p>
        </w:tc>
        <w:tc>
          <w:tcPr>
            <w:tcW w:w="244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12,044</w:t>
            </w:r>
          </w:p>
        </w:tc>
        <w:tc>
          <w:tcPr>
            <w:tcW w:w="500" w:type="dxa"/>
            <w:vAlign w:val="bottom"/>
          </w:tcPr>
          <w:p>
            <w:pPr>
              <w:jc w:val="right"/>
              <w:spacing w:after="0"/>
              <w:rPr>
                <w:sz w:val="20"/>
                <w:szCs w:val="20"/>
                <w:color w:val="auto"/>
              </w:rPr>
            </w:pPr>
            <w:r>
              <w:rPr>
                <w:rFonts w:ascii="Arial" w:cs="Arial" w:eastAsia="Arial" w:hAnsi="Arial"/>
                <w:sz w:val="18"/>
                <w:szCs w:val="18"/>
                <w:color w:val="auto"/>
              </w:rPr>
              <w:t>15.8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7,399</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106"/>
              <w:spacing w:after="0"/>
              <w:rPr>
                <w:sz w:val="20"/>
                <w:szCs w:val="20"/>
                <w:color w:val="auto"/>
              </w:rPr>
            </w:pPr>
            <w:r>
              <w:rPr>
                <w:rFonts w:ascii="Arial" w:cs="Arial" w:eastAsia="Arial" w:hAnsi="Arial"/>
                <w:sz w:val="14"/>
                <w:szCs w:val="14"/>
                <w:b w:val="1"/>
                <w:bCs w:val="1"/>
                <w:color w:val="auto"/>
                <w:w w:val="88"/>
              </w:rPr>
              <w:t>Three Months Ended</w:t>
            </w: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257"/>
              <w:spacing w:after="0" w:line="142" w:lineRule="exact"/>
              <w:rPr>
                <w:sz w:val="20"/>
                <w:szCs w:val="20"/>
                <w:color w:val="auto"/>
              </w:rPr>
            </w:pPr>
            <w:r>
              <w:rPr>
                <w:rFonts w:ascii="Arial" w:cs="Arial" w:eastAsia="Arial" w:hAnsi="Arial"/>
                <w:sz w:val="14"/>
                <w:szCs w:val="14"/>
                <w:b w:val="1"/>
                <w:bCs w:val="1"/>
                <w:color w:val="auto"/>
              </w:rPr>
              <w:t>June 30, 2010</w:t>
            </w:r>
          </w:p>
        </w:tc>
        <w:tc>
          <w:tcPr>
            <w:tcW w:w="30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266"/>
              <w:spacing w:after="0" w:line="142" w:lineRule="exact"/>
              <w:rPr>
                <w:sz w:val="20"/>
                <w:szCs w:val="20"/>
                <w:color w:val="auto"/>
              </w:rPr>
            </w:pPr>
            <w:r>
              <w:rPr>
                <w:rFonts w:ascii="Arial" w:cs="Arial" w:eastAsia="Arial" w:hAnsi="Arial"/>
                <w:sz w:val="14"/>
                <w:szCs w:val="14"/>
                <w:b w:val="1"/>
                <w:bCs w:val="1"/>
                <w:color w:val="auto"/>
              </w:rPr>
              <w:t>June 28, 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300" w:type="dxa"/>
            <w:vAlign w:val="bottom"/>
          </w:tcPr>
          <w:p>
            <w:pPr>
              <w:spacing w:after="0"/>
              <w:rPr>
                <w:sz w:val="14"/>
                <w:szCs w:val="14"/>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jc w:val="center"/>
              <w:ind w:right="86"/>
              <w:spacing w:after="0" w:line="142" w:lineRule="exact"/>
              <w:rPr>
                <w:sz w:val="20"/>
                <w:szCs w:val="20"/>
                <w:color w:val="auto"/>
              </w:rPr>
            </w:pPr>
            <w:r>
              <w:rPr>
                <w:rFonts w:ascii="Arial" w:cs="Arial" w:eastAsia="Arial" w:hAnsi="Arial"/>
                <w:sz w:val="14"/>
                <w:szCs w:val="14"/>
                <w:b w:val="1"/>
                <w:bCs w:val="1"/>
                <w:color w:val="auto"/>
                <w:w w:val="86"/>
              </w:rPr>
              <w:t>($ amounts in 000’s)</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Research and development expenses:</w:t>
            </w:r>
          </w:p>
        </w:tc>
        <w:tc>
          <w:tcPr>
            <w:tcW w:w="2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GAAP research and development expenses</w:t>
            </w:r>
          </w:p>
        </w:tc>
        <w:tc>
          <w:tcPr>
            <w:tcW w:w="3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12,676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24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587</w:t>
            </w: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Non-GAAP research and development expenses</w:t>
            </w:r>
          </w:p>
        </w:tc>
        <w:tc>
          <w:tcPr>
            <w:tcW w:w="2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12,089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420"/>
              <w:spacing w:after="0"/>
              <w:rPr>
                <w:sz w:val="20"/>
                <w:szCs w:val="20"/>
                <w:color w:val="auto"/>
              </w:rPr>
            </w:pPr>
            <w:r>
              <w:rPr>
                <w:rFonts w:ascii="Arial" w:cs="Arial" w:eastAsia="Arial" w:hAnsi="Arial"/>
                <w:sz w:val="18"/>
                <w:szCs w:val="18"/>
                <w:color w:val="auto"/>
              </w:rPr>
              <w:t>Sales and marketing expenses:</w:t>
            </w:r>
          </w:p>
        </w:tc>
        <w:tc>
          <w:tcPr>
            <w:tcW w:w="2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vMerge w:val="continue"/>
          </w:tcPr>
          <w:p>
            <w:pPr>
              <w:spacing w:after="0"/>
              <w:rPr>
                <w:sz w:val="18"/>
                <w:szCs w:val="18"/>
                <w:color w:val="auto"/>
              </w:rPr>
            </w:pPr>
          </w:p>
        </w:tc>
        <w:tc>
          <w:tcPr>
            <w:tcW w:w="2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GAAP sales and marketing expenses</w:t>
            </w:r>
          </w:p>
        </w:tc>
        <w:tc>
          <w:tcPr>
            <w:tcW w:w="3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27,777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24,341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24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897</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Non-GAAP sales and marketing expenses</w:t>
            </w:r>
          </w:p>
        </w:tc>
        <w:tc>
          <w:tcPr>
            <w:tcW w:w="2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26,880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420"/>
              <w:spacing w:after="0"/>
              <w:rPr>
                <w:sz w:val="20"/>
                <w:szCs w:val="20"/>
                <w:color w:val="auto"/>
              </w:rPr>
            </w:pPr>
            <w:r>
              <w:rPr>
                <w:rFonts w:ascii="Arial" w:cs="Arial" w:eastAsia="Arial" w:hAnsi="Arial"/>
                <w:sz w:val="18"/>
                <w:szCs w:val="18"/>
                <w:color w:val="auto"/>
              </w:rPr>
              <w:t>General and administrative expenses:</w:t>
            </w:r>
          </w:p>
        </w:tc>
        <w:tc>
          <w:tcPr>
            <w:tcW w:w="2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vMerge w:val="continue"/>
          </w:tcPr>
          <w:p>
            <w:pPr>
              <w:spacing w:after="0"/>
              <w:rPr>
                <w:sz w:val="18"/>
                <w:szCs w:val="18"/>
                <w:color w:val="auto"/>
              </w:rPr>
            </w:pPr>
          </w:p>
        </w:tc>
        <w:tc>
          <w:tcPr>
            <w:tcW w:w="2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GAAP general and administrative expenses</w:t>
            </w:r>
          </w:p>
        </w:tc>
        <w:tc>
          <w:tcPr>
            <w:tcW w:w="3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5,933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24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520</w:t>
            </w: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Non-GAAP general and administrative expenses</w:t>
            </w:r>
          </w:p>
        </w:tc>
        <w:tc>
          <w:tcPr>
            <w:tcW w:w="2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420"/>
              <w:spacing w:after="0"/>
              <w:rPr>
                <w:sz w:val="20"/>
                <w:szCs w:val="20"/>
                <w:color w:val="auto"/>
              </w:rPr>
            </w:pPr>
            <w:r>
              <w:rPr>
                <w:rFonts w:ascii="Arial" w:cs="Arial" w:eastAsia="Arial" w:hAnsi="Arial"/>
                <w:sz w:val="18"/>
                <w:szCs w:val="18"/>
                <w:color w:val="auto"/>
              </w:rPr>
              <w:t>Total operating expenses:</w:t>
            </w:r>
          </w:p>
        </w:tc>
        <w:tc>
          <w:tcPr>
            <w:tcW w:w="2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vMerge w:val="continue"/>
          </w:tcPr>
          <w:p>
            <w:pPr>
              <w:spacing w:after="0"/>
              <w:rPr>
                <w:sz w:val="18"/>
                <w:szCs w:val="18"/>
                <w:color w:val="auto"/>
              </w:rPr>
            </w:pPr>
          </w:p>
        </w:tc>
        <w:tc>
          <w:tcPr>
            <w:tcW w:w="2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GAAP operating expenses</w:t>
            </w:r>
          </w:p>
        </w:tc>
        <w:tc>
          <w:tcPr>
            <w:tcW w:w="3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46,386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39,391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24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2,004</w:t>
            </w: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1,594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Non-GAAP operating expenses</w:t>
            </w:r>
          </w:p>
        </w:tc>
        <w:tc>
          <w:tcPr>
            <w:tcW w:w="2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44,382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40" w:type="dxa"/>
            <w:vAlign w:val="bottom"/>
            <w:vMerge w:val="restart"/>
          </w:tcPr>
          <w:p>
            <w:pPr>
              <w:jc w:val="right"/>
              <w:ind w:right="1812"/>
              <w:spacing w:after="0"/>
              <w:rPr>
                <w:sz w:val="20"/>
                <w:szCs w:val="20"/>
                <w:color w:val="auto"/>
              </w:rPr>
            </w:pPr>
            <w:r>
              <w:rPr>
                <w:rFonts w:ascii="Arial" w:cs="Arial" w:eastAsia="Arial" w:hAnsi="Arial"/>
                <w:sz w:val="18"/>
                <w:szCs w:val="18"/>
                <w:color w:val="auto"/>
              </w:rPr>
              <w:t>26</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6880" w:type="dxa"/>
            <w:vAlign w:val="bottom"/>
          </w:tcPr>
          <w:p>
            <w:pPr>
              <w:spacing w:after="0"/>
              <w:rPr>
                <w:sz w:val="11"/>
                <w:szCs w:val="11"/>
                <w:color w:val="auto"/>
              </w:rPr>
            </w:pPr>
          </w:p>
        </w:tc>
        <w:tc>
          <w:tcPr>
            <w:tcW w:w="102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6"/>
              </w:rPr>
              <w:t>June 30,</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9"/>
              </w:rPr>
              <w:t>June 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80" w:type="dxa"/>
            <w:vAlign w:val="bottom"/>
          </w:tcPr>
          <w:p>
            <w:pPr>
              <w:spacing w:after="0"/>
              <w:rPr>
                <w:sz w:val="14"/>
                <w:szCs w:val="14"/>
                <w:color w:val="auto"/>
              </w:rPr>
            </w:pPr>
          </w:p>
        </w:tc>
        <w:tc>
          <w:tcPr>
            <w:tcW w:w="6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1800" w:type="dxa"/>
            <w:vAlign w:val="bottom"/>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 amounts in 000’s)</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GAAP net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6,869</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r>
              <w:rPr>
                <w:rFonts w:ascii="Arial" w:cs="Arial" w:eastAsia="Arial" w:hAnsi="Arial"/>
                <w:sz w:val="11"/>
                <w:szCs w:val="11"/>
                <w:color w:val="auto"/>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Non-cash asset acquisition related write-offs</w:t>
            </w:r>
            <w:r>
              <w:rPr>
                <w:rFonts w:ascii="Arial" w:cs="Arial" w:eastAsia="Arial" w:hAnsi="Arial"/>
                <w:sz w:val="11"/>
                <w:szCs w:val="11"/>
                <w:color w:val="auto"/>
              </w:rPr>
              <w:t>(1)</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r>
              <w:rPr>
                <w:rFonts w:ascii="Arial" w:cs="Arial" w:eastAsia="Arial" w:hAnsi="Arial"/>
                <w:sz w:val="11"/>
                <w:szCs w:val="11"/>
                <w:color w:val="auto"/>
              </w:rPr>
              <w:t>(2)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3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80" w:type="dxa"/>
            <w:vAlign w:val="bottom"/>
          </w:tcPr>
          <w:p>
            <w:pPr>
              <w:ind w:left="860"/>
              <w:spacing w:after="0"/>
              <w:rPr>
                <w:sz w:val="20"/>
                <w:szCs w:val="20"/>
                <w:color w:val="auto"/>
              </w:rPr>
            </w:pPr>
            <w:r>
              <w:rPr>
                <w:rFonts w:ascii="Arial" w:cs="Arial" w:eastAsia="Arial" w:hAnsi="Arial"/>
                <w:sz w:val="18"/>
                <w:szCs w:val="18"/>
                <w:color w:val="auto"/>
              </w:rPr>
              <w:t>Non-GAAP income before provision for income taxes</w:t>
            </w:r>
          </w:p>
        </w:tc>
        <w:tc>
          <w:tcPr>
            <w:tcW w:w="660" w:type="dxa"/>
            <w:vAlign w:val="bottom"/>
          </w:tcPr>
          <w:p>
            <w:pPr>
              <w:jc w:val="right"/>
              <w:spacing w:after="0"/>
              <w:rPr>
                <w:sz w:val="20"/>
                <w:szCs w:val="20"/>
                <w:color w:val="auto"/>
              </w:rPr>
            </w:pPr>
            <w:r>
              <w:rPr>
                <w:rFonts w:ascii="Arial" w:cs="Arial" w:eastAsia="Arial" w:hAnsi="Arial"/>
                <w:sz w:val="18"/>
                <w:szCs w:val="18"/>
                <w:color w:val="auto"/>
              </w:rPr>
              <w:t>12,530</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Tax effects related to non-GAAP adjustments</w:t>
            </w:r>
            <w:r>
              <w:rPr>
                <w:rFonts w:ascii="Arial" w:cs="Arial" w:eastAsia="Arial" w:hAnsi="Arial"/>
                <w:sz w:val="11"/>
                <w:szCs w:val="11"/>
                <w:color w:val="auto"/>
              </w:rPr>
              <w:t>(3)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(4,386)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2"/>
        </w:trPr>
        <w:tc>
          <w:tcPr>
            <w:tcW w:w="6880" w:type="dxa"/>
            <w:vAlign w:val="bottom"/>
          </w:tcPr>
          <w:p>
            <w:pPr>
              <w:ind w:left="440"/>
              <w:spacing w:after="0"/>
              <w:rPr>
                <w:sz w:val="20"/>
                <w:szCs w:val="20"/>
                <w:color w:val="auto"/>
              </w:rPr>
            </w:pPr>
            <w:r>
              <w:rPr>
                <w:rFonts w:ascii="Arial" w:cs="Arial" w:eastAsia="Arial" w:hAnsi="Arial"/>
                <w:sz w:val="18"/>
                <w:szCs w:val="18"/>
                <w:color w:val="auto"/>
              </w:rPr>
              <w:t>Non-GAAP net income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8,144</w:t>
            </w: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Per Share:</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Non-GAAP net income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8,144</w:t>
            </w:r>
          </w:p>
        </w:tc>
        <w:tc>
          <w:tcPr>
            <w:tcW w:w="3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Non-GAAP net income per share - diluted</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3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ind w:left="440"/>
              <w:spacing w:after="0"/>
              <w:rPr>
                <w:sz w:val="20"/>
                <w:szCs w:val="20"/>
                <w:color w:val="auto"/>
              </w:rPr>
            </w:pPr>
            <w:r>
              <w:rPr>
                <w:rFonts w:ascii="Arial" w:cs="Arial" w:eastAsia="Arial" w:hAnsi="Arial"/>
                <w:sz w:val="18"/>
                <w:szCs w:val="18"/>
                <w:color w:val="auto"/>
              </w:rPr>
              <w:t>Shares used in per share calculation - diluted</w:t>
            </w: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80" w:type="dxa"/>
            <w:vAlign w:val="bottom"/>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75,637</w:t>
            </w:r>
          </w:p>
        </w:tc>
        <w:tc>
          <w:tcPr>
            <w:tcW w:w="3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54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Stock-based compensation expense and non-cash asset acquisition related write-offs are added back to GAAP net income to reconcile to non-GAAP income before taxes.</w:t>
      </w: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Provision for income taxes is our GAAP provision that must be added to GAAP net income to reconcile to non-GAAP income before taxes.</w:t>
      </w:r>
    </w:p>
    <w:p>
      <w:pPr>
        <w:spacing w:after="0" w:line="32" w:lineRule="exact"/>
        <w:rPr>
          <w:rFonts w:ascii="Arial" w:cs="Arial" w:eastAsia="Arial" w:hAnsi="Arial"/>
          <w:sz w:val="16"/>
          <w:szCs w:val="16"/>
          <w:color w:val="auto"/>
        </w:rPr>
      </w:pPr>
    </w:p>
    <w:p>
      <w:pPr>
        <w:ind w:left="460" w:right="200" w:hanging="452"/>
        <w:spacing w:after="0" w:line="30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used a 35% effective tax rate to calculate non-GAAP net income for the second quarter of 2010. We believe the 35% effective tax rate is a reasonable estimate of a long-term normalized tax rate under our global operating structure. Our effective tax rate for the second quarter of 2009 was 13% which reflects only our foreign tax provision as our US operations had net operating losses to offset any taxable income.</w:t>
      </w:r>
    </w:p>
    <w:p>
      <w:pPr>
        <w:spacing w:after="0" w:line="14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6880" w:type="dxa"/>
            <w:vAlign w:val="bottom"/>
          </w:tcPr>
          <w:p>
            <w:pPr>
              <w:spacing w:after="0"/>
              <w:rPr>
                <w:sz w:val="11"/>
                <w:szCs w:val="11"/>
                <w:color w:val="auto"/>
              </w:rPr>
            </w:pPr>
          </w:p>
        </w:tc>
        <w:tc>
          <w:tcPr>
            <w:tcW w:w="102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6"/>
              </w:rPr>
              <w:t>June 30,</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9"/>
              </w:rPr>
              <w:t>June 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80" w:type="dxa"/>
            <w:vAlign w:val="bottom"/>
          </w:tcPr>
          <w:p>
            <w:pPr>
              <w:spacing w:after="0"/>
              <w:rPr>
                <w:sz w:val="14"/>
                <w:szCs w:val="14"/>
                <w:color w:val="auto"/>
              </w:rPr>
            </w:pPr>
          </w:p>
        </w:tc>
        <w:tc>
          <w:tcPr>
            <w:tcW w:w="6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6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1800" w:type="dxa"/>
            <w:vAlign w:val="bottom"/>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 amounts in 000’s)</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tcPr>
          <w:p>
            <w:pPr>
              <w:jc w:val="right"/>
              <w:spacing w:after="0"/>
              <w:rPr>
                <w:sz w:val="20"/>
                <w:szCs w:val="20"/>
                <w:color w:val="auto"/>
              </w:rPr>
            </w:pPr>
            <w:r>
              <w:rPr>
                <w:rFonts w:ascii="Arial" w:cs="Arial" w:eastAsia="Arial" w:hAnsi="Arial"/>
                <w:sz w:val="18"/>
                <w:szCs w:val="18"/>
                <w:color w:val="auto"/>
              </w:rPr>
              <w:t>17,950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 purchases of property and equipment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2"/>
        </w:trPr>
        <w:tc>
          <w:tcPr>
            <w:tcW w:w="6880" w:type="dxa"/>
            <w:vAlign w:val="bottom"/>
          </w:tcPr>
          <w:p>
            <w:pPr>
              <w:ind w:left="440"/>
              <w:spacing w:after="0"/>
              <w:rPr>
                <w:sz w:val="20"/>
                <w:szCs w:val="20"/>
                <w:color w:val="auto"/>
              </w:rPr>
            </w:pPr>
            <w:r>
              <w:rPr>
                <w:rFonts w:ascii="Arial" w:cs="Arial" w:eastAsia="Arial" w:hAnsi="Arial"/>
                <w:sz w:val="18"/>
                <w:szCs w:val="18"/>
                <w:color w:val="auto"/>
              </w:rPr>
              <w:t>Free cash flow (Non-GAAP)</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16,735</w:t>
            </w: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(88,887)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8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14,012</w:t>
            </w:r>
          </w:p>
        </w:tc>
        <w:tc>
          <w:tcPr>
            <w:tcW w:w="3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(7,448)</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tab/>
        <w:t>Includes purchases of property and equipment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derive our revenue from sales of our products and subscription and support services. We recognize our revenue in accordance with the guidance in ASC 985-605-25 (formerly referred to as SOP 97-2, </w:t>
      </w:r>
      <w:r>
        <w:rPr>
          <w:rFonts w:ascii="Arial" w:cs="Arial" w:eastAsia="Arial" w:hAnsi="Arial"/>
          <w:sz w:val="18"/>
          <w:szCs w:val="18"/>
          <w:i w:val="1"/>
          <w:iCs w:val="1"/>
          <w:color w:val="auto"/>
        </w:rPr>
        <w:t>Software Revenue Recognition</w:t>
      </w:r>
      <w:r>
        <w:rPr>
          <w:rFonts w:ascii="Arial" w:cs="Arial" w:eastAsia="Arial" w:hAnsi="Arial"/>
          <w:sz w:val="18"/>
          <w:szCs w:val="18"/>
          <w:color w:val="auto"/>
        </w:rPr>
        <w:t xml:space="preserve"> and SOP 98-9, Modification of SOP 97-2, Software Revenue Recognition, With Respect to Certain Transactions) which is discussed in further detail in “Critical Accounting Policies and Estimates - Revenue Recognition” below. According to ASC 985-605-25, revenue is recognized when persuasive evidence of an arrangement exists, delivery has occurred, the price is fixed or determinable and collectability is probable.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total revenue is comprised of the following:</w:t>
      </w:r>
    </w:p>
    <w:p>
      <w:pPr>
        <w:spacing w:after="0" w:line="90" w:lineRule="exact"/>
        <w:rPr>
          <w:sz w:val="20"/>
          <w:szCs w:val="20"/>
          <w:color w:val="auto"/>
        </w:rPr>
      </w:pPr>
    </w:p>
    <w:p>
      <w:pPr>
        <w:ind w:left="900" w:right="20" w:hanging="325"/>
        <w:spacing w:after="0" w:line="289"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Product revenue</w:t>
      </w:r>
      <w:r>
        <w:rPr>
          <w:rFonts w:ascii="Arial" w:cs="Arial" w:eastAsia="Arial" w:hAnsi="Arial"/>
          <w:sz w:val="16"/>
          <w:szCs w:val="16"/>
          <w:color w:val="auto"/>
        </w:rPr>
        <w:t>. Product revenue is generated from sales of our appliances and software. The substantial majority of our product revenue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by our FortiGate line of appliances, and we do not expect this to change in the foreseeable future. Product revenue also includes revenue derived from sales of FortiManager, FortiAnalyzer, FortiSwitch, FortiMail, FortiDB, FortiWeb, FortiAP and FortiScan appliances, and our FortiClient and virtual domain, or VDOM, software. We generally recognize revenue for products sold to distributors through the “sell-in” method upon shipment to the distributor and, for “sell-through” distributors, upon sale to their end-customer. As a percentage of total revenue, we expect our product revenue may vary from quarter-to-quarter based on seasonal and cyclical factors discussed below under “Quarterly Results of Operations” but generally may remain at comparable levels or decline modestly, as services revenue becomes a larger portion of our business as our customers renew existing services contracts and we expand our customer base.</w:t>
      </w:r>
    </w:p>
    <w:p>
      <w:pPr>
        <w:spacing w:after="0" w:line="37" w:lineRule="exact"/>
        <w:rPr>
          <w:rFonts w:ascii="Arial" w:cs="Arial" w:eastAsia="Arial" w:hAnsi="Arial"/>
          <w:sz w:val="16"/>
          <w:szCs w:val="16"/>
          <w:color w:val="auto"/>
        </w:rPr>
      </w:pPr>
    </w:p>
    <w:p>
      <w:pPr>
        <w:ind w:left="900" w:right="40" w:hanging="325"/>
        <w:spacing w:after="0" w:line="310"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Services revenue</w:t>
      </w:r>
      <w:r>
        <w:rPr>
          <w:rFonts w:ascii="Arial" w:cs="Arial" w:eastAsia="Arial" w:hAnsi="Arial"/>
          <w:sz w:val="15"/>
          <w:szCs w:val="15"/>
          <w:color w:val="auto"/>
        </w:rPr>
        <w:t>. Services revenue is generated primarily from FortiCare technical support services for software updates, maintenance releases and</w:t>
      </w:r>
      <w:r>
        <w:rPr>
          <w:rFonts w:ascii="Arial" w:cs="Arial" w:eastAsia="Arial" w:hAnsi="Arial"/>
          <w:sz w:val="15"/>
          <w:szCs w:val="15"/>
          <w:i w:val="1"/>
          <w:iCs w:val="1"/>
          <w:color w:val="auto"/>
        </w:rPr>
        <w:t xml:space="preserve"> </w:t>
      </w:r>
      <w:r>
        <w:rPr>
          <w:rFonts w:ascii="Arial" w:cs="Arial" w:eastAsia="Arial" w:hAnsi="Arial"/>
          <w:sz w:val="15"/>
          <w:szCs w:val="15"/>
          <w:color w:val="auto"/>
        </w:rPr>
        <w:t>patches, Internet access to technical content, telephone and Internet access to technical support personnel and hardware support and FortiGuard security subscription services related to antivirus, intrusion prevention, Web filtering and antispam updates. We recognize revenue from subscription and support services over the service performance period. Our typical contractual support and subscription term is one year from the date of registration, although, it could be longer as we are experiencing growth in the sales of multi-year support and subscription contracts. We also generate a small portion of our revenue from professional services and training services, and we recognize this revenue as service is provided. As a percentage of total revenue, although we expect our services revenue to remain at comparable levels or increase as our customers renew existing service contracts, our services revenue growth rate depends significantly on our billings growth rate, as well as the growth of our customer base.</w:t>
      </w:r>
    </w:p>
    <w:p>
      <w:pPr>
        <w:spacing w:after="0" w:line="27" w:lineRule="exact"/>
        <w:rPr>
          <w:rFonts w:ascii="Arial" w:cs="Arial" w:eastAsia="Arial" w:hAnsi="Arial"/>
          <w:sz w:val="15"/>
          <w:szCs w:val="15"/>
          <w:color w:val="auto"/>
        </w:rPr>
      </w:pPr>
    </w:p>
    <w:p>
      <w:pPr>
        <w:ind w:left="900" w:hanging="325"/>
        <w:spacing w:after="0" w:line="294"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Ratable product and services revenue</w:t>
      </w:r>
      <w:r>
        <w:rPr>
          <w:rFonts w:ascii="Arial" w:cs="Arial" w:eastAsia="Arial" w:hAnsi="Arial"/>
          <w:sz w:val="16"/>
          <w:szCs w:val="16"/>
          <w:color w:val="auto"/>
        </w:rPr>
        <w:t>. Ratable product and services revenue is generated from sales of our products and services in cases where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the services being provided cannot be segregated from the value of the entire sale. In these cases, the value of the entire sale is deferred and recognized ratably over the life of the service performance period. See “Critical Accounting Policies and Estimates - Revenue Recognition.” In fiscal 2009 and the first six months of fiscal 2010, ratable product and service revenue represented approximately six percent of total revenue and we do not expect this percentage to change significantly in the near future.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total cost of revenue is comprised of the following:</w:t>
      </w:r>
    </w:p>
    <w:p>
      <w:pPr>
        <w:spacing w:after="0" w:line="90" w:lineRule="exact"/>
        <w:rPr>
          <w:sz w:val="20"/>
          <w:szCs w:val="20"/>
          <w:color w:val="auto"/>
        </w:rPr>
      </w:pPr>
    </w:p>
    <w:p>
      <w:pPr>
        <w:ind w:left="900" w:right="60" w:hanging="325"/>
        <w:spacing w:after="0" w:line="290"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Cost of product revenue. </w:t>
      </w:r>
      <w:r>
        <w:rPr>
          <w:rFonts w:ascii="Arial" w:cs="Arial" w:eastAsia="Arial" w:hAnsi="Arial"/>
          <w:sz w:val="16"/>
          <w:szCs w:val="16"/>
          <w:color w:val="auto"/>
        </w:rPr>
        <w:t>A substantial majority of the cost of product revenue consists of third-party manufacturing costs. Our cost of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also includes product testing costs, write-offs for excess and obsolete inventory, royalty payments, amortization and any impairment of applicable acquired intangible assets, warranty costs, shipping and allocated facilities costs, stock-based compensation costs, and personnel costs associated with logistics and quality control. Personnel costs include cash-based personnel costs such as salaries, benefits and bonuses. Royalties reflect amounts related to Trend Micro since 2006, which Trend Micro claims are owed through 2015, as discussed in “Item 1 - Legal Proceedings.” For fiscal 2008 and fiscal 2009, this royalty represented approximately one percent of total revenue and we do not expect this percentage to increase substantially in the foreseeable future.</w:t>
      </w:r>
    </w:p>
    <w:p>
      <w:pPr>
        <w:spacing w:after="0" w:line="37" w:lineRule="exact"/>
        <w:rPr>
          <w:rFonts w:ascii="Arial" w:cs="Arial" w:eastAsia="Arial" w:hAnsi="Arial"/>
          <w:sz w:val="16"/>
          <w:szCs w:val="16"/>
          <w:color w:val="auto"/>
        </w:rPr>
      </w:pPr>
    </w:p>
    <w:p>
      <w:pPr>
        <w:ind w:left="900" w:right="160" w:hanging="325"/>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Cost of services revenue. </w:t>
      </w:r>
      <w:r>
        <w:rPr>
          <w:rFonts w:ascii="Arial" w:cs="Arial" w:eastAsia="Arial" w:hAnsi="Arial"/>
          <w:sz w:val="18"/>
          <w:szCs w:val="18"/>
          <w:color w:val="auto"/>
        </w:rPr>
        <w:t>Cost of services revenue is primarily comprised of cash-based personnel costs associated with our FortiGuard Labs team</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technical support, professional services and training teams, as well as depreciation, supplies, data center, data communications, facility-related costs and stock-based compensation costs. We expect our cost of services revenue will increase as we continue to invest in subscription and support services to meet the needs of our growing customer base.</w:t>
      </w:r>
    </w:p>
    <w:p>
      <w:pPr>
        <w:spacing w:after="0" w:line="62"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Cost of ratable product and services revenue</w:t>
      </w:r>
      <w:r>
        <w:rPr>
          <w:rFonts w:ascii="Arial" w:cs="Arial" w:eastAsia="Arial" w:hAnsi="Arial"/>
          <w:sz w:val="18"/>
          <w:szCs w:val="18"/>
          <w:color w:val="auto"/>
        </w:rPr>
        <w:t>. Cost of ratable product and services revenue is comprised primarily of deferred product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services-related costs.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Gross profit as a percentage of revenue, or gross margin, has been and will continue to be affected by a variety of factors,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sales price of our products, any excess inventory write-offs, manufacturing costs, the mix of products sold and the mix of revenue between products and services. We believe our overall gross margin for the near term may decline modestly or be relatively flat compared to that achieved in fiscal 2009 as we do not anticipate in the near term any significant change in the factors positively influencing gross margin.</w:t>
      </w:r>
    </w:p>
    <w:p>
      <w:pPr>
        <w:spacing w:after="0" w:line="11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Services revenue has historically increased as a percentage of total revenue since inception, and this trend has had a positive effect on our total gross margin given the higher services gross margins compared to product gross margins. Our services gross margins have increased from the second quarter of fiscal 2007 through the fourth quarter of fiscal 2008 and we have generally maintained services gross margins at those levels in fiscal 2009 and the first two quarters of fiscal 2010. We do not, however, expect these margins to increase, in a meaningful way, in the future as we continue to invest in our support infrastructure.</w:t>
      </w:r>
    </w:p>
    <w:p>
      <w:pPr>
        <w:spacing w:after="0" w:line="9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Our operating expenses consist of research and development, sales and marketing and general and administrative expenses.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costs are the most significant component of operating expenses and consist of cash-based personnel costs such as salaries, benefits, bonuses and, with regard to the sales and marketing expense, sales commissions. They also include non-cash charges, specifically, stock-based compensation. We expect personnel costs to continue to increase in absolute dollars as we hire new employees.</w:t>
      </w:r>
    </w:p>
    <w:p>
      <w:pPr>
        <w:spacing w:after="0" w:line="62" w:lineRule="exact"/>
        <w:rPr>
          <w:sz w:val="20"/>
          <w:szCs w:val="20"/>
          <w:color w:val="auto"/>
        </w:rPr>
      </w:pPr>
    </w:p>
    <w:p>
      <w:pPr>
        <w:ind w:left="900" w:hanging="325"/>
        <w:spacing w:after="0" w:line="25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 consists primarily of cash-based personnel costs. Additional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expenses include ASIC and system prototypes and certification-related expenses, depreciation of capital equipment, facility-related expenses and stock-based compensation expenses. The majority of our research and development is focused on both software development and the ongoing development of our hardware platform. We record all research and development expenses as incurred, except for capital equipment which is depreciated over time. Our development teams are primarily located in Canada, China, and California. We expect our spending for research and development to increase in absolute dollars but intend for research and development expenses to remain comparable to recent periods as a percentage of total revenue.</w:t>
      </w:r>
    </w:p>
    <w:p>
      <w:pPr>
        <w:spacing w:after="0" w:line="66"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Sales and marketing expense is the largest component of our operating expenses and primarily consists of cash-based personnel</w:t>
      </w:r>
      <w:r>
        <w:rPr>
          <w:rFonts w:ascii="Arial" w:cs="Arial" w:eastAsia="Arial" w:hAnsi="Arial"/>
          <w:sz w:val="16"/>
          <w:szCs w:val="16"/>
          <w:i w:val="1"/>
          <w:iCs w:val="1"/>
          <w:color w:val="auto"/>
        </w:rPr>
        <w:t xml:space="preserve"> </w:t>
      </w:r>
      <w:r>
        <w:rPr>
          <w:rFonts w:ascii="Arial" w:cs="Arial" w:eastAsia="Arial" w:hAnsi="Arial"/>
          <w:sz w:val="16"/>
          <w:szCs w:val="16"/>
          <w:color w:val="auto"/>
        </w:rPr>
        <w:t>costs. Additional sales and marketing expenses include stock-based compensation, promotional and other marketing expenses, travel, depreciation of capital equipment and facility-related expenses. We intend to hire additional personnel focused on sales and marketing and expand our sales and marketing efforts worldwide in order to increase our presence in new geographic markets and enterprise verticals, add new customers and increase penetration within our existing customer base. Accordingly, we expect sales and marketing expenses to increase in absolute dollars and to continue to be our largest operating expense.</w:t>
      </w:r>
    </w:p>
    <w:p>
      <w:pPr>
        <w:spacing w:after="0" w:line="39" w:lineRule="exact"/>
        <w:rPr>
          <w:rFonts w:ascii="Arial" w:cs="Arial" w:eastAsia="Arial" w:hAnsi="Arial"/>
          <w:sz w:val="16"/>
          <w:szCs w:val="16"/>
          <w:color w:val="auto"/>
        </w:rPr>
      </w:pPr>
    </w:p>
    <w:p>
      <w:pPr>
        <w:ind w:left="900" w:right="60" w:hanging="325"/>
        <w:spacing w:after="0" w:line="290"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 consists of cash-based personnel costs as well as professional fees,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depreciation of capital equipment and software, and facility-related expenses. General and administrative personnel include our executive, finance, human resources, information technology and legal organizations. Our professional fees principally consist of outside legal, auditing, accounting, information technology and other consulting costs. We expect that general and administrative expense will increase in absolute dollars as we hire additional personnel, make improvements to our information technology infrastructure, defend our intellectual property, and incur significant additional costs for the compliance requirements of operating as a public company, including the costs associated with SEC reporting, Sarbanes-Oxley Act compliance and insurance.</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consists of income earned on our cash, cash equivalents and investments. We have historically invested our cash in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 commercial paper, corporate debt securities and U.S. government debt securities.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consists primarily of foreign exchange gains and losses. Foreign exchange gains and losses relate</w:t>
      </w:r>
      <w:r>
        <w:rPr>
          <w:rFonts w:ascii="Arial" w:cs="Arial" w:eastAsia="Arial" w:hAnsi="Arial"/>
          <w:sz w:val="18"/>
          <w:szCs w:val="18"/>
          <w:i w:val="1"/>
          <w:iCs w:val="1"/>
          <w:color w:val="auto"/>
        </w:rPr>
        <w:t xml:space="preserve"> </w:t>
      </w:r>
      <w:r>
        <w:rPr>
          <w:rFonts w:ascii="Arial" w:cs="Arial" w:eastAsia="Arial" w:hAnsi="Arial"/>
          <w:sz w:val="18"/>
          <w:szCs w:val="18"/>
          <w:color w:val="auto"/>
        </w:rPr>
        <w:t>to transactions denominated in currencies other than the functional currency of the associated entity.</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Our income tax provision is based on our worldwide estimated annualized effective tax rate. We are subject to tax in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as well as other tax jurisdictions or countries in which we conduct business. Earnings from our non-U.S. activities are subject to local country income tax and may be subject to current U.S. income tax. Our effective tax rates differ from the statutory rate primarily due to foreign income subject to different tax rates than the U.S., research and development tax credits (when applicable), withholding tax, and nondeductible compensation.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which have been prepared in accordance with U.S. GAAP. These principles require us to make estimates and judgments that affect the reported amounts of assets, liabilities, revenue and expenses, cash flow and related disclosure of contingent assets and liabilities. Our estimates include those related to revenue recognition, stock-based compensation,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20"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We believe the accounting policies and estimates discussed under Item 7, “Management’s Discussion and Analysis of Financial Condition and Results of Operations” in our Annual Report on Form 10-K for the fiscal year ended December 31, 2009 reflect our more significant judgments and estimates used in the preparation of the consolidated financial statements. There have been no material changes to the critical accounting policies and estimates as filed in such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June 30, 2010 and June 28, 2009</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8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380" w:type="dxa"/>
            <w:vAlign w:val="bottom"/>
            <w:tcBorders>
              <w:bottom w:val="single" w:sz="8" w:color="auto"/>
            </w:tcBorders>
            <w:gridSpan w:val="3"/>
          </w:tcPr>
          <w:p>
            <w:pPr>
              <w:jc w:val="right"/>
              <w:ind w:right="222"/>
              <w:spacing w:after="0" w:line="142" w:lineRule="exact"/>
              <w:rPr>
                <w:sz w:val="20"/>
                <w:szCs w:val="20"/>
                <w:color w:val="auto"/>
              </w:rPr>
            </w:pPr>
            <w:r>
              <w:rPr>
                <w:rFonts w:ascii="Arial" w:cs="Arial" w:eastAsia="Arial" w:hAnsi="Arial"/>
                <w:sz w:val="14"/>
                <w:szCs w:val="14"/>
                <w:b w:val="1"/>
                <w:bCs w:val="1"/>
                <w:color w:val="auto"/>
              </w:rPr>
              <w:t>June 30, 2010</w:t>
            </w:r>
          </w:p>
        </w:tc>
        <w:tc>
          <w:tcPr>
            <w:tcW w:w="200" w:type="dxa"/>
            <w:vAlign w:val="bottom"/>
          </w:tcPr>
          <w:p>
            <w:pPr>
              <w:spacing w:after="0"/>
              <w:rPr>
                <w:sz w:val="12"/>
                <w:szCs w:val="12"/>
                <w:color w:val="auto"/>
              </w:rPr>
            </w:pPr>
          </w:p>
        </w:tc>
        <w:tc>
          <w:tcPr>
            <w:tcW w:w="1380" w:type="dxa"/>
            <w:vAlign w:val="bottom"/>
            <w:tcBorders>
              <w:bottom w:val="single" w:sz="8" w:color="auto"/>
            </w:tcBorders>
            <w:gridSpan w:val="3"/>
          </w:tcPr>
          <w:p>
            <w:pPr>
              <w:jc w:val="right"/>
              <w:ind w:right="222"/>
              <w:spacing w:after="0" w:line="142" w:lineRule="exact"/>
              <w:rPr>
                <w:sz w:val="20"/>
                <w:szCs w:val="20"/>
                <w:color w:val="auto"/>
              </w:rPr>
            </w:pPr>
            <w:r>
              <w:rPr>
                <w:rFonts w:ascii="Arial" w:cs="Arial" w:eastAsia="Arial" w:hAnsi="Arial"/>
                <w:sz w:val="14"/>
                <w:szCs w:val="14"/>
                <w:b w:val="1"/>
                <w:bCs w:val="1"/>
                <w:color w:val="auto"/>
              </w:rPr>
              <w:t>June 28, 2009</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right"/>
              <w:ind w:right="42"/>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ind w:right="22"/>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Revenue</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Revenue</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 Change</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 amounts</w:t>
            </w:r>
          </w:p>
        </w:tc>
        <w:tc>
          <w:tcPr>
            <w:tcW w:w="700" w:type="dxa"/>
            <w:vAlign w:val="bottom"/>
            <w:gridSpan w:val="2"/>
          </w:tcPr>
          <w:p>
            <w:pPr>
              <w:jc w:val="right"/>
              <w:ind w:right="2"/>
              <w:spacing w:after="0" w:line="142" w:lineRule="exact"/>
              <w:rPr>
                <w:sz w:val="20"/>
                <w:szCs w:val="20"/>
                <w:color w:val="auto"/>
              </w:rPr>
            </w:pPr>
            <w:r>
              <w:rPr>
                <w:rFonts w:ascii="Arial" w:cs="Arial" w:eastAsia="Arial" w:hAnsi="Arial"/>
                <w:sz w:val="14"/>
                <w:szCs w:val="14"/>
                <w:b w:val="1"/>
                <w:bCs w:val="1"/>
                <w:color w:val="auto"/>
              </w:rPr>
              <w:t>in 000’s)</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Product</w:t>
            </w:r>
          </w:p>
        </w:tc>
        <w:tc>
          <w:tcPr>
            <w:tcW w:w="660" w:type="dxa"/>
            <w:vAlign w:val="bottom"/>
          </w:tcPr>
          <w:p>
            <w:pPr>
              <w:jc w:val="right"/>
              <w:spacing w:after="0"/>
              <w:rPr>
                <w:sz w:val="20"/>
                <w:szCs w:val="20"/>
                <w:color w:val="auto"/>
              </w:rPr>
            </w:pPr>
            <w:r>
              <w:rPr>
                <w:rFonts w:ascii="Arial" w:cs="Arial" w:eastAsia="Arial" w:hAnsi="Arial"/>
                <w:sz w:val="18"/>
                <w:szCs w:val="18"/>
                <w:color w:val="auto"/>
              </w:rPr>
              <w:t>31,037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24,451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6,586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33,473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Ratable product and services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w:t>
            </w: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61,345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14,986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Revenue by Geography:</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2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Americas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22,597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EMEA</w:t>
            </w:r>
          </w:p>
        </w:tc>
        <w:tc>
          <w:tcPr>
            <w:tcW w:w="660" w:type="dxa"/>
            <w:vAlign w:val="bottom"/>
          </w:tcPr>
          <w:p>
            <w:pPr>
              <w:jc w:val="right"/>
              <w:spacing w:after="0"/>
              <w:rPr>
                <w:sz w:val="20"/>
                <w:szCs w:val="20"/>
                <w:color w:val="auto"/>
              </w:rPr>
            </w:pPr>
            <w:r>
              <w:rPr>
                <w:rFonts w:ascii="Arial" w:cs="Arial" w:eastAsia="Arial" w:hAnsi="Arial"/>
                <w:sz w:val="18"/>
                <w:szCs w:val="18"/>
                <w:color w:val="auto"/>
              </w:rPr>
              <w:t>29,482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23,003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6,479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APAC</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17,959</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15,745</w:t>
            </w: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660" w:type="dxa"/>
            <w:vAlign w:val="bottom"/>
          </w:tcPr>
          <w:p>
            <w:pPr>
              <w:jc w:val="right"/>
              <w:spacing w:after="0"/>
              <w:rPr>
                <w:sz w:val="20"/>
                <w:szCs w:val="20"/>
                <w:color w:val="auto"/>
              </w:rPr>
            </w:pPr>
            <w:r>
              <w:rPr>
                <w:rFonts w:ascii="Arial" w:cs="Arial" w:eastAsia="Arial" w:hAnsi="Arial"/>
                <w:sz w:val="18"/>
                <w:szCs w:val="18"/>
                <w:color w:val="auto"/>
              </w:rPr>
              <w:t>76,331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61,345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14,986</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Total revenue increased $15.0 million, or 24.4%, in the second quarter of 2010 as compared to the second quarter of 2009. The Americas and EMEA regions contributed the largest portion of this growth. Product revenue increased $6.6 million, or 26.9%, compared to the second quarter of 2009. The increase in product revenue was primarily driven by higher product sales volume and a greater mix of our high-end products due to increased sales to enterprise and service provider customers. Services revenue increased $7.5 million, or 22.4%, in the second quarter of 2010 compared to the second quarter of 2009 due to recognition of revenue from our growing deferred revenue balance consisting of subscription and support contracts sold to a larger customer base. The growth in ratable product and services revenue was due to a slight decrease in the weighted-average service period over which such revenue was recognized, due to a decrease in the average contractual term of support contracts related to these arrangements.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1220" w:type="dxa"/>
            <w:vAlign w:val="bottom"/>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99"/>
              </w:rPr>
              <w:t>June 30,</w:t>
            </w:r>
          </w:p>
        </w:tc>
        <w:tc>
          <w:tcPr>
            <w:tcW w:w="1240" w:type="dxa"/>
            <w:vAlign w:val="bottom"/>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w w:val="99"/>
              </w:rPr>
              <w:t>June 28,</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 Change</w:t>
            </w:r>
          </w:p>
        </w:tc>
        <w:tc>
          <w:tcPr>
            <w:tcW w:w="56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360" w:type="dxa"/>
            <w:vAlign w:val="bottom"/>
            <w:gridSpan w:val="4"/>
          </w:tcPr>
          <w:p>
            <w:pPr>
              <w:jc w:val="right"/>
              <w:ind w:right="900"/>
              <w:spacing w:after="0" w:line="142" w:lineRule="exact"/>
              <w:rPr>
                <w:sz w:val="20"/>
                <w:szCs w:val="20"/>
                <w:color w:val="auto"/>
              </w:rPr>
            </w:pPr>
            <w:r>
              <w:rPr>
                <w:rFonts w:ascii="Arial" w:cs="Arial" w:eastAsia="Arial" w:hAnsi="Arial"/>
                <w:sz w:val="14"/>
                <w:szCs w:val="14"/>
                <w:b w:val="1"/>
                <w:bCs w:val="1"/>
                <w:color w:val="auto"/>
              </w:rPr>
              <w:t>($ amounts in 000’s)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Product</w:t>
            </w:r>
          </w:p>
        </w:tc>
        <w:tc>
          <w:tcPr>
            <w:tcW w:w="660" w:type="dxa"/>
            <w:vAlign w:val="bottom"/>
          </w:tcPr>
          <w:p>
            <w:pPr>
              <w:jc w:val="right"/>
              <w:spacing w:after="0"/>
              <w:rPr>
                <w:sz w:val="20"/>
                <w:szCs w:val="20"/>
                <w:color w:val="auto"/>
              </w:rPr>
            </w:pPr>
            <w:r>
              <w:rPr>
                <w:rFonts w:ascii="Arial" w:cs="Arial" w:eastAsia="Arial" w:hAnsi="Arial"/>
                <w:sz w:val="18"/>
                <w:szCs w:val="18"/>
                <w:color w:val="auto"/>
              </w:rPr>
              <w:t>11,822</w:t>
            </w:r>
          </w:p>
        </w:tc>
        <w:tc>
          <w:tcPr>
            <w:tcW w:w="56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10,316</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1,506</w:t>
            </w:r>
          </w:p>
        </w:tc>
        <w:tc>
          <w:tcPr>
            <w:tcW w:w="62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5,357</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1,461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Ratable product and services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5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5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5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20,165</w:t>
            </w: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16,979</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3,186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Gross margin:</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61.9%</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57.8%</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w:t>
            </w: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Services</w:t>
            </w:r>
          </w:p>
        </w:tc>
        <w:tc>
          <w:tcPr>
            <w:tcW w:w="660" w:type="dxa"/>
            <w:vAlign w:val="bottom"/>
          </w:tcPr>
          <w:p>
            <w:pPr>
              <w:jc w:val="right"/>
              <w:spacing w:after="0"/>
              <w:rPr>
                <w:sz w:val="20"/>
                <w:szCs w:val="20"/>
                <w:color w:val="auto"/>
              </w:rPr>
            </w:pPr>
            <w:r>
              <w:rPr>
                <w:rFonts w:ascii="Arial" w:cs="Arial" w:eastAsia="Arial" w:hAnsi="Arial"/>
                <w:sz w:val="18"/>
                <w:szCs w:val="18"/>
                <w:color w:val="auto"/>
              </w:rPr>
              <w:t>83.4</w:t>
            </w:r>
          </w:p>
        </w:tc>
        <w:tc>
          <w:tcPr>
            <w:tcW w:w="56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84.0</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(0.6)</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Ratable product and services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61.8</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Total gross margin</w:t>
            </w:r>
          </w:p>
        </w:tc>
        <w:tc>
          <w:tcPr>
            <w:tcW w:w="660" w:type="dxa"/>
            <w:vAlign w:val="bottom"/>
          </w:tcPr>
          <w:p>
            <w:pPr>
              <w:jc w:val="right"/>
              <w:spacing w:after="0"/>
              <w:rPr>
                <w:sz w:val="20"/>
                <w:szCs w:val="20"/>
                <w:color w:val="auto"/>
              </w:rPr>
            </w:pPr>
            <w:r>
              <w:rPr>
                <w:rFonts w:ascii="Arial" w:cs="Arial" w:eastAsia="Arial" w:hAnsi="Arial"/>
                <w:sz w:val="18"/>
                <w:szCs w:val="18"/>
                <w:color w:val="auto"/>
              </w:rPr>
              <w:t>73.6</w:t>
            </w:r>
          </w:p>
        </w:tc>
        <w:tc>
          <w:tcPr>
            <w:tcW w:w="56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72.3</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Total gross margin increased 1.3 percentage points in the second quarter of 2010 primarily due to improved product margins. Product gross margin increased 4.1 percentage points in the second quarter of 2010 compared to 2009 primarily due to flat warranty-related costs and the absence of asset acquisition related write-offs compared to a $0.6 million write-off in the second quarter of 2009. The 0.6 percentage point decrease in services gross margin was primarily due to investments in our Americas support, professional services and FortiGuard global security research organizations. Services cost increased by $1.5 million primarily due to $0.9 million of higher cash-based personnel costs. Travel, depreciation, and occupancy-related costs increased a combined $0.5 million and stock-based compensation increased $0.1 million. Ratable product and services gross margin increased 3.0% due to lower indirect product costs, such as manufacturing overhead and royalty related costs.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40" w:type="dxa"/>
            <w:vAlign w:val="bottom"/>
            <w:tcBorders>
              <w:bottom w:val="single" w:sz="8" w:color="auto"/>
            </w:tcBorders>
            <w:gridSpan w:val="3"/>
          </w:tcPr>
          <w:p>
            <w:pPr>
              <w:jc w:val="right"/>
              <w:ind w:right="241"/>
              <w:spacing w:after="0" w:line="142" w:lineRule="exact"/>
              <w:rPr>
                <w:sz w:val="20"/>
                <w:szCs w:val="20"/>
                <w:color w:val="auto"/>
              </w:rPr>
            </w:pPr>
            <w:r>
              <w:rPr>
                <w:rFonts w:ascii="Arial" w:cs="Arial" w:eastAsia="Arial" w:hAnsi="Arial"/>
                <w:sz w:val="14"/>
                <w:szCs w:val="14"/>
                <w:b w:val="1"/>
                <w:bCs w:val="1"/>
                <w:color w:val="auto"/>
              </w:rPr>
              <w:t>June 30, 2010</w:t>
            </w:r>
          </w:p>
        </w:tc>
        <w:tc>
          <w:tcPr>
            <w:tcW w:w="280" w:type="dxa"/>
            <w:vAlign w:val="bottom"/>
          </w:tcPr>
          <w:p>
            <w:pPr>
              <w:spacing w:after="0"/>
              <w:rPr>
                <w:sz w:val="12"/>
                <w:szCs w:val="12"/>
                <w:color w:val="auto"/>
              </w:rPr>
            </w:pPr>
          </w:p>
        </w:tc>
        <w:tc>
          <w:tcPr>
            <w:tcW w:w="1620" w:type="dxa"/>
            <w:vAlign w:val="bottom"/>
            <w:tcBorders>
              <w:bottom w:val="single" w:sz="8" w:color="auto"/>
            </w:tcBorders>
            <w:gridSpan w:val="3"/>
          </w:tcPr>
          <w:p>
            <w:pPr>
              <w:ind w:left="420"/>
              <w:spacing w:after="0" w:line="142" w:lineRule="exact"/>
              <w:rPr>
                <w:sz w:val="20"/>
                <w:szCs w:val="20"/>
                <w:color w:val="auto"/>
              </w:rPr>
            </w:pPr>
            <w:r>
              <w:rPr>
                <w:rFonts w:ascii="Arial" w:cs="Arial" w:eastAsia="Arial" w:hAnsi="Arial"/>
                <w:sz w:val="14"/>
                <w:szCs w:val="14"/>
                <w:b w:val="1"/>
                <w:bCs w:val="1"/>
                <w:color w:val="auto"/>
              </w:rPr>
              <w:t>June 28, 2009</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ind w:left="120"/>
              <w:spacing w:after="0" w:line="129"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rPr>
              <w:t>% of</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Revenue</w:t>
            </w:r>
          </w:p>
        </w:tc>
        <w:tc>
          <w:tcPr>
            <w:tcW w:w="280" w:type="dxa"/>
            <w:vAlign w:val="bottom"/>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Revenue</w:t>
            </w:r>
          </w:p>
        </w:tc>
        <w:tc>
          <w:tcPr>
            <w:tcW w:w="46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 Change</w:t>
            </w:r>
          </w:p>
        </w:tc>
        <w:tc>
          <w:tcPr>
            <w:tcW w:w="46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ind w:left="420"/>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amounts in 000’s)</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12,676</w:t>
            </w:r>
          </w:p>
        </w:tc>
        <w:tc>
          <w:tcPr>
            <w:tcW w:w="500" w:type="dxa"/>
            <w:vAlign w:val="bottom"/>
          </w:tcPr>
          <w:p>
            <w:pPr>
              <w:jc w:val="right"/>
              <w:spacing w:after="0"/>
              <w:rPr>
                <w:sz w:val="20"/>
                <w:szCs w:val="20"/>
                <w:color w:val="auto"/>
              </w:rPr>
            </w:pPr>
            <w:r>
              <w:rPr>
                <w:rFonts w:ascii="Arial" w:cs="Arial" w:eastAsia="Arial" w:hAnsi="Arial"/>
                <w:sz w:val="18"/>
                <w:szCs w:val="18"/>
                <w:color w:val="auto"/>
              </w:rPr>
              <w:t>16.6</w:t>
            </w:r>
          </w:p>
        </w:tc>
        <w:tc>
          <w:tcPr>
            <w:tcW w:w="1400" w:type="dxa"/>
            <w:vAlign w:val="bottom"/>
            <w:gridSpan w:val="3"/>
          </w:tcPr>
          <w:p>
            <w:pPr>
              <w:jc w:val="right"/>
              <w:ind w:right="392"/>
              <w:spacing w:after="0"/>
              <w:rPr>
                <w:sz w:val="20"/>
                <w:szCs w:val="20"/>
                <w:color w:val="auto"/>
              </w:rPr>
            </w:pPr>
            <w:r>
              <w:rPr>
                <w:rFonts w:ascii="Arial" w:cs="Arial" w:eastAsia="Arial" w:hAnsi="Arial"/>
                <w:sz w:val="18"/>
                <w:szCs w:val="18"/>
                <w:color w:val="auto"/>
              </w:rPr>
              <w:t>10,534</w:t>
            </w:r>
          </w:p>
        </w:tc>
        <w:tc>
          <w:tcPr>
            <w:tcW w:w="500" w:type="dxa"/>
            <w:vAlign w:val="bottom"/>
          </w:tcPr>
          <w:p>
            <w:pPr>
              <w:jc w:val="right"/>
              <w:spacing w:after="0"/>
              <w:rPr>
                <w:sz w:val="20"/>
                <w:szCs w:val="20"/>
                <w:color w:val="auto"/>
              </w:rPr>
            </w:pPr>
            <w:r>
              <w:rPr>
                <w:rFonts w:ascii="Arial" w:cs="Arial" w:eastAsia="Arial" w:hAnsi="Arial"/>
                <w:sz w:val="18"/>
                <w:szCs w:val="18"/>
                <w:color w:val="auto"/>
              </w:rPr>
              <w:t>17.2</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2,142</w:t>
            </w:r>
          </w:p>
        </w:tc>
        <w:tc>
          <w:tcPr>
            <w:tcW w:w="620" w:type="dxa"/>
            <w:vAlign w:val="bottom"/>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27,777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4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24,341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3,436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660" w:type="dxa"/>
            <w:vAlign w:val="bottom"/>
          </w:tcPr>
          <w:p>
            <w:pPr>
              <w:jc w:val="right"/>
              <w:spacing w:after="0"/>
              <w:rPr>
                <w:sz w:val="20"/>
                <w:szCs w:val="20"/>
                <w:color w:val="auto"/>
              </w:rPr>
            </w:pPr>
            <w:r>
              <w:rPr>
                <w:rFonts w:ascii="Arial" w:cs="Arial" w:eastAsia="Arial" w:hAnsi="Arial"/>
                <w:sz w:val="18"/>
                <w:szCs w:val="18"/>
                <w:color w:val="auto"/>
              </w:rPr>
              <w:t>5,933</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1120" w:type="dxa"/>
            <w:vAlign w:val="bottom"/>
            <w:gridSpan w:val="2"/>
          </w:tcPr>
          <w:p>
            <w:pPr>
              <w:jc w:val="right"/>
              <w:ind w:right="392"/>
              <w:spacing w:after="0"/>
              <w:rPr>
                <w:sz w:val="20"/>
                <w:szCs w:val="20"/>
                <w:color w:val="auto"/>
              </w:rPr>
            </w:pPr>
            <w:r>
              <w:rPr>
                <w:rFonts w:ascii="Arial" w:cs="Arial" w:eastAsia="Arial" w:hAnsi="Arial"/>
                <w:sz w:val="18"/>
                <w:szCs w:val="18"/>
                <w:color w:val="auto"/>
              </w:rPr>
              <w:t>4,516</w:t>
            </w: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1,417</w:t>
            </w:r>
          </w:p>
        </w:tc>
        <w:tc>
          <w:tcPr>
            <w:tcW w:w="620" w:type="dxa"/>
            <w:vAlign w:val="bottom"/>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46,386</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39,391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6,995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Research and development expense increased $2.1 million, or 20.3%, in the second quarter of 2010 compared to the second quarter of 2009 primarily due to an increase of $1.6 million in cash-based personnel costs as a result of increased headcount to support the development of new products and continued enhancements of our existing products. Occupancy-related costs increased $0.7 million due to expansion into a new office facility, partially offset by a $0.2 million decrease in expensed computer supplies. An 11% increase in the Canadian dollar exchange rate against the US dollar also significantly contributed to the increase in research and development expense.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 expense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Sales and marketing expense increased $3.4 million, or 14.1%, in the second quarter of 2010 compared to the second quarter of 2009 primarily due to increased cash-based personnel costs of $3.3 million based on increased headcount, a $0.3 million increase in travel expense and a $0.2 million increase in stock-based compensation expense. These increases were offset by $0.4 million of lower marketing related expenses as a result of continued focus around expense control. As a percentage of revenue, sales and marketing expenses decreased 3.0 percentage points due to the leverage we are achieving from the investment in our sales force during prior quarters, as evidenced by our revenue growth of 24.4% outpacing our sales and marketing expenses growth of 14.1%.</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second quarter of 2010, general and administrative expense increased $1.4 million, or 31.4%, compared to the second quarter of 2009. The increase was primarily due to a $1.0 million increase in legal expenses to support various patent litigation matters, increased cash-based personnel costs of $0.3 million, and a $0.1 million increase in stock-based compensation.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income and other income (expense), net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9"/>
              </w:rPr>
              <w:t>Three Months Ended</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68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5"/>
              </w:rPr>
              <w:t>June 30,</w:t>
            </w: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June 28,</w:t>
            </w: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680" w:type="dxa"/>
            <w:vAlign w:val="bottom"/>
          </w:tcPr>
          <w:p>
            <w:pPr>
              <w:spacing w:after="0"/>
              <w:rPr>
                <w:sz w:val="14"/>
                <w:szCs w:val="14"/>
                <w:color w:val="auto"/>
              </w:rPr>
            </w:pPr>
          </w:p>
        </w:tc>
        <w:tc>
          <w:tcPr>
            <w:tcW w:w="520" w:type="dxa"/>
            <w:vAlign w:val="bottom"/>
          </w:tcPr>
          <w:p>
            <w:pPr>
              <w:jc w:val="right"/>
              <w:ind w:right="44"/>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560" w:type="dxa"/>
            <w:vAlign w:val="bottom"/>
          </w:tcPr>
          <w:p>
            <w:pPr>
              <w:jc w:val="right"/>
              <w:ind w:right="64"/>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2"/>
              </w:rPr>
              <w:t>$ Change</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 Change</w:t>
            </w:r>
          </w:p>
        </w:tc>
      </w:tr>
      <w:tr>
        <w:trPr>
          <w:trHeight w:val="20"/>
        </w:trPr>
        <w:tc>
          <w:tcPr>
            <w:tcW w:w="6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00" w:type="dxa"/>
            <w:vAlign w:val="bottom"/>
            <w:gridSpan w:val="4"/>
          </w:tcPr>
          <w:p>
            <w:pPr>
              <w:jc w:val="right"/>
              <w:ind w:right="660"/>
              <w:spacing w:after="0" w:line="142" w:lineRule="exact"/>
              <w:rPr>
                <w:sz w:val="20"/>
                <w:szCs w:val="20"/>
                <w:color w:val="auto"/>
              </w:rPr>
            </w:pPr>
            <w:r>
              <w:rPr>
                <w:rFonts w:ascii="Arial" w:cs="Arial" w:eastAsia="Arial" w:hAnsi="Arial"/>
                <w:sz w:val="14"/>
                <w:szCs w:val="14"/>
                <w:b w:val="1"/>
                <w:bCs w:val="1"/>
                <w:color w:val="auto"/>
              </w:rPr>
              <w:t>($ amounts in 000’s)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r>
      <w:tr>
        <w:trPr>
          <w:trHeight w:val="222"/>
        </w:trPr>
        <w:tc>
          <w:tcPr>
            <w:tcW w:w="6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87</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(282)</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369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(130.9)</w:t>
            </w:r>
          </w:p>
        </w:tc>
      </w:tr>
    </w:tbl>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$0.1 million decrease in interest income in the second quarter of 2010 compared to the second quarter of 2009 was due to lower interest rates, despite higher balances of cash, cash equivalents and investments. The change in other income (expense), net for the second quarter of 2010 when compared to the second quarter of 2009 was the result of a foreign exchange loss in 2009.</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9"/>
              </w:rPr>
              <w:t>Three Months Ended</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72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4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June 28,</w:t>
            </w: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720" w:type="dxa"/>
            <w:vAlign w:val="bottom"/>
          </w:tcPr>
          <w:p>
            <w:pPr>
              <w:spacing w:after="0"/>
              <w:rPr>
                <w:sz w:val="14"/>
                <w:szCs w:val="14"/>
                <w:color w:val="auto"/>
              </w:rPr>
            </w:pPr>
          </w:p>
        </w:tc>
        <w:tc>
          <w:tcPr>
            <w:tcW w:w="520" w:type="dxa"/>
            <w:vAlign w:val="bottom"/>
          </w:tcPr>
          <w:p>
            <w:pPr>
              <w:jc w:val="right"/>
              <w:ind w:right="44"/>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2"/>
              </w:rPr>
              <w:t>$ Change</w:t>
            </w:r>
          </w:p>
        </w:tc>
        <w:tc>
          <w:tcPr>
            <w:tcW w:w="4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060" w:type="dxa"/>
            <w:vAlign w:val="bottom"/>
            <w:gridSpan w:val="4"/>
          </w:tcPr>
          <w:p>
            <w:pPr>
              <w:ind w:left="260"/>
              <w:spacing w:after="0" w:line="142" w:lineRule="exact"/>
              <w:rPr>
                <w:sz w:val="20"/>
                <w:szCs w:val="20"/>
                <w:color w:val="auto"/>
              </w:rPr>
            </w:pPr>
            <w:r>
              <w:rPr>
                <w:rFonts w:ascii="Arial" w:cs="Arial" w:eastAsia="Arial" w:hAnsi="Arial"/>
                <w:sz w:val="14"/>
                <w:szCs w:val="14"/>
                <w:b w:val="1"/>
                <w:bCs w:val="1"/>
                <w:color w:val="auto"/>
              </w:rPr>
              <w:t>($ amounts in 000’s)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652</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2,745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Effective tax rate (%)</w:t>
            </w:r>
          </w:p>
        </w:tc>
        <w:tc>
          <w:tcPr>
            <w:tcW w:w="520" w:type="dxa"/>
            <w:vAlign w:val="bottom"/>
          </w:tcPr>
          <w:p>
            <w:pPr>
              <w:jc w:val="right"/>
              <w:spacing w:after="0"/>
              <w:rPr>
                <w:sz w:val="20"/>
                <w:szCs w:val="20"/>
                <w:color w:val="auto"/>
              </w:rPr>
            </w:pPr>
            <w:r>
              <w:rPr>
                <w:rFonts w:ascii="Arial" w:cs="Arial" w:eastAsia="Arial" w:hAnsi="Arial"/>
                <w:sz w:val="18"/>
                <w:szCs w:val="18"/>
                <w:color w:val="auto"/>
              </w:rPr>
              <w:t>33.1</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12.5</w:t>
            </w: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effective tax rate was 33.1% for the quarter ended June 30, 2010, compared with an effective tax rate of 12.5% for the quarter ended June 28, 2009. The provision for income taxes for June 30, 2010 is comprised of foreign income taxes, U.S. federal and state taxes, and withholding tax. The provision for income taxes for the quarter ended June 28, 2009 is comprised primarily of foreign income taxes, U.S. federal alternative minimum tax, state income taxes, and withholding tax. The increase in the effective tax rate for the quarter ended June 30, 2010, compared with the same period in the prior year, is attributable primarily to the use of net operating loss carryforwards to reduce our tax rate in 2009, prior to releasing our valuation allowance at the end of fiscal 2009.</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459"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Six Months Ended June 30, 2010 and June 28, 2009</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58"/>
              <w:spacing w:after="0"/>
              <w:rPr>
                <w:sz w:val="20"/>
                <w:szCs w:val="20"/>
                <w:color w:val="auto"/>
              </w:rPr>
            </w:pPr>
            <w:r>
              <w:rPr>
                <w:rFonts w:ascii="Arial" w:cs="Arial" w:eastAsia="Arial" w:hAnsi="Arial"/>
                <w:sz w:val="14"/>
                <w:szCs w:val="14"/>
                <w:b w:val="1"/>
                <w:bCs w:val="1"/>
                <w:color w:val="auto"/>
                <w:w w:val="98"/>
              </w:rPr>
              <w:t>Six Months Ended</w:t>
            </w: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660" w:type="dxa"/>
            <w:vAlign w:val="bottom"/>
            <w:gridSpan w:val="4"/>
          </w:tcPr>
          <w:p>
            <w:pPr>
              <w:jc w:val="right"/>
              <w:ind w:right="540"/>
              <w:spacing w:after="0" w:line="142" w:lineRule="exact"/>
              <w:rPr>
                <w:sz w:val="20"/>
                <w:szCs w:val="20"/>
                <w:color w:val="auto"/>
              </w:rPr>
            </w:pPr>
            <w:r>
              <w:rPr>
                <w:rFonts w:ascii="Arial" w:cs="Arial" w:eastAsia="Arial" w:hAnsi="Arial"/>
                <w:sz w:val="14"/>
                <w:szCs w:val="14"/>
                <w:b w:val="1"/>
                <w:bCs w:val="1"/>
                <w:color w:val="auto"/>
              </w:rPr>
              <w:t>June 30, 2010</w:t>
            </w:r>
          </w:p>
        </w:tc>
        <w:tc>
          <w:tcPr>
            <w:tcW w:w="1620" w:type="dxa"/>
            <w:vAlign w:val="bottom"/>
            <w:gridSpan w:val="3"/>
          </w:tcPr>
          <w:p>
            <w:pPr>
              <w:jc w:val="right"/>
              <w:ind w:right="332"/>
              <w:spacing w:after="0" w:line="142" w:lineRule="exact"/>
              <w:rPr>
                <w:sz w:val="20"/>
                <w:szCs w:val="20"/>
                <w:color w:val="auto"/>
              </w:rPr>
            </w:pPr>
            <w:r>
              <w:rPr>
                <w:rFonts w:ascii="Arial" w:cs="Arial" w:eastAsia="Arial" w:hAnsi="Arial"/>
                <w:sz w:val="14"/>
                <w:szCs w:val="14"/>
                <w:b w:val="1"/>
                <w:bCs w:val="1"/>
                <w:color w:val="auto"/>
              </w:rPr>
              <w:t>June 28, 2009</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21"/>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Revenue</w:t>
            </w:r>
          </w:p>
        </w:tc>
        <w:tc>
          <w:tcPr>
            <w:tcW w:w="760" w:type="dxa"/>
            <w:vAlign w:val="bottom"/>
          </w:tcPr>
          <w:p>
            <w:pPr>
              <w:jc w:val="right"/>
              <w:ind w:right="58"/>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2"/>
              </w:rPr>
              <w:t>Revenue</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 Change</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4"/>
          </w:tcPr>
          <w:p>
            <w:pPr>
              <w:jc w:val="right"/>
              <w:ind w:right="460"/>
              <w:spacing w:after="0" w:line="142" w:lineRule="exact"/>
              <w:rPr>
                <w:sz w:val="20"/>
                <w:szCs w:val="20"/>
                <w:color w:val="auto"/>
              </w:rPr>
            </w:pPr>
            <w:r>
              <w:rPr>
                <w:rFonts w:ascii="Arial" w:cs="Arial" w:eastAsia="Arial" w:hAnsi="Arial"/>
                <w:sz w:val="14"/>
                <w:szCs w:val="14"/>
                <w:b w:val="1"/>
                <w:bCs w:val="1"/>
                <w:color w:val="auto"/>
              </w:rPr>
              <w:t>($ amounts in 000’s)</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Product</w:t>
            </w:r>
          </w:p>
        </w:tc>
        <w:tc>
          <w:tcPr>
            <w:tcW w:w="760" w:type="dxa"/>
            <w:vAlign w:val="bottom"/>
          </w:tcPr>
          <w:p>
            <w:pPr>
              <w:jc w:val="right"/>
              <w:spacing w:after="0"/>
              <w:rPr>
                <w:sz w:val="20"/>
                <w:szCs w:val="20"/>
                <w:color w:val="auto"/>
              </w:rPr>
            </w:pPr>
            <w:r>
              <w:rPr>
                <w:rFonts w:ascii="Arial" w:cs="Arial" w:eastAsia="Arial" w:hAnsi="Arial"/>
                <w:sz w:val="18"/>
                <w:szCs w:val="18"/>
                <w:color w:val="auto"/>
              </w:rPr>
              <w:t>58,147</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39.8</w:t>
            </w:r>
          </w:p>
        </w:tc>
        <w:tc>
          <w:tcPr>
            <w:tcW w:w="760" w:type="dxa"/>
            <w:vAlign w:val="bottom"/>
          </w:tcPr>
          <w:p>
            <w:pPr>
              <w:jc w:val="right"/>
              <w:spacing w:after="0"/>
              <w:rPr>
                <w:sz w:val="20"/>
                <w:szCs w:val="20"/>
                <w:color w:val="auto"/>
              </w:rPr>
            </w:pPr>
            <w:r>
              <w:rPr>
                <w:rFonts w:ascii="Arial" w:cs="Arial" w:eastAsia="Arial" w:hAnsi="Arial"/>
                <w:sz w:val="18"/>
                <w:szCs w:val="18"/>
                <w:color w:val="auto"/>
              </w:rPr>
              <w:t>43,777</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37.9</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14,370</w:t>
            </w:r>
          </w:p>
        </w:tc>
        <w:tc>
          <w:tcPr>
            <w:tcW w:w="620" w:type="dxa"/>
            <w:vAlign w:val="bottom"/>
          </w:tcPr>
          <w:p>
            <w:pPr>
              <w:jc w:val="right"/>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79,589</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65,046</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56.3</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14,543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Ratable product and services</w:t>
            </w:r>
          </w:p>
        </w:tc>
        <w:tc>
          <w:tcPr>
            <w:tcW w:w="760" w:type="dxa"/>
            <w:vAlign w:val="bottom"/>
          </w:tcPr>
          <w:p>
            <w:pPr>
              <w:jc w:val="right"/>
              <w:spacing w:after="0"/>
              <w:rPr>
                <w:sz w:val="20"/>
                <w:szCs w:val="20"/>
                <w:color w:val="auto"/>
              </w:rPr>
            </w:pPr>
            <w:r>
              <w:rPr>
                <w:rFonts w:ascii="Arial" w:cs="Arial" w:eastAsia="Arial" w:hAnsi="Arial"/>
                <w:sz w:val="18"/>
                <w:szCs w:val="18"/>
                <w:color w:val="auto"/>
              </w:rPr>
              <w:t>8,390</w:t>
            </w: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760" w:type="dxa"/>
            <w:vAlign w:val="bottom"/>
          </w:tcPr>
          <w:p>
            <w:pPr>
              <w:jc w:val="right"/>
              <w:spacing w:after="0"/>
              <w:rPr>
                <w:sz w:val="20"/>
                <w:szCs w:val="20"/>
                <w:color w:val="auto"/>
              </w:rPr>
            </w:pPr>
            <w:r>
              <w:rPr>
                <w:rFonts w:ascii="Arial" w:cs="Arial" w:eastAsia="Arial" w:hAnsi="Arial"/>
                <w:sz w:val="18"/>
                <w:szCs w:val="18"/>
                <w:color w:val="auto"/>
              </w:rPr>
              <w:t>6,716</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5.8</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1,674</w:t>
            </w:r>
          </w:p>
        </w:tc>
        <w:tc>
          <w:tcPr>
            <w:tcW w:w="620" w:type="dxa"/>
            <w:vAlign w:val="bottom"/>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146,126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115,539</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30,587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Revenue by Geography:</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0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Americas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52,707</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41,732</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36.1</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10,975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EMEA</w:t>
            </w:r>
          </w:p>
        </w:tc>
        <w:tc>
          <w:tcPr>
            <w:tcW w:w="760" w:type="dxa"/>
            <w:vAlign w:val="bottom"/>
          </w:tcPr>
          <w:p>
            <w:pPr>
              <w:jc w:val="right"/>
              <w:spacing w:after="0"/>
              <w:rPr>
                <w:sz w:val="20"/>
                <w:szCs w:val="20"/>
                <w:color w:val="auto"/>
              </w:rPr>
            </w:pPr>
            <w:r>
              <w:rPr>
                <w:rFonts w:ascii="Arial" w:cs="Arial" w:eastAsia="Arial" w:hAnsi="Arial"/>
                <w:sz w:val="18"/>
                <w:szCs w:val="18"/>
                <w:color w:val="auto"/>
              </w:rPr>
              <w:t>56,556</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38.7</w:t>
            </w:r>
          </w:p>
        </w:tc>
        <w:tc>
          <w:tcPr>
            <w:tcW w:w="760" w:type="dxa"/>
            <w:vAlign w:val="bottom"/>
          </w:tcPr>
          <w:p>
            <w:pPr>
              <w:jc w:val="right"/>
              <w:spacing w:after="0"/>
              <w:rPr>
                <w:sz w:val="20"/>
                <w:szCs w:val="20"/>
                <w:color w:val="auto"/>
              </w:rPr>
            </w:pPr>
            <w:r>
              <w:rPr>
                <w:rFonts w:ascii="Arial" w:cs="Arial" w:eastAsia="Arial" w:hAnsi="Arial"/>
                <w:sz w:val="18"/>
                <w:szCs w:val="18"/>
                <w:color w:val="auto"/>
              </w:rPr>
              <w:t>43,785</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37.9</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12,771</w:t>
            </w:r>
          </w:p>
        </w:tc>
        <w:tc>
          <w:tcPr>
            <w:tcW w:w="620" w:type="dxa"/>
            <w:vAlign w:val="bottom"/>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APAC</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30,022</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26.0</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6,841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gridSpan w:val="2"/>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146,126</w:t>
            </w:r>
          </w:p>
        </w:tc>
        <w:tc>
          <w:tcPr>
            <w:tcW w:w="2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760" w:type="dxa"/>
            <w:vAlign w:val="bottom"/>
          </w:tcPr>
          <w:p>
            <w:pPr>
              <w:jc w:val="right"/>
              <w:spacing w:after="0"/>
              <w:rPr>
                <w:sz w:val="20"/>
                <w:szCs w:val="20"/>
                <w:color w:val="auto"/>
              </w:rPr>
            </w:pPr>
            <w:r>
              <w:rPr>
                <w:rFonts w:ascii="Arial" w:cs="Arial" w:eastAsia="Arial" w:hAnsi="Arial"/>
                <w:sz w:val="18"/>
                <w:szCs w:val="18"/>
                <w:color w:val="auto"/>
              </w:rPr>
              <w:t>115,539</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100.0</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30,587</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Total revenue increased $30.6 million, or 26.5%, in the six months ended June 30, 2010 compared to the six months ended June 28, 2009, with all three regions, led by EMEA, contributing to our growth. Product revenue increased $14.4 million, or 32.8%, compared to the six months ended June 28, 2009. The increase in product revenue was primarily driven by higher product sales volume across all regions with a greater mix of our high-end product line. Services revenue increased $14.5 million, or 22.4%, in the six months ended June 30, 2010 compared to the six months ended June 28, 2009 due to recognition of revenue from our growing deferred revenue balance consisting of subscription and support contracts sold to a larger customer base. The growth in ratable product and services revenue was due to a slight decrease in the weighted-average service period over which such revenue was recognized, due to a decrease in the average contractual term of support contracts for arrangements in which we recognized product and services revenue ratably over the performance period.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100" w:type="dxa"/>
            <w:vAlign w:val="bottom"/>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w w:val="92"/>
              </w:rPr>
              <w:t>June 30,</w:t>
            </w:r>
          </w:p>
        </w:tc>
        <w:tc>
          <w:tcPr>
            <w:tcW w:w="1100" w:type="dxa"/>
            <w:vAlign w:val="bottom"/>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9"/>
              </w:rPr>
              <w:t>June 28,</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80" w:type="dxa"/>
            <w:vAlign w:val="bottom"/>
          </w:tcPr>
          <w:p>
            <w:pPr>
              <w:jc w:val="right"/>
              <w:ind w:right="82"/>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4"/>
                <w:szCs w:val="14"/>
                <w:color w:val="auto"/>
              </w:rPr>
            </w:pPr>
          </w:p>
        </w:tc>
        <w:tc>
          <w:tcPr>
            <w:tcW w:w="580" w:type="dxa"/>
            <w:vAlign w:val="bottom"/>
          </w:tcPr>
          <w:p>
            <w:pPr>
              <w:jc w:val="right"/>
              <w:ind w:right="79"/>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2"/>
              </w:rPr>
              <w:t>$ Change</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60" w:type="dxa"/>
            <w:vAlign w:val="bottom"/>
            <w:gridSpan w:val="4"/>
          </w:tcPr>
          <w:p>
            <w:pPr>
              <w:jc w:val="right"/>
              <w:ind w:right="740"/>
              <w:spacing w:after="0" w:line="142" w:lineRule="exact"/>
              <w:rPr>
                <w:sz w:val="20"/>
                <w:szCs w:val="20"/>
                <w:color w:val="auto"/>
              </w:rPr>
            </w:pPr>
            <w:r>
              <w:rPr>
                <w:rFonts w:ascii="Arial" w:cs="Arial" w:eastAsia="Arial" w:hAnsi="Arial"/>
                <w:sz w:val="14"/>
                <w:szCs w:val="14"/>
                <w:b w:val="1"/>
                <w:bCs w:val="1"/>
                <w:color w:val="auto"/>
              </w:rPr>
              <w:t>($ amounts in 000’s)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Product</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23,136</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18,621</w:t>
            </w:r>
          </w:p>
        </w:tc>
        <w:tc>
          <w:tcPr>
            <w:tcW w:w="52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4,515</w:t>
            </w:r>
          </w:p>
        </w:tc>
        <w:tc>
          <w:tcPr>
            <w:tcW w:w="620" w:type="dxa"/>
            <w:vAlign w:val="bottom"/>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Services</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13,286</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2,881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Ratable product and services</w:t>
            </w:r>
          </w:p>
        </w:tc>
        <w:tc>
          <w:tcPr>
            <w:tcW w:w="35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3,118</w:t>
            </w:r>
          </w:p>
        </w:tc>
        <w:tc>
          <w:tcPr>
            <w:tcW w:w="580" w:type="dxa"/>
            <w:vAlign w:val="bottom"/>
          </w:tcPr>
          <w:p>
            <w:pPr>
              <w:jc w:val="right"/>
              <w:spacing w:after="0"/>
              <w:rPr>
                <w:sz w:val="20"/>
                <w:szCs w:val="20"/>
                <w:color w:val="auto"/>
              </w:rPr>
            </w:pPr>
            <w:r>
              <w:rPr>
                <w:rFonts w:ascii="Arial" w:cs="Arial" w:eastAsia="Arial" w:hAnsi="Arial"/>
                <w:sz w:val="18"/>
                <w:szCs w:val="18"/>
                <w:color w:val="auto"/>
              </w:rPr>
              <w:t>2,607</w:t>
            </w:r>
          </w:p>
        </w:tc>
        <w:tc>
          <w:tcPr>
            <w:tcW w:w="52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511</w:t>
            </w: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3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39,540</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31,633</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7,907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Gross margin:</w:t>
            </w:r>
          </w:p>
        </w:tc>
        <w:tc>
          <w:tcPr>
            <w:tcW w:w="3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gridSpan w:val="2"/>
            <w:vMerge w:val="continue"/>
          </w:tcPr>
          <w:p>
            <w:pPr>
              <w:spacing w:after="0"/>
              <w:rPr>
                <w:sz w:val="18"/>
                <w:szCs w:val="18"/>
                <w:color w:val="auto"/>
              </w:rPr>
            </w:pPr>
          </w:p>
        </w:tc>
        <w:tc>
          <w:tcPr>
            <w:tcW w:w="3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4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60.2%</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57.5%</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Services</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83.3</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84.0</w:t>
            </w:r>
          </w:p>
        </w:tc>
        <w:tc>
          <w:tcPr>
            <w:tcW w:w="5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(0.7)</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Ratable product and services</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w:t>
            </w: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gross margin</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72.6</w:t>
            </w:r>
          </w:p>
        </w:tc>
        <w:tc>
          <w:tcPr>
            <w:tcW w:w="52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0.3</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500" w:type="dxa"/>
            <w:vAlign w:val="bottom"/>
          </w:tcPr>
          <w:p>
            <w:pPr>
              <w:jc w:val="right"/>
              <w:ind w:right="1652"/>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Total gross margin did not change significantly when comparing the six months ended June 30, 2010 to the six months ended June 28, 2009. Product gross margin increased 2.7 percentage points in the six months ended June 30, 2010 compared to the six months ended June 28, 2009 primarily due to flat warranty-related costs and the absence of asset acquisition related write-offs compared to a $0.6 million write-off in the first six months of 2009. The 0.7 percentage point decrease in services gross margin was primarily due to investments in our Americas support, professional services and FortiGuard global security research organizations. Services cost increased by $2.9 million primarily due to $1.6 million of higher cash-based personnel costs. Travel, depreciation and other expenses increased a combined $0.8 million. In addition, occupancy-related costs increased $0.4 million and stock-based compensation increased $0.1 million. Ratable product and services gross margin increased 1.6% as a result of lower indirect product costs, such as manufacturing overhead.</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4"/>
                <w:szCs w:val="14"/>
                <w:b w:val="1"/>
                <w:bCs w:val="1"/>
                <w:color w:val="auto"/>
                <w:w w:val="92"/>
              </w:rPr>
              <w:t>Six Months Ended</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380" w:type="dxa"/>
            <w:vAlign w:val="bottom"/>
            <w:tcBorders>
              <w:bottom w:val="single" w:sz="8" w:color="auto"/>
            </w:tcBorders>
            <w:gridSpan w:val="3"/>
          </w:tcPr>
          <w:p>
            <w:pPr>
              <w:jc w:val="right"/>
              <w:ind w:right="227"/>
              <w:spacing w:after="0" w:line="142" w:lineRule="exact"/>
              <w:rPr>
                <w:sz w:val="20"/>
                <w:szCs w:val="20"/>
                <w:color w:val="auto"/>
              </w:rPr>
            </w:pPr>
            <w:r>
              <w:rPr>
                <w:rFonts w:ascii="Arial" w:cs="Arial" w:eastAsia="Arial" w:hAnsi="Arial"/>
                <w:sz w:val="14"/>
                <w:szCs w:val="14"/>
                <w:b w:val="1"/>
                <w:bCs w:val="1"/>
                <w:color w:val="auto"/>
              </w:rPr>
              <w:t>June 30, 2010</w:t>
            </w:r>
          </w:p>
        </w:tc>
        <w:tc>
          <w:tcPr>
            <w:tcW w:w="220" w:type="dxa"/>
            <w:vAlign w:val="bottom"/>
          </w:tcPr>
          <w:p>
            <w:pPr>
              <w:spacing w:after="0"/>
              <w:rPr>
                <w:sz w:val="12"/>
                <w:szCs w:val="12"/>
                <w:color w:val="auto"/>
              </w:rPr>
            </w:pPr>
          </w:p>
        </w:tc>
        <w:tc>
          <w:tcPr>
            <w:tcW w:w="1380" w:type="dxa"/>
            <w:vAlign w:val="bottom"/>
            <w:tcBorders>
              <w:bottom w:val="single" w:sz="8" w:color="auto"/>
            </w:tcBorders>
            <w:gridSpan w:val="3"/>
          </w:tcPr>
          <w:p>
            <w:pPr>
              <w:jc w:val="right"/>
              <w:ind w:right="227"/>
              <w:spacing w:after="0" w:line="142" w:lineRule="exact"/>
              <w:rPr>
                <w:sz w:val="20"/>
                <w:szCs w:val="20"/>
                <w:color w:val="auto"/>
              </w:rPr>
            </w:pPr>
            <w:r>
              <w:rPr>
                <w:rFonts w:ascii="Arial" w:cs="Arial" w:eastAsia="Arial" w:hAnsi="Arial"/>
                <w:sz w:val="14"/>
                <w:szCs w:val="14"/>
                <w:b w:val="1"/>
                <w:bCs w:val="1"/>
                <w:color w:val="auto"/>
              </w:rPr>
              <w:t>June 28, 2009</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right"/>
              <w:ind w:right="27"/>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right"/>
              <w:ind w:right="47"/>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660" w:type="dxa"/>
            <w:vAlign w:val="bottom"/>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Revenue</w:t>
            </w:r>
          </w:p>
        </w:tc>
        <w:tc>
          <w:tcPr>
            <w:tcW w:w="220" w:type="dxa"/>
            <w:vAlign w:val="bottom"/>
          </w:tcPr>
          <w:p>
            <w:pPr>
              <w:spacing w:after="0"/>
              <w:rPr>
                <w:sz w:val="14"/>
                <w:szCs w:val="14"/>
                <w:color w:val="auto"/>
              </w:rPr>
            </w:pPr>
          </w:p>
        </w:tc>
        <w:tc>
          <w:tcPr>
            <w:tcW w:w="660" w:type="dxa"/>
            <w:vAlign w:val="bottom"/>
          </w:tcPr>
          <w:p>
            <w:pPr>
              <w:jc w:val="right"/>
              <w:ind w:right="27"/>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Revenue</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5"/>
              </w:rPr>
              <w:t>$ Change</w:t>
            </w:r>
          </w:p>
        </w:tc>
        <w:tc>
          <w:tcPr>
            <w:tcW w:w="22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 Change</w:t>
            </w: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amounts</w:t>
            </w:r>
          </w:p>
        </w:tc>
        <w:tc>
          <w:tcPr>
            <w:tcW w:w="220" w:type="dxa"/>
            <w:vAlign w:val="bottom"/>
          </w:tcPr>
          <w:p>
            <w:pPr>
              <w:ind w:left="120"/>
              <w:spacing w:after="0"/>
              <w:rPr>
                <w:sz w:val="20"/>
                <w:szCs w:val="20"/>
                <w:color w:val="auto"/>
              </w:rPr>
            </w:pPr>
            <w:r>
              <w:rPr>
                <w:rFonts w:ascii="Arial" w:cs="Arial" w:eastAsia="Arial" w:hAnsi="Arial"/>
                <w:sz w:val="12"/>
                <w:szCs w:val="12"/>
                <w:b w:val="1"/>
                <w:bCs w:val="1"/>
                <w:color w:val="auto"/>
                <w:w w:val="74"/>
              </w:rPr>
              <w:t>in</w:t>
            </w:r>
          </w:p>
        </w:tc>
        <w:tc>
          <w:tcPr>
            <w:tcW w:w="500" w:type="dxa"/>
            <w:vAlign w:val="bottom"/>
            <w:tcBorders>
              <w:top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w w:val="95"/>
              </w:rPr>
              <w:t>000’s)</w:t>
            </w:r>
          </w:p>
        </w:tc>
        <w:tc>
          <w:tcPr>
            <w:tcW w:w="2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660" w:type="dxa"/>
            <w:vAlign w:val="bottom"/>
          </w:tcPr>
          <w:p>
            <w:pPr>
              <w:jc w:val="right"/>
              <w:spacing w:after="0"/>
              <w:rPr>
                <w:sz w:val="20"/>
                <w:szCs w:val="20"/>
                <w:color w:val="auto"/>
              </w:rPr>
            </w:pPr>
            <w:r>
              <w:rPr>
                <w:rFonts w:ascii="Arial" w:cs="Arial" w:eastAsia="Arial" w:hAnsi="Arial"/>
                <w:sz w:val="18"/>
                <w:szCs w:val="18"/>
                <w:color w:val="auto"/>
              </w:rPr>
              <w:t>24,610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20,410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46,104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10,992</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9,188</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90,102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75,702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 increased $4.2 million, or 20.6%, in the six months ended June 30, 2010 compared to the six months ended</w:t>
      </w:r>
    </w:p>
    <w:p>
      <w:pPr>
        <w:spacing w:after="0" w:line="38"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June 28, 2009, primarily due to an increase of $3.2 million in cash-based personnel costs as a result of increased headcount to support the development of new products and continued enhancements of our existing products, higher occupancy-related costs of $1.0 million, due to office expansion, and an increase of $0.3 million in stock-based compensation expense. These increases were partially offset by a $0.3 million decrease in expensed computer supplies. A 14% increase in the Canadian dollar exchange rate against the US dollar also significantly contributed to the increase in research and development expense.</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 expense</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Sales and marketing expense increased $8.4 million, or 18.2%, in the six months ended June 30, 2010 compared to the six months ended June 28, 2009 primarily due to increased cash-based personnel costs of $7.4 million based on increased headcount, a $0.6 million increase in travel and a $0.4 million increase in stock-based compensation expense. As a percentage of revenue, sales and marketing expenses decreased 2.6 percentage points due to the leverage we are achieving from the investment in our sales force during prior quarters, as evidenced by our revenue growth of 26.5% exceeding our sales and marketing expenses growth of 18.2%.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In the six months ended June 30, 2010, general and administrative expense increased $1.8 million, or 19.6%, compared to the six months ended June 28, 2009. The increase was primarily due to a $1.0 million increase in legal expenses to support various patent litigation matters, increased cash-based personnel costs of $0.6 million, and a $0.2 million increase in stock-based compensation.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income and other income (expense), net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94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58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5"/>
              </w:rPr>
              <w:t>June 30,</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June 28,</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5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480" w:type="dxa"/>
            <w:vAlign w:val="bottom"/>
          </w:tcPr>
          <w:p>
            <w:pPr>
              <w:jc w:val="right"/>
              <w:ind w:right="24"/>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2"/>
              </w:rPr>
              <w:t>$ Change</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 Change</w:t>
            </w:r>
          </w:p>
        </w:tc>
      </w:tr>
      <w:tr>
        <w:trPr>
          <w:trHeight w:val="20"/>
        </w:trPr>
        <w:tc>
          <w:tcPr>
            <w:tcW w:w="35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35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jc w:val="right"/>
              <w:ind w:right="64"/>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amounts in 000’s)</w:t>
            </w: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667</w:t>
            </w:r>
          </w:p>
        </w:tc>
        <w:tc>
          <w:tcPr>
            <w:tcW w:w="9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1,249</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w:t>
            </w: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200" w:type="dxa"/>
            <w:vAlign w:val="bottom"/>
            <w:gridSpan w:val="3"/>
          </w:tcPr>
          <w:p>
            <w:pPr>
              <w:jc w:val="right"/>
              <w:ind w:right="440"/>
              <w:spacing w:after="0"/>
              <w:rPr>
                <w:sz w:val="20"/>
                <w:szCs w:val="20"/>
                <w:color w:val="auto"/>
              </w:rPr>
            </w:pPr>
            <w:r>
              <w:rPr>
                <w:rFonts w:ascii="Arial" w:cs="Arial" w:eastAsia="Arial" w:hAnsi="Arial"/>
                <w:sz w:val="18"/>
                <w:szCs w:val="18"/>
                <w:color w:val="auto"/>
              </w:rPr>
              <w:t>(163)</w:t>
            </w:r>
          </w:p>
        </w:tc>
        <w:tc>
          <w:tcPr>
            <w:tcW w:w="960" w:type="dxa"/>
            <w:vAlign w:val="bottom"/>
            <w:gridSpan w:val="2"/>
          </w:tcPr>
          <w:p>
            <w:pPr>
              <w:jc w:val="right"/>
              <w:ind w:right="412"/>
              <w:spacing w:after="0"/>
              <w:rPr>
                <w:sz w:val="20"/>
                <w:szCs w:val="20"/>
                <w:color w:val="auto"/>
              </w:rPr>
            </w:pPr>
            <w:r>
              <w:rPr>
                <w:rFonts w:ascii="Arial" w:cs="Arial" w:eastAsia="Arial" w:hAnsi="Arial"/>
                <w:sz w:val="18"/>
                <w:szCs w:val="18"/>
                <w:color w:val="auto"/>
              </w:rPr>
              <w:t>212</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(375)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(176.9)</w:t>
            </w:r>
          </w:p>
        </w:tc>
      </w:tr>
      <w:tr>
        <w:trPr>
          <w:trHeight w:val="356"/>
        </w:trPr>
        <w:tc>
          <w:tcPr>
            <w:tcW w:w="3580" w:type="dxa"/>
            <w:vAlign w:val="bottom"/>
          </w:tcPr>
          <w:p>
            <w:pPr>
              <w:spacing w:after="0"/>
              <w:rPr>
                <w:sz w:val="24"/>
                <w:szCs w:val="24"/>
                <w:color w:val="auto"/>
              </w:rPr>
            </w:pPr>
          </w:p>
        </w:tc>
        <w:tc>
          <w:tcPr>
            <w:tcW w:w="3220" w:type="dxa"/>
            <w:vAlign w:val="bottom"/>
          </w:tcPr>
          <w:p>
            <w:pPr>
              <w:jc w:val="right"/>
              <w:ind w:right="1372"/>
              <w:spacing w:after="0"/>
              <w:rPr>
                <w:sz w:val="20"/>
                <w:szCs w:val="20"/>
                <w:color w:val="auto"/>
              </w:rPr>
            </w:pPr>
            <w:r>
              <w:rPr>
                <w:rFonts w:ascii="Arial" w:cs="Arial" w:eastAsia="Arial" w:hAnsi="Arial"/>
                <w:sz w:val="18"/>
                <w:szCs w:val="18"/>
                <w:color w:val="auto"/>
              </w:rPr>
              <w:t>34</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$0.6 million decrease in interest income in the six months ended June 30, 2010 compared to the six months ended June 28, 2009 was due to lower interest rates, despite higher balances of cash, cash equivalents and investments. The change in other income (expense), net for the six months ended June 30, 2010 when compared to the six months ended June 28, 2009 was the result of a foreign exchange gain in 2009.</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78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29"/>
        </w:trPr>
        <w:tc>
          <w:tcPr>
            <w:tcW w:w="7140" w:type="dxa"/>
            <w:vAlign w:val="bottom"/>
          </w:tcPr>
          <w:p>
            <w:pPr>
              <w:spacing w:after="0"/>
              <w:rPr>
                <w:sz w:val="11"/>
                <w:szCs w:val="11"/>
                <w:color w:val="auto"/>
              </w:rPr>
            </w:pPr>
          </w:p>
        </w:tc>
        <w:tc>
          <w:tcPr>
            <w:tcW w:w="88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June 30,</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June 28,</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1"/>
        </w:trPr>
        <w:tc>
          <w:tcPr>
            <w:tcW w:w="7140" w:type="dxa"/>
            <w:vAlign w:val="bottom"/>
          </w:tcPr>
          <w:p>
            <w:pPr>
              <w:spacing w:after="0"/>
              <w:rPr>
                <w:sz w:val="14"/>
                <w:szCs w:val="14"/>
                <w:color w:val="auto"/>
              </w:rPr>
            </w:pP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5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 Change</w:t>
            </w:r>
          </w:p>
        </w:tc>
        <w:tc>
          <w:tcPr>
            <w:tcW w:w="4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r>
      <w:tr>
        <w:trPr>
          <w:trHeight w:val="142"/>
        </w:trPr>
        <w:tc>
          <w:tcPr>
            <w:tcW w:w="7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60" w:type="dxa"/>
            <w:vAlign w:val="bottom"/>
            <w:gridSpan w:val="4"/>
          </w:tcPr>
          <w:p>
            <w:pPr>
              <w:ind w:left="220"/>
              <w:spacing w:after="0" w:line="142" w:lineRule="exact"/>
              <w:rPr>
                <w:sz w:val="20"/>
                <w:szCs w:val="20"/>
                <w:color w:val="auto"/>
              </w:rPr>
            </w:pPr>
            <w:r>
              <w:rPr>
                <w:rFonts w:ascii="Arial" w:cs="Arial" w:eastAsia="Arial" w:hAnsi="Arial"/>
                <w:sz w:val="14"/>
                <w:szCs w:val="14"/>
                <w:b w:val="1"/>
                <w:bCs w:val="1"/>
                <w:color w:val="auto"/>
              </w:rPr>
              <w:t>($ amounts in 000’s)</w:t>
            </w:r>
          </w:p>
        </w:tc>
        <w:tc>
          <w:tcPr>
            <w:tcW w:w="620" w:type="dxa"/>
            <w:vAlign w:val="bottom"/>
          </w:tcPr>
          <w:p>
            <w:pPr>
              <w:spacing w:after="0"/>
              <w:rPr>
                <w:sz w:val="12"/>
                <w:szCs w:val="12"/>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5,901</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1,315</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4,586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Effective tax rate (%)</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34.7</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13.6</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effective tax rate was 34.7% for the six months ended June 30, 2010, compared with an effective tax rate of 13.6% for the six months ended</w:t>
      </w:r>
    </w:p>
    <w:p>
      <w:pPr>
        <w:spacing w:after="0" w:line="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June 28, 2009. The provision for income taxes for the six months ended June 30, 2010 is comprised of foreign income taxes, U.S. federal and state taxes, and withholding tax. The provision for income taxes for the six months ended June 28, 2009 is comprised primarily of foreign income taxes, U.S. federal alternative minimum tax, state income taxes, and withholding tax. The increase in the effective tax rate for the six months ended June 30, 2010, compared with the same period in the prior year, is attributable to the use of net operating loss carryforwards to reduce our tax rate in 2009, prior to releasing our valuation allowance at the end of fiscal 2009.</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June 30,</w:t>
            </w:r>
          </w:p>
        </w:tc>
        <w:tc>
          <w:tcPr>
            <w:tcW w:w="1140" w:type="dxa"/>
            <w:vAlign w:val="bottom"/>
            <w:gridSpan w:val="3"/>
          </w:tcPr>
          <w:p>
            <w:pPr>
              <w:jc w:val="center"/>
              <w:ind w:left="37"/>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180" w:type="dxa"/>
            <w:vAlign w:val="bottom"/>
            <w:gridSpan w:val="5"/>
          </w:tcPr>
          <w:p>
            <w:pPr>
              <w:jc w:val="center"/>
              <w:ind w:right="140"/>
              <w:spacing w:after="0" w:line="142" w:lineRule="exact"/>
              <w:rPr>
                <w:sz w:val="20"/>
                <w:szCs w:val="20"/>
                <w:color w:val="auto"/>
              </w:rPr>
            </w:pPr>
            <w:r>
              <w:rPr>
                <w:rFonts w:ascii="Arial" w:cs="Arial" w:eastAsia="Arial" w:hAnsi="Arial"/>
                <w:sz w:val="14"/>
                <w:szCs w:val="14"/>
                <w:b w:val="1"/>
                <w:bCs w:val="1"/>
                <w:color w:val="auto"/>
                <w:w w:val="86"/>
              </w:rPr>
              <w:t>($ amounts in 000’s)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116,435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212,458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Investments</w:t>
            </w:r>
          </w:p>
        </w:tc>
        <w:tc>
          <w:tcPr>
            <w:tcW w:w="25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192,525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investments</w:t>
            </w:r>
          </w:p>
        </w:tc>
        <w:tc>
          <w:tcPr>
            <w:tcW w:w="25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308,960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Working capital</w:t>
            </w:r>
          </w:p>
        </w:tc>
        <w:tc>
          <w:tcPr>
            <w:tcW w:w="2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gridSpan w:val="2"/>
            <w:vMerge w:val="continue"/>
          </w:tcPr>
          <w:p>
            <w:pPr>
              <w:spacing w:after="0"/>
              <w:rPr>
                <w:sz w:val="18"/>
                <w:szCs w:val="18"/>
                <w:color w:val="auto"/>
              </w:rPr>
            </w:pPr>
          </w:p>
        </w:tc>
        <w:tc>
          <w:tcPr>
            <w:tcW w:w="25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148,285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4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5"/>
              </w:rPr>
              <w:t>June 30,</w:t>
            </w: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300" w:type="dxa"/>
            <w:vAlign w:val="bottom"/>
          </w:tcPr>
          <w:p>
            <w:pPr>
              <w:spacing w:after="0"/>
              <w:rPr>
                <w:sz w:val="14"/>
                <w:szCs w:val="14"/>
                <w:color w:val="auto"/>
              </w:rPr>
            </w:pPr>
          </w:p>
        </w:tc>
        <w:tc>
          <w:tcPr>
            <w:tcW w:w="1140" w:type="dxa"/>
            <w:vAlign w:val="bottom"/>
            <w:gridSpan w:val="3"/>
          </w:tcPr>
          <w:p>
            <w:pPr>
              <w:jc w:val="center"/>
              <w:ind w:left="37"/>
              <w:spacing w:after="0"/>
              <w:rPr>
                <w:sz w:val="20"/>
                <w:szCs w:val="20"/>
                <w:color w:val="auto"/>
              </w:rPr>
            </w:pPr>
            <w:r>
              <w:rPr>
                <w:rFonts w:ascii="Arial" w:cs="Arial" w:eastAsia="Arial" w:hAnsi="Arial"/>
                <w:sz w:val="14"/>
                <w:szCs w:val="14"/>
                <w:b w:val="1"/>
                <w:bCs w:val="1"/>
                <w:color w:val="auto"/>
                <w:w w:val="85"/>
              </w:rPr>
              <w:t>June 28, 2009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180" w:type="dxa"/>
            <w:vAlign w:val="bottom"/>
            <w:gridSpan w:val="5"/>
          </w:tcPr>
          <w:p>
            <w:pPr>
              <w:jc w:val="center"/>
              <w:ind w:right="140"/>
              <w:spacing w:after="0" w:line="142" w:lineRule="exact"/>
              <w:rPr>
                <w:sz w:val="20"/>
                <w:szCs w:val="20"/>
                <w:color w:val="auto"/>
              </w:rPr>
            </w:pPr>
            <w:r>
              <w:rPr>
                <w:rFonts w:ascii="Arial" w:cs="Arial" w:eastAsia="Arial" w:hAnsi="Arial"/>
                <w:sz w:val="14"/>
                <w:szCs w:val="14"/>
                <w:b w:val="1"/>
                <w:bCs w:val="1"/>
                <w:color w:val="auto"/>
                <w:w w:val="86"/>
              </w:rPr>
              <w:t>($ amounts in 000’s)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39,766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540" w:type="dxa"/>
            <w:vAlign w:val="bottom"/>
            <w:gridSpan w:val="3"/>
          </w:tcPr>
          <w:p>
            <w:pPr>
              <w:jc w:val="right"/>
              <w:ind w:right="240"/>
              <w:spacing w:after="0"/>
              <w:rPr>
                <w:sz w:val="20"/>
                <w:szCs w:val="20"/>
                <w:color w:val="auto"/>
              </w:rPr>
            </w:pPr>
            <w:r>
              <w:rPr>
                <w:rFonts w:ascii="Arial" w:cs="Arial" w:eastAsia="Arial" w:hAnsi="Arial"/>
                <w:sz w:val="18"/>
                <w:szCs w:val="18"/>
                <w:color w:val="auto"/>
              </w:rPr>
              <w:t>(149,859)</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(20,382)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15,321</w:t>
            </w: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0"/>
              </w:rPr>
              <w:t>Effect of exchange rates on cash and cash equivalents</w:t>
            </w:r>
          </w:p>
        </w:tc>
        <w:tc>
          <w:tcPr>
            <w:tcW w:w="25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(1,251)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(96,023)</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500" w:type="dxa"/>
            <w:vAlign w:val="bottom"/>
            <w:vMerge w:val="restart"/>
          </w:tcPr>
          <w:p>
            <w:pPr>
              <w:jc w:val="right"/>
              <w:ind w:right="1992"/>
              <w:spacing w:after="0"/>
              <w:rPr>
                <w:sz w:val="20"/>
                <w:szCs w:val="20"/>
                <w:color w:val="auto"/>
              </w:rPr>
            </w:pPr>
            <w:r>
              <w:rPr>
                <w:rFonts w:ascii="Arial" w:cs="Arial" w:eastAsia="Arial" w:hAnsi="Arial"/>
                <w:sz w:val="18"/>
                <w:szCs w:val="18"/>
                <w:color w:val="auto"/>
              </w:rPr>
              <w:t>35</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At June 30, 2010, our cash, cash equivalents and investments of $309.0 million were invested primarily in money market funds, commercial paper, corporate debt securities and U.S. government debt securities. We do not enter into investments for trading or speculative purposes. We believe that our cash from operations together with existing cash and cash equivalents will be sufficient to meet our anticipated cash needs for at least the next twelve months. Our future capital requirements will depend on many factors including our growth rate, the timing and extent of spending necessary to support development efforts, the expansion of sales and marketing activities, the introduction of new and enhanced products and services offerings, the costs to ensure access to adequate manufacturing capacity and the continuing market acceptance of our products.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operating activities during the six months ended June 30, 2010 provided $39.8 million in cash as a result of net income of $11.1 million, increased by non-cash adjustments of $6.3 million and sources of cash of $32.4 million partially offset by uses of cash of $10.0 million. Non-cash adjustments consist of stock-based compensation of $4.4 million, depreciation and amortization of $2.8 million, and amortization of investment premiums of $2.7 million, offset by an excess tax benefit from employee stock option plans of $3.6 million. Sources of cash were related to a $23.6 million increase in deferred revenue which was attributable primarily to increased sales of our subscription and support services, which have yet to be recognized in income, a $3.5 million increase in income tax payable and $2.6 million in accounts payable and accrued liabilities, related to timing of payments, and a $2.7 million increase in accrued payroll and compensation primarily related to increased headcount and employer taxes related to the exercise of stock options. Uses of cash were related to a $5.3 million increase in accounts receivable due to a seven day increase (from 64 to 71 days) in our days sales outstanding and the overall growth of our business, $3.0 million increase in inventory primarily to support our third quarter shipments, and $1.7 million increase in prepaid expenses and other assets.</w:t>
      </w:r>
    </w:p>
    <w:p>
      <w:pPr>
        <w:spacing w:after="0" w:line="120"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Our operating activities during the six months ended June 28, 2009 provided $29.9 million in cash as a result of net income of $8.4 million, increased by non-cash adjustments of $7.2 million and sources of cash of $16.7 million partially offset by uses of cash of $2.4 million. Non-cash adjustments consist of stock-based compensation of $3.3 million, depreciation and amortization of $2.8 million, asset acquisition related write-offs of $0.6 million, and amortization of investment premiums of $0.5 million. Sources of cash were related to a $13.5 million increase in deferred revenue, which was attributable primarily to increased sales of our subscription and support services, a $2.5 million decrease in accounts receivable due to a six day decrease (from 70 to 64 days) in our days sales outstanding due to improved collections experience, $0.6 million increase in accounts payable, and a $0.1 million decrease in other assets. Uses of cash were related to a $1.2 million decrease in income tax payable because of the timing of tax-related payments, a $0.5 million decrease in accrued liabilities and accrued payroll and compensation, a $0.4 million increase in deferred inventory costs, and a $0.3 million increase in prepaid expenses and other current assets.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investing activities during the six months ended June 30, 2010 and June 28, 2009 consisted primarily of purchases and sales of investments, and to a lesser extent for capital expenditures. The $149.9 million of cash used by investing activities during the six months ended June 30, 2010 was due to net purchases of investments of $147.6 million and $2.2 million for capital expenditures. The $20.4 million of cash used by investing activities during the six months ended June 28, 2009 was due to $17.4 million in net purchases of investments and $3.0 million of cash used for capital expenditures.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Our financing activities in the six months ended June 30, 2010 resulted in net cash provided of $15.3 million as a result of receiving proceeds of $12.5 million from the exercise of stock options to purchase our common stock, upon the expiration of lock-up agreements six months following our Initial Public Offering, and an excess tax benefit from employee stock option plans of $3.7 million related to option exercises, all partially offset by $0.9 million of issuance costs paid in connection with our initial public offering, which had been accrued as of December 31, 2009.</w:t>
      </w:r>
    </w:p>
    <w:p>
      <w:pPr>
        <w:spacing w:after="0" w:line="113" w:lineRule="exact"/>
        <w:rPr>
          <w:sz w:val="20"/>
          <w:szCs w:val="20"/>
          <w:color w:val="auto"/>
        </w:rPr>
      </w:pPr>
    </w:p>
    <w:p>
      <w:pPr>
        <w:jc w:val="both"/>
        <w:ind w:right="140" w:firstLine="456"/>
        <w:spacing w:after="0" w:line="332" w:lineRule="auto"/>
        <w:rPr>
          <w:sz w:val="20"/>
          <w:szCs w:val="20"/>
          <w:color w:val="auto"/>
        </w:rPr>
      </w:pPr>
      <w:r>
        <w:rPr>
          <w:rFonts w:ascii="Arial" w:cs="Arial" w:eastAsia="Arial" w:hAnsi="Arial"/>
          <w:sz w:val="16"/>
          <w:szCs w:val="16"/>
          <w:color w:val="auto"/>
        </w:rPr>
        <w:t>Our financing activities for the six months ended June 28, 2009 resulted in net cash used of $14.8 million, primarily related to the use of $15.8 million for the repurchase of our preferred and common stock, slightly offset by proceeds of $1.0 million from the exercise of stock options to purchase our common stock.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our contractual obligations as of June 30,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4"/>
                <w:szCs w:val="14"/>
                <w:b w:val="1"/>
                <w:bCs w:val="1"/>
                <w:color w:val="auto"/>
                <w:w w:val="86"/>
              </w:rPr>
              <w:t>Payments Due By Period</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Less Than</w:t>
            </w: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1-3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19"/>
              <w:spacing w:after="0" w:line="129" w:lineRule="exact"/>
              <w:rPr>
                <w:sz w:val="20"/>
                <w:szCs w:val="20"/>
                <w:color w:val="auto"/>
              </w:rPr>
            </w:pPr>
            <w:r>
              <w:rPr>
                <w:rFonts w:ascii="Arial" w:cs="Arial" w:eastAsia="Arial" w:hAnsi="Arial"/>
                <w:sz w:val="14"/>
                <w:szCs w:val="14"/>
                <w:b w:val="1"/>
                <w:bCs w:val="1"/>
                <w:color w:val="auto"/>
              </w:rPr>
              <w:t>4-5</w:t>
            </w:r>
          </w:p>
        </w:tc>
        <w:tc>
          <w:tcPr>
            <w:tcW w:w="22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More Than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1 Year</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5"/>
          </w:tcPr>
          <w:p>
            <w:pPr>
              <w:jc w:val="center"/>
              <w:ind w:left="406"/>
              <w:spacing w:after="0" w:line="142" w:lineRule="exact"/>
              <w:rPr>
                <w:sz w:val="20"/>
                <w:szCs w:val="20"/>
                <w:color w:val="auto"/>
              </w:rPr>
            </w:pPr>
            <w:r>
              <w:rPr>
                <w:rFonts w:ascii="Arial" w:cs="Arial" w:eastAsia="Arial" w:hAnsi="Arial"/>
                <w:sz w:val="14"/>
                <w:szCs w:val="14"/>
                <w:b w:val="1"/>
                <w:bCs w:val="1"/>
                <w:color w:val="auto"/>
                <w:w w:val="86"/>
              </w:rPr>
              <w:t>($ amounts in 000’s)</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1"/>
                <w:szCs w:val="11"/>
                <w:color w:val="auto"/>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22,142</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5,242</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13,674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3,226</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11"/>
                <w:szCs w:val="11"/>
                <w:color w:val="auto"/>
              </w:rPr>
              <w:t>(2)</w:t>
            </w:r>
          </w:p>
        </w:tc>
        <w:tc>
          <w:tcPr>
            <w:tcW w:w="660" w:type="dxa"/>
            <w:vAlign w:val="bottom"/>
          </w:tcPr>
          <w:p>
            <w:pPr>
              <w:jc w:val="right"/>
              <w:spacing w:after="0"/>
              <w:rPr>
                <w:sz w:val="20"/>
                <w:szCs w:val="20"/>
                <w:color w:val="auto"/>
              </w:rPr>
            </w:pPr>
            <w:r>
              <w:rPr>
                <w:rFonts w:ascii="Arial" w:cs="Arial" w:eastAsia="Arial" w:hAnsi="Arial"/>
                <w:sz w:val="18"/>
                <w:szCs w:val="18"/>
                <w:color w:val="auto"/>
              </w:rPr>
              <w:t>20,760</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20,760</w:t>
            </w:r>
          </w:p>
        </w:tc>
        <w:tc>
          <w:tcPr>
            <w:tcW w:w="9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Royalty commitments </w:t>
            </w:r>
            <w:r>
              <w:rPr>
                <w:rFonts w:ascii="Arial" w:cs="Arial" w:eastAsia="Arial" w:hAnsi="Arial"/>
                <w:sz w:val="11"/>
                <w:szCs w:val="11"/>
                <w:color w:val="auto"/>
              </w:rPr>
              <w:t>(3)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ind w:left="44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(4)</w:t>
            </w: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6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47,402</w:t>
            </w:r>
          </w:p>
        </w:tc>
        <w:tc>
          <w:tcPr>
            <w:tcW w:w="2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27,002</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16,674</w:t>
            </w: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3,726</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contractual obligations from non-cancelable office space under operating leases.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minimum purchase commitments with independent contract manufacturers.</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minimum royalties claimed by Trend Micro pursuant to the January 2006 settlement and license agreement between Trend Micro and Fortinet, which are subject to dispute. See “Part II: Item 1 - Legal Proceedings.” We have accrued $3.0 million as of June 30, 2010 related to amounts under the settlement and license agreement which have not been paid pursuant to the dispute.</w:t>
      </w:r>
    </w:p>
    <w:p>
      <w:pPr>
        <w:spacing w:after="0" w:line="1" w:lineRule="exact"/>
        <w:rPr>
          <w:rFonts w:ascii="Arial" w:cs="Arial" w:eastAsia="Arial" w:hAnsi="Arial"/>
          <w:sz w:val="18"/>
          <w:szCs w:val="18"/>
          <w:color w:val="auto"/>
        </w:rPr>
      </w:pPr>
    </w:p>
    <w:p>
      <w:pPr>
        <w:ind w:left="460" w:right="8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amounts related to ASC 740-10 (FIN 48) are included. As of June 30, 2010, we had approximately $3.4 million of tax liabilities, including interest, related to uncertain tax positions. Because of the high degree of uncertainty regarding the settlement of these liabilities, we are unable to estimate the years in which future cash outflows may occur.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As of June 30, 2010,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1 of Notes to Condensed Consolidated Financial Statements for recent accounting pronouncements that could have an effect on us.</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cash, cash equivalents, short- and long-term investments in a variety of securities, including commercial paper, money market funds, government and corporate debt securities and certificates of deposit. The risk associated with fluctuating interest rates is limited to our investment portfolio. A 10% decrease in interest rates during the three months ended June 30, 2010 and June 28, 2009 would have resulted in a decrease in our interest income of approximately $40,000 and $54,000, respectively. A 10% decrease in interest rates during the six months ended June 30, 2010 and June 28, 2009 would have resulted in a decrease in our interest income of approximately $67,000 and $125,000,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sales contracts are primarily denominated in U.S. dollars and therefore substantially all of our revenue is not subject to foreign currency risk. However, a substantial portion of our operating expenses incurred outside the U.S. are denominated in foreign currencies and are subject to fluctuations due to changes in foreign currency exchange rates, particularly changes in the EUR, GBP, CAD, and Yen. We use foreign exchange forward contracts to partially mitigate the impact of fluctuations in foreign currency rates on certain balance sheet accounts, and occasionally to hedge future forecasted expenses. We do not use these contracts for speculative or trading purposes. These contracts typically have maturities between one and three months, and we record gains and losses from these instruments in other income (expense), net. Additionally, fluctuations in foreign currency exchange rates may cause us to recognize transaction gains and losses in our consolidated statements of operations. We recognized other income (expense), net of $0.1 million and $(0.2) million in the three and six months ended June 30, 2010, respectively, due to foreign currency transaction gains (losses).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help protect against significant fluctuations in value and the volatility of future cash flows caused by changes in currency exchange rates, we engage in foreign currency risk management activities to hedge balance sheet items denominated in EUR, GBP, and CAD, and occasionally to hedge future forecasted expenses denominated in EUR. Currency forward contracts are generally utilized in these hedging activities. Our hedging activities are intended to reduce, but not eliminate, the impact of currency exchange rate movements. As our hedging activities are relatively short-term in nature, long-term material changes in the value of the U.S. dollar versus the EUR, GBP, or CAD could adversely impact our operating expenses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monetary assets, consisting primarily of cash, cash equivalents and short-term investments, are not affected significantly by inflation because they are short-term. We believe the impact of inflation on replacement costs of equipment, furniture and leasehold improvements will not materially affect our operations. The rate of inflation, however, affects our cost of revenue and expenses, such as those for employee compensation, which may not be readily recoverable in the price of products and services offered by us.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or 15d-15(e) under the Securities Exchange Act of 1934, as amended (the “Exchange Act”)) as of June 30, 2010.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44"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June 30, 2010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or 15d-15(f) under the Exchange Act) during our second fiscal quarter that have materially affected, or are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May 2004, Trend Micro Incorporated filed a complaint against us alleging that we infringed a Trend Micro patent related to antivirus software. In January 2006, we settled the lawsuit with Trend Micro. Pursuant to the settlement and license agreement, we initially paid Trend Micro $15.0 million. The settlement and license agreement provides for additional quarterly royalty payments, not expected to exceed 1% of our total revenue each quarter, through 2015. In November 2008, we filed a complaint against Trend Micro in the United States District Court for the Northern District of California alleging, among other claims, that the patents that are the basis for the ongoing royalty payments are invalid and consequently that we have no contractual obligation to pay the royalties. Trend Micro moved to dismiss the case, and, in June 2009, the court dismissed the case without prejudice on procedural grounds, and we appealed the dismissal in July 2009. Based on the dispute, we ceased paying royalties under the settlement and license agreement. In August 2009, Trend Micro filed a complaint against us in the Superior Court of the State of California for Santa Clara County alleging breach of contract and seeking a declaratory judgment that we are obligated to make certain royalty payments to Trend Micro. In December 2009, we withdrew our appeal of the June 2009 dismissal by the United States District Court for the Northern District of California and filed a new complaint against Trend Micro in the United States District Court for the Northern District of California alleging, among other claims, that the patents that are the basis for the ongoing royalty payments are invalid and consequently that we have no contractual obligation to pay royalties. We have continued to accrue expense based on the quarterly royalties provided for in the settlement and license agreement. In February 2010, Trend Micro filed demurrers in the state Superior Court action regarding Fortinet’s affirmative defenses that Fortinet has no obligation to pay royalties because the Trend Micro patents are invalid or unenforceable. In March 2010, Trend Micro filed a motion to dismiss our new complaint that we filed in the United States District Court for the Northern District of California. In May 2010, the state court denied Trend Micro’s demurrer in its entirety. Also in May 2010, the United States District Court for the Northern District of California denied Trend Micro’s motion to dismiss without prejudice and stayed the action before that court pending the conclusion of the state court action.</w:t>
      </w:r>
    </w:p>
    <w:p>
      <w:pPr>
        <w:spacing w:after="0" w:line="12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January 2009, we filed a complaint against Palo Alto Networks, Inc., in the United States District Court for the Northern District of California alleging, among other claims, patent infringement. In September 2009, Palo Alto Networks filed a counterclaim against us alleging patent infringement. In July 2010, there was a consolidated hearing presenting the parties’ proposed claim constructions and multiple summary judgment motions. At this time the court has not ruled on the claim constructions and summary judgment motions.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August 2009, Enhanced Security Research, LLC (“ESR”), a non-practicing entity, filed a complaint against us in the United States District Court for the District of Delaware alleging infringement by us and other defendants of two patents. A defendant in another case filed a petition for reexamination of one of ESR’s asserted patents with the U.S. Patent and Trademark Office (“PTO”), and, in November 2009, we filed a petition with the PTO for reexamination of the other asserted patent. In December 2009, we filed a motion to stay the court proceedings pending resolution of the reexamination proceedings. In June 2010, the Court granted our motion to stay pending the outcome of reexamination proceedings.</w:t>
      </w:r>
    </w:p>
    <w:p>
      <w:pPr>
        <w:spacing w:after="0" w:line="116"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In September 2009, Deep Nines, Inc. filed, but did not serve us with, a complaint against us in the United States District Court for the Eastern District of Texas alleging that our products infringe certain of their patents. In June 2010, prior to service of process, the Deep Nines case was dismissed without prejudice.</w:t>
      </w:r>
    </w:p>
    <w:p>
      <w:pPr>
        <w:spacing w:after="0" w:line="6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April 2010, an individual, a former stockholder of Fortinet, filed a class action lawsuit against us in the Superior Court of the State of California for the County of Los Angeles alleging violation of various California Corporations’ Code sections and related tort claims alleging misrepresentation and breach of fiduciary duty regarding the 2009 repurchase by Fortinet of shares of its stock while we were a privately-held company.</w:t>
      </w:r>
    </w:p>
    <w:p>
      <w:pPr>
        <w:spacing w:after="0" w:line="10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In July 2010, Network Protection Sciences, LLC (“NPS”), a non-practicing entity, filed a complaint in the United States District Court for the Eastern District of Texas alleging patent infringement by us and other defendants. Currently the case is in the very early stages, and we have yet to answer the NPS complaint.</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to the above matters, we are subject to other litigation in the ordinary course of business. The results of legal proceedings cannot be predicted with certainty. If we do not prevail in any of these legal matters, our operating results may be materially affected. At this time, we are unable to estimate the financial impact these actions will likely have on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risks and all other information contained in this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you may lose some or all of your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are likely to vary significantly and be unpredictable.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and the timing of channel partner and end-customer orders;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shipments, which may depend on many factors such as inventory levels and logistics, our ability to ship new products on schedule and accurately forecast inventory requirements, and possible increases in the time for the manufacture of products;</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budgeting cycles and purchasing practices of our channel partners and end-customers;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by the extent to which we bring on new distributors;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accuracy and timing of point of sale reporting by our sell-through distributors, which impacts our ability to recognize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end-customer, distributor or reseller requirements or market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or UTM markets;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or end-customers;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deferral of orders from end-customers in anticipation of new products or product enhancements announced by us or our competitors;</w:t>
      </w:r>
    </w:p>
    <w:p>
      <w:pPr>
        <w:spacing w:after="0" w:line="113"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larger, more established security vendors or from their primary network equipment vendors;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length of services contracts sold;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disruption in our channel or termination of our relationship with important channel partners;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key suppliers, which could disrupt our supply chain;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our foreign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 as a significant portion of our expenses are incurred and paid in currencies other than the U.S. dollar.</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Any one of the factors above or the cumulative effect of some of the factors referred to above may result in significant fluctuations in our quarterly operating results, including both financial statement results and other important metrics. This variability and unpredictability could result in our failing to meet our revenue and other expected metrics and our other operating results expectations or those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a concentration of shipments at the end of the quarter could cause our revenue to fall below expected levels.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a result of customer-buying patterns and the efforts of our sales force and channel partners to meet or exceed quarterly quotas, historically we have received a substantial portion of a quarter’s sales orders and generated a substantial portion of a quarter’s revenue during the last two weeks or last days of the quarter. If expected revenue at the end of any quarter is delayed for any reason, including the failure of anticipated purchase orders to materialize, our or our logistics partners’ inability to ship products prior to quarter-end to fulfill purchase orders received near the end of the quarter, our failure to manage inventory properly in a way to meet demand, or our inability to release new products on schedule, our revenue for that quarter could fall below our expectations or those of securities analysts and investors, resulting in a decline in our stock price.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maintain profitability, and our revenue growth may not continue.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incurred net losses in most fiscal years since our inception, including net losses of $21.8 million in fiscal 2007, $5.3 million in fiscal 2006, $14.2 million in fiscal 2005 and $59.0 million in fiscal 2004. As a result, we had an accumulated deficit of $48.9 million at June 30, 2010. Although we were profitable in fiscal 2008, fiscal 2009, and the first six months of fiscal 2010, we may not be able to sustain profitability in future periods if we fail to increase revenue or deferred revenue, manage our cost structure, or are subject to unanticipated liabilities. Revenue growth may slow or revenue may decline for a number of possible reasons, including slowing demand for our products or services, increasing competition, a decrease in the growth of our overall market, or if we fail for any reason to continue to capitalize on growth opportunities. Any failure by us to maintain profitability and continue our revenue growth could cause the price of our common stock to materially decline.</w:t>
      </w:r>
    </w:p>
    <w:p>
      <w:pPr>
        <w:spacing w:after="0" w:line="172" w:lineRule="exact"/>
        <w:rPr>
          <w:sz w:val="20"/>
          <w:szCs w:val="20"/>
          <w:color w:val="auto"/>
        </w:rPr>
      </w:pPr>
    </w:p>
    <w:p>
      <w:pPr>
        <w:ind w:right="420"/>
        <w:spacing w:after="0" w:line="357" w:lineRule="auto"/>
        <w:rPr>
          <w:sz w:val="20"/>
          <w:szCs w:val="20"/>
          <w:color w:val="auto"/>
        </w:rPr>
      </w:pPr>
      <w:r>
        <w:rPr>
          <w:rFonts w:ascii="Arial" w:cs="Arial" w:eastAsia="Arial" w:hAnsi="Arial"/>
          <w:sz w:val="15"/>
          <w:szCs w:val="15"/>
          <w:b w:val="1"/>
          <w:bCs w:val="1"/>
          <w:i w:val="1"/>
          <w:iCs w:val="1"/>
          <w:color w:val="auto"/>
        </w:rPr>
        <w:t>We rely significantly on revenue from subscription and support services which may decline, and, because we recognize revenue from subscriptions and support services over the term of the relevant service period, downturns or upturns in sales are not immediately reflected in full in our operating results.</w:t>
      </w:r>
    </w:p>
    <w:p>
      <w:pPr>
        <w:ind w:firstLine="456"/>
        <w:spacing w:after="0" w:line="286" w:lineRule="auto"/>
        <w:rPr>
          <w:sz w:val="20"/>
          <w:szCs w:val="20"/>
          <w:color w:val="auto"/>
        </w:rPr>
      </w:pPr>
      <w:r>
        <w:rPr>
          <w:rFonts w:ascii="Arial" w:cs="Arial" w:eastAsia="Arial" w:hAnsi="Arial"/>
          <w:sz w:val="16"/>
          <w:szCs w:val="16"/>
          <w:color w:val="auto"/>
        </w:rPr>
        <w:t>Our services revenue accounted for 54% and 55% of our total revenue for the second quarters of fiscal 2010 and 2009, respectively, and 54% and 56% of our total revenue for the six months ended June 30, 2010 and June 28, 2009, respectively. Sales of new or renewal subscription and services contracts may decline and fluctuate as a result of a number of factors, including end-customers’ level of satisfaction with our products and services, the prices of our products and services, the prices of products and services offered by our competitors or reductions in our customers’ spending levels. If our sales of new or renewal subscription and services contracts decline, our revenue and revenue growth may decline and our business will suffer. In addition we recognize subscription and service revenue monthly over the term of the relevant service period, which is typically one year but has been as long as five years. As a result, much of the revenue we report each quarter is the recognition of deferred revenue from subscription and services contracts entered into during previous quarters. Consequently, a decline in new or renewed subscription or service contracts in any one quarter will not be fully reflected in revenue in that quarter, but will negatively affect our revenue in future quarters. Accordingly, the effect of significant downturns in new or renewed sales of our subscriptions or services is not reflected in full in our results of operations until future periods. Our subscription and service revenue also makes it difficult for us to rapidly increase our revenue through additional service sales in any period, as revenue from new and renewal service contracts must be recognized over the applicable service period. Furthermore increases in the average term of services contracts would result in revenue for services contracts being recognized over longer periods of time.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channel partners may increase orders during periods of product shortages, cancel orders if their inventory is too high, return product or take advantage of price protection (if any),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 this could result in inventory shortfalls. Management of our inventory is further complicated by the significant number of different products that we sell and the fact that we sell models that must meet regulatory requirements, such as the European Union’s Restriction of the Use of Certain Hazardous Substances in Electrical and Electronic Equipment Directive, or the EU RoHS.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If we are unable to effectively manage our inventory and that of our distribution partners, our results of operations could be adversely affected.</w:t>
      </w:r>
    </w:p>
    <w:p>
      <w:pPr>
        <w:spacing w:after="0" w:line="199"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important channel partner may also adversely impact our sales and operating results.</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provide sales channel partners with specific programs to assist them in selling our products, but there can be no assurance that these programs will be effective. In addition, our channel partners may be unsuccessful in marketing, selling and supporting our products and services. Our channel partners generally do not have minimum purchase requirements. They may also market, sell and support products and services that are competitive with ours, and may devote more resources to the marketing, sales and support of such products. They may have incentives to promote our competitors’ products to the detriment of our own. They may cease selling our products altogether. We cannot assure you that we will retain these channel partners or that we will be able to secure additional or replacement partners. The loss of one or more of our significant channel partners or the failure to obtain and ship a number of large orders each quarter through them could harm our operating results. During fiscal 2007, 2008, and 2009, Alternative Technology, Inc., a subsidiary of Arrow Electronics, Inc., was our most significant channel partner, accounting for 12% of our total revenue in each of the periods. During the three and six months ended June 30, 2010, no single customer accounted for more than 10% of total net revenue.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If we fail to manage existing sales channels, our business will be seriously harmed.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continuing to execute our strategy to increase our sales to larger end-customers, our results of operations may suffer.</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 important part of our growth strategy is to increase sales of our products to large enterprises, service providers and government entities. Sales to enterprises, service providers and government entities involve risks that may not be present (or that are present to a lesser extent) with sales to small-to-mid-sized entities. These risks include:</w:t>
      </w:r>
    </w:p>
    <w:p>
      <w:pPr>
        <w:spacing w:after="0" w:line="59" w:lineRule="exact"/>
        <w:rPr>
          <w:sz w:val="20"/>
          <w:szCs w:val="20"/>
          <w:color w:val="auto"/>
        </w:rPr>
      </w:pPr>
    </w:p>
    <w:p>
      <w:pPr>
        <w:ind w:left="900" w:right="2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competition from larger competitors, such as Cisco Systems, Inc., Check Point Software Technologies Ltd., McAfee, Inc. and Juniper Networks, Inc., that traditionally target enterprises, service providers and government entities and that may already have purchase commitments from those end-customers;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 with us;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stringent requirements in our support service contracts, including stricter support response times, and increased penalties for any failure to meet support requirements; and</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who elects not to purchase our products and services.</w:t>
      </w:r>
    </w:p>
    <w:p>
      <w:pPr>
        <w:spacing w:after="0" w:line="132" w:lineRule="exact"/>
        <w:rPr>
          <w:sz w:val="20"/>
          <w:szCs w:val="20"/>
          <w:color w:val="auto"/>
        </w:rPr>
      </w:pPr>
    </w:p>
    <w:p>
      <w:pPr>
        <w:ind w:right="60" w:firstLine="456"/>
        <w:spacing w:after="0" w:line="307" w:lineRule="auto"/>
        <w:rPr>
          <w:sz w:val="20"/>
          <w:szCs w:val="20"/>
          <w:color w:val="auto"/>
        </w:rPr>
      </w:pPr>
      <w:r>
        <w:rPr>
          <w:rFonts w:ascii="Arial" w:cs="Arial" w:eastAsia="Arial" w:hAnsi="Arial"/>
          <w:sz w:val="15"/>
          <w:szCs w:val="15"/>
          <w:color w:val="auto"/>
        </w:rPr>
        <w:t>Large enterprises, service providers and government entities often undertake a significant evaluation process that results in a lengthy sales cycle, in some cases over 12 months. Although we have a channel sales model, our sales representatives typically engage in direct interaction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enterprises, service providers and government entities are frequently subject to budget constraints, multiple approvals, and unplanned administrative, processing and other delays. Finally, enterprise, service providers and government entities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average sales prices of our products may decrease, which may reduce our gross profits.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Defects or vulnerabilities in our products or services, the failure of our products or services to prevent a virus or security breach, or misuse of our products could harm our reputation and divert resources.</w:t>
      </w:r>
    </w:p>
    <w:p>
      <w:pPr>
        <w:spacing w:after="0" w:line="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Because our products and services are complex, they have contained and may contain defects or errors that are not detected until after their commercial release and deployment by our customers. For example, one of our high-end product models has been experiencing a defect in limited deployments. Defects or vulnerabilities may impede or block network traffic or cause our products or services to be vulnerable to electronic break-ins or cause them to fail to help secure networks. Because the techniques used by computer hackers to access or sabotage networks change frequently and generally are not recognized until launched against a target, we may be unable to anticipate these techniques. In addition, defects or errors in our FortiGuard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a growing customer base. Any such technical failure, downtime, or failures in general may temporarily or permanently expose our end-customers’ networks, leaving their networks unprotected against the latest security threats.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An actual or perceived security breach or infection of the network of one of our end-customers, regardless of whether the breach is attributable to the failure of our products or services to prevent the security breach, could adversely affect the market’s perception of our security products.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defects, errors or vulnerabilities in our products, or misuse of our products, could result in:</w:t>
      </w:r>
    </w:p>
    <w:p>
      <w:pPr>
        <w:spacing w:after="0" w:line="39" w:lineRule="exact"/>
        <w:rPr>
          <w:sz w:val="20"/>
          <w:szCs w:val="20"/>
          <w:color w:val="auto"/>
        </w:rPr>
      </w:pPr>
    </w:p>
    <w:p>
      <w:pPr>
        <w:ind w:left="900" w:right="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w:t>
      </w:r>
    </w:p>
    <w:p>
      <w:pPr>
        <w:spacing w:after="0" w:line="25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business and operations have experienced rapid growth, and if we do not appropriately manage any future growth, or are unable to improve our systems and processes, our operating results will be negatively affected.</w:t>
      </w:r>
    </w:p>
    <w:p>
      <w:pPr>
        <w:spacing w:after="0" w:line="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a high volume business that has grown over the last several years. We rely heavily on information technology systems to help manage critical functions such as order processing, revenue recognition, financial forecasts and inventory and supply chain management. However, we have been slow to adopt and implement certain automated functions, like Electronic Data Interchange, which could have a negative impact on our business. For example, a large part of our order processing relies on the manual processing of emails internally and from our customers. Combined with the fact that we may receive a majority of our orders in the last few weeks of any given quarter, a significant interruption in our email service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improvements to these systems and processes in a timely or efficient manner. In addition, our systems and processes may not prevent or detect all errors, omissions or fraud. Our failure to improve our systems and processes, or their failure to operate in the intended manner, may result in our inability to manage the growth of our business and to accurately forecast our revenue, expenses and earnings, or to prevent certain losses. Our productivity and the quality of our products and services may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20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our Annual Report on Form 10-K for the fiscal year ended December 31, 2009,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stock-based compensation, valuation of inventory, warranty liabilities, and accounting for income taxes.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As of June 30, 2010, we estimated that approximately $1.8 million of our products in our distributors’ inventory were subject to price protection.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We have experienced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 skilled personnel is frequently intense, especially in the locations where we have a substantial presence and need for highly-skilled personnel: the San Francisco Bay Area, Vancouver, Canada and Beijing, China. A large portion of our employee base is substantially vested in significant stock option grants, and the ability to exercise those options and sell their stock may result in a larger than normal turnover rate.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20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5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future performance depends on the continued services and continuing contributions of our senior management to execute on our business plan, and to identify and pursue new opportunities and product innovations. The loss of services of senior management, particularly Ken Xie, our Co-founder, President and Chief Executive Officer, Michael Xie, our Co-founder, Vice President of Engineering and Chief Technical Officer, and Ken Goldman, our Vice President and Chief Financial Officer, could significantly delay or prevent the achievement of our development and strategic objectives. In addition, key personnel may be distracted by activities unrelated to our business. The loss of the services, or distraction, of our senior management for any reason could adversely affect our business, financial condition and results of operations.</w:t>
      </w:r>
    </w:p>
    <w:p>
      <w:pPr>
        <w:spacing w:after="0" w:line="20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If we are unable to establish fair value for any undelivered element of a customer order, revenue relating to the entire order will be deferred and recognized over future periods. A delay in the recognition of revenue for a significant portion of our sales in a particular quarter may adversely affect our results of operations.</w:t>
      </w:r>
    </w:p>
    <w:p>
      <w:pPr>
        <w:spacing w:after="0" w:line="59"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the course of our selling efforts, we typically enter into arrangements that require us to deliver a combination of products and services. We refer to each individual product or service as an “element” of the overall arrangement. These arrangements typically require us to deliver particular elements in a future period. As we discuss further in “Note 1 - Summary of Significant Accounting Policies - Revenue Recognition,” if we are unable to determine the fair value of any undelivered elements, we are required by generally accepted accounting principles, or GAAP, to defer revenue from the entire arrangement rather than just the undelivered elements. If we are required to defer revenue from the entire arrangement for a significant portion of our product sales, our revenue for that quarter could fall below our expectations or those of securities analysts and investors, adversely affecting our results of operations and resulting in a decline in our stock price.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distributors, reduced unit sales and lower or no growth.</w:t>
      </w:r>
    </w:p>
    <w:p>
      <w:pPr>
        <w:spacing w:after="0" w:line="19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w:t>
      </w:r>
    </w:p>
    <w:p>
      <w:pPr>
        <w:spacing w:after="0" w:line="5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outsource the manufacturing of our security appliance products to a variety of contract manufacturing partners and original design manufacturing partners.</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reliance on our third-party manufacturers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interruptions for any reason, such as a natural disaster, epidemic, capacity shortages, or quality problems, at one of our manufacturing partners would severely affect sales of our product lines manufactured by that manufacturing partner.</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proprietary FortiASIC, which is the key to the performance of our appliances, is fabricated by contract manufacturers in foundries operated by UMC and Taiwan Semiconductor Manufacturing Corporation, or TSMC. Faraday (using UMC’s foundry) and K-Micro (using TSMC’s foundry) manufacture our ASICs on a purchase order basis, and these foundries do not guarantee any capacity and could reject orders from either Faraday or K-Micro or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EU RoHS and other similar laws. See “If we fail to comply with environmental requirements, our business, financial condition, operating results and reputation could be adversely affected” for information on the effects of the failure to comply with these laws.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or supply changes, which could disrupt or delay our scheduled product deliveries to our customers and may result in the loss of sales and customers.</w:t>
      </w:r>
    </w:p>
    <w:p>
      <w:pPr>
        <w:spacing w:after="0" w:line="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in the supply of these components and the risk that component suppliers discontinue or modify components used in our products. We have faced component shortages in the past. Certain of our limited source components for particular appliances and suppliers of those components include: specific types of central processing units from Intel Corporation, Advanced Micro Devices, Inc., RMI Corporation and VIA Technologies, Inc. and network chips from Broadcom Corporation, Marvell Technology Group Ltd. and Intel.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2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Our manufacturing partners have experienced increasing lead times for the purchase of components incorporated into our products. Our reliance on a limited number of suppliers involves several additional risks, including:</w:t>
      </w:r>
    </w:p>
    <w:p>
      <w:pPr>
        <w:spacing w:after="0" w:line="5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171"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occurrence of any of these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fluctuations in currency exchange rates, which could negatively affect our financial condition and results of operations.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sales contracts are primarily denominated in U.S. dollars and therefore substantially all of our revenue is not subject to foreign currency risk. However, a strengthening of the U.S. dollar could increase the real cost of our products to our customers outside of the United States, which could adversely affect our financial condition and results of operations. In addition, a majority of our operating expenses were incurred outside the United States, are denominated in foreign currencies and are subject to fluctuations due to changes in foreign currency exchange rates, particularly changes in the Euro and Canadian dollar. Although we have been hedging currency exposures relating to certain balance sheet accounts and have recently entered into a cashflow hedge relating to certain operating expenses incurred outside of the United States, if we stop hedging against any of these risks or our attempts to hedge against these risks are not successful, our financial condition and results of operations could be adversely affected.</w:t>
      </w:r>
    </w:p>
    <w:p>
      <w:pPr>
        <w:spacing w:after="0" w:line="1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51" w:lineRule="exact"/>
        <w:rPr>
          <w:sz w:val="20"/>
          <w:szCs w:val="20"/>
          <w:color w:val="auto"/>
        </w:rPr>
      </w:pPr>
    </w:p>
    <w:p>
      <w:pPr>
        <w:jc w:val="both"/>
        <w:ind w:right="360" w:firstLine="456"/>
        <w:spacing w:after="0" w:line="357" w:lineRule="auto"/>
        <w:rPr>
          <w:sz w:val="20"/>
          <w:szCs w:val="20"/>
          <w:color w:val="auto"/>
        </w:rPr>
      </w:pPr>
      <w:r>
        <w:rPr>
          <w:rFonts w:ascii="Arial" w:cs="Arial" w:eastAsia="Arial" w:hAnsi="Arial"/>
          <w:sz w:val="15"/>
          <w:szCs w:val="15"/>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costs of compliance with foreign policies, laws and regulations and the risks and costs of non-compliance with such policies, laws and regulations;</w:t>
      </w:r>
    </w:p>
    <w:p>
      <w:pPr>
        <w:spacing w:after="0" w:line="113" w:lineRule="exact"/>
        <w:rPr>
          <w:rFonts w:ascii="Arial" w:cs="Arial" w:eastAsia="Arial" w:hAnsi="Arial"/>
          <w:sz w:val="16"/>
          <w:szCs w:val="16"/>
          <w:color w:val="auto"/>
        </w:rPr>
      </w:pPr>
    </w:p>
    <w:p>
      <w:pPr>
        <w:ind w:left="900" w:right="3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and economic sanctions;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regulatory or contractual limitations on our ability to sell our products in certain foreign markets, and the risks and costs of non-compliance;</w:t>
      </w:r>
    </w:p>
    <w:p>
      <w:pPr>
        <w:spacing w:after="0" w:line="113" w:lineRule="exact"/>
        <w:rPr>
          <w:rFonts w:ascii="Arial" w:cs="Arial" w:eastAsia="Arial" w:hAnsi="Arial"/>
          <w:sz w:val="16"/>
          <w:szCs w:val="16"/>
          <w:color w:val="auto"/>
        </w:rPr>
      </w:pPr>
    </w:p>
    <w:p>
      <w:pPr>
        <w:ind w:left="900" w:right="360" w:hanging="325"/>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heightened risks of unfair or corrupt business practices in certain geographies and of improper or fraudulent sales arrangements that may impact financial results and result in restatements of financial statements and irregularities in financial statements;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for political unrest, terrorism, hostilities or war;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Product and service sales may be subject to foreign governmental regulations, which vary substantially from country to country. Further, we may be unable to keep up-to-date with changes in government requirements as they change from time to time. Failure to comply with these regulations could result in adverse affects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products and services and could have a material adverse effect on our business and results of operations.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Certain of our products are subject to U.S. export controls and may be exported outside the U.S. only with the required export license or through an export license exception, because we incorporate encryption technology into our products. If we were to fail to comply with U.S. export licensing, U.S. Customs regulations, U.S. economic sanctions and other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we may also be adversely affected, through reputational harm and penalties. Obtaining the necessary export license for a particular sale may be time-consuming, and may result in the delay or loss of sales opportunities.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in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European Union, or EU, RoHS and the EU Waste Electrical and Electronic Equipment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incur more of these costs in the future. With respect to the EU RoHS, we and our competitors rely on an exemption for lead in network infrastructure equipment. It is possible this exemption will be revoked in the near future. If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entities, which are subject to a number of challenges and risks.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Sales to U.S. and foreign federal, state and local governmental agency end-customers have accounted for a portion of our revenue in past periods, and we may in the future increase sales to government entities. Sales into government entities are subject to a number of risks. Selling to government entities can be highly competitive, expensive and time consuming, often requiring significant upfront time and expense without any assurance that we will win a sale. Government demand and payment for our products and services may be impacted by public sector budgetary cycles and funding authorizations, with funding reductions or delays adversely affecting public sector demand for our products. Most of our sales to government entities have been made indirectly through our distribution channel. Government entities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governmental entity,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for purchases by the U.S. government, the government may require certain products to be manufactured in the United States and other high cost manufacturing locations, and we may not manufacture all products in locations that meet the requirements of the U.S. government.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False detection of viruses or security breaches or false identification of spam or spyware could adversely affect our business.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antispyware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internal network system is compromised by computer hackers, public perception of our products and services will be harmed.</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will not succeed unless the marketplace is confident that we provide effective network security protection. Because we provide network security products, we may be a more attractive target for attacks by computer hackers. Although we have not experienced significant damages from unauthorized access by a third-party of our internal network, if an actual or perceived breach of network security occurs in our internal systems it could adversely affect the market perception of our products and services. In addition, such a security breach could impair our ability to operate our business, including our ability to provide subscription and support services to our end-customers. If this happens, our revenue could decline and our business could suffer.</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enterprise, service provider and government entity end-customers require higher levels of support than smaller end-customers. If we fail to meet the requirements of the larger end-customers, it may be more difficult to execute on our strategy to increase our penetration with larger end-customers.</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a result, our failure to maintain high quality support services would have a material adverse effect on our business, financial condition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our provision for income taxes or adverse outcomes resulting from examination of our income tax returns could adversely affect our results.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provision for income taxes is subject to volatility and could be adversely affected by:</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earnings being lower than anticipated in countries that have lower tax rates and higher than anticipated in countries that have higher tax rates;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expiration of, or lapses in the research and development tax credit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transfer pricing adjustments including the effect of acquisitions on our intercompany research and development and legal 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effects of nondeductible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accounting principles; or</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w:t>
      </w:r>
    </w:p>
    <w:p>
      <w:pPr>
        <w:spacing w:after="0" w:line="132"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Significant judgment is required to determine the recognition and measurement attribute prescribed in ASC 740-10 (</w:t>
      </w:r>
      <w:r>
        <w:rPr>
          <w:rFonts w:ascii="Arial" w:cs="Arial" w:eastAsia="Arial" w:hAnsi="Arial"/>
          <w:sz w:val="16"/>
          <w:szCs w:val="16"/>
          <w:i w:val="1"/>
          <w:iCs w:val="1"/>
          <w:color w:val="auto"/>
        </w:rPr>
        <w:t>formerly referred to as SFAS</w:t>
      </w:r>
      <w:r>
        <w:rPr>
          <w:rFonts w:ascii="Arial" w:cs="Arial" w:eastAsia="Arial" w:hAnsi="Arial"/>
          <w:sz w:val="16"/>
          <w:szCs w:val="16"/>
          <w:color w:val="auto"/>
        </w:rPr>
        <w:t xml:space="preserve"> </w:t>
      </w:r>
      <w:r>
        <w:rPr>
          <w:rFonts w:ascii="Arial" w:cs="Arial" w:eastAsia="Arial" w:hAnsi="Arial"/>
          <w:sz w:val="16"/>
          <w:szCs w:val="16"/>
          <w:i w:val="1"/>
          <w:iCs w:val="1"/>
          <w:color w:val="auto"/>
        </w:rPr>
        <w:t>Interpretation No. 48, Accounting for Uncertainty in Income Taxes-an interpretation of SFAS No. 109 (FIN 48)</w:t>
      </w:r>
      <w:r>
        <w:rPr>
          <w:rFonts w:ascii="Arial" w:cs="Arial" w:eastAsia="Arial" w:hAnsi="Arial"/>
          <w:sz w:val="16"/>
          <w:szCs w:val="16"/>
          <w:color w:val="auto"/>
        </w:rPr>
        <w:t>). In addition, ASC 740-10 applies to all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countries is subject to reduced tax rates and in some cases is wholly exempt from tax. Our failure to meet these commitments could adversely impact our provision for income taxes. In addition, we are subject to the continuous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continuous examinations will not have an adverse effect on our results of operations.</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Although we released our entire valuation allowance in the year ended December 31, 2009, we may in the future be required to establish a new valuation allowance. We will continue to assess the need for a valuation allowance on the deferred tax asset by evaluating both positive and negative evidence that may exist.</w:t>
      </w:r>
    </w:p>
    <w:p>
      <w:pPr>
        <w:spacing w:after="0" w:line="22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Forecasts of our income tax position and effective tax rate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18"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In addition, we may be subject to examination of our income tax returns by the Internal Revenue Service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In addition, any acquisitions we are able to complete may not be accretive to earnings and may not result in any synergies or other benefits we had expected to achieve, which could result in write-offs that could be substantial. Further, completing a potential acquisition and integrating acquired businesses, products, technologies or intellectual property will significantly divert management time and resources.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products are very complex and, despite testing prior to their release, have contained and may contain undetected defects or errors, especially when first introduced or when new versions are released. For example, one of our high-end product models has been experiencing a defect in limited deployments.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The sale and support of our products also entail the risk of product liability claims. 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and divert management’s time and other resources.</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terrorism.</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significant natural disaster, such as an earthquake, fire, a flood, or significant power outage could have a material adverse impact on our business, operating results and financial condition. Our corporate headquarters are located in the San Francisco Bay Area, a region known for seismic activity. In addition, natural disasters could affect our manufacturing vendors or logistics providers’ ability to perform services such as manufacturing products on a timely basis and assisting with shipments on a timely basis. For example, our primary international logistics provider is located in Taiwan which is an area known for typhoons. In the event our or our service providers’ information technology systems or manufacturing or logistics abilities are hindered by any of the events discussed above, shipments could be delayed, resulting in missing financial targets, such as revenue and shipment targets, for a particular quarter. In addition, acts of terrorism could cause disruptions in our business or the business of our manufacturers, logistics providers, partners, or end-customers or the economy as a whole. Given our typical concentration of sales at each quarter end, any disruption in the business of our manufacturers, logistics providers, partners or end-customers that impacts sales at the end of our quarter could have a significant adverse impact on our quarterly results. All of the aforementioned risks may be augmented if the disaster recovery plans for us and our suppliers prove to be inadequate.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59"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For example, in the first quarter of fiscal 2009, we released a new model within our FortiGate product line and, after its initial release, we detected errors in the product that required us to redesign certain aspects of the product which delayed the availability of the product for one quarter and delayed our recognition of revenue from large orders that included such product until the following quarter when the product became available.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2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 expectations.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will impair the market acceptance of our products, which in turn will harm our business, financial condition and results of operations.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users’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will impair the growth of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12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failure to accurately predict market demand in terms of product functionality and to supply products that meet this demand in a timely fashion;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we develop better market awareness of our company and our products, our revenue may not continue to grow.</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are a relatively new entrant in the network security market and we believe that we have not yet established sufficient market awareness of our participation in that market. Market awareness of our capabilities and products is essential to our continued growth and our success in all of our markets, particularly for the large enterprise, service provider and government entities markets. If our marketing programs are not successful in creating market awareness of our company and products, our business, financial condition and results of operations will be adversely affected, and we will not be able to achieve sustained growth.</w:t>
      </w:r>
    </w:p>
    <w:p>
      <w:pPr>
        <w:spacing w:after="0" w:line="22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Demand for Unified Threat Management products may be limited by market perception that UTM products are inferior to network security solutions from multiple vendors.</w:t>
      </w:r>
    </w:p>
    <w:p>
      <w:pPr>
        <w:spacing w:after="0" w:line="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Sales of most of our products depend on increased demand for UTM products. If the UTM market fails to grow as we anticipate, our business will be seriously harmed. Target customers may view UTM “all-in-one” solutions as inferior to security solutions from multiple vendors because of, among other things, their perception that UTM products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UTM solutions create a “single point of failure” in their networks, which means that an error, vulnerability or failure of the UTM product may place the entire network at risk. In addition, the market perception that UTM solutions may be suitable only for small and medium sized businesses because UTM lacks the performance capabilities and functionality of other solutions may harm our sales to large enterprise, service provider, and government entity end-customers. If the foregoing concerns and perceptions become prevalent, even if there is no factual basis for these concerns and perceptions, or if other issues arise with the UTM market in general, demand for UTM products could be severely limited, which would limit our growth and harm our business, financial condition and results of operations. Further a successful and publicized targeted attack against us or another well known UTM vendor exposing a “single point of failure” could significantly increase these concerns and perceptions and may harm our business and results of operations.</w:t>
      </w:r>
    </w:p>
    <w:p>
      <w:pPr>
        <w:spacing w:after="0" w:line="20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face intense competition in our market, especially from larger, better-known companies, and we may lack sufficient financial or other resources to maintain or improve our competitive position.</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market for network security products is intensely competitive and we expect competition to intensify in the future. Our competitors include networking companies such as Cisco Systems, Inc. and Juniper Networks, Inc., security vendors such as Check Point Software Technologies Ltd., McAfee, Inc., and SonicWALL, Inc., and other point solution security vendors.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171"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users from purchasing our products. These larger competitors often have broader product lines and market focus, are in a better position to withstand any significant reduction in capital spending by end-customers in these markets, and will therefore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Juniper’s acquisition of NetScreen Technologies, Inc., McAfee’s acquisition of Secure Computing Corporation and Check Point’s acquisition of Nokia’s security appliance business. As a result of such acquisitions,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0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Large, well-established providers of networking equipment such as Cisco Systems, Inc. and Juniper Networks, Inc.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rely primarily on patent, trademark, copyright and trade secrets laws, confidentiality procedures and contractual provisions to protect our technology. We purchased most of our issued U.S. patents and many of our pending U.S. patent applications from other entities.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As a result, we may not be able to obtain adequate patent protection or effectively enforce our issued patents.</w:t>
      </w:r>
    </w:p>
    <w:p>
      <w:pPr>
        <w:spacing w:after="0" w:line="123"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time-to-time,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products contain software modules licensed to us by third-party authors under “open source” licenses, including the GNU Public License (GPL), the GNU Lesser Public License (LGPL), the BSD License, the Apache License and others. From time-to-time,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could harm our business.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Patent and other intellectual property disputes are common in the network security industry. Third parties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future litigation may involve patent holding companies or other adverse patent owners who have no relevant product revenue and against whom our own patents may therefore provide little or no deterrence or protection.</w:t>
      </w:r>
    </w:p>
    <w:p>
      <w:pPr>
        <w:spacing w:after="0" w:line="14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13"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We have been involved in patent disputes in the past, are currently involved in several patent disputes, and likely will be involved in additional disputes in the future. In May 2004, Trend Micro Incorporated filed a complaint against us alleging that we infringed a Trend Micro patent related to antivirus software. The International Trade Commission, or ITC, subsequently instituted an investigation which resulted in an exclusion order and a cease and desist order prohibiting us from selling a broad array of our products in the United States. In January 2006, we settled the lawsuit with Trend Micro, and subsequently the ITC terminated its action and rescinded the orders. Pursuant to the settlement and license agreement, we initially paid Trend Micro $15.0 million. The settlement and license agreement provides for additional quarterly royalty payments, not expected to exceed 1% of our total revenue each quarter, through 2015. In November 2008, we filed a complaint against Trend Micro in the United States District Court for the Northern District of California alleging, among other claims, that the patents that are the basis for the ongoing royalty payments are invalid and consequently that we have no contractual obligation to pay the royalties. Trend Micro moved to dismiss the case, and, in June 2009, the court dismissed the case without prejudice on procedural grounds, and we appealed the dismissal in July 2009. Based on the dispute, we ceased paying royalties under the settlement and license agreement. In August 2009, Trend Micro filed a complaint against us in the Superior Court of the State of California for Santa Clara County alleging breach of contract and seeking a declaratory judgment that we are obligated to make certain royalty payments to Trend Micro. In December 2009, we withdrew our appeal of the June 2009 dismissal by the United States District Court for the Northern District of California and filed a new complaint against Trend Micro in the United States District Court for the Northern District of California alleging, among other claims, that the patents that are the basis for the ongoing royalty payments are invalid and consequently that we have no contractual obligation to pay the royalties. In February 2010, Trend Micro filed demurrers in the state Superior Court action regarding Fortinet’s affirmative defenses that Fortinet has no obligation to pay royalties because the Trend Micro patents are invalid or unenforceable. In March 2010, Trend Micro filed a motion to dismiss our new complaint that we filed in the United States District Court for the Northern District of California. In May 2010 the state court denied Trend Micro’s demurrer in its entirety. Also in May 2010, the United States District Court for the Northern District of California denied Trend Micro’s motion to dismiss without prejudice and stayed the action before that court pending the conclusion of the state court action. At this stage it is not possible to predict the outcome. An adverse outcome in this dispute could result in accelerated royalty payments and additional damages.</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January 2009, we filed a complaint against Palo Alto Networks, Inc., in the United States District Court for the Northern District of California alleging, among other claims, patent infringement. In September 2009, Palo Alto Networks filed a counterclaim against us alleging patent infringement. In July 2010, there was a consolidated hearing presenting the parties’ proposed claim constructions and multiple summary judgment motions. At this time the court has not ruled on the claim constructions and summary judgment motions.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August 2009, Enhanced Security Research, LLC (“ESR”), a non-practicing entity, filed a complaint against us in the United States District Court for the District of Delaware alleging infringement by us and other defendants of two patents. A defendant in another case filed a petition for reexamination of one of ESR’s asserted patents with the U.S. Patent and Trademark Office (“PTO”), and, in November 2009, we filed a petition with the PTO for reexamination of the other asserted patent. In December 2009, we filed a motion to stay the court proceedings pending resolution of the reexamination proceedings. In June 2010, the Court granted our motion to stay pending the outcome of reexamination proceedings.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In September 2009, Deep Nines, Inc. filed, but did not serve us with, a complaint against us in the United States District Court for the Eastern District of Texas alleging that our products infringe certain of their patents. In June 2010, prior to service of process, the Deep Nines case was dismissed without prejudice.</w:t>
      </w:r>
    </w:p>
    <w:p>
      <w:pPr>
        <w:spacing w:after="0" w:line="6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July 2010, Network Protection Sciences, LLC (“NPS”) a non-practicing entity, filed a complaint in the United States District Court for the Eastern District of Texas alleging patent infringement by us and other defendants. Currently the case is in the very early stages and we have yet to answer the NPS complaint.</w:t>
      </w:r>
    </w:p>
    <w:p>
      <w:pPr>
        <w:spacing w:after="0" w:line="14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If we are unsuccessful in defending against any of Palo Alto Networks’, ESR’s or NPS’s claims, our operating results and financial condition and results may be materially and adversely affected. For example, we may be required to pay substantial damages and could be prevented from selling certain of our products. Several other non-practicing patent holding companies have sent us letters proposing that we license certain of their patents, and,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Sarbanes-Oxley Act of 2002, as well as other rules implemented by the SEC and The NASDAQ Stock Market, impose various requirements on public companies, including requiring changes in corporate governance practices. We expect these and other similar rules and regulations to substantially increase our legal and financial compliance costs. In addition there are proposed corporate governance laws and regulations under consideration that may further increase compliance costs if established as law.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In particular, for the fiscal year ending December 31, 2010, we must perform system and process evaluations and testing of our internal control over financial reporting to allow management to report on the effectiveness of our internal control over financial reporting. We are in the early stages of the process of evaluating and documenting processes in order to comply with this requirement. We may not be able to complete our evaluation, testing and any required remediation in a timely fashion. During the evaluation and testing process, if we identify one or more material weaknesses in our internal control over financial reporting, we may be unable to assert that our internal controls are effective. We have in the past identified material weaknesses and significant deficiencies in our internal control over financial reporting, and, although we believe we have remediated the material weaknesses and significant deficiencies, we cannot assure you that there will not be material weaknesses and significant deficiencies in our internal controls in the future.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cause the price of our common stock to decline.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is likely to be volatile.</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market price of our common stock could be subject to wide fluctuations in response to, among other things, the risk factors described in this periodic report, and other factors beyond our control, such as fluctuations in the valuation of companies perceived by investors to be comparable to us.</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of our common stock by stockholders could depress the price of our common stock.</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Certain of our outstanding shares of common stock and common stock underlying vested stock options became available for sale by stockholders upon the expiration of lock-up agreements in May 2010. Although the lock-up expired over two months ago, if stockholders sell, or indicate an intent to sell, substantial amounts of our common stock in the public market, the trading price of our common stock could decline significantly.</w:t>
      </w:r>
    </w:p>
    <w:p>
      <w:pPr>
        <w:spacing w:after="0" w:line="18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Our failure to raise additional capital or generate the significant capital necessary to expand our operations and invest in new products could reduce our ability to compete and could harm our business.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expect that our existing cash and cash equivalents will be sufficient to meet our anticipated cash needs for at least the next twelve months. After that, we may need to raise additional funds, and we may not be able to obtain additional debt or equity financing on favorable terms, if at all. If we raise additional equity financing, our stockholders may experience significant dilution of their ownership interests and the per-share value of our common stock could decline. Furthermore, if we engage in debt financing, the holders of debt would have priority over the holders of common stock and we may be required to accept terms that restrict our ability to incur additional indebtedness, and take other actions that would otherwise be in the interests of the stockholders and force us to maintain specified liquidity or other ratios, any of which could harm our business, operating results and financial condition. If we need additional capital and cannot raise it on acceptable terms, we may not be able to, among other things:</w:t>
      </w:r>
    </w:p>
    <w:p>
      <w:pPr>
        <w:spacing w:after="0" w:line="37"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or enhance our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expand our sales and marketing and research and development organizations;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complementary technologies, products or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operations, in the United States or internationally;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failure to do any of these things could seriously harm our business, financial condition and results of operations.</w:t>
      </w:r>
    </w:p>
    <w:p>
      <w:pPr>
        <w:spacing w:after="0" w:line="25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5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As of July 30, 2010, our executive officers, directors and their affiliates beneficially owned, in the aggregate, approximately 30.3%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12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51"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4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August 6, 2010</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FORTINET,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w:t>
      </w:r>
      <w:r>
        <w:rPr>
          <w:rFonts w:ascii="Arial" w:cs="Arial" w:eastAsia="Arial" w:hAnsi="Arial"/>
          <w:sz w:val="14"/>
          <w:szCs w:val="14"/>
          <w:color w:val="auto"/>
        </w:rPr>
        <w:t>EN</w:t>
      </w:r>
      <w:r>
        <w:rPr>
          <w:rFonts w:ascii="Arial" w:cs="Arial" w:eastAsia="Arial" w:hAnsi="Arial"/>
          <w:sz w:val="18"/>
          <w:szCs w:val="18"/>
          <w:color w:val="auto"/>
        </w:rPr>
        <w:t xml:space="preserve"> G</w:t>
      </w:r>
      <w:r>
        <w:rPr>
          <w:rFonts w:ascii="Arial" w:cs="Arial" w:eastAsia="Arial" w:hAnsi="Arial"/>
          <w:sz w:val="14"/>
          <w:szCs w:val="14"/>
          <w:color w:val="auto"/>
        </w:rPr>
        <w:t>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Ken Goldman</w:t>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Vice President and Chief Financial Officer</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500"/>
          </w:cols>
          <w:pgMar w:left="240" w:top="459" w:right="11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459" w:right="239" w:bottom="1440" w:gutter="0" w:footer="0" w:header="0"/>
        </w:sect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Number</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31.1*</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5"/>
                <w:szCs w:val="15"/>
                <w:color w:val="auto"/>
              </w:rPr>
            </w:pPr>
          </w:p>
        </w:tc>
        <w:tc>
          <w:tcPr>
            <w:tcW w:w="5060" w:type="dxa"/>
            <w:vAlign w:val="bottom"/>
            <w:tcBorders>
              <w:bottom w:val="single" w:sz="8" w:color="auto"/>
            </w:tcBorders>
            <w:gridSpan w:val="3"/>
          </w:tcPr>
          <w:p>
            <w:pPr>
              <w:ind w:left="1860"/>
              <w:spacing w:after="0"/>
              <w:rPr>
                <w:sz w:val="20"/>
                <w:szCs w:val="20"/>
                <w:color w:val="auto"/>
              </w:rPr>
            </w:pPr>
            <w:r>
              <w:rPr>
                <w:rFonts w:ascii="Arial" w:cs="Arial" w:eastAsia="Arial" w:hAnsi="Arial"/>
                <w:sz w:val="14"/>
                <w:szCs w:val="14"/>
                <w:b w:val="1"/>
                <w:bCs w:val="1"/>
                <w:color w:val="auto"/>
              </w:rPr>
              <w:t>Incorporated By Reference Herein</w:t>
            </w: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r>
      <w:tr>
        <w:trPr>
          <w:trHeight w:val="142"/>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40" w:type="dxa"/>
            <w:vAlign w:val="bottom"/>
            <w:tcBorders>
              <w:bottom w:val="single" w:sz="8" w:color="auto"/>
            </w:tcBorders>
          </w:tcPr>
          <w:p>
            <w:pPr>
              <w:ind w:left="20"/>
              <w:spacing w:after="0" w:line="143" w:lineRule="exact"/>
              <w:rPr>
                <w:sz w:val="20"/>
                <w:szCs w:val="20"/>
                <w:color w:val="auto"/>
              </w:rPr>
            </w:pPr>
            <w:r>
              <w:rPr>
                <w:rFonts w:ascii="Arial" w:cs="Arial" w:eastAsia="Arial" w:hAnsi="Arial"/>
                <w:sz w:val="14"/>
                <w:szCs w:val="14"/>
                <w:b w:val="1"/>
                <w:bCs w:val="1"/>
                <w:color w:val="auto"/>
                <w:w w:val="85"/>
              </w:rPr>
              <w:t>Form</w:t>
            </w:r>
          </w:p>
        </w:tc>
        <w:tc>
          <w:tcPr>
            <w:tcW w:w="2660" w:type="dxa"/>
            <w:vAlign w:val="bottom"/>
          </w:tcPr>
          <w:p>
            <w:pPr>
              <w:spacing w:after="0"/>
              <w:rPr>
                <w:sz w:val="12"/>
                <w:szCs w:val="12"/>
                <w:color w:val="auto"/>
              </w:rPr>
            </w:pPr>
          </w:p>
        </w:tc>
        <w:tc>
          <w:tcPr>
            <w:tcW w:w="28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w w:val="85"/>
              </w:rPr>
              <w:t>Date</w:t>
            </w:r>
          </w:p>
        </w:tc>
        <w:tc>
          <w:tcPr>
            <w:tcW w:w="360" w:type="dxa"/>
            <w:vAlign w:val="bottom"/>
          </w:tcPr>
          <w:p>
            <w:pPr>
              <w:spacing w:after="0"/>
              <w:rPr>
                <w:sz w:val="12"/>
                <w:szCs w:val="12"/>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pursuant to Exchange 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Rules 13a-14(a) and 15d-14(a), as adopted pursuant to Section 302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Sarbanes-Oxley Act of 2002</w:t>
      </w:r>
    </w:p>
    <w:p>
      <w:pPr>
        <w:spacing w:after="0" w:line="111" w:lineRule="exact"/>
        <w:rPr>
          <w:sz w:val="20"/>
          <w:szCs w:val="20"/>
          <w:color w:val="auto"/>
        </w:rPr>
      </w:pPr>
    </w:p>
    <w:p>
      <w:pPr>
        <w:sectPr>
          <w:pgSz w:w="11900" w:h="16838" w:orient="portrait"/>
          <w:cols w:equalWidth="0" w:num="2">
            <w:col w:w="500" w:space="220"/>
            <w:col w:w="10700"/>
          </w:cols>
          <w:pgMar w:left="240" w:top="459" w:right="239" w:bottom="1440" w:gutter="0" w:footer="0" w:header="0"/>
          <w:type w:val="continuous"/>
        </w:sectPr>
      </w:pPr>
    </w:p>
    <w:p>
      <w:pPr>
        <w:ind w:left="60"/>
        <w:spacing w:after="0"/>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Exchange Act</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Rules 13a-14(a) and 15d-14(a), as adopted pursuant to Section 302</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of the Sarbanes-Oxley Act of 2002</w:t>
      </w:r>
    </w:p>
    <w:p>
      <w:pPr>
        <w:spacing w:after="0" w:line="111"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Certifications of Chief Executive Officer and Chief Financial</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Officer pursuant to 18 U.S.C. Section 1350, as adopted pursuant to</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459" w:right="239"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060"/>
        <w:spacing w:after="0" w:line="262"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9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August 6, 2010</w:t>
      </w:r>
      <w:r>
        <w:rPr>
          <w:sz w:val="20"/>
          <w:szCs w:val="20"/>
          <w:color w:val="auto"/>
        </w:rPr>
        <w:tab/>
      </w:r>
      <w:r>
        <w:rPr>
          <w:rFonts w:ascii="Arial" w:cs="Arial" w:eastAsia="Arial" w:hAnsi="Arial"/>
          <w:sz w:val="16"/>
          <w:szCs w:val="16"/>
          <w:color w:val="auto"/>
        </w:rPr>
        <w:t>By: /s/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Ken Xie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060"/>
        <w:spacing w:after="0" w:line="262"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Ken Goldman, certify that:</w:t>
      </w:r>
    </w:p>
    <w:p>
      <w:pPr>
        <w:spacing w:after="0" w:line="9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August 6, 2010</w:t>
      </w:r>
      <w:r>
        <w:rPr>
          <w:sz w:val="20"/>
          <w:szCs w:val="20"/>
          <w:color w:val="auto"/>
        </w:rPr>
        <w:tab/>
      </w:r>
      <w:r>
        <w:rPr>
          <w:rFonts w:ascii="Arial" w:cs="Arial" w:eastAsia="Arial" w:hAnsi="Arial"/>
          <w:sz w:val="16"/>
          <w:szCs w:val="16"/>
          <w:color w:val="auto"/>
        </w:rPr>
        <w:t>By: /s/ Ken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Ken Goldman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12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In connection with the Quarterly Report on Form 10-Q of Fortinet, Inc. for the quarterly period ended June 30, 2010 as filed with the Securities and Exchange Commission on the date hereof (the “Report”), Ken Xie, as Principal Executive Officer of Fortinet, Inc., hereby certifies, pursuant to 18 U.S.C. Section 1350, as adopted pursuant to Section 906 of the Sarbanes-Oxley Act of 2002, that the Report fully complies with the requirements of Section 13(a) or 15(d) of the Securities Exchange Act of 1934, and the information contained in the Report fairly presents, in all material respects, the financial condition and results of operations of Fortinet, Inc.</w:t>
      </w:r>
    </w:p>
    <w:p>
      <w:pPr>
        <w:spacing w:after="0" w:line="183"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August 6, 2010</w:t>
      </w:r>
      <w:r>
        <w:rPr>
          <w:sz w:val="20"/>
          <w:szCs w:val="20"/>
          <w:color w:val="auto"/>
        </w:rPr>
        <w:tab/>
      </w:r>
      <w:r>
        <w:rPr>
          <w:rFonts w:ascii="Arial" w:cs="Arial" w:eastAsia="Arial" w:hAnsi="Arial"/>
          <w:sz w:val="16"/>
          <w:szCs w:val="16"/>
          <w:color w:val="auto"/>
        </w:rPr>
        <w:t>By: /s/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Ken Xie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President and Chief Executive Officer and Director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(Principal Executive Officer)</w:t>
      </w:r>
    </w:p>
    <w:p>
      <w:pPr>
        <w:spacing w:after="0" w:line="165"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In connection with the Quarterly Report on Form 10-Q of Fortinet, Inc. for the quarterly period ended June 30, 2010 as filed with the Securities and Exchange Commission on the date hereof (the “Report”), Ken Goldman, as Principal Financial Officer of Fortinet, Inc., hereby certifies, pursuant to 18 U.S.C. Section 1350, as adopted pursuant to Section 906 of the Sarbanes-Oxley Act of 2002, that the Report fully complies with the requirements of Section 13(a) or 15(d) of the Securities Exchange Act of 1934, and the information contained in the Report fairly presents, in all material respects, the financial condition and results of operations of Fortinet, Inc.</w:t>
      </w:r>
    </w:p>
    <w:p>
      <w:pPr>
        <w:spacing w:after="0" w:line="183"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August 6, 2010</w:t>
      </w:r>
      <w:r>
        <w:rPr>
          <w:sz w:val="20"/>
          <w:szCs w:val="20"/>
          <w:color w:val="auto"/>
        </w:rPr>
        <w:tab/>
      </w:r>
      <w:r>
        <w:rPr>
          <w:rFonts w:ascii="Arial" w:cs="Arial" w:eastAsia="Arial" w:hAnsi="Arial"/>
          <w:sz w:val="16"/>
          <w:szCs w:val="16"/>
          <w:color w:val="auto"/>
        </w:rPr>
        <w:t>By: /s/ Ken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Ken Goldman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Vice President and 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2"/>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2019-12-10T23:36:42Z</dcterms:created>
  <dcterms:modified xsi:type="dcterms:W3CDTF">2019-12-10T23:36:42Z</dcterms:modified>
</cp:coreProperties>
</file>