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328930</wp:posOffset>
            </wp:positionV>
            <wp:extent cx="72536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266700</wp:posOffset>
            </wp:positionV>
            <wp:extent cx="72536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635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120" w:lineRule="exact"/>
        <w:rPr>
          <w:sz w:val="24"/>
          <w:szCs w:val="24"/>
          <w:color w:val="auto"/>
        </w:rPr>
      </w:pPr>
    </w:p>
    <w:p>
      <w:pPr>
        <w:ind w:left="4500" w:right="3279" w:hanging="4482"/>
        <w:spacing w:after="0" w:line="504" w:lineRule="auto"/>
        <w:tabs>
          <w:tab w:leader="none" w:pos="365"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2010</w:t>
      </w:r>
    </w:p>
    <w:p>
      <w:pPr>
        <w:spacing w:after="0" w:line="223" w:lineRule="exact"/>
        <w:rPr>
          <w:sz w:val="24"/>
          <w:szCs w:val="24"/>
          <w:color w:val="auto"/>
        </w:rPr>
      </w:pPr>
    </w:p>
    <w:p>
      <w:pPr>
        <w:ind w:left="360" w:hanging="342"/>
        <w:spacing w:after="0"/>
        <w:tabs>
          <w:tab w:leader="none" w:pos="3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5980" w:type="dxa"/>
            <w:vAlign w:val="bottom"/>
          </w:tcPr>
          <w:p>
            <w:pPr>
              <w:ind w:left="40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tcBorders>
              <w:bottom w:val="single" w:sz="8" w:color="auto"/>
            </w:tcBorders>
          </w:tcPr>
          <w:p>
            <w:pPr>
              <w:spacing w:after="0"/>
              <w:rPr>
                <w:sz w:val="13"/>
                <w:szCs w:val="13"/>
                <w:color w:val="auto"/>
              </w:rPr>
            </w:pPr>
          </w:p>
        </w:tc>
        <w:tc>
          <w:tcPr>
            <w:tcW w:w="2560" w:type="dxa"/>
            <w:vAlign w:val="bottom"/>
          </w:tcPr>
          <w:p>
            <w:pPr>
              <w:spacing w:after="0"/>
              <w:rPr>
                <w:sz w:val="13"/>
                <w:szCs w:val="13"/>
                <w:color w:val="auto"/>
              </w:rPr>
            </w:pPr>
          </w:p>
        </w:tc>
      </w:tr>
      <w:tr>
        <w:trPr>
          <w:trHeight w:val="294"/>
        </w:trPr>
        <w:tc>
          <w:tcPr>
            <w:tcW w:w="7020" w:type="dxa"/>
            <w:vAlign w:val="bottom"/>
            <w:gridSpan w:val="5"/>
          </w:tcPr>
          <w:p>
            <w:pPr>
              <w:jc w:val="center"/>
              <w:ind w:left="3995"/>
              <w:spacing w:after="0"/>
              <w:rPr>
                <w:sz w:val="20"/>
                <w:szCs w:val="20"/>
                <w:color w:val="auto"/>
              </w:rPr>
            </w:pPr>
            <w:r>
              <w:rPr>
                <w:rFonts w:ascii="Times New Roman" w:cs="Times New Roman" w:eastAsia="Times New Roman" w:hAnsi="Times New Roman"/>
                <w:sz w:val="14"/>
                <w:szCs w:val="14"/>
                <w:b w:val="1"/>
                <w:bCs w:val="1"/>
                <w:color w:val="auto"/>
              </w:rPr>
              <w:t>Commission file number: 001-34511</w:t>
            </w:r>
          </w:p>
        </w:tc>
        <w:tc>
          <w:tcPr>
            <w:tcW w:w="2560" w:type="dxa"/>
            <w:vAlign w:val="bottom"/>
          </w:tcPr>
          <w:p>
            <w:pPr>
              <w:spacing w:after="0"/>
              <w:rPr>
                <w:sz w:val="24"/>
                <w:szCs w:val="24"/>
                <w:color w:val="auto"/>
              </w:rPr>
            </w:pPr>
          </w:p>
        </w:tc>
      </w:tr>
      <w:tr>
        <w:trPr>
          <w:trHeight w:val="126"/>
        </w:trPr>
        <w:tc>
          <w:tcPr>
            <w:tcW w:w="7020" w:type="dxa"/>
            <w:vAlign w:val="bottom"/>
            <w:gridSpan w:val="5"/>
          </w:tcPr>
          <w:p>
            <w:pPr>
              <w:jc w:val="center"/>
              <w:ind w:left="3975"/>
              <w:spacing w:after="0" w:line="126" w:lineRule="exact"/>
              <w:rPr>
                <w:sz w:val="20"/>
                <w:szCs w:val="20"/>
                <w:color w:val="auto"/>
              </w:rPr>
            </w:pPr>
            <w:r>
              <w:rPr>
                <w:rFonts w:ascii="Times New Roman" w:cs="Times New Roman" w:eastAsia="Times New Roman" w:hAnsi="Times New Roman"/>
                <w:sz w:val="12"/>
                <w:szCs w:val="12"/>
                <w:color w:val="auto"/>
                <w:w w:val="97"/>
              </w:rPr>
              <w:t>______________________________________</w:t>
            </w:r>
          </w:p>
        </w:tc>
        <w:tc>
          <w:tcPr>
            <w:tcW w:w="2560" w:type="dxa"/>
            <w:vAlign w:val="bottom"/>
          </w:tcPr>
          <w:p>
            <w:pPr>
              <w:spacing w:after="0"/>
              <w:rPr>
                <w:sz w:val="10"/>
                <w:szCs w:val="10"/>
                <w:color w:val="auto"/>
              </w:rPr>
            </w:pPr>
          </w:p>
        </w:tc>
      </w:tr>
      <w:tr>
        <w:trPr>
          <w:trHeight w:val="241"/>
        </w:trPr>
        <w:tc>
          <w:tcPr>
            <w:tcW w:w="7020" w:type="dxa"/>
            <w:vAlign w:val="bottom"/>
            <w:gridSpan w:val="5"/>
          </w:tcPr>
          <w:p>
            <w:pPr>
              <w:jc w:val="center"/>
              <w:ind w:left="4015"/>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2560" w:type="dxa"/>
            <w:vAlign w:val="bottom"/>
          </w:tcPr>
          <w:p>
            <w:pPr>
              <w:spacing w:after="0"/>
              <w:rPr>
                <w:sz w:val="20"/>
                <w:szCs w:val="20"/>
                <w:color w:val="auto"/>
              </w:rPr>
            </w:pPr>
          </w:p>
        </w:tc>
      </w:tr>
      <w:tr>
        <w:trPr>
          <w:trHeight w:val="142"/>
        </w:trPr>
        <w:tc>
          <w:tcPr>
            <w:tcW w:w="7020" w:type="dxa"/>
            <w:vAlign w:val="bottom"/>
            <w:gridSpan w:val="5"/>
          </w:tcPr>
          <w:p>
            <w:pPr>
              <w:jc w:val="center"/>
              <w:ind w:left="3995"/>
              <w:spacing w:after="0"/>
              <w:rPr>
                <w:sz w:val="20"/>
                <w:szCs w:val="20"/>
                <w:color w:val="auto"/>
              </w:rPr>
            </w:pPr>
            <w:r>
              <w:rPr>
                <w:rFonts w:ascii="Times New Roman" w:cs="Times New Roman" w:eastAsia="Times New Roman" w:hAnsi="Times New Roman"/>
                <w:sz w:val="12"/>
                <w:szCs w:val="12"/>
                <w:b w:val="1"/>
                <w:bCs w:val="1"/>
                <w:color w:val="auto"/>
                <w:w w:val="97"/>
              </w:rPr>
              <w:t>(Exact name of registrant as specified in its charter)</w:t>
            </w:r>
          </w:p>
        </w:tc>
        <w:tc>
          <w:tcPr>
            <w:tcW w:w="2560" w:type="dxa"/>
            <w:vAlign w:val="bottom"/>
          </w:tcPr>
          <w:p>
            <w:pPr>
              <w:spacing w:after="0"/>
              <w:rPr>
                <w:sz w:val="12"/>
                <w:szCs w:val="12"/>
                <w:color w:val="auto"/>
              </w:rPr>
            </w:pPr>
          </w:p>
        </w:tc>
      </w:tr>
      <w:tr>
        <w:trPr>
          <w:trHeight w:val="151"/>
        </w:trPr>
        <w:tc>
          <w:tcPr>
            <w:tcW w:w="7020" w:type="dxa"/>
            <w:vAlign w:val="bottom"/>
            <w:gridSpan w:val="5"/>
          </w:tcPr>
          <w:p>
            <w:pPr>
              <w:jc w:val="center"/>
              <w:ind w:left="3975"/>
              <w:spacing w:after="0"/>
              <w:rPr>
                <w:sz w:val="20"/>
                <w:szCs w:val="20"/>
                <w:color w:val="auto"/>
              </w:rPr>
            </w:pPr>
            <w:r>
              <w:rPr>
                <w:rFonts w:ascii="Times New Roman" w:cs="Times New Roman" w:eastAsia="Times New Roman" w:hAnsi="Times New Roman"/>
                <w:sz w:val="12"/>
                <w:szCs w:val="12"/>
                <w:color w:val="auto"/>
                <w:w w:val="97"/>
              </w:rPr>
              <w:t>______________________________________</w:t>
            </w:r>
          </w:p>
        </w:tc>
        <w:tc>
          <w:tcPr>
            <w:tcW w:w="2560" w:type="dxa"/>
            <w:vAlign w:val="bottom"/>
          </w:tcPr>
          <w:p>
            <w:pPr>
              <w:spacing w:after="0"/>
              <w:rPr>
                <w:sz w:val="13"/>
                <w:szCs w:val="13"/>
                <w:color w:val="auto"/>
              </w:rPr>
            </w:pPr>
          </w:p>
        </w:tc>
      </w:tr>
      <w:tr>
        <w:trPr>
          <w:trHeight w:val="454"/>
        </w:trPr>
        <w:tc>
          <w:tcPr>
            <w:tcW w:w="6240" w:type="dxa"/>
            <w:vAlign w:val="bottom"/>
            <w:gridSpan w:val="2"/>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77-0560389</w:t>
            </w:r>
          </w:p>
        </w:tc>
      </w:tr>
      <w:tr>
        <w:trPr>
          <w:trHeight w:val="176"/>
        </w:trPr>
        <w:tc>
          <w:tcPr>
            <w:tcW w:w="6240" w:type="dxa"/>
            <w:vAlign w:val="bottom"/>
            <w:gridSpan w:val="2"/>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tcPr>
          <w:p>
            <w:pPr>
              <w:jc w:val="center"/>
              <w:ind w:left="137"/>
              <w:spacing w:after="0"/>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53"/>
        </w:trPr>
        <w:tc>
          <w:tcPr>
            <w:tcW w:w="6240" w:type="dxa"/>
            <w:vAlign w:val="bottom"/>
            <w:gridSpan w:val="2"/>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incorporation or organization)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60" w:type="dxa"/>
            <w:vAlign w:val="bottom"/>
          </w:tcPr>
          <w:p>
            <w:pPr>
              <w:jc w:val="center"/>
              <w:ind w:left="137"/>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284"/>
        </w:trPr>
        <w:tc>
          <w:tcPr>
            <w:tcW w:w="624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1090 Kifer Road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70"/>
        </w:trPr>
        <w:tc>
          <w:tcPr>
            <w:tcW w:w="6240" w:type="dxa"/>
            <w:vAlign w:val="bottom"/>
            <w:gridSpan w:val="2"/>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Sunnyvale, California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94086</w:t>
            </w:r>
          </w:p>
        </w:tc>
      </w:tr>
      <w:tr>
        <w:trPr>
          <w:trHeight w:val="182"/>
        </w:trPr>
        <w:tc>
          <w:tcPr>
            <w:tcW w:w="6240" w:type="dxa"/>
            <w:vAlign w:val="bottom"/>
            <w:gridSpan w:val="2"/>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(Address of prin cipal executive offices)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tcPr>
          <w:p>
            <w:pPr>
              <w:jc w:val="center"/>
              <w:ind w:left="157"/>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170"/>
        </w:trPr>
        <w:tc>
          <w:tcPr>
            <w:tcW w:w="5980" w:type="dxa"/>
            <w:vAlign w:val="bottom"/>
          </w:tcPr>
          <w:p>
            <w:pPr>
              <w:jc w:val="center"/>
              <w:ind w:left="5015"/>
              <w:spacing w:after="0"/>
              <w:rPr>
                <w:sz w:val="20"/>
                <w:szCs w:val="20"/>
                <w:color w:val="auto"/>
              </w:rPr>
            </w:pPr>
            <w:r>
              <w:rPr>
                <w:rFonts w:ascii="Times New Roman" w:cs="Times New Roman" w:eastAsia="Times New Roman" w:hAnsi="Times New Roman"/>
                <w:sz w:val="13"/>
                <w:szCs w:val="13"/>
                <w:b w:val="1"/>
                <w:bCs w:val="1"/>
                <w:color w:val="auto"/>
              </w:rPr>
              <w:t>(408) 235-7700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53"/>
        </w:trPr>
        <w:tc>
          <w:tcPr>
            <w:tcW w:w="7020" w:type="dxa"/>
            <w:vAlign w:val="bottom"/>
            <w:gridSpan w:val="5"/>
          </w:tcPr>
          <w:p>
            <w:pPr>
              <w:jc w:val="center"/>
              <w:ind w:left="3975"/>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 including area code)</w:t>
            </w:r>
          </w:p>
        </w:tc>
        <w:tc>
          <w:tcPr>
            <w:tcW w:w="2560" w:type="dxa"/>
            <w:vAlign w:val="bottom"/>
          </w:tcPr>
          <w:p>
            <w:pPr>
              <w:spacing w:after="0"/>
              <w:rPr>
                <w:sz w:val="13"/>
                <w:szCs w:val="13"/>
                <w:color w:val="auto"/>
              </w:rPr>
            </w:pPr>
          </w:p>
        </w:tc>
      </w:tr>
      <w:tr>
        <w:trPr>
          <w:trHeight w:val="288"/>
        </w:trPr>
        <w:tc>
          <w:tcPr>
            <w:tcW w:w="9580" w:type="dxa"/>
            <w:vAlign w:val="bottom"/>
            <w:gridSpan w:val="6"/>
          </w:tcPr>
          <w:p>
            <w:pPr>
              <w:jc w:val="center"/>
              <w:ind w:left="1415"/>
              <w:spacing w:after="0"/>
              <w:rPr>
                <w:sz w:val="20"/>
                <w:szCs w:val="20"/>
                <w:color w:val="auto"/>
              </w:rPr>
            </w:pPr>
            <w:r>
              <w:rPr>
                <w:rFonts w:ascii="Times New Roman" w:cs="Times New Roman" w:eastAsia="Times New Roman" w:hAnsi="Times New Roman"/>
                <w:sz w:val="13"/>
                <w:szCs w:val="13"/>
                <w:b w:val="1"/>
                <w:bCs w:val="1"/>
                <w:color w:val="auto"/>
                <w:w w:val="99"/>
              </w:rPr>
              <w:t>Securities registered pursuant to Section 12(b) of the Act:</w:t>
            </w:r>
          </w:p>
        </w:tc>
      </w:tr>
      <w:tr>
        <w:trPr>
          <w:trHeight w:val="274"/>
        </w:trPr>
        <w:tc>
          <w:tcPr>
            <w:tcW w:w="6240" w:type="dxa"/>
            <w:vAlign w:val="bottom"/>
            <w:gridSpan w:val="2"/>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9"/>
              </w:rPr>
              <w:t>Common Stock, $0.001 Par Value</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6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9"/>
              </w:rPr>
              <w:t>The NASDAQ Sto ck Market LLC</w:t>
            </w:r>
          </w:p>
        </w:tc>
      </w:t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9"/>
              </w:rPr>
              <w:t>NASDAQ Global Select Market</w:t>
            </w:r>
          </w:p>
        </w:tc>
      </w:tr>
      <w:tr>
        <w:trPr>
          <w:trHeight w:val="182"/>
        </w:trPr>
        <w:tc>
          <w:tcPr>
            <w:tcW w:w="6240" w:type="dxa"/>
            <w:vAlign w:val="bottom"/>
            <w:gridSpan w:val="2"/>
          </w:tcPr>
          <w:p>
            <w:pPr>
              <w:jc w:val="center"/>
              <w:ind w:right="1020"/>
              <w:spacing w:after="0"/>
              <w:rPr>
                <w:sz w:val="20"/>
                <w:szCs w:val="20"/>
                <w:color w:val="auto"/>
              </w:rPr>
            </w:pPr>
            <w:r>
              <w:rPr>
                <w:rFonts w:ascii="Times New Roman" w:cs="Times New Roman" w:eastAsia="Times New Roman" w:hAnsi="Times New Roman"/>
                <w:sz w:val="12"/>
                <w:szCs w:val="12"/>
                <w:b w:val="1"/>
                <w:bCs w:val="1"/>
                <w:color w:val="auto"/>
                <w:w w:val="95"/>
              </w:rPr>
              <w:t>(Title of each class)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tcPr>
          <w:p>
            <w:pPr>
              <w:jc w:val="center"/>
              <w:ind w:left="497"/>
              <w:spacing w:after="0"/>
              <w:rPr>
                <w:sz w:val="20"/>
                <w:szCs w:val="20"/>
                <w:color w:val="auto"/>
              </w:rPr>
            </w:pPr>
            <w:r>
              <w:rPr>
                <w:rFonts w:ascii="Times New Roman" w:cs="Times New Roman" w:eastAsia="Times New Roman" w:hAnsi="Times New Roman"/>
                <w:sz w:val="12"/>
                <w:szCs w:val="12"/>
                <w:b w:val="1"/>
                <w:bCs w:val="1"/>
                <w:color w:val="auto"/>
                <w:w w:val="97"/>
              </w:rPr>
              <w:t>(Name of exchange on which registered)</w:t>
            </w:r>
          </w:p>
        </w:tc>
      </w:tr>
      <w:tr>
        <w:trPr>
          <w:trHeight w:val="297"/>
        </w:trPr>
        <w:tc>
          <w:tcPr>
            <w:tcW w:w="9580" w:type="dxa"/>
            <w:vAlign w:val="bottom"/>
            <w:gridSpan w:val="6"/>
          </w:tcPr>
          <w:p>
            <w:pPr>
              <w:jc w:val="center"/>
              <w:ind w:left="1415"/>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r>
      <w:tr>
        <w:trPr>
          <w:trHeight w:val="274"/>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Yes&amp;nbs p; o</w:t>
            </w: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x</w:t>
            </w:r>
          </w:p>
        </w:tc>
      </w:tr>
      <w:tr>
        <w:trPr>
          <w:trHeight w:val="274"/>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9"/>
              </w:rPr>
              <w:t>Indicate by check mark if the registrant is not required to file reports pursuant to Section 13 or Section 15(d) of the Act.</w:t>
            </w: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Yes o   No</w:t>
            </w:r>
          </w:p>
        </w:tc>
        <w:tc>
          <w:tcPr>
            <w:tcW w:w="2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x</w:t>
            </w:r>
          </w:p>
        </w:tc>
      </w:tr>
    </w:tbl>
    <w:p>
      <w:pPr>
        <w:sectPr>
          <w:pgSz w:w="11900" w:h="16838" w:orient="portrait"/>
          <w:cols w:equalWidth="0" w:num="1">
            <w:col w:w="10239"/>
          </w:cols>
          <w:pgMar w:left="220" w:top="20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ind w:right="20" w:firstLine="196"/>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0" w:lineRule="exact"/>
        <w:rPr>
          <w:sz w:val="20"/>
          <w:szCs w:val="20"/>
          <w:color w:val="auto"/>
        </w:rPr>
      </w:pPr>
    </w:p>
    <w:p>
      <w:pPr>
        <w:ind w:right="480" w:firstLine="196"/>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80" w:lineRule="exact"/>
        <w:rPr>
          <w:sz w:val="20"/>
          <w:szCs w:val="20"/>
          <w:color w:val="auto"/>
        </w:rPr>
      </w:pPr>
    </w:p>
    <w:p>
      <w:pPr>
        <w:ind w:right="340" w:firstLine="196"/>
        <w:spacing w:after="0" w:line="281" w:lineRule="auto"/>
        <w:rPr>
          <w:sz w:val="20"/>
          <w:szCs w:val="20"/>
          <w:color w:val="auto"/>
        </w:rPr>
      </w:pPr>
      <w:r>
        <w:rPr>
          <w:rFonts w:ascii="Times New Roman" w:cs="Times New Roman" w:eastAsia="Times New Roman" w:hAnsi="Times New Roman"/>
          <w:sz w:val="13"/>
          <w:szCs w:val="13"/>
          <w:color w:val="auto"/>
        </w:rPr>
        <w:t>Indicate by check mark if disclosure of delinquent filers pursuant to Item 405 of Regulation S-K (section 229.405 of this chapter) is not contained herei n, and will not be contained, to the best of the registrant’s knowledge, in definitive proxy or information statements incorporated by reference in Part III of this Form 10-K or any amendment to this Form 10-K. x</w:t>
      </w:r>
    </w:p>
    <w:p>
      <w:pPr>
        <w:spacing w:after="0" w:line="80" w:lineRule="exact"/>
        <w:rPr>
          <w:sz w:val="20"/>
          <w:szCs w:val="20"/>
          <w:color w:val="auto"/>
        </w:rPr>
      </w:pPr>
    </w:p>
    <w:p>
      <w:pPr>
        <w:ind w:right="80" w:firstLine="196"/>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20" w:top="124" w:right="219" w:bottom="1440" w:gutter="0" w:footer="0" w:header="0"/>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w:t>
      </w:r>
    </w:p>
    <w:p>
      <w:pPr>
        <w:spacing w:after="0" w:line="57" w:lineRule="exact"/>
        <w:rPr>
          <w:sz w:val="20"/>
          <w:szCs w:val="20"/>
          <w:color w:val="auto"/>
        </w:rPr>
      </w:pPr>
    </w:p>
    <w:p>
      <w:pPr>
        <w:sectPr>
          <w:pgSz w:w="11900" w:h="16838" w:orient="portrait"/>
          <w:cols w:equalWidth="0" w:num="4">
            <w:col w:w="1980" w:space="720"/>
            <w:col w:w="4740" w:space="720"/>
            <w:col w:w="1960" w:space="720"/>
            <w:col w:w="620"/>
          </w:cols>
          <w:pgMar w:left="220" w:top="124"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(Do not check if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155" w:lineRule="exact"/>
        <w:rPr>
          <w:sz w:val="20"/>
          <w:szCs w:val="20"/>
          <w:color w:val="auto"/>
        </w:rPr>
      </w:pPr>
    </w:p>
    <w:p>
      <w:pPr>
        <w:sectPr>
          <w:pgSz w:w="11900" w:h="16838" w:orient="portrait"/>
          <w:cols w:equalWidth="0" w:num="5">
            <w:col w:w="1980" w:space="720"/>
            <w:col w:w="60" w:space="280"/>
            <w:col w:w="4400" w:space="720"/>
            <w:col w:w="1960" w:space="720"/>
            <w:col w:w="620"/>
          </w:cols>
          <w:pgMar w:left="220" w:top="124" w:right="2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 x</w:t>
      </w:r>
    </w:p>
    <w:p>
      <w:pPr>
        <w:spacing w:after="0" w:line="124" w:lineRule="exact"/>
        <w:rPr>
          <w:sz w:val="20"/>
          <w:szCs w:val="20"/>
          <w:color w:val="auto"/>
        </w:rPr>
      </w:pPr>
    </w:p>
    <w:p>
      <w:pPr>
        <w:sectPr>
          <w:pgSz w:w="11900" w:h="16838" w:orient="portrait"/>
          <w:cols w:equalWidth="0" w:num="3">
            <w:col w:w="5560" w:space="140"/>
            <w:col w:w="320" w:space="160"/>
            <w:col w:w="5280"/>
          </w:cols>
          <w:pgMar w:left="220" w:top="124" w:right="219" w:bottom="1440" w:gutter="0" w:footer="0" w:header="0"/>
          <w:type w:val="continuous"/>
        </w:sectPr>
      </w:pPr>
    </w:p>
    <w:p>
      <w:pPr>
        <w:ind w:firstLine="196"/>
        <w:spacing w:after="0" w:line="261"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of the registrant, as of June 30, 2010, the last business day of the registrant’s most recently completed second quarter, was $590,897,232 (based on the closing price for shares of the registrant's common stock as reported by The NASDAQ Global Select Market for the last business day prior to that date). Shares of common stock held by each executive officers, director, and holder of 5% or more of the outstanding common stock have been excluded in that such persons may be deemed to be affiliates. This determination of affiliate status is not necessarily a conclusive determination for other purposes.</w:t>
      </w:r>
    </w:p>
    <w:p>
      <w:pPr>
        <w:spacing w:after="0" w:line="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As of February 17, 2011, there were 75,231,493 shares of the registrant’s common stock outstanding.</w:t>
      </w:r>
    </w:p>
    <w:p>
      <w:pPr>
        <w:spacing w:after="0" w:line="1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24" w:lineRule="exact"/>
        <w:rPr>
          <w:sz w:val="20"/>
          <w:szCs w:val="20"/>
          <w:color w:val="auto"/>
        </w:rPr>
      </w:pPr>
    </w:p>
    <w:p>
      <w:pPr>
        <w:ind w:right="40" w:firstLine="196"/>
        <w:spacing w:after="0" w:line="28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2011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ectPr>
          <w:pgSz w:w="11900" w:h="16838" w:orient="portrait"/>
          <w:cols w:equalWidth="0" w:num="1">
            <w:col w:w="11460"/>
          </w:cols>
          <w:pgMar w:left="220" w:top="124" w:right="219" w:bottom="1440" w:gutter="0" w:footer="0" w:header="0"/>
          <w:type w:val="continuous"/>
        </w:sectPr>
      </w:pPr>
    </w:p>
    <w:bookmarkStart w:id="2" w:name="page3"/>
    <w:bookmarkEnd w:id="2"/>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ANNUAL REPORT ON FORM 10-K</w:t>
      </w:r>
    </w:p>
    <w:p>
      <w:pPr>
        <w:spacing w:after="0" w:line="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2010</w:t>
      </w:r>
    </w:p>
    <w:p>
      <w:pPr>
        <w:spacing w:after="0" w:line="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p>
      <w:pPr>
        <w:ind w:left="2"/>
        <w:spacing w:after="0"/>
        <w:tabs>
          <w:tab w:leader="none" w:pos="11002" w:val="left"/>
        </w:tabs>
        <w:rPr>
          <w:sz w:val="20"/>
          <w:szCs w:val="20"/>
          <w:color w:val="auto"/>
        </w:rPr>
      </w:pPr>
      <w:r>
        <w:rPr>
          <w:rFonts w:ascii="Times New Roman" w:cs="Times New Roman" w:eastAsia="Times New Roman" w:hAnsi="Times New Roman"/>
          <w:sz w:val="12"/>
          <w:szCs w:val="12"/>
          <w:color w:val="auto"/>
        </w:rPr>
        <w:t>&amp;nb sp;</w:t>
      </w:r>
      <w:r>
        <w:rPr>
          <w:sz w:val="20"/>
          <w:szCs w:val="20"/>
          <w:color w:val="auto"/>
        </w:rPr>
        <w:tab/>
      </w:r>
      <w:r>
        <w:rPr>
          <w:rFonts w:ascii="Times New Roman" w:cs="Times New Roman" w:eastAsia="Times New Roman" w:hAnsi="Times New Roman"/>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6868160</wp:posOffset>
            </wp:positionH>
            <wp:positionV relativeFrom="paragraph">
              <wp:posOffset>24765</wp:posOffset>
            </wp:positionV>
            <wp:extent cx="4038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3860" cy="6350"/>
                    </a:xfrm>
                    <a:prstGeom prst="rect">
                      <a:avLst/>
                    </a:prstGeom>
                    <a:noFill/>
                  </pic:spPr>
                </pic:pic>
              </a:graphicData>
            </a:graphic>
          </wp:anchor>
        </w:drawing>
      </w:r>
    </w:p>
    <w:p>
      <w:pPr>
        <w:spacing w:after="0" w:line="269" w:lineRule="exact"/>
        <w:rPr>
          <w:sz w:val="20"/>
          <w:szCs w:val="20"/>
          <w:color w:val="auto"/>
        </w:rPr>
      </w:pPr>
    </w:p>
    <w:p>
      <w:pPr>
        <w:ind w:left="6342"/>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48" w:lineRule="exact"/>
        <w:rPr>
          <w:sz w:val="20"/>
          <w:szCs w:val="20"/>
          <w:color w:val="auto"/>
        </w:rPr>
      </w:pPr>
    </w:p>
    <w:p>
      <w:pPr>
        <w:ind w:left="2" w:right="9260" w:hanging="2"/>
        <w:spacing w:after="0" w:line="266" w:lineRule="auto"/>
        <w:tabs>
          <w:tab w:leader="none" w:pos="10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 style="overflow:hidden;height:20px;font-size:10pt;"&gt;</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w:t>
            </w:r>
          </w:p>
        </w:tc>
        <w:tc>
          <w:tcPr>
            <w:tcW w:w="480" w:type="dxa"/>
            <w:vAlign w:val="bottom"/>
            <w:tcBorders>
              <w:bottom w:val="single" w:sz="8" w:color="0000FF"/>
            </w:tcBorders>
          </w:tcPr>
          <w:p>
            <w:pPr>
              <w:spacing w:after="0"/>
              <w:rPr>
                <w:rFonts w:ascii="Times New Roman" w:cs="Times New Roman" w:eastAsia="Times New Roman" w:hAnsi="Times New Roman"/>
                <w:sz w:val="13"/>
                <w:szCs w:val="13"/>
                <w:color w:val="0000FF"/>
                <w:w w:val="99"/>
              </w:rPr>
            </w:pPr>
            <w:hyperlink w:anchor="page4">
              <w:r>
                <w:rPr>
                  <w:rFonts w:ascii="Times New Roman" w:cs="Times New Roman" w:eastAsia="Times New Roman" w:hAnsi="Times New Roman"/>
                  <w:sz w:val="13"/>
                  <w:szCs w:val="13"/>
                  <w:color w:val="0000FF"/>
                  <w:w w:val="99"/>
                </w:rPr>
                <w:t>Business</w:t>
              </w:r>
            </w:hyperlink>
          </w:p>
        </w:tc>
        <w:tc>
          <w:tcPr>
            <w:tcW w:w="6760" w:type="dxa"/>
            <w:vAlign w:val="bottom"/>
            <w:gridSpan w:val="18"/>
          </w:tcPr>
          <w:p>
            <w:pPr>
              <w:spacing w:after="0"/>
              <w:rPr>
                <w:sz w:val="12"/>
                <w:szCs w:val="12"/>
                <w:color w:val="auto"/>
              </w:rPr>
            </w:pPr>
          </w:p>
        </w:tc>
        <w:tc>
          <w:tcPr>
            <w:tcW w:w="1900" w:type="dxa"/>
            <w:vAlign w:val="bottom"/>
            <w:gridSpan w:val="3"/>
          </w:tcPr>
          <w:p>
            <w:pPr>
              <w:spacing w:after="0"/>
              <w:rPr>
                <w:sz w:val="12"/>
                <w:szCs w:val="12"/>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3"/>
                <w:szCs w:val="13"/>
                <w:color w:val="0000FF"/>
                <w:w w:val="91"/>
              </w:rPr>
            </w:pPr>
            <w:hyperlink w:anchor="page4">
              <w:r>
                <w:rPr>
                  <w:rFonts w:ascii="Times New Roman" w:cs="Times New Roman" w:eastAsia="Times New Roman" w:hAnsi="Times New Roman"/>
                  <w:sz w:val="13"/>
                  <w:szCs w:val="13"/>
                  <w:color w:val="0000FF"/>
                  <w:w w:val="91"/>
                </w:rPr>
                <w:t>1</w:t>
              </w:r>
            </w:hyperlink>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7240" w:type="dxa"/>
            <w:vAlign w:val="bottom"/>
            <w:gridSpan w:val="19"/>
          </w:tcPr>
          <w:p>
            <w:pPr>
              <w:spacing w:after="0"/>
              <w:rPr>
                <w:rFonts w:ascii="Times New Roman" w:cs="Times New Roman" w:eastAsia="Times New Roman" w:hAnsi="Times New Roman"/>
                <w:sz w:val="13"/>
                <w:szCs w:val="13"/>
                <w:color w:val="0000FF"/>
              </w:rPr>
            </w:pPr>
            <w:hyperlink w:anchor="page12">
              <w:r>
                <w:rPr>
                  <w:rFonts w:ascii="Times New Roman" w:cs="Times New Roman" w:eastAsia="Times New Roman" w:hAnsi="Times New Roman"/>
                  <w:sz w:val="13"/>
                  <w:szCs w:val="13"/>
                  <w:color w:val="0000FF"/>
                </w:rPr>
                <w:t>Risk Factors</w:t>
              </w:r>
            </w:hyperlink>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12">
              <w:r>
                <w:rPr>
                  <w:rFonts w:ascii="Times New Roman" w:cs="Times New Roman" w:eastAsia="Times New Roman" w:hAnsi="Times New Roman"/>
                  <w:sz w:val="13"/>
                  <w:szCs w:val="13"/>
                  <w:color w:val="0000FF"/>
                </w:rPr>
                <w:t>9</w:t>
              </w:r>
            </w:hyperlink>
          </w:p>
        </w:tc>
      </w:tr>
      <w:tr>
        <w:trPr>
          <w:trHeight w:val="20"/>
        </w:trPr>
        <w:tc>
          <w:tcPr>
            <w:tcW w:w="2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7240" w:type="dxa"/>
            <w:vAlign w:val="bottom"/>
            <w:gridSpan w:val="19"/>
          </w:tcPr>
          <w:p>
            <w:pPr>
              <w:spacing w:after="0"/>
              <w:rPr>
                <w:rFonts w:ascii="Times New Roman" w:cs="Times New Roman" w:eastAsia="Times New Roman" w:hAnsi="Times New Roman"/>
                <w:sz w:val="13"/>
                <w:szCs w:val="13"/>
                <w:color w:val="0000FF"/>
              </w:rPr>
            </w:pPr>
            <w:hyperlink w:anchor="page32">
              <w:r>
                <w:rPr>
                  <w:rFonts w:ascii="Times New Roman" w:cs="Times New Roman" w:eastAsia="Times New Roman" w:hAnsi="Times New Roman"/>
                  <w:sz w:val="13"/>
                  <w:szCs w:val="13"/>
                  <w:color w:val="0000FF"/>
                </w:rPr>
                <w:t>Unresolved Staff Comments</w:t>
              </w:r>
            </w:hyperlink>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2">
              <w:r>
                <w:rPr>
                  <w:rFonts w:ascii="Times New Roman" w:cs="Times New Roman" w:eastAsia="Times New Roman" w:hAnsi="Times New Roman"/>
                  <w:sz w:val="13"/>
                  <w:szCs w:val="13"/>
                  <w:color w:val="0000FF"/>
                </w:rPr>
                <w:t>29</w:t>
              </w:r>
            </w:hyperlink>
          </w:p>
        </w:tc>
      </w:tr>
      <w:tr>
        <w:trPr>
          <w:trHeight w:val="20"/>
        </w:trPr>
        <w:tc>
          <w:tcPr>
            <w:tcW w:w="2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540" w:type="dxa"/>
            <w:vAlign w:val="bottom"/>
            <w:gridSpan w:val="2"/>
          </w:tcPr>
          <w:p>
            <w:pPr>
              <w:spacing w:after="0"/>
              <w:rPr>
                <w:rFonts w:ascii="Times New Roman" w:cs="Times New Roman" w:eastAsia="Times New Roman" w:hAnsi="Times New Roman"/>
                <w:sz w:val="13"/>
                <w:szCs w:val="13"/>
                <w:color w:val="0000FF"/>
                <w:w w:val="98"/>
              </w:rPr>
            </w:pPr>
            <w:hyperlink w:anchor="page32">
              <w:r>
                <w:rPr>
                  <w:rFonts w:ascii="Times New Roman" w:cs="Times New Roman" w:eastAsia="Times New Roman" w:hAnsi="Times New Roman"/>
                  <w:sz w:val="13"/>
                  <w:szCs w:val="13"/>
                  <w:color w:val="0000FF"/>
                  <w:w w:val="98"/>
                </w:rPr>
                <w:t>Properties</w:t>
              </w:r>
            </w:hyperlink>
          </w:p>
        </w:tc>
        <w:tc>
          <w:tcPr>
            <w:tcW w:w="940" w:type="dxa"/>
            <w:vAlign w:val="bottom"/>
            <w:gridSpan w:val="6"/>
          </w:tcPr>
          <w:p>
            <w:pPr>
              <w:spacing w:after="0"/>
              <w:rPr>
                <w:sz w:val="15"/>
                <w:szCs w:val="15"/>
                <w:color w:val="auto"/>
              </w:rPr>
            </w:pPr>
          </w:p>
        </w:tc>
        <w:tc>
          <w:tcPr>
            <w:tcW w:w="5760" w:type="dxa"/>
            <w:vAlign w:val="bottom"/>
            <w:gridSpan w:val="11"/>
          </w:tcPr>
          <w:p>
            <w:pPr>
              <w:spacing w:after="0"/>
              <w:rPr>
                <w:sz w:val="15"/>
                <w:szCs w:val="15"/>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2">
              <w:r>
                <w:rPr>
                  <w:rFonts w:ascii="Times New Roman" w:cs="Times New Roman" w:eastAsia="Times New Roman" w:hAnsi="Times New Roman"/>
                  <w:sz w:val="13"/>
                  <w:szCs w:val="13"/>
                  <w:color w:val="0000FF"/>
                </w:rPr>
                <w:t>29</w:t>
              </w:r>
            </w:hyperlink>
          </w:p>
        </w:tc>
      </w:tr>
      <w:tr>
        <w:trPr>
          <w:trHeight w:val="20"/>
        </w:trPr>
        <w:tc>
          <w:tcPr>
            <w:tcW w:w="2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80" w:type="dxa"/>
            <w:vAlign w:val="bottom"/>
            <w:gridSpan w:val="4"/>
          </w:tcPr>
          <w:p>
            <w:pPr>
              <w:spacing w:after="0"/>
              <w:rPr>
                <w:rFonts w:ascii="Times New Roman" w:cs="Times New Roman" w:eastAsia="Times New Roman" w:hAnsi="Times New Roman"/>
                <w:sz w:val="13"/>
                <w:szCs w:val="13"/>
                <w:color w:val="0000FF"/>
                <w:w w:val="97"/>
              </w:rPr>
            </w:pPr>
            <w:hyperlink w:anchor="page33">
              <w:r>
                <w:rPr>
                  <w:rFonts w:ascii="Times New Roman" w:cs="Times New Roman" w:eastAsia="Times New Roman" w:hAnsi="Times New Roman"/>
                  <w:sz w:val="13"/>
                  <w:szCs w:val="13"/>
                  <w:color w:val="0000FF"/>
                  <w:w w:val="97"/>
                </w:rPr>
                <w:t>Legal Proceedings</w:t>
              </w:r>
            </w:hyperlink>
          </w:p>
        </w:tc>
        <w:tc>
          <w:tcPr>
            <w:tcW w:w="6260" w:type="dxa"/>
            <w:vAlign w:val="bottom"/>
            <w:gridSpan w:val="15"/>
          </w:tcPr>
          <w:p>
            <w:pPr>
              <w:spacing w:after="0"/>
              <w:rPr>
                <w:sz w:val="15"/>
                <w:szCs w:val="15"/>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3">
              <w:r>
                <w:rPr>
                  <w:rFonts w:ascii="Times New Roman" w:cs="Times New Roman" w:eastAsia="Times New Roman" w:hAnsi="Times New Roman"/>
                  <w:sz w:val="13"/>
                  <w:szCs w:val="13"/>
                  <w:color w:val="0000FF"/>
                </w:rPr>
                <w:t>31</w:t>
              </w:r>
            </w:hyperlink>
          </w:p>
        </w:tc>
      </w:tr>
      <w:tr>
        <w:trPr>
          <w:trHeight w:val="20"/>
        </w:trPr>
        <w:tc>
          <w:tcPr>
            <w:tcW w:w="2220" w:type="dxa"/>
            <w:vAlign w:val="bottom"/>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7240" w:type="dxa"/>
            <w:vAlign w:val="bottom"/>
            <w:gridSpan w:val="19"/>
          </w:tcPr>
          <w:p>
            <w:pPr>
              <w:spacing w:after="0"/>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0000FF"/>
              </w:rPr>
              <w:t xml:space="preserve">Removed and </w:t>
            </w:r>
            <w:hyperlink w:anchor="page34">
              <w:r>
                <w:rPr>
                  <w:rFonts w:ascii="Times New Roman" w:cs="Times New Roman" w:eastAsia="Times New Roman" w:hAnsi="Times New Roman"/>
                  <w:sz w:val="13"/>
                  <w:szCs w:val="13"/>
                  <w:color w:val="0000FF"/>
                </w:rPr>
                <w:t>Reserved</w:t>
              </w:r>
            </w:hyperlink>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4">
              <w:r>
                <w:rPr>
                  <w:rFonts w:ascii="Times New Roman" w:cs="Times New Roman" w:eastAsia="Times New Roman" w:hAnsi="Times New Roman"/>
                  <w:sz w:val="13"/>
                  <w:szCs w:val="13"/>
                  <w:color w:val="0000FF"/>
                </w:rPr>
                <w:t>31</w:t>
              </w:r>
            </w:hyperlink>
          </w:p>
        </w:tc>
      </w:tr>
      <w:tr>
        <w:trPr>
          <w:trHeight w:val="439"/>
        </w:trPr>
        <w:tc>
          <w:tcPr>
            <w:tcW w:w="22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Part II</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0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5.</w:t>
            </w:r>
          </w:p>
        </w:tc>
        <w:tc>
          <w:tcPr>
            <w:tcW w:w="5860" w:type="dxa"/>
            <w:vAlign w:val="bottom"/>
            <w:gridSpan w:val="18"/>
          </w:tcPr>
          <w:p>
            <w:pPr>
              <w:spacing w:after="0"/>
              <w:rPr>
                <w:rFonts w:ascii="Times New Roman" w:cs="Times New Roman" w:eastAsia="Times New Roman" w:hAnsi="Times New Roman"/>
                <w:sz w:val="13"/>
                <w:szCs w:val="13"/>
                <w:color w:val="0000FF"/>
                <w:w w:val="99"/>
              </w:rPr>
            </w:pPr>
            <w:hyperlink w:anchor="page34">
              <w:r>
                <w:rPr>
                  <w:rFonts w:ascii="Times New Roman" w:cs="Times New Roman" w:eastAsia="Times New Roman" w:hAnsi="Times New Roman"/>
                  <w:sz w:val="13"/>
                  <w:szCs w:val="13"/>
                  <w:color w:val="0000FF"/>
                  <w:w w:val="99"/>
                </w:rPr>
                <w:t>Market for Registrant’s Common Equity, Related Stockholder Matters and Issuer Purchases of Equity Securities</w:t>
              </w:r>
            </w:hyperlink>
          </w:p>
        </w:tc>
        <w:tc>
          <w:tcPr>
            <w:tcW w:w="1380" w:type="dxa"/>
            <w:vAlign w:val="bottom"/>
          </w:tcPr>
          <w:p>
            <w:pPr>
              <w:spacing w:after="0"/>
              <w:rPr>
                <w:sz w:val="24"/>
                <w:szCs w:val="24"/>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4">
              <w:r>
                <w:rPr>
                  <w:rFonts w:ascii="Times New Roman" w:cs="Times New Roman" w:eastAsia="Times New Roman" w:hAnsi="Times New Roman"/>
                  <w:sz w:val="13"/>
                  <w:szCs w:val="13"/>
                  <w:color w:val="0000FF"/>
                </w:rPr>
                <w:t>31</w:t>
              </w:r>
            </w:hyperlink>
          </w:p>
        </w:tc>
      </w:tr>
      <w:tr>
        <w:trPr>
          <w:trHeight w:val="20"/>
        </w:trPr>
        <w:tc>
          <w:tcPr>
            <w:tcW w:w="2220" w:type="dxa"/>
            <w:vAlign w:val="bottom"/>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5860" w:type="dxa"/>
            <w:vAlign w:val="bottom"/>
            <w:gridSpan w:val="18"/>
          </w:tcPr>
          <w:p>
            <w:pPr>
              <w:spacing w:after="0"/>
              <w:rPr>
                <w:rFonts w:ascii="Times New Roman" w:cs="Times New Roman" w:eastAsia="Times New Roman" w:hAnsi="Times New Roman"/>
                <w:sz w:val="13"/>
                <w:szCs w:val="13"/>
                <w:color w:val="0000FF"/>
              </w:rPr>
            </w:pPr>
            <w:hyperlink w:anchor="page36">
              <w:r>
                <w:rPr>
                  <w:rFonts w:ascii="Times New Roman" w:cs="Times New Roman" w:eastAsia="Times New Roman" w:hAnsi="Times New Roman"/>
                  <w:sz w:val="13"/>
                  <w:szCs w:val="13"/>
                  <w:color w:val="0000FF"/>
                </w:rPr>
                <w:t>Selected Financial Data</w:t>
              </w:r>
            </w:hyperlink>
          </w:p>
        </w:tc>
        <w:tc>
          <w:tcPr>
            <w:tcW w:w="1380" w:type="dxa"/>
            <w:vAlign w:val="bottom"/>
          </w:tcPr>
          <w:p>
            <w:pPr>
              <w:spacing w:after="0"/>
              <w:rPr>
                <w:sz w:val="15"/>
                <w:szCs w:val="15"/>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6">
              <w:r>
                <w:rPr>
                  <w:rFonts w:ascii="Times New Roman" w:cs="Times New Roman" w:eastAsia="Times New Roman" w:hAnsi="Times New Roman"/>
                  <w:sz w:val="13"/>
                  <w:szCs w:val="13"/>
                  <w:color w:val="0000FF"/>
                </w:rPr>
                <w:t>34</w:t>
              </w:r>
            </w:hyperlink>
          </w:p>
        </w:tc>
      </w:tr>
      <w:tr>
        <w:trPr>
          <w:trHeight w:val="20"/>
        </w:trPr>
        <w:tc>
          <w:tcPr>
            <w:tcW w:w="2220" w:type="dxa"/>
            <w:vAlign w:val="bottom"/>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7240" w:type="dxa"/>
            <w:vAlign w:val="bottom"/>
            <w:gridSpan w:val="19"/>
          </w:tcPr>
          <w:p>
            <w:pPr>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Management’s Discussion and Analysis of Financial Condition and Results of Operations</w:t>
              </w:r>
            </w:hyperlink>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37</w:t>
              </w:r>
            </w:hyperlink>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312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3"/>
                <w:szCs w:val="13"/>
                <w:color w:val="0000FF"/>
                <w:w w:val="99"/>
              </w:rPr>
            </w:pPr>
            <w:hyperlink w:anchor="page63">
              <w:r>
                <w:rPr>
                  <w:rFonts w:ascii="Times New Roman" w:cs="Times New Roman" w:eastAsia="Times New Roman" w:hAnsi="Times New Roman"/>
                  <w:sz w:val="13"/>
                  <w:szCs w:val="13"/>
                  <w:color w:val="0000FF"/>
                  <w:w w:val="99"/>
                </w:rPr>
                <w:t>Quantitative and Qualitative Disclosures about Market Risk</w:t>
              </w:r>
            </w:hyperlink>
          </w:p>
        </w:tc>
        <w:tc>
          <w:tcPr>
            <w:tcW w:w="840" w:type="dxa"/>
            <w:vAlign w:val="bottom"/>
            <w:tcBorders>
              <w:top w:val="single" w:sz="8" w:color="0000FF"/>
              <w:bottom w:val="single" w:sz="8" w:color="0000FF"/>
            </w:tcBorders>
          </w:tcPr>
          <w:p>
            <w:pPr>
              <w:spacing w:after="0"/>
              <w:rPr>
                <w:sz w:val="15"/>
                <w:szCs w:val="15"/>
                <w:color w:val="auto"/>
              </w:rPr>
            </w:pPr>
          </w:p>
        </w:tc>
        <w:tc>
          <w:tcPr>
            <w:tcW w:w="7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6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0000FF"/>
              <w:bottom w:val="single" w:sz="8" w:color="0000FF"/>
            </w:tcBorders>
          </w:tcPr>
          <w:p>
            <w:pPr>
              <w:jc w:val="right"/>
              <w:spacing w:after="0"/>
              <w:rPr>
                <w:rFonts w:ascii="Times New Roman" w:cs="Times New Roman" w:eastAsia="Times New Roman" w:hAnsi="Times New Roman"/>
                <w:sz w:val="8"/>
                <w:szCs w:val="8"/>
                <w:color w:val="0000FF"/>
                <w:w w:val="74"/>
              </w:rPr>
            </w:pPr>
            <w:hyperlink w:anchor="page63">
              <w:r>
                <w:rPr>
                  <w:rFonts w:ascii="Times New Roman" w:cs="Times New Roman" w:eastAsia="Times New Roman" w:hAnsi="Times New Roman"/>
                  <w:sz w:val="8"/>
                  <w:szCs w:val="8"/>
                  <w:color w:val="0000FF"/>
                  <w:w w:val="74"/>
                </w:rPr>
                <w:t>60</w:t>
              </w:r>
            </w:hyperlink>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2420" w:type="dxa"/>
            <w:vAlign w:val="bottom"/>
            <w:gridSpan w:val="11"/>
          </w:tcPr>
          <w:p>
            <w:pPr>
              <w:spacing w:after="0"/>
              <w:rPr>
                <w:rFonts w:ascii="Times New Roman" w:cs="Times New Roman" w:eastAsia="Times New Roman" w:hAnsi="Times New Roman"/>
                <w:sz w:val="13"/>
                <w:szCs w:val="13"/>
                <w:color w:val="0000FF"/>
                <w:w w:val="99"/>
              </w:rPr>
            </w:pPr>
            <w:hyperlink w:anchor="page64">
              <w:r>
                <w:rPr>
                  <w:rFonts w:ascii="Times New Roman" w:cs="Times New Roman" w:eastAsia="Times New Roman" w:hAnsi="Times New Roman"/>
                  <w:sz w:val="13"/>
                  <w:szCs w:val="13"/>
                  <w:color w:val="0000FF"/>
                  <w:w w:val="99"/>
                </w:rPr>
                <w:t>Financial Statements and Supplementary Data</w:t>
              </w:r>
            </w:hyperlink>
          </w:p>
        </w:tc>
        <w:tc>
          <w:tcPr>
            <w:tcW w:w="4820" w:type="dxa"/>
            <w:vAlign w:val="bottom"/>
            <w:gridSpan w:val="8"/>
          </w:tcPr>
          <w:p>
            <w:pPr>
              <w:spacing w:after="0"/>
              <w:rPr>
                <w:sz w:val="15"/>
                <w:szCs w:val="15"/>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64">
              <w:r>
                <w:rPr>
                  <w:rFonts w:ascii="Times New Roman" w:cs="Times New Roman" w:eastAsia="Times New Roman" w:hAnsi="Times New Roman"/>
                  <w:sz w:val="13"/>
                  <w:szCs w:val="13"/>
                  <w:color w:val="0000FF"/>
                </w:rPr>
                <w:t>62</w:t>
              </w:r>
            </w:hyperlink>
          </w:p>
        </w:tc>
      </w:tr>
      <w:tr>
        <w:trPr>
          <w:trHeight w:val="20"/>
        </w:trPr>
        <w:tc>
          <w:tcPr>
            <w:tcW w:w="2220" w:type="dxa"/>
            <w:vAlign w:val="bottom"/>
          </w:tcPr>
          <w:p>
            <w:pPr>
              <w:spacing w:after="0" w:line="20" w:lineRule="exact"/>
              <w:rPr>
                <w:sz w:val="1"/>
                <w:szCs w:val="1"/>
                <w:color w:val="auto"/>
              </w:rPr>
            </w:pPr>
          </w:p>
        </w:tc>
        <w:tc>
          <w:tcPr>
            <w:tcW w:w="9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4700" w:type="dxa"/>
            <w:vAlign w:val="bottom"/>
            <w:gridSpan w:val="16"/>
          </w:tcPr>
          <w:p>
            <w:pPr>
              <w:spacing w:after="0"/>
              <w:rPr>
                <w:rFonts w:ascii="Times New Roman" w:cs="Times New Roman" w:eastAsia="Times New Roman" w:hAnsi="Times New Roman"/>
                <w:sz w:val="13"/>
                <w:szCs w:val="13"/>
                <w:color w:val="0000FF"/>
              </w:rPr>
            </w:pPr>
            <w:hyperlink w:anchor="page93">
              <w:r>
                <w:rPr>
                  <w:rFonts w:ascii="Times New Roman" w:cs="Times New Roman" w:eastAsia="Times New Roman" w:hAnsi="Times New Roman"/>
                  <w:sz w:val="13"/>
                  <w:szCs w:val="13"/>
                  <w:color w:val="0000FF"/>
                </w:rPr>
                <w:t>Changes in and Disagreements with Accountants on Accounting and Financial Disclosure</w:t>
              </w:r>
            </w:hyperlink>
          </w:p>
        </w:tc>
        <w:tc>
          <w:tcPr>
            <w:tcW w:w="2540" w:type="dxa"/>
            <w:vAlign w:val="bottom"/>
            <w:gridSpan w:val="3"/>
          </w:tcPr>
          <w:p>
            <w:pPr>
              <w:spacing w:after="0"/>
              <w:rPr>
                <w:sz w:val="15"/>
                <w:szCs w:val="15"/>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93">
              <w:r>
                <w:rPr>
                  <w:rFonts w:ascii="Times New Roman" w:cs="Times New Roman" w:eastAsia="Times New Roman" w:hAnsi="Times New Roman"/>
                  <w:sz w:val="13"/>
                  <w:szCs w:val="13"/>
                  <w:color w:val="0000FF"/>
                </w:rPr>
                <w:t>92</w:t>
              </w:r>
            </w:hyperlink>
          </w:p>
        </w:tc>
      </w:tr>
      <w:tr>
        <w:trPr>
          <w:trHeight w:val="185"/>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47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rPr>
              <w:t>Controls and Procedures</w:t>
            </w:r>
          </w:p>
        </w:tc>
        <w:tc>
          <w:tcPr>
            <w:tcW w:w="2540" w:type="dxa"/>
            <w:vAlign w:val="bottom"/>
            <w:gridSpan w:val="3"/>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0000FF"/>
            </w:tcBorders>
          </w:tcPr>
          <w:p>
            <w:pPr>
              <w:jc w:val="right"/>
              <w:spacing w:after="0"/>
              <w:rPr>
                <w:rFonts w:ascii="Times New Roman" w:cs="Times New Roman" w:eastAsia="Times New Roman" w:hAnsi="Times New Roman"/>
                <w:sz w:val="8"/>
                <w:szCs w:val="8"/>
                <w:color w:val="0000FF"/>
                <w:w w:val="74"/>
              </w:rPr>
            </w:pPr>
            <w:hyperlink w:anchor="page94">
              <w:r>
                <w:rPr>
                  <w:rFonts w:ascii="Times New Roman" w:cs="Times New Roman" w:eastAsia="Times New Roman" w:hAnsi="Times New Roman"/>
                  <w:sz w:val="8"/>
                  <w:szCs w:val="8"/>
                  <w:color w:val="0000FF"/>
                  <w:w w:val="74"/>
                </w:rPr>
                <w:t>92</w:t>
              </w:r>
            </w:hyperlink>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1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Other Information</w:t>
            </w:r>
          </w:p>
        </w:tc>
        <w:tc>
          <w:tcPr>
            <w:tcW w:w="5960" w:type="dxa"/>
            <w:vAlign w:val="bottom"/>
            <w:gridSpan w:val="13"/>
          </w:tcPr>
          <w:p>
            <w:pPr>
              <w:spacing w:after="0"/>
              <w:rPr>
                <w:sz w:val="14"/>
                <w:szCs w:val="14"/>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94">
              <w:r>
                <w:rPr>
                  <w:rFonts w:ascii="Times New Roman" w:cs="Times New Roman" w:eastAsia="Times New Roman" w:hAnsi="Times New Roman"/>
                  <w:sz w:val="13"/>
                  <w:szCs w:val="13"/>
                  <w:color w:val="0000FF"/>
                </w:rPr>
                <w:t>92</w:t>
              </w:r>
            </w:hyperlink>
          </w:p>
        </w:tc>
      </w:tr>
      <w:tr>
        <w:trPr>
          <w:trHeight w:val="439"/>
        </w:trPr>
        <w:tc>
          <w:tcPr>
            <w:tcW w:w="22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Part III</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0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10.</w:t>
            </w:r>
          </w:p>
        </w:tc>
        <w:tc>
          <w:tcPr>
            <w:tcW w:w="2980" w:type="dxa"/>
            <w:vAlign w:val="bottom"/>
            <w:gridSpan w:val="12"/>
          </w:tcPr>
          <w:p>
            <w:pPr>
              <w:spacing w:after="0"/>
              <w:rPr>
                <w:rFonts w:ascii="Times New Roman" w:cs="Times New Roman" w:eastAsia="Times New Roman" w:hAnsi="Times New Roman"/>
                <w:sz w:val="13"/>
                <w:szCs w:val="13"/>
                <w:color w:val="0000FF"/>
                <w:w w:val="99"/>
              </w:rPr>
            </w:pPr>
            <w:hyperlink w:anchor="page97">
              <w:r>
                <w:rPr>
                  <w:rFonts w:ascii="Times New Roman" w:cs="Times New Roman" w:eastAsia="Times New Roman" w:hAnsi="Times New Roman"/>
                  <w:sz w:val="13"/>
                  <w:szCs w:val="13"/>
                  <w:color w:val="0000FF"/>
                  <w:w w:val="99"/>
                </w:rPr>
                <w:t>Directors, Executive Officers and Corporate Governance</w:t>
              </w:r>
            </w:hyperlink>
          </w:p>
        </w:tc>
        <w:tc>
          <w:tcPr>
            <w:tcW w:w="4260" w:type="dxa"/>
            <w:vAlign w:val="bottom"/>
            <w:gridSpan w:val="7"/>
          </w:tcPr>
          <w:p>
            <w:pPr>
              <w:spacing w:after="0"/>
              <w:rPr>
                <w:sz w:val="24"/>
                <w:szCs w:val="24"/>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97">
              <w:r>
                <w:rPr>
                  <w:rFonts w:ascii="Times New Roman" w:cs="Times New Roman" w:eastAsia="Times New Roman" w:hAnsi="Times New Roman"/>
                  <w:sz w:val="13"/>
                  <w:szCs w:val="13"/>
                  <w:color w:val="0000FF"/>
                </w:rPr>
                <w:t>95</w:t>
              </w:r>
            </w:hyperlink>
          </w:p>
        </w:tc>
      </w:tr>
      <w:tr>
        <w:trPr>
          <w:trHeight w:val="20"/>
        </w:trPr>
        <w:tc>
          <w:tcPr>
            <w:tcW w:w="22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132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9"/>
              </w:rPr>
            </w:pPr>
            <w:hyperlink w:anchor="page97">
              <w:r>
                <w:rPr>
                  <w:rFonts w:ascii="Times New Roman" w:cs="Times New Roman" w:eastAsia="Times New Roman" w:hAnsi="Times New Roman"/>
                  <w:sz w:val="13"/>
                  <w:szCs w:val="13"/>
                  <w:color w:val="0000FF"/>
                  <w:w w:val="99"/>
                </w:rPr>
                <w:t>Executive Compensation</w:t>
              </w:r>
            </w:hyperlink>
          </w:p>
        </w:tc>
        <w:tc>
          <w:tcPr>
            <w:tcW w:w="7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320" w:type="dxa"/>
            <w:vAlign w:val="bottom"/>
            <w:gridSpan w:val="3"/>
          </w:tcPr>
          <w:p>
            <w:pPr>
              <w:spacing w:after="0"/>
              <w:rPr>
                <w:sz w:val="17"/>
                <w:szCs w:val="17"/>
                <w:color w:val="auto"/>
              </w:rPr>
            </w:pPr>
          </w:p>
        </w:tc>
        <w:tc>
          <w:tcPr>
            <w:tcW w:w="1960" w:type="dxa"/>
            <w:vAlign w:val="bottom"/>
            <w:gridSpan w:val="2"/>
          </w:tcPr>
          <w:p>
            <w:pPr>
              <w:spacing w:after="0"/>
              <w:rPr>
                <w:sz w:val="17"/>
                <w:szCs w:val="17"/>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95</w:t>
            </w:r>
          </w:p>
        </w:tc>
      </w:tr>
      <w:tr>
        <w:trPr>
          <w:trHeight w:val="15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7240" w:type="dxa"/>
            <w:vAlign w:val="bottom"/>
            <w:gridSpan w:val="19"/>
          </w:tcPr>
          <w:p>
            <w:pPr>
              <w:spacing w:after="0"/>
              <w:rPr>
                <w:rFonts w:ascii="Times New Roman" w:cs="Times New Roman" w:eastAsia="Times New Roman" w:hAnsi="Times New Roman"/>
                <w:sz w:val="13"/>
                <w:szCs w:val="13"/>
                <w:color w:val="0000FF"/>
              </w:rPr>
            </w:pPr>
            <w:hyperlink w:anchor="page97">
              <w:r>
                <w:rPr>
                  <w:rFonts w:ascii="Times New Roman" w:cs="Times New Roman" w:eastAsia="Times New Roman" w:hAnsi="Times New Roman"/>
                  <w:sz w:val="13"/>
                  <w:szCs w:val="13"/>
                  <w:color w:val="0000FF"/>
                </w:rPr>
                <w:t>Security Ownership of Certain Beneficial Owners and Management and Related Stockholder Matters</w:t>
              </w:r>
            </w:hyperlink>
          </w:p>
        </w:tc>
        <w:tc>
          <w:tcPr>
            <w:tcW w:w="1900" w:type="dxa"/>
            <w:vAlign w:val="bottom"/>
            <w:gridSpan w:val="3"/>
          </w:tcPr>
          <w:p>
            <w:pPr>
              <w:jc w:val="right"/>
              <w:ind w:right="335"/>
              <w:spacing w:after="0"/>
              <w:rPr>
                <w:rFonts w:ascii="Times New Roman" w:cs="Times New Roman" w:eastAsia="Times New Roman" w:hAnsi="Times New Roman"/>
                <w:sz w:val="13"/>
                <w:szCs w:val="13"/>
                <w:color w:val="0000FF"/>
              </w:rPr>
            </w:pPr>
            <w:hyperlink w:anchor="page97">
              <w:r>
                <w:rPr>
                  <w:rFonts w:ascii="Times New Roman" w:cs="Times New Roman" w:eastAsia="Times New Roman" w:hAnsi="Times New Roman"/>
                  <w:sz w:val="13"/>
                  <w:szCs w:val="13"/>
                  <w:color w:val="0000FF"/>
                </w:rPr>
                <w:t>95</w:t>
              </w:r>
            </w:hyperlink>
          </w:p>
        </w:tc>
        <w:tc>
          <w:tcPr>
            <w:tcW w:w="80" w:type="dxa"/>
            <w:vAlign w:val="bottom"/>
            <w:tcBorders>
              <w:top w:val="single" w:sz="8" w:color="0000FF"/>
            </w:tcBorders>
          </w:tcPr>
          <w:p>
            <w:pPr>
              <w:spacing w:after="0"/>
              <w:rPr>
                <w:sz w:val="13"/>
                <w:szCs w:val="13"/>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3960" w:type="dxa"/>
            <w:vAlign w:val="bottom"/>
            <w:tcBorders>
              <w:top w:val="single" w:sz="8" w:color="0000FF"/>
            </w:tcBorders>
            <w:gridSpan w:val="14"/>
          </w:tcPr>
          <w:p>
            <w:pPr>
              <w:spacing w:after="0"/>
              <w:rPr>
                <w:rFonts w:ascii="Times New Roman" w:cs="Times New Roman" w:eastAsia="Times New Roman" w:hAnsi="Times New Roman"/>
                <w:sz w:val="13"/>
                <w:szCs w:val="13"/>
                <w:color w:val="0000FF"/>
                <w:w w:val="99"/>
              </w:rPr>
            </w:pPr>
            <w:hyperlink w:anchor="page97">
              <w:r>
                <w:rPr>
                  <w:rFonts w:ascii="Times New Roman" w:cs="Times New Roman" w:eastAsia="Times New Roman" w:hAnsi="Times New Roman"/>
                  <w:sz w:val="13"/>
                  <w:szCs w:val="13"/>
                  <w:color w:val="0000FF"/>
                  <w:w w:val="99"/>
                </w:rPr>
                <w:t>Certain Relationships and Related Transactions, and Director Independence</w:t>
              </w:r>
            </w:hyperlink>
          </w:p>
        </w:tc>
        <w:tc>
          <w:tcPr>
            <w:tcW w:w="1320" w:type="dxa"/>
            <w:vAlign w:val="bottom"/>
            <w:tcBorders>
              <w:top w:val="single" w:sz="8" w:color="0000FF"/>
            </w:tcBorders>
            <w:gridSpan w:val="3"/>
          </w:tcPr>
          <w:p>
            <w:pPr>
              <w:spacing w:after="0"/>
              <w:rPr>
                <w:sz w:val="15"/>
                <w:szCs w:val="15"/>
                <w:color w:val="auto"/>
              </w:rPr>
            </w:pPr>
          </w:p>
        </w:tc>
        <w:tc>
          <w:tcPr>
            <w:tcW w:w="196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80" w:type="dxa"/>
            <w:vAlign w:val="bottom"/>
            <w:gridSpan w:val="2"/>
          </w:tcPr>
          <w:p>
            <w:pPr>
              <w:jc w:val="right"/>
              <w:spacing w:after="0"/>
              <w:rPr>
                <w:rFonts w:ascii="Times New Roman" w:cs="Times New Roman" w:eastAsia="Times New Roman" w:hAnsi="Times New Roman"/>
                <w:sz w:val="13"/>
                <w:szCs w:val="13"/>
                <w:color w:val="0000FF"/>
              </w:rPr>
            </w:pPr>
            <w:hyperlink w:anchor="page97">
              <w:r>
                <w:rPr>
                  <w:rFonts w:ascii="Times New Roman" w:cs="Times New Roman" w:eastAsia="Times New Roman" w:hAnsi="Times New Roman"/>
                  <w:sz w:val="13"/>
                  <w:szCs w:val="13"/>
                  <w:color w:val="0000FF"/>
                </w:rPr>
                <w:t>95</w:t>
              </w:r>
            </w:hyperlink>
          </w:p>
        </w:tc>
      </w:tr>
      <w:tr>
        <w:trPr>
          <w:trHeight w:val="20"/>
        </w:trPr>
        <w:tc>
          <w:tcPr>
            <w:tcW w:w="2220" w:type="dxa"/>
            <w:vAlign w:val="bottom"/>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90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396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Principal Accounting Fees and Services</w:t>
            </w:r>
          </w:p>
        </w:tc>
        <w:tc>
          <w:tcPr>
            <w:tcW w:w="3280" w:type="dxa"/>
            <w:vAlign w:val="bottom"/>
            <w:gridSpan w:val="5"/>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95</w:t>
            </w:r>
          </w:p>
        </w:tc>
      </w:tr>
      <w:tr>
        <w:trPr>
          <w:trHeight w:val="439"/>
        </w:trPr>
        <w:tc>
          <w:tcPr>
            <w:tcW w:w="22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Part IV</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0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Item 15.</w:t>
            </w:r>
          </w:p>
        </w:tc>
        <w:tc>
          <w:tcPr>
            <w:tcW w:w="2300" w:type="dxa"/>
            <w:vAlign w:val="bottom"/>
            <w:gridSpan w:val="10"/>
          </w:tcPr>
          <w:p>
            <w:pPr>
              <w:spacing w:after="0"/>
              <w:rPr>
                <w:rFonts w:ascii="Times New Roman" w:cs="Times New Roman" w:eastAsia="Times New Roman" w:hAnsi="Times New Roman"/>
                <w:sz w:val="13"/>
                <w:szCs w:val="13"/>
                <w:color w:val="0000FF"/>
                <w:w w:val="99"/>
              </w:rPr>
            </w:pPr>
            <w:hyperlink w:anchor="page97">
              <w:r>
                <w:rPr>
                  <w:rFonts w:ascii="Times New Roman" w:cs="Times New Roman" w:eastAsia="Times New Roman" w:hAnsi="Times New Roman"/>
                  <w:sz w:val="13"/>
                  <w:szCs w:val="13"/>
                  <w:color w:val="0000FF"/>
                  <w:w w:val="99"/>
                </w:rPr>
                <w:t>Exhibits and Financial Statement Schedules</w:t>
              </w:r>
            </w:hyperlink>
          </w:p>
        </w:tc>
        <w:tc>
          <w:tcPr>
            <w:tcW w:w="4940" w:type="dxa"/>
            <w:vAlign w:val="bottom"/>
            <w:gridSpan w:val="9"/>
          </w:tcPr>
          <w:p>
            <w:pPr>
              <w:spacing w:after="0"/>
              <w:rPr>
                <w:sz w:val="24"/>
                <w:szCs w:val="24"/>
                <w:color w:val="auto"/>
              </w:rPr>
            </w:pPr>
          </w:p>
        </w:tc>
        <w:tc>
          <w:tcPr>
            <w:tcW w:w="1980" w:type="dxa"/>
            <w:vAlign w:val="bottom"/>
            <w:gridSpan w:val="4"/>
          </w:tcPr>
          <w:p>
            <w:pPr>
              <w:jc w:val="right"/>
              <w:spacing w:after="0"/>
              <w:rPr>
                <w:rFonts w:ascii="Times New Roman" w:cs="Times New Roman" w:eastAsia="Times New Roman" w:hAnsi="Times New Roman"/>
                <w:sz w:val="13"/>
                <w:szCs w:val="13"/>
                <w:color w:val="0000FF"/>
              </w:rPr>
            </w:pPr>
            <w:hyperlink w:anchor="page97">
              <w:r>
                <w:rPr>
                  <w:rFonts w:ascii="Times New Roman" w:cs="Times New Roman" w:eastAsia="Times New Roman" w:hAnsi="Times New Roman"/>
                  <w:sz w:val="13"/>
                  <w:szCs w:val="13"/>
                  <w:color w:val="0000FF"/>
                </w:rPr>
                <w:t>96</w:t>
              </w:r>
            </w:hyperlink>
          </w:p>
        </w:tc>
      </w:tr>
      <w:tr>
        <w:trPr>
          <w:trHeight w:val="20"/>
        </w:trPr>
        <w:tc>
          <w:tcPr>
            <w:tcW w:w="22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42"/>
          </w:cols>
          <w:pgMar w:left="238" w:top="125" w:right="219" w:bottom="1440" w:gutter="0" w:footer="0" w:header="0"/>
        </w:sectPr>
      </w:pPr>
    </w:p>
    <w:bookmarkStart w:id="3" w:name="page4"/>
    <w:bookmarkEnd w:id="3"/>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93" w:lineRule="exact"/>
        <w:rPr>
          <w:sz w:val="20"/>
          <w:szCs w:val="20"/>
          <w:color w:val="auto"/>
        </w:rPr>
      </w:pPr>
    </w:p>
    <w:p>
      <w:pPr>
        <w:ind w:left="2"/>
        <w:spacing w:after="0"/>
        <w:tabs>
          <w:tab w:leader="none" w:pos="581" w:val="left"/>
        </w:tabs>
        <w:rPr>
          <w:sz w:val="20"/>
          <w:szCs w:val="20"/>
          <w:color w:val="auto"/>
        </w:rPr>
      </w:pPr>
      <w:r>
        <w:rPr>
          <w:rFonts w:ascii="Times New Roman" w:cs="Times New Roman" w:eastAsia="Times New Roman" w:hAnsi="Times New Roman"/>
          <w:sz w:val="13"/>
          <w:szCs w:val="13"/>
          <w:b w:val="1"/>
          <w:bCs w:val="1"/>
          <w:color w:val="auto"/>
        </w:rPr>
        <w:t>ITEM 1.</w:t>
        <w:tab/>
        <w:t>Business</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97" w:lineRule="exact"/>
        <w:rPr>
          <w:sz w:val="20"/>
          <w:szCs w:val="20"/>
          <w:color w:val="auto"/>
        </w:rPr>
      </w:pPr>
    </w:p>
    <w:p>
      <w:pPr>
        <w:ind w:left="2" w:firstLine="469"/>
        <w:spacing w:after="0" w:line="254" w:lineRule="auto"/>
        <w:rPr>
          <w:sz w:val="20"/>
          <w:szCs w:val="20"/>
          <w:color w:val="auto"/>
        </w:rPr>
      </w:pPr>
      <w:r>
        <w:rPr>
          <w:rFonts w:ascii="Times New Roman" w:cs="Times New Roman" w:eastAsia="Times New Roman" w:hAnsi="Times New Roman"/>
          <w:sz w:val="13"/>
          <w:szCs w:val="13"/>
          <w:color w:val="auto"/>
        </w:rPr>
        <w:t>We provide network security solutions that are designed to address the fundamental problems of an increasingly bandwidth-intensive network environment and a more sophisticated information technology (“IT”) threat landscape. Through our products and subscription services, we provide broad, integrated and high performance pro tection against dynamic security threats while simplifying the IT security infrastructure for enterprises, service providers and government entities worldwide. Our flagship Unified Threat Management ("UTM") solution consists of our FortiGate appliance products that provide a broad array of security and networking functions, including firewall, VPN, antivirus, intrusion prevention, application control, Web filtering, antispam, wireless controller, and WAN acceleration. Our FortiGate appliances, from the FortiGate-50 for small businesses and branch offices to the FortiGate-5000 series for large enterprises and service providers, are based on our proprietary technology platform. This platform includes our FortiASICs, which are specifically designed for accelerated processing of security and networking functions, and our FortiOS operating system, which provides the foundation for all of our security functions. Our FortiGuard security subscription services provide end-customers with access to dynamic updates to o ur antivirus, application control, intrusion prevention, Web filtering and antispam functionality based on intelligence gathered by our dedicated FortiGuard Labs team. By combining multiple proprietary security and networking functions with our purpose-built FortiASIC and FortiOS, our FortiGate UTM solution delivers broad protection against dynamic security threats while reducing the operational burden and costs associated with managing multiple point products.</w:t>
      </w:r>
    </w:p>
    <w:p>
      <w:pPr>
        <w:spacing w:after="0" w:line="170" w:lineRule="exact"/>
        <w:rPr>
          <w:sz w:val="20"/>
          <w:szCs w:val="20"/>
          <w:color w:val="auto"/>
        </w:rPr>
      </w:pPr>
    </w:p>
    <w:p>
      <w:pPr>
        <w:ind w:left="2" w:firstLine="469"/>
        <w:spacing w:after="0" w:line="257" w:lineRule="auto"/>
        <w:rPr>
          <w:sz w:val="20"/>
          <w:szCs w:val="20"/>
          <w:color w:val="auto"/>
        </w:rPr>
      </w:pPr>
      <w:r>
        <w:rPr>
          <w:rFonts w:ascii="Times New Roman" w:cs="Times New Roman" w:eastAsia="Times New Roman" w:hAnsi="Times New Roman"/>
          <w:sz w:val="13"/>
          <w:szCs w:val="13"/>
          <w:color w:val="auto"/>
        </w:rPr>
        <w:t>We complement our FortiGate product line with a family of FortiManager appliances, which enable end-customers to manage the system configuration and security functions of multiple FortiGate appliances from a centralized console, as well as FortiAnalyzer appliances, which enable collection, analysis and archiving of content and log data generated by our products. We also offer other appliances and software that provide additional protection, such as: (i) FortiMail, a family of multi-featured, high performance messaging security appliances, (ii) FortiDB, a family of appliances that provide centrally managed database-specific security,</w:t>
      </w:r>
    </w:p>
    <w:p>
      <w:pPr>
        <w:spacing w:after="0" w:line="1" w:lineRule="exact"/>
        <w:rPr>
          <w:sz w:val="20"/>
          <w:szCs w:val="20"/>
          <w:color w:val="auto"/>
        </w:rPr>
      </w:pPr>
    </w:p>
    <w:p>
      <w:pPr>
        <w:ind w:left="2" w:right="100" w:hanging="2"/>
        <w:spacing w:after="0" w:line="256" w:lineRule="auto"/>
        <w:tabs>
          <w:tab w:leader="none" w:pos="23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FortiClient, a software product that provides endpoint security for desktops, laptops and mobile devices and that is primarily used in conjunction with our FortiGate appliances, (iv) FortiWeb, a family of appliances that provide security for Web-based applications, (v) FortiAP, a family of secure wireless access points, (vi) FortiScan, an appliance designed to provide endpoint vulnerability assessment and remediation, (vii) FortiSwitch, a family of Ethernet switches, and (viii) FortiBridge, a family of bypass appliances to help ensure network availability.</w:t>
      </w:r>
    </w:p>
    <w:p>
      <w:pPr>
        <w:spacing w:after="0" w:line="165" w:lineRule="exact"/>
        <w:rPr>
          <w:sz w:val="20"/>
          <w:szCs w:val="20"/>
          <w:color w:val="auto"/>
        </w:rPr>
      </w:pPr>
    </w:p>
    <w:p>
      <w:pPr>
        <w:ind w:left="2" w:right="280" w:firstLine="469"/>
        <w:spacing w:after="0" w:line="266" w:lineRule="auto"/>
        <w:rPr>
          <w:sz w:val="20"/>
          <w:szCs w:val="20"/>
          <w:color w:val="auto"/>
        </w:rPr>
      </w:pPr>
      <w:r>
        <w:rPr>
          <w:rFonts w:ascii="Times New Roman" w:cs="Times New Roman" w:eastAsia="Times New Roman" w:hAnsi="Times New Roman"/>
          <w:sz w:val="13"/>
          <w:szCs w:val="13"/>
          <w:color w:val="auto"/>
        </w:rPr>
        <w:t>In October 2010 we began shipping virtual appliances for the FortiGate and FortiManager product lines. The new virtual appliances help secure network infrastructures with the same functionality as the traditional physical appliances in their respective product lines. They can be used in conjunction with traditional Fortinet appliances (such as FortiGate, FortiManager, and FortiAnalyzer) to help ensure the visibility, management, and protection of physical and virtual environments.</w:t>
      </w:r>
    </w:p>
    <w:p>
      <w:pPr>
        <w:spacing w:after="0" w:line="158"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As of December 31, 2010, we had shipped over 675,000 appliances to more than 5,000 channel partners and 100,000 end-customers worldwide, including a majority of the 2010 Fortune Global 100.</w:t>
      </w:r>
    </w:p>
    <w:p>
      <w:pPr>
        <w:spacing w:after="0" w:line="193"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We were incorporated in Delaware in November 2000. Our principal executive office is located at 1090 Kifer Road, Sunnyvale, California 94086 and our telephone number at that location is (408) 235-7700.</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Technology and Architecture</w:t>
      </w:r>
    </w:p>
    <w:p>
      <w:pPr>
        <w:spacing w:after="0" w:line="197" w:lineRule="exact"/>
        <w:rPr>
          <w:sz w:val="20"/>
          <w:szCs w:val="20"/>
          <w:color w:val="auto"/>
        </w:rPr>
      </w:pPr>
    </w:p>
    <w:p>
      <w:pPr>
        <w:ind w:left="2" w:right="420" w:firstLine="469"/>
        <w:spacing w:after="0" w:line="281" w:lineRule="auto"/>
        <w:rPr>
          <w:sz w:val="20"/>
          <w:szCs w:val="20"/>
          <w:color w:val="auto"/>
        </w:rPr>
      </w:pPr>
      <w:r>
        <w:rPr>
          <w:rFonts w:ascii="Times New Roman" w:cs="Times New Roman" w:eastAsia="Times New Roman" w:hAnsi="Times New Roman"/>
          <w:sz w:val="13"/>
          <w:szCs w:val="13"/>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47"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i w:val="1"/>
          <w:iCs w:val="1"/>
          <w:color w:val="auto"/>
        </w:rPr>
        <w:t>FortiASIC</w:t>
      </w:r>
    </w:p>
    <w:p>
      <w:pPr>
        <w:spacing w:after="0" w:line="195" w:lineRule="exact"/>
        <w:rPr>
          <w:sz w:val="20"/>
          <w:szCs w:val="20"/>
          <w:color w:val="auto"/>
        </w:rPr>
      </w:pPr>
    </w:p>
    <w:p>
      <w:pPr>
        <w:ind w:left="2"/>
        <w:spacing w:after="0" w:line="258" w:lineRule="auto"/>
        <w:rPr>
          <w:sz w:val="20"/>
          <w:szCs w:val="20"/>
          <w:color w:val="auto"/>
        </w:rPr>
      </w:pPr>
      <w:r>
        <w:rPr>
          <w:rFonts w:ascii="Times New Roman" w:cs="Times New Roman" w:eastAsia="Times New Roman" w:hAnsi="Times New Roman"/>
          <w:sz w:val="13"/>
          <w:szCs w:val="13"/>
          <w:color w:val="auto"/>
        </w:rPr>
        <w:t>Our FortiASIC family of ASICs is comprised of three lines of processors: FortiASIC content processor, or CP, the FortiASIC network processor, or NP, and the FortiASIC system-on-a-chip, or SOC. These custom ASICs are designed to enhance the sophisticated security processing capabilities implemented in software by accelerating the computation-intensive tasks such as firewall policy enforcement or IPS anomaly detection. This architecture provides the flexibility of implementing accelerated processing of new threat detection without requiring a new ASIC release. The FortiASIC CP is currently included in most of our entry-level and all of our mid-range and high-end FortiGate appliances. The FortiASIC NP is currently included in some of our mid-range and high-end FortiGate appliances, delivering further accelerated firewall and VPN performance. The FortiASIC SOC</w:t>
      </w:r>
    </w:p>
    <w:p>
      <w:pPr>
        <w:spacing w:after="0" w:line="1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462"/>
          </w:cols>
          <w:pgMar w:left="218" w:top="124" w:right="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 currently included in our entry-level FortiGate-60C and FortiWiFi-60C appliances.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FortiOS</w:t>
      </w:r>
    </w:p>
    <w:p>
      <w:pPr>
        <w:spacing w:after="0" w:line="165"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3"/>
          <w:szCs w:val="13"/>
          <w:color w:val="auto"/>
        </w:rPr>
        <w:t>FortiOS provides the foundation for the operation of all FortiGate appliances, from the core kernel functions to the security processing feature sets. FortiOS provides multiple layers of security including a hardened kernel layer providing protection for the FortiGate system, a network security layer providing security for end-customers’ network infrastructures, and application content protection providing security for end-customers’ workstations and applications. FortiOS directs the operations of processors and ASICs as well as providing system management functions such as command-line and graphical user interfaces. We make available updates to the FortiOS through our FortiCare support services. FortiOS also enables advanced, integrated routing and switching, allowing end-customers to deploy FortiGate devices within a wide variety of networks, as well as providing a direct replacement solution option for le gacy switching and routing equipment. The FortiOS implements a suite of commonly used routing protocols as well as address translation technologies allowing the FortiGate appliance to integrate and operate in a wide variety of network environments. Additional features include Virtual Domain, or VDOM, capabilities and traffic queuing and shaping enabling administrators to set the appropriate configurations and policies that meet their infrastructure needs. FortiOS also provides capabilities for logging of traffic for forensic analysis purposes which are particularly important for regulatory compliance initiatives like PCI DSS. FortiOS’s packet classification, queue disciplines, policy enforcement, congestion management, and other traffic optimization functionality are designed to help control network traffic in order to optimize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FortiOS incorporates the following seven core security and networking technologies:</w:t>
      </w:r>
    </w:p>
    <w:p>
      <w:pPr>
        <w:spacing w:after="0" w:line="161" w:lineRule="exact"/>
        <w:rPr>
          <w:sz w:val="20"/>
          <w:szCs w:val="20"/>
          <w:color w:val="auto"/>
        </w:rPr>
      </w:pPr>
    </w:p>
    <w:p>
      <w:pPr>
        <w:ind w:left="940" w:hanging="472"/>
        <w:spacing w:after="0" w:line="262"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Firewall</w:t>
      </w:r>
      <w:r>
        <w:rPr>
          <w:rFonts w:ascii="Times New Roman" w:cs="Times New Roman" w:eastAsia="Times New Roman" w:hAnsi="Times New Roman"/>
          <w:sz w:val="13"/>
          <w:szCs w:val="13"/>
          <w:color w:val="auto"/>
        </w:rPr>
        <w:t>. Our firewall technology delivers high performance network and application firewalling, including the ability to enforce policies based on application behavior and content. Our technology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identifies traffic patterns indepe ndent of port or protocol used, and links them to the use of specific applications, enabling visibility and control over application behavior (explained in more detail below). By coupling application intelligence with firewall technology, the FortiGate platform is able to deliver real-time security with integrated application content level inspection, thereby simplifying security deployments.</w:t>
      </w:r>
    </w:p>
    <w:p>
      <w:pPr>
        <w:spacing w:after="0" w:line="129" w:lineRule="exact"/>
        <w:rPr>
          <w:rFonts w:ascii="Times New Roman" w:cs="Times New Roman" w:eastAsia="Times New Roman" w:hAnsi="Times New Roman"/>
          <w:sz w:val="13"/>
          <w:szCs w:val="13"/>
          <w:color w:val="auto"/>
        </w:rPr>
      </w:pPr>
    </w:p>
    <w:p>
      <w:pPr>
        <w:ind w:left="940" w:right="40" w:hanging="472"/>
        <w:spacing w:after="0" w:line="284"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Virtual Private Netwo rk</w:t>
      </w:r>
      <w:r>
        <w:rPr>
          <w:rFonts w:ascii="Times New Roman" w:cs="Times New Roman" w:eastAsia="Times New Roman" w:hAnsi="Times New Roman"/>
          <w:sz w:val="13"/>
          <w:szCs w:val="13"/>
          <w:color w:val="auto"/>
        </w:rPr>
        <w:t>. Our advanced VPN technology provides secure communications between multiple networks and hosts, through both secure socket layer, or SSL, and IPsec VPN technologies,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leveraging our custom FortiASIC to provide hardware acceleration for high-performance communications and data privacy.</w:t>
      </w:r>
    </w:p>
    <w:p>
      <w:pPr>
        <w:spacing w:after="0" w:line="115"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Antivirus</w:t>
      </w:r>
      <w:r>
        <w:rPr>
          <w:rFonts w:ascii="Times New Roman" w:cs="Times New Roman" w:eastAsia="Times New Roman" w:hAnsi="Times New Roman"/>
          <w:sz w:val="13"/>
          <w:szCs w:val="13"/>
          <w:color w:val="auto"/>
        </w:rPr>
        <w:t>. Ou r antivirus technology provides protection against malware, including viruses, spyware and trojans.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Intrusion Prevention System</w:t>
      </w:r>
      <w:r>
        <w:rPr>
          <w:rFonts w:ascii="Times New Roman" w:cs="Times New Roman" w:eastAsia="Times New Roman" w:hAnsi="Times New Roman"/>
          <w:sz w:val="13"/>
          <w:szCs w:val="13"/>
          <w:color w:val="auto"/>
        </w:rPr>
        <w:t>. Our IPS technology provides protection against current and emerging network level threats.</w:t>
      </w:r>
    </w:p>
    <w:p>
      <w:pPr>
        <w:spacing w:after="0" w:line="163" w:lineRule="exact"/>
        <w:rPr>
          <w:rFonts w:ascii="Times New Roman" w:cs="Times New Roman" w:eastAsia="Times New Roman" w:hAnsi="Times New Roman"/>
          <w:sz w:val="13"/>
          <w:szCs w:val="13"/>
          <w:color w:val="auto"/>
        </w:rPr>
      </w:pPr>
    </w:p>
    <w:p>
      <w:pPr>
        <w:ind w:left="940" w:right="100" w:hanging="472"/>
        <w:spacing w:after="0" w:line="284"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Web Filtering</w:t>
      </w:r>
      <w:r>
        <w:rPr>
          <w:rFonts w:ascii="Times New Roman" w:cs="Times New Roman" w:eastAsia="Times New Roman" w:hAnsi="Times New Roman"/>
          <w:sz w:val="13"/>
          <w:szCs w:val="13"/>
          <w:color w:val="auto"/>
        </w:rPr>
        <w:t>. Our Web filtering automation technology works in concert with our research team to collect, analyze and categorize websites to provide real-time protection through website ratings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categorization. Our Web filtering technology is a pro-active defense feature that identifies known locations of malware and blocks access to these malicious sources.</w:t>
      </w:r>
    </w:p>
    <w:p>
      <w:pPr>
        <w:spacing w:after="0" w:line="115" w:lineRule="exact"/>
        <w:rPr>
          <w:rFonts w:ascii="Times New Roman" w:cs="Times New Roman" w:eastAsia="Times New Roman" w:hAnsi="Times New Roman"/>
          <w:sz w:val="13"/>
          <w:szCs w:val="13"/>
          <w:color w:val="auto"/>
        </w:rPr>
      </w:pPr>
    </w:p>
    <w:p>
      <w:pPr>
        <w:ind w:left="940" w:right="100" w:hanging="472"/>
        <w:spacing w:after="0" w:line="267"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Antispam</w:t>
      </w:r>
      <w:r>
        <w:rPr>
          <w:rFonts w:ascii="Times New Roman" w:cs="Times New Roman" w:eastAsia="Times New Roman" w:hAnsi="Times New Roman"/>
          <w:sz w:val="13"/>
          <w:szCs w:val="13"/>
          <w:color w:val="auto"/>
        </w:rPr>
        <w:t>. We employ a variety of antispam techniques to detect and block spam. These techniques include a hosted service performing algorithmic validations of messages against known spam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messages, sophisticated reputation service designed to evaluate and track valid email sources and destinations, intelligent image scanning to evaluate the validity of images and dynamic heuristic rules to allow messages to be evaluated based on content within each message.</w:t>
      </w:r>
    </w:p>
    <w:p>
      <w:pPr>
        <w:spacing w:after="0" w:line="126" w:lineRule="exact"/>
        <w:rPr>
          <w:rFonts w:ascii="Times New Roman" w:cs="Times New Roman" w:eastAsia="Times New Roman" w:hAnsi="Times New Roman"/>
          <w:sz w:val="13"/>
          <w:szCs w:val="13"/>
          <w:color w:val="auto"/>
        </w:rPr>
      </w:pPr>
    </w:p>
    <w:p>
      <w:pPr>
        <w:ind w:left="940" w:right="480" w:hanging="472"/>
        <w:spacing w:after="0" w:line="262"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WAN Acceleration</w:t>
      </w:r>
      <w:r>
        <w:rPr>
          <w:rFonts w:ascii="Times New Roman" w:cs="Times New Roman" w:eastAsia="Times New Roman" w:hAnsi="Times New Roman"/>
          <w:sz w:val="13"/>
          <w:szCs w:val="13"/>
          <w:color w:val="auto"/>
        </w:rPr>
        <w:t>. Our storage-enabled and storage-ready FortiGate appliances provide the ability to accelerate network traffic across the wide area network by implementing a combination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application content caching and protocol optimization techniques.</w:t>
      </w:r>
    </w:p>
    <w:p>
      <w:pPr>
        <w:ind w:left="1000"/>
        <w:spacing w:after="0"/>
        <w:rPr>
          <w:sz w:val="20"/>
          <w:szCs w:val="20"/>
          <w:color w:val="auto"/>
        </w:rPr>
      </w:pPr>
      <w:r>
        <w:rPr>
          <w:rFonts w:ascii="Times New Roman" w:cs="Times New Roman" w:eastAsia="Times New Roman" w:hAnsi="Times New Roman"/>
          <w:sz w:val="13"/>
          <w:szCs w:val="13"/>
          <w:color w:val="auto"/>
        </w:rPr>
        <w:t>;</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addition to the seven core security and networking functions mentioned above, we also incorporate additional technologies within FortiGate appliances that differentiate our UTM solution, including:</w:t>
      </w:r>
    </w:p>
    <w:p>
      <w:pPr>
        <w:spacing w:after="0" w:line="150" w:lineRule="exact"/>
        <w:rPr>
          <w:sz w:val="20"/>
          <w:szCs w:val="20"/>
          <w:color w:val="auto"/>
        </w:rPr>
      </w:pPr>
    </w:p>
    <w:p>
      <w:pPr>
        <w:ind w:left="5700" w:right="300" w:hanging="5232"/>
        <w:spacing w:after="0" w:line="786" w:lineRule="auto"/>
        <w:tabs>
          <w:tab w:leader="none" w:pos="93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Application Control. </w:t>
      </w:r>
      <w:r>
        <w:rPr>
          <w:rFonts w:ascii="Times New Roman" w:cs="Times New Roman" w:eastAsia="Times New Roman" w:hAnsi="Times New Roman"/>
          <w:sz w:val="13"/>
          <w:szCs w:val="13"/>
          <w:color w:val="auto"/>
        </w:rPr>
        <w:t>Our application control techn ology provides the ability to define granular network-based application policies giving end-customers additional control over application access.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w:t>
      </w:r>
    </w:p>
    <w:p>
      <w:pPr>
        <w:sectPr>
          <w:pgSz w:w="11900" w:h="16838" w:orient="portrait"/>
          <w:cols w:equalWidth="0" w:num="1">
            <w:col w:w="11440"/>
          </w:cols>
          <w:pgMar w:left="22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940" w:right="320" w:hanging="472"/>
        <w:spacing w:after="0" w:line="284"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Data Leakage Prevention (DLP). </w:t>
      </w:r>
      <w:r>
        <w:rPr>
          <w:rFonts w:ascii="Times New Roman" w:cs="Times New Roman" w:eastAsia="Times New Roman" w:hAnsi="Times New Roman"/>
          <w:sz w:val="13"/>
          <w:szCs w:val="13"/>
          <w:color w:val="auto"/>
        </w:rPr>
        <w:t>Our DLP technology provides the ability to define rules based on corporate policies, and consequently detect and prevent confidential data from being distributed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outside of the corporate network.</w:t>
      </w:r>
    </w:p>
    <w:p>
      <w:pPr>
        <w:spacing w:after="0" w:line="115" w:lineRule="exact"/>
        <w:rPr>
          <w:rFonts w:ascii="Times New Roman" w:cs="Times New Roman" w:eastAsia="Times New Roman" w:hAnsi="Times New Roman"/>
          <w:sz w:val="13"/>
          <w:szCs w:val="13"/>
          <w:color w:val="auto"/>
        </w:rPr>
      </w:pPr>
    </w:p>
    <w:p>
      <w:pPr>
        <w:ind w:left="940" w:right="320" w:hanging="472"/>
        <w:spacing w:after="0" w:line="284"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Traffic optimization. </w:t>
      </w:r>
      <w:r>
        <w:rPr>
          <w:rFonts w:ascii="Times New Roman" w:cs="Times New Roman" w:eastAsia="Times New Roman" w:hAnsi="Times New Roman"/>
          <w:sz w:val="13"/>
          <w:szCs w:val="13"/>
          <w:color w:val="auto"/>
        </w:rPr>
        <w:t>Our traffic optimization technology combines quality of service techniques with traffic shaping to provide better service to selected network traffic based on customer policies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without causing interruptions to other traffic.</w:t>
      </w:r>
    </w:p>
    <w:p>
      <w:pPr>
        <w:spacing w:after="0" w:line="115" w:lineRule="exact"/>
        <w:rPr>
          <w:rFonts w:ascii="Times New Roman" w:cs="Times New Roman" w:eastAsia="Times New Roman" w:hAnsi="Times New Roman"/>
          <w:sz w:val="13"/>
          <w:szCs w:val="13"/>
          <w:color w:val="auto"/>
        </w:rPr>
      </w:pPr>
    </w:p>
    <w:p>
      <w:pPr>
        <w:ind w:left="940" w:hanging="472"/>
        <w:spacing w:after="0" w:line="284"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SSL inspection. </w:t>
      </w:r>
      <w:r>
        <w:rPr>
          <w:rFonts w:ascii="Times New Roman" w:cs="Times New Roman" w:eastAsia="Times New Roman" w:hAnsi="Times New Roman"/>
          <w:sz w:val="13"/>
          <w:szCs w:val="13"/>
          <w:color w:val="auto"/>
        </w:rPr>
        <w:t>Our SSL inspection technology provides the ability to decrypt SSL application content for processing by the FortiOS. The ability to inspect encrypted SSL content enables our customers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ensure protection from malware that would be otherwise hidden from traditional security products, and enforce the full complement of security and networking features available within FortiOS.</w:t>
      </w:r>
    </w:p>
    <w:p>
      <w:pPr>
        <w:spacing w:after="0" w:line="115" w:lineRule="exact"/>
        <w:rPr>
          <w:rFonts w:ascii="Times New Roman" w:cs="Times New Roman" w:eastAsia="Times New Roman" w:hAnsi="Times New Roman"/>
          <w:sz w:val="13"/>
          <w:szCs w:val="13"/>
          <w:color w:val="auto"/>
        </w:rPr>
      </w:pPr>
    </w:p>
    <w:p>
      <w:pPr>
        <w:ind w:left="940" w:right="320" w:hanging="472"/>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Vulnerability Management</w:t>
      </w:r>
      <w:r>
        <w:rPr>
          <w:rFonts w:ascii="Times New Roman" w:cs="Times New Roman" w:eastAsia="Times New Roman" w:hAnsi="Times New Roman"/>
          <w:sz w:val="13"/>
          <w:szCs w:val="13"/>
          <w:color w:val="auto"/>
        </w:rPr>
        <w:t>. Our vulnerability management technology enables the FortiGate platform to perform network scans to discover systems on a network, identity vulnerabilities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recommend steps for remediation. The FortiGate devices can store the results of the scans locally, or send the results from multiple FortiGate devices to a central FortiAnalyzer for aggregation and analysis.</w:t>
      </w:r>
    </w:p>
    <w:p>
      <w:pPr>
        <w:spacing w:after="0" w:line="126" w:lineRule="exact"/>
        <w:rPr>
          <w:rFonts w:ascii="Times New Roman" w:cs="Times New Roman" w:eastAsia="Times New Roman" w:hAnsi="Times New Roman"/>
          <w:sz w:val="13"/>
          <w:szCs w:val="13"/>
          <w:color w:val="auto"/>
        </w:rPr>
      </w:pPr>
    </w:p>
    <w:p>
      <w:pPr>
        <w:ind w:left="940" w:right="60" w:hanging="472"/>
        <w:spacing w:after="0" w:line="284"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Wireless Controller</w:t>
      </w:r>
      <w:r>
        <w:rPr>
          <w:rFonts w:ascii="Times New Roman" w:cs="Times New Roman" w:eastAsia="Times New Roman" w:hAnsi="Times New Roman"/>
          <w:sz w:val="13"/>
          <w:szCs w:val="13"/>
          <w:color w:val="auto"/>
        </w:rPr>
        <w:t>. Our wireless controller technology provides the ability to deploy FortiAP wireless access points to create a secure wireless network. FortiAP access points tunnel all wireless traffic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FortiGate or FortiWiFi platforms, enabling end-customers to use a single security platform to manage all wired and wireless network traffic.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Products</w:t>
      </w:r>
    </w:p>
    <w:p>
      <w:pPr>
        <w:spacing w:after="0" w:line="167"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3"/>
          <w:szCs w:val="13"/>
          <w:color w:val="auto"/>
        </w:rPr>
        <w:t>Our core product offerings consist of our FortiGate UTM appliance family, along with our FortiManager central management appliance and FortiAnalyzer central logging and rep orting appliance, both of which are typically purchased to complement a large FortiGate deployment.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FortiGate</w:t>
      </w:r>
    </w:p>
    <w:p>
      <w:pPr>
        <w:spacing w:after="0" w:line="165"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3"/>
          <w:szCs w:val="13"/>
          <w:color w:val="auto"/>
        </w:rPr>
        <w:t>Our flagship FortiGate appliances offer a set of security and networking functions, including firewall, VPN, antivirus, intrusion prevention, application controls, Web filtering, antispam and WAN acceleration. All FortiGate appliances are based on our proprietary operating system, FortiOS, and substantially all FortiGate models include our proprietary FortiASICs to accelerate content and network security fea tures implemented within FortiOS. FortiGate appliances can be centrally managed through both embedded Web-based and command line interfaces, as well as through FortiManager which provides a central management architecture for thousands of FortiGate appliances.</w:t>
      </w:r>
    </w:p>
    <w:p>
      <w:pPr>
        <w:spacing w:after="0" w:line="132"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3"/>
          <w:szCs w:val="13"/>
          <w:color w:val="auto"/>
        </w:rPr>
        <w:t>By combining multiple network security functions in our purpose-built security platform, the FortiGate provides high quality protection capabilities and deployment flexibility while reducing the operational burden and costs associated with managing multiple point products. Through FortiGuard security subscription services, our products enable end-customers to add security functionality as required by their evolving business needs and the changing threat landscape. By purchasing FortiGuard security subscription serv ices, end-customers obtain coverage and access to regular updates for antivirus, application control, IPS, Web filtering and antispam functions for their FortiGate appliances. With over 30 models in the FortiGate product line, FortiGate is designed to address security requirements for small-to-mid sized businesses, remote offices, large enterprises, and service providers.</w:t>
      </w:r>
    </w:p>
    <w:p>
      <w:pPr>
        <w:spacing w:after="0" w:line="135" w:lineRule="exact"/>
        <w:rPr>
          <w:sz w:val="20"/>
          <w:szCs w:val="20"/>
          <w:color w:val="auto"/>
        </w:rPr>
      </w:pPr>
    </w:p>
    <w:p>
      <w:pPr>
        <w:ind w:right="280" w:firstLine="469"/>
        <w:spacing w:after="0" w:line="281" w:lineRule="auto"/>
        <w:rPr>
          <w:sz w:val="20"/>
          <w:szCs w:val="20"/>
          <w:color w:val="auto"/>
        </w:rPr>
      </w:pPr>
      <w:r>
        <w:rPr>
          <w:rFonts w:ascii="Times New Roman" w:cs="Times New Roman" w:eastAsia="Times New Roman" w:hAnsi="Times New Roman"/>
          <w:sz w:val="13"/>
          <w:szCs w:val="13"/>
          <w:color w:val="auto"/>
        </w:rPr>
        <w:t>Each FortiGate appliance runs our FortiOS operating system, and substantially all include our FortiASIC CP. The significant differences between each model are the performance and scalability targets each model is designed to meet, while the security features and associated services offered are common throughout all models.</w:t>
      </w:r>
    </w:p>
    <w:p>
      <w:pPr>
        <w:spacing w:after="0" w:line="119"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3"/>
          <w:szCs w:val="13"/>
          <w:color w:val="auto"/>
        </w:rPr>
        <w:t>The FortiGate-30 through -100 series models are designed for perimeter protection for small- to mid-sized businesses, remote offices of large distributed organizations and as customer premises equipment for service providers. Optional wireless LAN, or WLAN, integration is available for the FortiGate-50, -60 and -80 models, marketed as FortiWiFi, delivering additional network access and security for wireless environments.</w:t>
      </w:r>
    </w:p>
    <w:p>
      <w:pPr>
        <w:spacing w:after="0" w:line="129" w:lineRule="exact"/>
        <w:rPr>
          <w:sz w:val="20"/>
          <w:szCs w:val="20"/>
          <w:color w:val="auto"/>
        </w:rPr>
      </w:pPr>
    </w:p>
    <w:p>
      <w:pPr>
        <w:ind w:right="80" w:firstLine="469"/>
        <w:spacing w:after="0" w:line="281" w:lineRule="auto"/>
        <w:rPr>
          <w:sz w:val="20"/>
          <w:szCs w:val="20"/>
          <w:color w:val="auto"/>
        </w:rPr>
      </w:pPr>
      <w:r>
        <w:rPr>
          <w:rFonts w:ascii="Times New Roman" w:cs="Times New Roman" w:eastAsia="Times New Roman" w:hAnsi="Times New Roman"/>
          <w:sz w:val="13"/>
          <w:szCs w:val="13"/>
          <w:color w:val="auto"/>
        </w:rPr>
        <w:t>The FortiGate-200 through -800 series models are designed for perimeter deployment in mid-sized to large enterprise networks. These products offer increased capacity and scalability designed to p rovide high network performance while delivering the same broad security suite as all FortiGate models. Additionally, the FortiGate-310 and -620 models provide hardware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460"/>
          </w:cols>
          <w:pgMar w:left="220" w:top="124"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modularity, allowing end-customers the flexibility to customize solutions to their requirements.</w:t>
      </w:r>
    </w:p>
    <w:p>
      <w:pPr>
        <w:spacing w:after="0" w:line="163"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3"/>
          <w:szCs w:val="13"/>
          <w:color w:val="auto"/>
        </w:rPr>
        <w:t>The FortiGate-1000 through -5000 series models deliver high performance and scalable network security functionality for perimeter, data center and core deployment in large enterprise and service provider networks. Additionally, most of these products provide hardware modularity, allowing end-customers the flexibility to customize solutions to their requirements. Products within the FortiGate-3000 and -5000 series leverage Advanced Mezzanine Card, or AMC, industry standards for hardware modularization to support the advanced networking requirements of large enterprises and service providers, including high-speed networking, WAN connectivity, and network attached storage connectivity. The FortiGate-3950B series also leverages our proprietary Fortinet Mezzanine Card, or FMC, that provides hardware modularity to give end-customers the ability to add additional firewall and/or intrusion prevention performance as their network security needs evolve. The FortiGate-5000 series is also compatible with the Advanced Telecommunications Computing Architecture, or ATCA, standard, resulting in a flexible hardware platform for system modularity. This modularization gives end-customers the ability to deploy an initial FortiGate configuration with room to grow as their network security needs evolve. The inclusion of network load balancing and advanced switching functionality provides additional flexibility in how end-customers utilize the FortiGate modules within the FortiGate chassis. In addition, our FortiGate-5000 series ATCA blades can be utilized in other third-party vendors’ industry standard ATCA chassis, allowing FortiGate platforms to be deployed into a much wider range of network solutions. Our FortiGate-5000 series appliances offer modular, chassis-based architecture based on the ATCA and AMC industry standards. We brand a subset of our FortiGate-3000 and -5000 series products as FortiCarrier to reflect products specifically targeting a sub set of service providers. These products add incremental security, networking and management functionality often utilized in service provider deployments.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FortiGate System Virtualization (VDOM)</w:t>
      </w:r>
    </w:p>
    <w:p>
      <w:pPr>
        <w:spacing w:after="0" w:line="165"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3"/>
          <w:szCs w:val="13"/>
          <w:color w:val="auto"/>
        </w:rPr>
        <w:t>In addition to providing network and content level security, FortiOS also offers system virtualization capabilities—the ability to “divide” a security appliance into multiple separately provisioned and managed instances. This capability is currently deployed in substantially all of our FortiGate products as our virtual domain, or VDOM, feature, where administrators have the ability to segment a single FortiGate appliance platform into multiple FortiGate instances. Network security system virtualization, using our VDOM feature, provides isolation between each virtual system, giving administrators flexibility in configuration and traffic management capabilities for each virtual instance.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Fortinet Management and Analysis Appliances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FortiManager and FortiAnalyzer appliances are typically sold in conjunction with a lar ge FortiGate deployment.</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FortiManager</w:t>
      </w:r>
    </w:p>
    <w:p>
      <w:pPr>
        <w:spacing w:after="0" w:line="16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Our FortiManager appliances provide a central management solution for our FortiGate appliances, including the wide variety of network and security features offered within FortiOS. One FortiManager appliance is capable of effectively managing thousands of FortiGate units, and also provides central management for FortiClient software. FortiManager facilitates the coordination of policy-based provisioning, device configuration and operating system revision management, as well as ne twork security monitoring and device control.</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FortiAnalyzer</w:t>
      </w:r>
    </w:p>
    <w:p>
      <w:pPr>
        <w:spacing w:after="0" w:line="165"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3"/>
          <w:szCs w:val="13"/>
          <w:color w:val="auto"/>
        </w:rPr>
        <w:t>Our FortiAnalyzer appliances are network logging, analyzing, and reporting appliances that securely aggregate content and log data from our FortiGate devices and other Fortinet products as well as third-party devices to enable network logging, analysis and reporting. Additional functions such as vulnerability assessments and traffic analysis provide additional value for customers seeking to control and monitor their network infrastructure and security polic ies. A full range of content and log data, including traffic, event, virus, attack, Web content, and email data may be archived, filtered and mined for compliance or historical analysis purposes. The appliance comes with a suite of standard reports as well as the ability to customize reports.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Additional Fortinet Solutions</w:t>
      </w:r>
    </w:p>
    <w:p>
      <w:pPr>
        <w:spacing w:after="0" w:line="167"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We also offer other appliances and software that protect our end-customers from security threats to other critical areas in the enterprise, such as messaging, Web-based applications and databases, and employees’ computers or mobile devices.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FortiMail</w:t>
      </w:r>
    </w:p>
    <w:p>
      <w:pPr>
        <w:spacing w:after="0" w:line="165" w:lineRule="exact"/>
        <w:rPr>
          <w:sz w:val="20"/>
          <w:szCs w:val="20"/>
          <w:color w:val="auto"/>
        </w:rPr>
      </w:pPr>
    </w:p>
    <w:p>
      <w:pPr>
        <w:ind w:right="260" w:firstLine="469"/>
        <w:spacing w:after="0" w:line="281" w:lineRule="auto"/>
        <w:rPr>
          <w:sz w:val="20"/>
          <w:szCs w:val="20"/>
          <w:color w:val="auto"/>
        </w:rPr>
      </w:pPr>
      <w:r>
        <w:rPr>
          <w:rFonts w:ascii="Times New Roman" w:cs="Times New Roman" w:eastAsia="Times New Roman" w:hAnsi="Times New Roman"/>
          <w:sz w:val="13"/>
          <w:szCs w:val="13"/>
          <w:color w:val="auto"/>
        </w:rPr>
        <w:t>Our FortiMail appliances provide protection against threats conveyed by messaging applications, including blended threats such as a coordinated, single attack comprised of spam, viruses and worms. These systems offer flexibility to support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460"/>
          </w:cols>
          <w:pgMar w:left="220" w:top="124"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3"/>
          <w:szCs w:val="13"/>
          <w:color w:val="auto"/>
        </w:rPr>
        <w:t>variety of existing deployments with minimal change to existing infrastructure. The FortiMail systems utilize a customized operating system designed to inspect and clean both inbound and outbound email traffic. FortiMail detects security threats through sophisticated antispam, antivirus and anti-malware engines. Additional functionality designed to eliminate deployment barriers and increase system value includes email routing, system virtualization, and archiving.</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FortiDB</w:t>
      </w:r>
    </w:p>
    <w:p>
      <w:pPr>
        <w:spacing w:after="0" w:line="165"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Our FortiDB appliance provides a comprehensive solution for database security assessment, identifying potential vulnerabilities that otherwise could be exploited by attackers. This solution is able to discover databases within a network infrastructure allowing administrators to confirm known databases and identify potentially harmful unknown or unauthorized databases. The ability to evaluate and report on database software and database server vulnerabilities provides the database administrator with a comp rehensive list of security concerns and recommended actions to remediate them ensuring a security-hardened database environment.</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FortiClient</w:t>
      </w:r>
    </w:p>
    <w:p>
      <w:pPr>
        <w:spacing w:after="0" w:line="165"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3"/>
          <w:szCs w:val="13"/>
          <w:color w:val="auto"/>
        </w:rPr>
        <w:t>Our FortiClient product is an endpoint software solution designed to be used in connection with our FortiGate appliances to provide security features for enterprise computers and mobile devices. The feature set includes personal firewall, IPsec VPN, antivirus, Web filtering, WAN acceleration, DLP and antispam. FortiClient is supported by FortiGuard security subscription services to help ensure endpoints are protected on a real-time basis against current and emerging threats. FortiClient software is available for Microsoft Windows XP, Microsoft Vista, Microsoft Windows Mobile and Symbian operating systems.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FortiWeb</w:t>
      </w:r>
    </w:p>
    <w:p>
      <w:pPr>
        <w:spacing w:after="0" w:line="165"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Our FortiWeb appliances provide Web application firewalls and networking features designed to protect, bal ance, and accelerate Web applications. The FortiWeb is designed for medium and large enterprises, cloud service providers and consumer Internet and e-commerce companies, and can significantly reduce the deployment time and complexities of introducing Web applications. The FortiWeb applies our industry leading threat research to protect Web application servers, improving the security of confidential information and aiding in legislative and PCI DSS compliance. FortiWeb goes beyond traditional Web application firewalls to provide XML security enforcement, application acceleration, and server load balancing.</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FortiScan</w:t>
      </w:r>
    </w:p>
    <w:p>
      <w:pPr>
        <w:spacing w:after="0" w:line="165"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Our FortiScan appliance provides endpoint vulnerability management, inventory (asset and software) industry compliance evaluation, patch management and remediation, auditing and reporting. These tasks are important for enterprises to assess and ensure the defensive capabilities of their endpoints. The ability to provide agent-less and agent-based vulnerability assessment allows for flexibility in deployment with minimal impact on endpoint configurations. Additionally, administrators are able to remediate vulnerabilities found within endpoints from a central location without user participation simplifying security and compliance initiatives.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FortiBridge</w:t>
      </w:r>
    </w:p>
    <w:p>
      <w:pPr>
        <w:spacing w:after="0" w:line="165"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Our FortiBridge bypass appliances ensure availability of network resources in the event of power loss or failure of Fortinet and third-party devices. This function enables organizations that have already deployed high availability security infrastructure (where a system fails over to either an active or standby unit) to provide additional protection of network connectivity. FortiBridge appliances preserve network availability in the event of a power failure or a device malfunction, bypassing the device altogether with a fail-open solution.</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FortiSwitch</w:t>
      </w:r>
    </w:p>
    <w:p>
      <w:pPr>
        <w:spacing w:after="0" w:line="165"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3"/>
          <w:szCs w:val="13"/>
          <w:color w:val="auto"/>
        </w:rPr>
        <w:t>Our FortiSwitch Ethernet switches provide Gigabit Ethernet (GbE) switching with 10-Gigabit Ethernet uplinks for large, high-performance network, and power over Ethernet (POE) support for small offices and remote offices that have deployed wireless-enabled devices. These features enable a wide range of network environments to take advantage of Fortinet's high-speed, low latency switching technology.</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FortiAP</w:t>
      </w:r>
    </w:p>
    <w:p>
      <w:pPr>
        <w:spacing w:after="0" w:line="195" w:lineRule="exact"/>
        <w:rPr>
          <w:sz w:val="20"/>
          <w:szCs w:val="20"/>
          <w:color w:val="auto"/>
        </w:rPr>
      </w:pPr>
    </w:p>
    <w:p>
      <w:pPr>
        <w:ind w:right="220" w:firstLine="469"/>
        <w:spacing w:after="0" w:line="281" w:lineRule="auto"/>
        <w:rPr>
          <w:sz w:val="20"/>
          <w:szCs w:val="20"/>
          <w:color w:val="auto"/>
        </w:rPr>
      </w:pPr>
      <w:r>
        <w:rPr>
          <w:rFonts w:ascii="Times New Roman" w:cs="Times New Roman" w:eastAsia="Times New Roman" w:hAnsi="Times New Roman"/>
          <w:sz w:val="13"/>
          <w:szCs w:val="13"/>
          <w:color w:val="auto"/>
        </w:rPr>
        <w:t>Our FortiAP wireless access points provide secure WiFi client access. FortiAPs tunnel all wireless traffic to a FortiGate or FortiWiFi via the integrated wireless controller technology in FortiOS. FortiGate or FortiWiFi platforms provide centralized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460"/>
          </w:cols>
          <w:pgMar w:left="220" w:top="124"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 of multiple FortiAP access points. This product allows organizations to deploy a broad, integrated security solution for all wireless and wired traffic.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Services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FortiGuard Security Subscription Services</w:t>
      </w:r>
    </w:p>
    <w:p>
      <w:pPr>
        <w:spacing w:after="0" w:line="165"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3"/>
          <w:szCs w:val="13"/>
          <w:color w:val="auto"/>
        </w:rPr>
        <w:t>Security requirements are dynamic due to the constantly changing nature of threats. Using automated processes, our FortiGuard Labs team, comprised of over 100 professionals, identifies emerging threats, collects threat samples, and replicates, reviews and characterizes attacks. Based on this research, we develop updates for virus signatures, attack definitions, scanning engines, and other security solution components to distribute to end-customers through our FortiGuard global distribution network. Our FortiGuard security subscription services are designed to allow us to quickly deliver new threat detection capabilities to end-customers worldwide as new threats evolve. End-customers purchase FortiGuard security subscription services in advance, typically for a one-year term, to obtain cove rage and access to regular updates for antivirus, application control, intrusion prevention, Web filtering, and antispam functions for our FortiGate appliances; antivirus, Web filtering and antispam functions for our FortiClient software; antivirus and antispam functions for our FortiMail appliances; vulnerability management for our FortiAnalyzer and FortiScan appliances, database functions for our FortiDB appliance, and web functions for our FortiWeb appliances. We provide FortiGuard services 24 hours a day, seven days a week.</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FortiCare Technical Support Services</w:t>
      </w:r>
    </w:p>
    <w:p>
      <w:pPr>
        <w:spacing w:after="0" w:line="214" w:lineRule="exact"/>
        <w:rPr>
          <w:sz w:val="20"/>
          <w:szCs w:val="20"/>
          <w:color w:val="auto"/>
        </w:rPr>
      </w:pPr>
    </w:p>
    <w:p>
      <w:pPr>
        <w:ind w:right="280" w:firstLine="469"/>
        <w:spacing w:after="0" w:line="328" w:lineRule="auto"/>
        <w:rPr>
          <w:sz w:val="20"/>
          <w:szCs w:val="20"/>
          <w:color w:val="auto"/>
        </w:rPr>
      </w:pPr>
      <w:r>
        <w:rPr>
          <w:rFonts w:ascii="Times New Roman" w:cs="Times New Roman" w:eastAsia="Times New Roman" w:hAnsi="Times New Roman"/>
          <w:sz w:val="13"/>
          <w:szCs w:val="13"/>
          <w:color w:val="auto"/>
        </w:rPr>
        <w:t>Our FortiCare services are our technical support services for the software, firmware and hardware in our products. In addition to our standard support service offering, we offer a premium service that offers faster response times and dedicated support oriented towards major accounts.</w:t>
      </w:r>
    </w:p>
    <w:p>
      <w:pPr>
        <w:spacing w:after="0" w:line="129"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provide techni cal support to partners and end-customers 24 hours a day, seven days a week through regional technical support managers located worldwide.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Training Services</w:t>
      </w:r>
    </w:p>
    <w:p>
      <w:pPr>
        <w:spacing w:after="0" w:line="195" w:lineRule="exact"/>
        <w:rPr>
          <w:sz w:val="20"/>
          <w:szCs w:val="20"/>
          <w:color w:val="auto"/>
        </w:rPr>
      </w:pPr>
    </w:p>
    <w:p>
      <w:pPr>
        <w:ind w:right="180" w:firstLine="469"/>
        <w:spacing w:after="0" w:line="281" w:lineRule="auto"/>
        <w:rPr>
          <w:sz w:val="20"/>
          <w:szCs w:val="20"/>
          <w:color w:val="auto"/>
        </w:rPr>
      </w:pPr>
      <w:r>
        <w:rPr>
          <w:rFonts w:ascii="Times New Roman" w:cs="Times New Roman" w:eastAsia="Times New Roman" w:hAnsi="Times New Roman"/>
          <w:sz w:val="13"/>
          <w:szCs w:val="13"/>
          <w:color w:val="auto"/>
        </w:rPr>
        <w:t>We offer training services to our end-customers and channel partners, through our training department and authorized training partners. We have also implemented a training certification program to ensure an understanding of our products and services. As of December 31, 2010, more than 20,000 individuals have participated in our training programs.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Professional Services</w:t>
      </w:r>
    </w:p>
    <w:p>
      <w:pPr>
        <w:spacing w:after="0" w:line="195" w:lineRule="exact"/>
        <w:rPr>
          <w:sz w:val="20"/>
          <w:szCs w:val="20"/>
          <w:color w:val="auto"/>
        </w:rPr>
      </w:pPr>
    </w:p>
    <w:p>
      <w:pPr>
        <w:jc w:val="both"/>
        <w:ind w:right="20" w:firstLine="469"/>
        <w:spacing w:after="0" w:line="281" w:lineRule="auto"/>
        <w:rPr>
          <w:sz w:val="20"/>
          <w:szCs w:val="20"/>
          <w:color w:val="auto"/>
        </w:rPr>
      </w:pPr>
      <w:r>
        <w:rPr>
          <w:rFonts w:ascii="Times New Roman" w:cs="Times New Roman" w:eastAsia="Times New Roman" w:hAnsi="Times New Roman"/>
          <w:sz w:val="13"/>
          <w:szCs w:val="13"/>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 n, utilizing network analysis tools, attack simulation software and scripts.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Customers</w:t>
      </w:r>
    </w:p>
    <w:p>
      <w:pPr>
        <w:spacing w:after="0" w:line="197"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We sell our security solutions through channel partners to end-customers of various sizes—from small businesses to large enterprises and service providers—and across a variety of industries including telecommunications, government, financial services, retail, education, technology, healthcare and manufacturing. An end-customer deployment may involve one of our appliances or thousands, depending on our end-customers&amp;rsq uo; size and security requirements. As of December 31, 2010, we had shipped over 675,000 appliances to more than 5,000 channel partners and 100,000 end-customers worldwide, including a majority of the 2010 Fortune Global 100.</w:t>
      </w:r>
    </w:p>
    <w:p>
      <w:pPr>
        <w:spacing w:after="0" w:line="161"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During fiscal 2009 and 2008, one channel partner, Alternative Technology, Inc., a subsidiary of Arrow Electronics, Inc., accounted for approximately 12% of total revenue. During fiscal 2010, no single customer accounted for more than 10% of total reven ue.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460"/>
          </w:cols>
          <w:pgMar w:left="220" w:top="124"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and Marketing</w:t>
      </w:r>
    </w:p>
    <w:p>
      <w:pPr>
        <w:spacing w:after="0" w:line="197"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3"/>
          <w:szCs w:val="13"/>
          <w:color w:val="auto"/>
        </w:rPr>
        <w:t>We primarily sell our products and services directly to distributors who sell to resellers and service providers, who, in turn, sell to our end-customers. In certain cases, we sell directly to government focused resellers, very large service providers and major systems integrator partners who have large purchasing power and unique customer deployment demands. As of December 31, 2010, our distribution channel program had more than 5,000 channel partners worldwide. We work with many of the world’s leading technology distributors, including Arrow Electronics, Inc., Ingram Micro Inc. and Tech Data Corporation.</w:t>
      </w:r>
    </w:p>
    <w:p>
      <w:pPr>
        <w:spacing w:after="0" w:line="158"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3"/>
          <w:szCs w:val="13"/>
          <w:color w:val="auto"/>
        </w:rPr>
        <w:t>We support our channel partners with a tea 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alongside our channel partners and directly engage with end-customers to address their unique security and deployment requirements. Our sales cycle for an initial end-customer purchase typically ranges from three to six months but can be longer especially for large enterprises, service providers and government customers. To support our broadly dispersed global channel and end-customer base, we have sales offices in over 30 countries around the world.</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3"/>
          <w:szCs w:val="13"/>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branding, product marketing, channel marketing and sales support programs. We focus our resources on programs, tools and activities that can be leveraged by partners worldwide to extend our marketing reach, such as sales tools and collateral, product awards and technical certifications, training, regional seminars and conferences, webinars and various other demand-generation activities.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Manufacturing and Suppliers</w:t>
      </w:r>
    </w:p>
    <w:p>
      <w:pPr>
        <w:spacing w:after="0" w:line="197"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3"/>
          <w:szCs w:val="13"/>
          <w:color w:val="auto"/>
        </w:rPr>
        <w:t>We outsource the manufacturing of our security appliance products to a variety of contract manufacturers and original design manufacturers. Our current manufacturing partners include Flextronics International Ltd., Micro Star International, Ltd., Creation Technologies, Inc. and a number of additional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 ol testing are performed. We use one third-party logistics provider that accounted for a material portion of our shipments in fiscal 2009 and in fiscal 2010. We believe that outsourcing our manufacturing and a substantial portion of our logistics enables us to conserve capital, better adjust manufacturing volumes to meet changes in demand and more quickly deliver products, while allowing us to focus resources on our core competencies. Our proprietary FortiASIC, which is the key to the performance of our appliances, is fabricated by contract manufacturers in foundries operated by UMC and TSMC. Faraday (using UMC’s foundry) and K-Micro (using TSMC’s foundry) manufacture our ASICs on a purchase order b asis. Accordingly, they are not obligated to continue to fulfill our supply requirements, and the prices we are charged for the fabrication of our ASICs could be increased on short notice.</w:t>
      </w:r>
    </w:p>
    <w:p>
      <w:pPr>
        <w:spacing w:after="0" w:line="167" w:lineRule="exact"/>
        <w:rPr>
          <w:sz w:val="20"/>
          <w:szCs w:val="20"/>
          <w:color w:val="auto"/>
        </w:rPr>
      </w:pPr>
    </w:p>
    <w:p>
      <w:pPr>
        <w:ind w:right="400" w:firstLine="469"/>
        <w:spacing w:after="0" w:line="281" w:lineRule="auto"/>
        <w:rPr>
          <w:sz w:val="20"/>
          <w:szCs w:val="20"/>
          <w:color w:val="auto"/>
        </w:rPr>
      </w:pPr>
      <w:r>
        <w:rPr>
          <w:rFonts w:ascii="Times New Roman" w:cs="Times New Roman" w:eastAsia="Times New Roman" w:hAnsi="Times New Roman"/>
          <w:sz w:val="13"/>
          <w:szCs w:val="13"/>
          <w:color w:val="auto"/>
        </w:rPr>
        <w:t>The components included in our products are sourced from various suppliers by us or more frequently by our contract manufacturers. Some of the components important to our business, including central processing units from Intel, AMD, RMI and VIA and network chips from Broadcom, Marvell and Intel, are available from a limited or sole source of supply.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have no long-term contracts related to the manufacturing of our ASICs or other components that guarantee any capacity or pricing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w:t>
      </w:r>
    </w:p>
    <w:p>
      <w:pPr>
        <w:spacing w:after="0" w:line="197"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needed by our end-customers. Our success in designing, developing, manufactu 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61"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3"/>
          <w:szCs w:val="13"/>
          <w:color w:val="auto"/>
        </w:rPr>
        <w:t>As of December 31, 2010, our research and development organization had headcount of 428 people predominantly in Canada, China, and the United States. Our research and development expense in fiscal 2010 was $49.8 million, in fiscal 2009 was $42.2 million and in fiscal 2008 was $37.0 million.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440"/>
          </w:cols>
          <w:pgMar w:left="22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Intellectual Property</w:t>
      </w:r>
    </w:p>
    <w:p>
      <w:pPr>
        <w:spacing w:after="0" w:line="197" w:lineRule="exact"/>
        <w:rPr>
          <w:sz w:val="20"/>
          <w:szCs w:val="20"/>
          <w:color w:val="auto"/>
        </w:rPr>
      </w:pPr>
    </w:p>
    <w:p>
      <w:pPr>
        <w:ind w:right="240" w:firstLine="469"/>
        <w:spacing w:after="0" w:line="266" w:lineRule="auto"/>
        <w:rPr>
          <w:sz w:val="20"/>
          <w:szCs w:val="20"/>
          <w:color w:val="auto"/>
        </w:rPr>
      </w:pPr>
      <w:r>
        <w:rPr>
          <w:rFonts w:ascii="Times New Roman" w:cs="Times New Roman" w:eastAsia="Times New Roman" w:hAnsi="Times New Roman"/>
          <w:sz w:val="13"/>
          <w:szCs w:val="13"/>
          <w:color w:val="auto"/>
        </w:rPr>
        <w:t>We rely primarily on patent, trademark, copyright and trade secrets laws, confidentiality procedures and contractual provisions to protect our technology. As of December 31, 2010, we had 55 issued U.S. patents, 11 issued Chinese patents, 1 issued Japanese patent, 94 patent applications pending for examination in the United States and 19 patent applications pending for examination in China. We also license software from third parties for integration into our products, including open source software and other software available on commercially reasonable terms.</w:t>
      </w:r>
    </w:p>
    <w:p>
      <w:pPr>
        <w:spacing w:after="0" w:line="158"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Despite our efforts to protect our proprietary rights, unauthorized parties may attempt to copy aspects of our products or obtain and use information that we regard as proprietary. We generally enter into confidentiality agreements w ith our employees, consultants, vendors and customers, and generally limit access to and distribution of our proprietary information. However, we cannot assure you that the steps taken by us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61" w:lineRule="exact"/>
        <w:rPr>
          <w:sz w:val="20"/>
          <w:szCs w:val="20"/>
          <w:color w:val="auto"/>
        </w:rPr>
      </w:pPr>
    </w:p>
    <w:p>
      <w:pPr>
        <w:ind w:right="60" w:firstLine="469"/>
        <w:spacing w:after="0" w:line="257" w:lineRule="auto"/>
        <w:rPr>
          <w:sz w:val="20"/>
          <w:szCs w:val="20"/>
          <w:color w:val="auto"/>
        </w:rPr>
      </w:pPr>
      <w:r>
        <w:rPr>
          <w:rFonts w:ascii="Times New Roman" w:cs="Times New Roman" w:eastAsia="Times New Roman" w:hAnsi="Times New Roman"/>
          <w:sz w:val="13"/>
          <w:szCs w:val="13"/>
          <w:color w:val="auto"/>
        </w:rPr>
        <w:t>Our industry is characterized by the existence of a large number of patents and frequent claims and related litigation regarding patent and other intellectual property rights. In particular, leading companies in the networking industry have extensive patent portfolio s. From time-to-time, third parties, including certain of these leading companies, have asserted and may assert patent, copyright, trademark and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markets for our products are extremely competitive and are characterized by rapid technological change. The principal competitive factors in our markets include the following:</w:t>
      </w:r>
    </w:p>
    <w:p>
      <w:pPr>
        <w:spacing w:after="0" w:line="177" w:lineRule="exact"/>
        <w:rPr>
          <w:sz w:val="20"/>
          <w:szCs w:val="20"/>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product performance, features, effectiveness, inter operability and reliability;</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technological expertise;</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price of products and services and total cost of ownership;</w:t>
      </w:r>
    </w:p>
    <w:p>
      <w:pPr>
        <w:spacing w:after="0" w:line="156"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recognition;</w:t>
      </w:r>
    </w:p>
    <w:p>
      <w:pPr>
        <w:spacing w:after="0" w:line="169"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customer service and support;</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sales and distribution capabilities;</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compliance with industry standards and certifications;</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size and financial stability of operations; and</w:t>
      </w:r>
    </w:p>
    <w:p>
      <w:pPr>
        <w:spacing w:after="0" w:line="168" w:lineRule="exact"/>
        <w:rPr>
          <w:rFonts w:ascii="Times New Roman" w:cs="Times New Roman" w:eastAsia="Times New Roman" w:hAnsi="Times New Roman"/>
          <w:sz w:val="16"/>
          <w:szCs w:val="16"/>
          <w:color w:val="auto"/>
        </w:rPr>
      </w:pPr>
    </w:p>
    <w:p>
      <w:pPr>
        <w:ind w:left="1000" w:hanging="53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breadth of product line.</w:t>
      </w:r>
    </w:p>
    <w:p>
      <w:pPr>
        <w:spacing w:after="0" w:line="184"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Our competitors include networking companies such a s Cisco Systems, Inc., and Juniper Networks, Inc., security vendors such as Check Point Software Technologies Ltd., McAfee Inc. (pending acquisition by Intel, Inc.), and SonicWALL, Inc. (acquired by Thoma Bravo), and other point solution security vendors.</w:t>
      </w:r>
    </w:p>
    <w:p>
      <w:pPr>
        <w:spacing w:after="0" w:line="14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We believe we compete favorably based on our products’ performance, reliability and breadth, and our ability to add and integrate new networking and security features and based on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 everage their relationships based on other products or incorporate functionality into existing products in a manner that discourages users from purchasing our products. Based in part on these competitive pressures, we may lower prices or attempt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460"/>
          </w:cols>
          <w:pgMar w:left="220" w:top="124"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add incremental features and functionality.</w:t>
      </w:r>
    </w:p>
    <w:p>
      <w:pPr>
        <w:spacing w:after="0" w:line="193"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3"/>
          <w:szCs w:val="13"/>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or achieve greater market acceptance than our products. In addition, our larger competitors often have broader product lines and market focus,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Employees</w:t>
      </w:r>
    </w:p>
    <w:p>
      <w:pPr>
        <w:spacing w:after="0" w:line="197" w:lineRule="exact"/>
        <w:rPr>
          <w:sz w:val="20"/>
          <w:szCs w:val="20"/>
          <w:color w:val="auto"/>
        </w:rPr>
      </w:pPr>
    </w:p>
    <w:p>
      <w:pPr>
        <w:ind w:right="280" w:firstLine="469"/>
        <w:spacing w:after="0" w:line="266" w:lineRule="auto"/>
        <w:rPr>
          <w:sz w:val="20"/>
          <w:szCs w:val="20"/>
          <w:color w:val="auto"/>
        </w:rPr>
      </w:pPr>
      <w:r>
        <w:rPr>
          <w:rFonts w:ascii="Times New Roman" w:cs="Times New Roman" w:eastAsia="Times New Roman" w:hAnsi="Times New Roman"/>
          <w:sz w:val="13"/>
          <w:szCs w:val="13"/>
          <w:color w:val="auto"/>
        </w:rPr>
        <w:t>As of December 31, 2010, our total headcount was 1,336 people including payrolled contractors. We had 428 in research and development, 486 in sales and marketing, 283 in services and support, 31 in manufacturing operations, and 108 in a general and administrative capacity. As of December 31, 2010, our headcount was 314 people in the United States, 430 in Canada, 83 in France, 216 in China and 293 in other countries.</w:t>
      </w:r>
    </w:p>
    <w:p>
      <w:pPr>
        <w:spacing w:after="0" w:line="158" w:lineRule="exact"/>
        <w:rPr>
          <w:sz w:val="20"/>
          <w:szCs w:val="20"/>
          <w:color w:val="auto"/>
        </w:rPr>
      </w:pPr>
    </w:p>
    <w:p>
      <w:pPr>
        <w:ind w:right="540" w:firstLine="469"/>
        <w:spacing w:after="0" w:line="281" w:lineRule="auto"/>
        <w:rPr>
          <w:sz w:val="20"/>
          <w:szCs w:val="20"/>
          <w:color w:val="auto"/>
        </w:rPr>
      </w:pPr>
      <w:r>
        <w:rPr>
          <w:rFonts w:ascii="Times New Roman" w:cs="Times New Roman" w:eastAsia="Times New Roman" w:hAnsi="Times New Roman"/>
          <w:sz w:val="13"/>
          <w:szCs w:val="13"/>
          <w:color w:val="auto"/>
        </w:rPr>
        <w:t>None of our U.S. employees are represented by a labor union with respect to his or her employment with us; however, our employees in France, Spain and Italy are represented by collective bargaining agreements. We have not experienced any work stoppages, and we consider our relations with our employees to be good.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Available Information</w:t>
      </w:r>
      <w:r>
        <w:rPr>
          <w:rFonts w:ascii="Times New Roman" w:cs="Times New Roman" w:eastAsia="Times New Roman" w:hAnsi="Times New Roman"/>
          <w:sz w:val="13"/>
          <w:szCs w:val="13"/>
          <w:color w:val="auto"/>
        </w:rPr>
        <w:t>&lt; /div&gt;</w:t>
      </w:r>
    </w:p>
    <w:p>
      <w:pPr>
        <w:spacing w:after="0" w:line="167"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3"/>
          <w:szCs w:val="13"/>
          <w:color w:val="auto"/>
        </w:rPr>
        <w:t>Our web site is located at www.fortinet.com, and our investor relations web site is located at http://investor.fortinet.com.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SEC&amp; rsquo;s Public Reference Room at 100 F Street, NE, Washington, D.C. 20549. Information on the operation of the Public Reference Room can be obtained by calling the SEC at 1-800-SEC-0330.</w:t>
      </w:r>
    </w:p>
    <w:p>
      <w:pPr>
        <w:spacing w:after="0" w:line="135"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3"/>
          <w:szCs w:val="13"/>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1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63" w:lineRule="exact"/>
        <w:rPr>
          <w:sz w:val="20"/>
          <w:szCs w:val="20"/>
          <w:color w:val="auto"/>
        </w:rPr>
      </w:pPr>
    </w:p>
    <w:p>
      <w:pPr>
        <w:ind w:right="120" w:firstLine="469"/>
        <w:spacing w:after="0" w:line="262" w:lineRule="auto"/>
        <w:rPr>
          <w:sz w:val="20"/>
          <w:szCs w:val="20"/>
          <w:color w:val="auto"/>
        </w:rPr>
      </w:pPr>
      <w:r>
        <w:rPr>
          <w:rFonts w:ascii="Times New Roman" w:cs="Times New Roman" w:eastAsia="Times New Roman" w:hAnsi="Times New Roman"/>
          <w:sz w:val="13"/>
          <w:szCs w:val="13"/>
          <w:i w:val="1"/>
          <w:iCs w:val="1"/>
          <w:color w:val="auto"/>
        </w:rPr>
        <w:t>Investing in our common stock involves a high degree of risk. You should carefully consider the following risks and all other information contained in this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 e, our business, financial condition and results of operations could be materially harmed. In that case, the trading price of our common stock could decline, and you may lose some or all of your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quarterly operating results are likely to vary significantly and be unpredictable.</w:t>
      </w:r>
    </w:p>
    <w:p>
      <w:pPr>
        <w:spacing w:after="0" w:line="167"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19" w:lineRule="exact"/>
        <w:rPr>
          <w:sz w:val="20"/>
          <w:szCs w:val="20"/>
          <w:color w:val="auto"/>
        </w:rPr>
      </w:pPr>
    </w:p>
    <w:p>
      <w:pPr>
        <w:ind w:left="940" w:hanging="472"/>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of demand for our products and services;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channel partner and end-customer orders;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460"/>
          </w:cols>
          <w:pgMar w:left="220" w:top="124"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left="940" w:right="220" w:hanging="472"/>
        <w:spacing w:after="0" w:line="281"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shipments, which may depend on many factors such as inventory levels and logistics, our ability to ship new products on schedule and accurately forecast inventory requirements, and potential delays in the manufacturing process;</w:t>
      </w:r>
    </w:p>
    <w:p>
      <w:pPr>
        <w:spacing w:after="0" w:line="11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mix of products sold, the mix of revenue between products and services and the degree to which products and services are bundled and sold together for a package price;</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budgeting cycles and purchasing practices of our channel partners and end-customers;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seasonal buying patterns of our end-customers;</w:t>
      </w:r>
    </w:p>
    <w:p>
      <w:pPr>
        <w:spacing w:after="0" w:line="183" w:lineRule="exact"/>
        <w:rPr>
          <w:rFonts w:ascii="Times New Roman" w:cs="Times New Roman" w:eastAsia="Times New Roman" w:hAnsi="Times New Roman"/>
          <w:sz w:val="13"/>
          <w:szCs w:val="13"/>
          <w:color w:val="auto"/>
        </w:rPr>
      </w:pPr>
    </w:p>
    <w:p>
      <w:pPr>
        <w:ind w:left="940" w:right="60" w:hanging="472"/>
        <w:spacing w:after="0" w:line="328"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revenue recognition for our sales, which may be affected by both the mix of sales by our “sell-in” versus our “sell-through” channel partners, and by the extent to which we bring on new distributors;</w:t>
      </w:r>
    </w:p>
    <w:p>
      <w:pPr>
        <w:spacing w:after="0" w:line="99" w:lineRule="exact"/>
        <w:rPr>
          <w:rFonts w:ascii="Times New Roman" w:cs="Times New Roman" w:eastAsia="Times New Roman" w:hAnsi="Times New Roman"/>
          <w:sz w:val="13"/>
          <w:szCs w:val="13"/>
          <w:color w:val="auto"/>
        </w:rPr>
      </w:pPr>
    </w:p>
    <w:p>
      <w:pPr>
        <w:ind w:left="620" w:hanging="152"/>
        <w:spacing w:after="0"/>
        <w:tabs>
          <w:tab w:leader="none" w:pos="6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&amp;n bsp;the accuracy and timing of point of sale reporting by our sell-through distributors, which impacts our ability to recognize revenue;</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of perceived threats to network security, which may fluctuate from period to period;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end-customer, distributor or reseller requirements or market needs;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growth rate of the network security or UTM markets;</w:t>
      </w:r>
    </w:p>
    <w:p>
      <w:pPr>
        <w:spacing w:after="0" w:line="163" w:lineRule="exact"/>
        <w:rPr>
          <w:rFonts w:ascii="Times New Roman" w:cs="Times New Roman" w:eastAsia="Times New Roman" w:hAnsi="Times New Roman"/>
          <w:sz w:val="13"/>
          <w:szCs w:val="13"/>
          <w:color w:val="auto"/>
        </w:rPr>
      </w:pPr>
    </w:p>
    <w:p>
      <w:pPr>
        <w:ind w:left="940" w:right="520" w:hanging="472"/>
        <w:spacing w:after="0" w:line="281"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product and service introductions by us or our competitors or any other change in the competitive landscape of our industry, including consolidation among our competitors or end-customers;</w:t>
      </w:r>
    </w:p>
    <w:p>
      <w:pPr>
        <w:spacing w:after="0" w:line="11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deferral of orders from end-customers in anticipation of new products or product enhancements announced by us or our competitors;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decisions by potential end-customers to purchase network security solutions from larger, more established security vendors or from their primary network equipment vendors;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competition;</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customer renewal rates for our services;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length of services contracts sold;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insolvency or credit difficulties confronting our customers, affecting their ability to purchase or pay for our products and services;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disruption in our channel or termination of our relationship with important channel partners;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insolvency or credit difficulties confronting our key suppliers, which could disrupt our supply chain;</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both domestically and in our foreign markets;</w:t>
      </w:r>
    </w:p>
    <w:p>
      <w:pPr>
        <w:spacing w:after="0" w:line="18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accounting pronouncements or changes in our accounting policies; and</w:t>
      </w:r>
    </w:p>
    <w:p>
      <w:pPr>
        <w:spacing w:after="0" w:line="17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or decreases in our expenses caused by fluctuations in foreign currency exchange rates, as a significant portion of our expenses are incurred and paid in currencies other than the U.S. dollar.</w:t>
      </w:r>
    </w:p>
    <w:p>
      <w:pPr>
        <w:spacing w:after="0" w:line="163"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 suits, including securities class action suits. In addition, a significant percentage of our operating expenses are fixed in nature and based on forecasted revenue trends. Accordingly, in the event of</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80"/>
          </w:cols>
          <w:pgMar w:left="220" w:top="12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revenue shortfalls, we are generally unable to mitigate the negative impact on margins in the short term.</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Reliance on a concentration of shipments at the end of the quarter could cause our revenue to fall below expected levels.</w:t>
      </w:r>
    </w:p>
    <w:p>
      <w:pPr>
        <w:spacing w:after="0" w:line="16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31" w:lineRule="exact"/>
        <w:rPr>
          <w:sz w:val="20"/>
          <w:szCs w:val="20"/>
          <w:color w:val="auto"/>
        </w:rPr>
      </w:pPr>
    </w:p>
    <w:p>
      <w:pPr>
        <w:ind w:right="160" w:firstLine="352"/>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12"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Services revenue accounts for a significant portion of our revenue, comprising 53.0% of total revenue for fiscal 2010, 55.2% of total revenue for fiscal 2009, and 49.7% of total revenue for fiscal 2008.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 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3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3"/>
          <w:szCs w:val="13"/>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63" w:lineRule="exact"/>
        <w:rPr>
          <w:sz w:val="20"/>
          <w:szCs w:val="20"/>
          <w:color w:val="auto"/>
        </w:rPr>
      </w:pPr>
    </w:p>
    <w:p>
      <w:pPr>
        <w:ind w:right="2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 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27" w:lineRule="exact"/>
        <w:rPr>
          <w:sz w:val="20"/>
          <w:szCs w:val="20"/>
          <w:color w:val="auto"/>
        </w:rPr>
      </w:pPr>
    </w:p>
    <w:p>
      <w:pPr>
        <w:ind w:right="200"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 omer requirements. If we ultimately determine that we have excess inventory, we may have to reduce our prices and write-down inventory, which in turn could result in lower gross margins. Alternatively, insufficient inventory levels, which we experienced in the fourth quarter of fiscal 2009,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31" w:lineRule="exact"/>
        <w:rPr>
          <w:sz w:val="20"/>
          <w:szCs w:val="20"/>
          <w:color w:val="auto"/>
        </w:rPr>
      </w:pPr>
    </w:p>
    <w:p>
      <w:pPr>
        <w:ind w:right="120" w:firstLine="352"/>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rely on third-party channel partners to generate substantially all of our revenue. If our partners fail to perform, our ability to sell our p roducts and services will be limited, and, if we fail to optimize our channel partner model going forward, our operating results will be harmed.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Substantially all of our revenue is generated through sales by our channel partners, which include distributors and</w:t>
      </w:r>
    </w:p>
    <w:p>
      <w:pPr>
        <w:spacing w:after="0" w:line="16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b w:val="1"/>
          <w:bCs w:val="1"/>
          <w:i w:val="1"/>
          <w:iCs w:val="1"/>
          <w:color w:val="auto"/>
        </w:rPr>
        <w:t>11</w:t>
      </w:r>
    </w:p>
    <w:p>
      <w:pPr>
        <w:sectPr>
          <w:pgSz w:w="11900" w:h="16838" w:orient="portrait"/>
          <w:cols w:equalWidth="0" w:num="1">
            <w:col w:w="11440"/>
          </w:cols>
          <w:pgMar w:left="220" w:top="124" w:right="239" w:bottom="1440" w:gutter="0" w:footer="0" w:header="0"/>
        </w:sectPr>
      </w:pPr>
    </w:p>
    <w:bookmarkStart w:id="14" w:name="page15"/>
    <w:bookmarkEnd w:id="14"/>
    <w:p>
      <w:pPr>
        <w:ind w:left="360"/>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ind w:right="40" w:firstLine="352"/>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also adversely impact our sales and operating results.</w:t>
      </w:r>
    </w:p>
    <w:p>
      <w:pPr>
        <w:spacing w:after="0" w:line="123"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 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If we are not successful in continuing to execute our strategy to increase our sales to larger end-customers, our results of operations may suffer.</w:t>
      </w:r>
    </w:p>
    <w:p>
      <w:pPr>
        <w:spacing w:after="0" w:line="163" w:lineRule="exact"/>
        <w:rPr>
          <w:sz w:val="20"/>
          <w:szCs w:val="20"/>
          <w:color w:val="auto"/>
        </w:rPr>
      </w:pPr>
    </w:p>
    <w:p>
      <w:pPr>
        <w:ind w:right="18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116" w:lineRule="exact"/>
        <w:rPr>
          <w:sz w:val="20"/>
          <w:szCs w:val="20"/>
          <w:color w:val="auto"/>
        </w:rPr>
      </w:pPr>
    </w:p>
    <w:p>
      <w:pPr>
        <w:ind w:left="1000" w:right="140" w:hanging="180"/>
        <w:spacing w:after="0" w:line="281" w:lineRule="auto"/>
        <w:tabs>
          <w:tab w:leader="none" w:pos="135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competition from larger competitors, such as Cisco Systems, Inc., Check Point Software Technologies Ltd., McAfee, Inc. ( pending acquisition by Intel, Inc.), and Juniper Networks, Inc., that traditionally target enterprises, service providers and government entities and that may already have purchase commitments from those end-customers;</w:t>
      </w:r>
    </w:p>
    <w:p>
      <w:pPr>
        <w:spacing w:after="0" w:line="119"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purchasing power and leverage held by large end-customers in negotiating contractual arrangements with us;</w:t>
      </w:r>
    </w:p>
    <w:p>
      <w:pPr>
        <w:spacing w:after="0" w:line="163"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more stringent requirements in our support service contracts, including stricter support response times, and increased penalties for any failure to meet support requirements; and</w:t>
      </w:r>
    </w:p>
    <w:p>
      <w:pPr>
        <w:spacing w:after="0" w:line="163"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longer sales cycles and the associated risk that substantial time and resources may be spent on a potential end-customer who elects not to purchase our products and services.</w:t>
      </w:r>
    </w:p>
    <w:p>
      <w:pPr>
        <w:spacing w:after="0" w:line="159"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 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The average sales prices of our products may decrease, which may reduce our gross profits and adversely impact our financial results and the trading price of our common stock.</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The average sales prices for our products may decline for a variety of reasons, including competitive pricing pressures,</w:t>
      </w:r>
    </w:p>
    <w:p>
      <w:pPr>
        <w:spacing w:after="0" w:line="16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b w:val="1"/>
          <w:bCs w:val="1"/>
          <w:i w:val="1"/>
          <w:iCs w:val="1"/>
          <w:color w:val="auto"/>
        </w:rPr>
        <w:t>12</w:t>
      </w:r>
    </w:p>
    <w:p>
      <w:pPr>
        <w:sectPr>
          <w:pgSz w:w="11900" w:h="16838" w:orient="portrait"/>
          <w:cols w:equalWidth="0" w:num="1">
            <w:col w:w="11460"/>
          </w:cols>
          <w:pgMar w:left="220" w:top="122" w:right="219" w:bottom="1440"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ind w:right="20" w:firstLine="352"/>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63"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 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33" w:lineRule="exact"/>
        <w:rPr>
          <w:sz w:val="20"/>
          <w:szCs w:val="20"/>
          <w:color w:val="auto"/>
        </w:rPr>
      </w:pPr>
    </w:p>
    <w:p>
      <w:pPr>
        <w:ind w:right="160"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290" w:lineRule="exact"/>
        <w:rPr>
          <w:sz w:val="20"/>
          <w:szCs w:val="20"/>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expenditure of significant financial and product development resources in efforts to analyze, correct, eliminate or work-around errors or defects or to address and eliminate vulnerabilities;</w:t>
      </w:r>
    </w:p>
    <w:p>
      <w:pPr>
        <w:spacing w:after="0" w:line="18"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of existing or potential end-customers or channel partners;</w:t>
      </w:r>
    </w:p>
    <w:p>
      <w:pPr>
        <w:spacing w:after="0" w:line="151"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delayed or lost revenue;</w:t>
      </w:r>
    </w:p>
    <w:p>
      <w:pPr>
        <w:spacing w:after="0" w:line="163"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failure to attain market acceptance;</w:t>
      </w:r>
    </w:p>
    <w:p>
      <w:pPr>
        <w:spacing w:after="0" w:line="163"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publicity, which will harm our reputation; and</w:t>
      </w:r>
    </w:p>
    <w:p>
      <w:pPr>
        <w:spacing w:after="0" w:line="163" w:lineRule="exact"/>
        <w:rPr>
          <w:rFonts w:ascii="Times New Roman" w:cs="Times New Roman" w:eastAsia="Times New Roman" w:hAnsi="Times New Roman"/>
          <w:sz w:val="13"/>
          <w:szCs w:val="13"/>
          <w:color w:val="auto"/>
        </w:rPr>
      </w:pPr>
    </w:p>
    <w:p>
      <w:pPr>
        <w:ind w:left="1340" w:hanging="520"/>
        <w:spacing w:after="0"/>
        <w:tabs>
          <w:tab w:leader="none" w:pos="1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regulatory inquiries or investigations that may be costly and harm our reputation.</w:t>
      </w:r>
    </w:p>
    <w:p>
      <w:pPr>
        <w:spacing w:after="0" w:line="159" w:lineRule="exact"/>
        <w:rPr>
          <w:sz w:val="20"/>
          <w:szCs w:val="20"/>
          <w:color w:val="auto"/>
        </w:rPr>
      </w:pPr>
    </w:p>
    <w:p>
      <w:pPr>
        <w:ind w:right="340" w:firstLine="352"/>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12" w:lineRule="exact"/>
        <w:rPr>
          <w:sz w:val="20"/>
          <w:szCs w:val="20"/>
          <w:color w:val="auto"/>
        </w:rPr>
      </w:pPr>
    </w:p>
    <w:p>
      <w:pPr>
        <w:ind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w:t>
      </w:r>
    </w:p>
    <w:p>
      <w:pPr>
        <w:spacing w:after="0" w:line="1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b w:val="1"/>
          <w:bCs w:val="1"/>
          <w:i w:val="1"/>
          <w:iCs w:val="1"/>
          <w:color w:val="auto"/>
        </w:rPr>
        <w:t>13</w:t>
      </w:r>
    </w:p>
    <w:p>
      <w:pPr>
        <w:sectPr>
          <w:pgSz w:w="11900" w:h="16838" w:orient="portrait"/>
          <w:cols w:equalWidth="0" w:num="1">
            <w:col w:w="11460"/>
          </w:cols>
          <w:pgMar w:left="220" w:top="122" w:right="219" w:bottom="144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 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history of losses and may not maintain profitability, and our revenue growth may not continue.</w:t>
      </w:r>
    </w:p>
    <w:p>
      <w:pPr>
        <w:spacing w:after="0" w:line="163" w:lineRule="exact"/>
        <w:rPr>
          <w:sz w:val="20"/>
          <w:szCs w:val="20"/>
          <w:color w:val="auto"/>
        </w:rPr>
      </w:pPr>
    </w:p>
    <w:p>
      <w:pPr>
        <w:ind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have incurred net losses in most fiscal years since our inception, including ne t losses of $21.8 million in fiscal 2007, $5.3 million in fiscal 2006, $14.2 million in fiscal 2005 and $59.0 million in fiscal 2004. As a result, we had an accumulated deficit of $18.7 million at December 31, 2010. Although we were profitable in fiscal 2008, 2009 and 2010,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2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12"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 sumptions and estimates used in preparing our consolidated financial statements include those related to revenue recognition, stock-based compensation, valuation of inventory, warranty liabilities, and accounting for income taxes.</w:t>
      </w:r>
    </w:p>
    <w:p>
      <w:pPr>
        <w:spacing w:after="0" w:line="13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12" w:lineRule="exact"/>
        <w:rPr>
          <w:sz w:val="20"/>
          <w:szCs w:val="20"/>
          <w:color w:val="auto"/>
        </w:rPr>
      </w:pPr>
    </w:p>
    <w:p>
      <w:pPr>
        <w:ind w:right="4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hire, retain and motivate qualified personnel, our business will suffer.</w:t>
      </w:r>
    </w:p>
    <w:p>
      <w:pPr>
        <w:spacing w:after="0" w:line="163"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 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14</w:t>
      </w:r>
    </w:p>
    <w:p>
      <w:pPr>
        <w:sectPr>
          <w:pgSz w:w="11900" w:h="16838" w:orient="portrait"/>
          <w:cols w:equalWidth="0" w:num="1">
            <w:col w:w="11400"/>
          </w:cols>
          <w:pgMar w:left="220" w:top="122"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turnover rate. We may not be successful in attracting, assimilating or retaining qualified personnel to fulfill our curre nt or future needs. Also, to the extent we hire personnel from competitors, we may be subject to allegations that they have been improperly solicited or divulged proprietary or other confidential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63" w:lineRule="exact"/>
        <w:rPr>
          <w:sz w:val="20"/>
          <w:szCs w:val="20"/>
          <w:color w:val="auto"/>
        </w:rPr>
      </w:pPr>
    </w:p>
    <w:p>
      <w:pPr>
        <w:ind w:right="20"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Our future performance depends on the continued services and continuing contributions of our senior management to execute o 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Adverse economic conditions or red uced information technology spending may adversely impact our business.</w:t>
      </w:r>
    </w:p>
    <w:p>
      <w:pPr>
        <w:spacing w:after="0" w:line="163" w:lineRule="exact"/>
        <w:rPr>
          <w:sz w:val="20"/>
          <w:szCs w:val="20"/>
          <w:color w:val="auto"/>
        </w:rPr>
      </w:pPr>
    </w:p>
    <w:p>
      <w:pPr>
        <w:ind w:right="2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2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We outsource the manufacturing of our security appliance products to a variety of contract manufacturing partners and original design manufacturing partners.</w:t>
      </w:r>
    </w:p>
    <w:p>
      <w:pPr>
        <w:spacing w:after="0" w:line="163"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w:t>
      </w:r>
    </w:p>
    <w:p>
      <w:pPr>
        <w:spacing w:after="0" w:line="7"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3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 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15</w:t>
      </w:r>
    </w:p>
    <w:p>
      <w:pPr>
        <w:sectPr>
          <w:pgSz w:w="11900" w:h="16838" w:orient="portrait"/>
          <w:cols w:equalWidth="0" w:num="1">
            <w:col w:w="11460"/>
          </w:cols>
          <w:pgMar w:left="220" w:top="122"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317" w:lineRule="exact"/>
        <w:rPr>
          <w:sz w:val="20"/>
          <w:szCs w:val="20"/>
          <w:color w:val="auto"/>
        </w:rPr>
      </w:pPr>
    </w:p>
    <w:p>
      <w:pPr>
        <w:ind w:right="60" w:firstLine="46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2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112"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 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31" w:lineRule="exact"/>
        <w:rPr>
          <w:sz w:val="20"/>
          <w:szCs w:val="20"/>
          <w:color w:val="auto"/>
        </w:rPr>
      </w:pPr>
    </w:p>
    <w:p>
      <w:pPr>
        <w:ind w:right="50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Our manufacturing partners have experienced increasing lead times for the purchase of components incorporated into our products. Our reliance on a limited number of suppliers involves several additional risks, including:</w:t>
      </w:r>
    </w:p>
    <w:p>
      <w:pPr>
        <w:spacing w:after="0" w:line="116" w:lineRule="exact"/>
        <w:rPr>
          <w:sz w:val="20"/>
          <w:szCs w:val="20"/>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potential inability to obtain an adequate supply of required parts or components when required;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or other difficulties faced by our suppliers;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infringement or misappropriation of our intellectual property;</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increases;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a component to meet environmental or other regulatory requirements;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meet delivery obliga tions in a timely fashion; and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in component quality.</w:t>
      </w:r>
    </w:p>
    <w:p>
      <w:pPr>
        <w:spacing w:after="0" w:line="159" w:lineRule="exact"/>
        <w:rPr>
          <w:sz w:val="20"/>
          <w:szCs w:val="20"/>
          <w:color w:val="auto"/>
        </w:rPr>
      </w:pPr>
    </w:p>
    <w:p>
      <w:pPr>
        <w:ind w:right="60" w:firstLine="46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The occurrence of any of these would be disruptive to us and could seriously harm our business. Any interrupti 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fluctuations in currency exchange rates, which could negatively affect our financial condition and results of operations.</w:t>
      </w:r>
    </w:p>
    <w:p>
      <w:pPr>
        <w:spacing w:after="0" w:line="163"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 In addition, a majority of our operating expenses are incurred outside the United States, are denominated in foreign currencies, and are subject to fluctuations due to changes in foreign currency exchange rates, particularly changes in the Euro and Canadian dollar. Although we have been hedging currency exposures relating to certain balance sheet accounts and have recently entered into cashflow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16</w:t>
      </w:r>
    </w:p>
    <w:p>
      <w:pPr>
        <w:sectPr>
          <w:pgSz w:w="11900" w:h="16838" w:orient="portrait"/>
          <w:cols w:equalWidth="0" w:num="1">
            <w:col w:w="11460"/>
          </w:cols>
          <w:pgMar w:left="220" w:top="122"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generate a majority of revenue from sales to distributors, resellers and end-customers outside of the United States, and we are therefor e subject to a number of risks associated with international sales and operations.</w:t>
      </w:r>
    </w:p>
    <w:p>
      <w:pPr>
        <w:spacing w:after="0" w:line="112" w:lineRule="exact"/>
        <w:rPr>
          <w:sz w:val="20"/>
          <w:szCs w:val="20"/>
          <w:color w:val="auto"/>
        </w:rPr>
      </w:pPr>
    </w:p>
    <w:p>
      <w:pPr>
        <w:ind w:right="2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16" w:lineRule="exact"/>
        <w:rPr>
          <w:sz w:val="20"/>
          <w:szCs w:val="20"/>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or political instability in foreign markets;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difficulty in enforcing contracts, accounts receivable collection and longer collection periods;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regulatory requirements;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and costs of staffing and managing foreign operations;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uncertainty of protection for intellectual property rights in some countries;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compliance with foreign policies, laws and regulations and the risks and costs of non-compliance with such policies, laws and regulations;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comp lying with U.S. laws and regulations for foreign operations, including the Foreign Corrupt Practices Act, import and export control laws, tariffs, trade barriers, and economic sanctions;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regulatory or contractual limitations on our ability to sell our products in certain foreign markets, and the risks and costs of non-compliance;</w:t>
      </w:r>
    </w:p>
    <w:p>
      <w:pPr>
        <w:spacing w:after="0" w:line="163" w:lineRule="exact"/>
        <w:rPr>
          <w:rFonts w:ascii="Times New Roman" w:cs="Times New Roman" w:eastAsia="Times New Roman" w:hAnsi="Times New Roman"/>
          <w:sz w:val="13"/>
          <w:szCs w:val="13"/>
          <w:color w:val="auto"/>
        </w:rPr>
      </w:pPr>
    </w:p>
    <w:p>
      <w:pPr>
        <w:ind w:left="940" w:right="100" w:hanging="472"/>
        <w:spacing w:after="0" w:line="281" w:lineRule="auto"/>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1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for political unrest, terrorism, hostilities or war;</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communication and integration problems resulting from cultural differences and geographic dispersion;&amp;n bsp;and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multiple and possibly overlapping tax structures.</w:t>
      </w:r>
    </w:p>
    <w:p>
      <w:pPr>
        <w:spacing w:after="0" w:line="159"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Product and service sales may be subject to foreign governmental regulations, which vary substantially from country to country. Furt 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governmental export and import controls that could subject us to liability or impair our ability to compete in international markets.</w:t>
      </w:r>
    </w:p>
    <w:p>
      <w:pPr>
        <w:spacing w:after="0" w:line="163" w:lineRule="exact"/>
        <w:rPr>
          <w:sz w:val="20"/>
          <w:szCs w:val="20"/>
          <w:color w:val="auto"/>
        </w:rPr>
      </w:pPr>
    </w:p>
    <w:p>
      <w:pPr>
        <w:ind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17</w:t>
      </w:r>
    </w:p>
    <w:p>
      <w:pPr>
        <w:sectPr>
          <w:pgSz w:w="11900" w:h="16838" w:orient="portrait"/>
          <w:cols w:equalWidth="0" w:num="1">
            <w:col w:w="11400"/>
          </w:cols>
          <w:pgMar w:left="220" w:top="121"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316"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 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comply with environmental requirements, our business, financial condition, operating results and reputation could be adversely affected.</w:t>
      </w:r>
    </w:p>
    <w:p>
      <w:pPr>
        <w:spacing w:after="0" w:line="163" w:lineRule="exact"/>
        <w:rPr>
          <w:sz w:val="20"/>
          <w:szCs w:val="20"/>
          <w:color w:val="auto"/>
        </w:rPr>
      </w:pPr>
    </w:p>
    <w:p>
      <w:pPr>
        <w:ind w:right="14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 r laws and regulations have been passed or are pending in China, South Korea, Norway and Japan and may be enacted in other regions, including in the United States and we are, or may in the future be, subject to these laws and regulations.</w:t>
      </w:r>
    </w:p>
    <w:p>
      <w:pPr>
        <w:spacing w:after="0" w:line="127" w:lineRule="exact"/>
        <w:rPr>
          <w:sz w:val="20"/>
          <w:szCs w:val="20"/>
          <w:color w:val="auto"/>
        </w:rPr>
      </w:pPr>
    </w:p>
    <w:p>
      <w:pPr>
        <w:ind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 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29" w:lineRule="exact"/>
        <w:rPr>
          <w:sz w:val="20"/>
          <w:szCs w:val="20"/>
          <w:color w:val="auto"/>
        </w:rPr>
      </w:pPr>
    </w:p>
    <w:p>
      <w:pPr>
        <w:ind w:right="320" w:firstLine="46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 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23" w:lineRule="exact"/>
        <w:rPr>
          <w:sz w:val="20"/>
          <w:szCs w:val="20"/>
          <w:color w:val="auto"/>
        </w:rPr>
      </w:pPr>
    </w:p>
    <w:p>
      <w:pPr>
        <w:ind w:right="46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portion of our revenue is generated by sales to government entities, which are subject to a number of challenges and risks.</w:t>
      </w:r>
    </w:p>
    <w:p>
      <w:pPr>
        <w:spacing w:after="0" w:line="163" w:lineRule="exact"/>
        <w:rPr>
          <w:sz w:val="20"/>
          <w:szCs w:val="20"/>
          <w:color w:val="auto"/>
        </w:rPr>
      </w:pPr>
    </w:p>
    <w:p>
      <w:pPr>
        <w:ind w:right="20" w:firstLine="46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 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18</w:t>
      </w:r>
    </w:p>
    <w:p>
      <w:pPr>
        <w:sectPr>
          <w:pgSz w:w="11900" w:h="16838" w:orient="portrait"/>
          <w:cols w:equalWidth="0" w:num="1">
            <w:col w:w="11460"/>
          </w:cols>
          <w:pgMar w:left="220" w:top="121"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0"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False detection of viruses or security breaches or false identification of spam or spyware could adversely affect our business.</w:t>
      </w:r>
    </w:p>
    <w:p>
      <w:pPr>
        <w:spacing w:after="0" w:line="163"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 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 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our internal network system is compromised by computer hackers, public perception of our products and services will be harmed.</w:t>
      </w:r>
    </w:p>
    <w:p>
      <w:pPr>
        <w:spacing w:after="0" w:line="163" w:lineRule="exact"/>
        <w:rPr>
          <w:sz w:val="20"/>
          <w:szCs w:val="20"/>
          <w:color w:val="auto"/>
        </w:rPr>
      </w:pPr>
    </w:p>
    <w:p>
      <w:pPr>
        <w:ind w:right="10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will not succeed unless the marketplace is confident that we provide effective network security protection. Bec 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2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12" w:lineRule="exact"/>
        <w:rPr>
          <w:sz w:val="20"/>
          <w:szCs w:val="20"/>
          <w:color w:val="auto"/>
        </w:rPr>
      </w:pPr>
    </w:p>
    <w:p>
      <w:pPr>
        <w:ind w:right="320"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 rs require higher levels of support than smaller end-customers. If we fail to meet the requirements of the larger end-customers, it may be more difficult to execute on our strategy to increase our penetration with larger end-customers.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As a result, our failure to maintain high quality support services would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our provision for income taxes or adverse outcomes resulting from examination of our income tax returns could adversely affect our results.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Our provision for income taxes is subject to volatility and could be adversely affected by several factors, many of which are outside of our control, including:</w:t>
      </w:r>
    </w:p>
    <w:p>
      <w:pPr>
        <w:spacing w:after="0" w:line="167" w:lineRule="exact"/>
        <w:rPr>
          <w:sz w:val="20"/>
          <w:szCs w:val="20"/>
          <w:color w:val="auto"/>
        </w:rPr>
      </w:pPr>
    </w:p>
    <w:p>
      <w:pPr>
        <w:ind w:left="940" w:hanging="472"/>
        <w:spacing w:after="0"/>
        <w:tabs>
          <w:tab w:leader="none" w:pos="9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earnings being lower than anticipa ted in countries that have lower tax rates and higher than anticipated in countries that have higher tax rates;</w:t>
      </w:r>
    </w:p>
    <w:p>
      <w:pPr>
        <w:spacing w:after="0" w:line="159" w:lineRule="exact"/>
        <w:rPr>
          <w:rFonts w:ascii="Times New Roman" w:cs="Times New Roman" w:eastAsia="Times New Roman" w:hAnsi="Times New Roman"/>
          <w:sz w:val="13"/>
          <w:szCs w:val="13"/>
          <w:color w:val="auto"/>
        </w:rPr>
      </w:pPr>
    </w:p>
    <w:p>
      <w:pPr>
        <w:ind w:left="56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19</w:t>
      </w:r>
    </w:p>
    <w:p>
      <w:pPr>
        <w:sectPr>
          <w:pgSz w:w="11900" w:h="16838" w:orient="portrait"/>
          <w:cols w:equalWidth="0" w:num="1">
            <w:col w:w="11440"/>
          </w:cols>
          <w:pgMar w:left="220" w:top="12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320" w:lineRule="exact"/>
        <w:rPr>
          <w:sz w:val="20"/>
          <w:szCs w:val="20"/>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valuation of our deferred tax assets and liabilities;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expiration of, or lapses in the research and development tax credit laws;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pricing adjustments including the effect of acquisitions on our intercompany research and development and legal structure;</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non-deductible expenses for tax purposes, including certain stock-based compensation expense, write-offs of acquired in-process research and development, and impairment of goodwill;</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costs related to intercompany realignments;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assessments resulting from income tax audits or any related tax interest or penalties that could significantly affect our income tax provision for the period in which the settlement take place;</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change in our decision to indefinitely reinvest foreign earnings;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or</w:t>
      </w:r>
    </w:p>
    <w:p>
      <w:pPr>
        <w:spacing w:after="0" w:line="163" w:lineRule="exact"/>
        <w:rPr>
          <w:rFonts w:ascii="Times New Roman" w:cs="Times New Roman" w:eastAsia="Times New Roman" w:hAnsi="Times New Roman"/>
          <w:sz w:val="13"/>
          <w:szCs w:val="13"/>
          <w:color w:val="auto"/>
        </w:rPr>
      </w:pPr>
    </w:p>
    <w:p>
      <w:pPr>
        <w:ind w:left="940" w:right="440" w:hanging="472"/>
        <w:spacing w:after="0" w:line="281" w:lineRule="auto"/>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United States income tax rate, which would necessitate a revaluation of our deferred tax assets and liabilities.</w:t>
      </w:r>
    </w:p>
    <w:p>
      <w:pPr>
        <w:spacing w:after="0" w:line="115" w:lineRule="exact"/>
        <w:rPr>
          <w:sz w:val="20"/>
          <w:szCs w:val="20"/>
          <w:color w:val="auto"/>
        </w:rPr>
      </w:pPr>
    </w:p>
    <w:p>
      <w:pPr>
        <w:ind w:right="20" w:firstLine="46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Significant judgment is required to determine the recognition and measurement attribute prescribed in ASC 740-10 (formerly referred to as Statement of Financial Accounting Standards (SFAS) Interpretation No. 48, Accounting for Uncertainty in Income Taxes-an interpretation of SFAS No. 109 (FIN 48)). In addition, ASC 740-10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31" w:lineRule="exact"/>
        <w:rPr>
          <w:sz w:val="20"/>
          <w:szCs w:val="20"/>
          <w:color w:val="auto"/>
        </w:rPr>
      </w:pPr>
    </w:p>
    <w:p>
      <w:pPr>
        <w:ind w:right="14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12" w:lineRule="exact"/>
        <w:rPr>
          <w:sz w:val="20"/>
          <w:szCs w:val="20"/>
          <w:color w:val="auto"/>
        </w:rPr>
      </w:pPr>
    </w:p>
    <w:p>
      <w:pPr>
        <w:ind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We are currently under audit by the Canada Revenue Agency for fiscal years 2006-2009 associated with our international transactions. The California Franchise Tax Board has notified us of their intent to examine our fiscal 2008 and 2009 California tax returns. The scope of the California Franchise Tax Board examinations is unclear at this time.</w:t>
      </w:r>
    </w:p>
    <w:p>
      <w:pPr>
        <w:spacing w:after="0" w:line="112" w:lineRule="exact"/>
        <w:rPr>
          <w:sz w:val="20"/>
          <w:szCs w:val="20"/>
          <w:color w:val="auto"/>
        </w:rPr>
      </w:pPr>
    </w:p>
    <w:p>
      <w:pPr>
        <w:ind w:right="140" w:firstLine="469"/>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If the ultimate determination of income taxes assessed under the current Canadian or California audits or under audits being conducted, or to be conducted, in any of the ot her tax jurisdictions in which we operate results in an amount in excess of the tax provision we have recorded or reserved for, our operating results, cash flows and financial condition could be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Forecasting our estimated annual effective tax rate is complex and subject to uncertainty, and there may be material differences between our forecasted and actual tax rates.</w:t>
      </w:r>
    </w:p>
    <w:p>
      <w:pPr>
        <w:spacing w:after="0" w:line="163" w:lineRule="exact"/>
        <w:rPr>
          <w:sz w:val="20"/>
          <w:szCs w:val="20"/>
          <w:color w:val="auto"/>
        </w:rPr>
      </w:pPr>
    </w:p>
    <w:p>
      <w:pPr>
        <w:ind w:right="100" w:firstLine="469"/>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Forecasts of our income tax position and effective tax rate are complex and subject to uncertainty because our income tax position for each year comb 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20</w:t>
      </w:r>
    </w:p>
    <w:p>
      <w:pPr>
        <w:sectPr>
          <w:pgSz w:w="11900" w:h="16838" w:orient="portrait"/>
          <w:cols w:equalWidth="0" w:num="1">
            <w:col w:w="11460"/>
          </w:cols>
          <w:pgMar w:left="220" w:top="121"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b w:val="1"/>
          <w:bCs w:val="1"/>
          <w:i w:val="1"/>
          <w:iCs w:val="1"/>
          <w:u w:val="single" w:color="auto"/>
          <w:color w:val="0000FF"/>
        </w:rPr>
        <w:t>Table of Contents</w:t>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19"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3"/>
          <w:szCs w:val="13"/>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35"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3"/>
          <w:szCs w:val="13"/>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inability to acquire and integrate other businesses, products or technologies could seriously harm our competitive position.</w:t>
      </w:r>
    </w:p>
    <w:p>
      <w:pPr>
        <w:spacing w:after="0" w:line="167"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3"/>
          <w:szCs w:val="13"/>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 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subject to the risks of warranty claims, product returns, product liability and product defects.</w:t>
      </w:r>
    </w:p>
    <w:p>
      <w:pPr>
        <w:spacing w:after="0" w:line="167"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3"/>
          <w:szCs w:val="13"/>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 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38"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1460"/>
          </w:cols>
          <w:pgMar w:left="220" w:top="121"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subject to the risks of earthquakes, fire, power outages, floods and other catastrophic events, and to interruption by manmade problems such as terrorism.</w:t>
      </w:r>
    </w:p>
    <w:p>
      <w:pPr>
        <w:spacing w:after="0" w:line="167"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3"/>
          <w:szCs w:val="13"/>
          <w:color w:val="auto"/>
        </w:rPr>
        <w:t>A significant natural disaster, such as an earthquake, fire, a flood, or significant power outage could have a mater 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Industry</w:t>
      </w:r>
    </w:p>
    <w:p>
      <w:pPr>
        <w:spacing w:after="0" w:line="16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16"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3"/>
          <w:szCs w:val="13"/>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 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67" w:lineRule="exact"/>
        <w:rPr>
          <w:sz w:val="20"/>
          <w:szCs w:val="20"/>
          <w:color w:val="auto"/>
        </w:rPr>
      </w:pPr>
    </w:p>
    <w:p>
      <w:pPr>
        <w:ind w:right="100" w:firstLine="469"/>
        <w:spacing w:after="0" w:line="257" w:lineRule="auto"/>
        <w:rPr>
          <w:sz w:val="20"/>
          <w:szCs w:val="20"/>
          <w:color w:val="auto"/>
        </w:rPr>
      </w:pPr>
      <w:r>
        <w:rPr>
          <w:rFonts w:ascii="Times New Roman" w:cs="Times New Roman" w:eastAsia="Times New Roman" w:hAnsi="Times New Roman"/>
          <w:sz w:val="13"/>
          <w:szCs w:val="13"/>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 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731012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0120" cy="38100"/>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condition and results of operations.</w:t>
      </w:r>
    </w:p>
    <w:p>
      <w:pPr>
        <w:spacing w:after="0" w:line="163"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3"/>
          <w:szCs w:val="13"/>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our new products and product enhancements do not achieve sufficient market acceptance, our results of operations and competitive position will suffer.</w:t>
      </w:r>
    </w:p>
    <w:p>
      <w:pPr>
        <w:spacing w:after="0" w:line="167" w:lineRule="exact"/>
        <w:rPr>
          <w:sz w:val="20"/>
          <w:szCs w:val="20"/>
          <w:color w:val="auto"/>
        </w:rPr>
      </w:pPr>
    </w:p>
    <w:p>
      <w:pPr>
        <w:ind w:right="360" w:firstLine="469"/>
        <w:spacing w:after="0" w:line="261" w:lineRule="auto"/>
        <w:rPr>
          <w:sz w:val="20"/>
          <w:szCs w:val="20"/>
          <w:color w:val="auto"/>
        </w:rPr>
      </w:pPr>
      <w:r>
        <w:rPr>
          <w:rFonts w:ascii="Times New Roman" w:cs="Times New Roman" w:eastAsia="Times New Roman" w:hAnsi="Times New Roman"/>
          <w:sz w:val="13"/>
          <w:szCs w:val="13"/>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 hen we develop and introduce new or enhanced products, they must achieve high levels of market acceptance in order to justify the amount of our investment in developing and bringing them to market.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new products or product enhancements could fail to attain sufficient market acceptance for many reasons, including:</w:t>
      </w:r>
    </w:p>
    <w:p>
      <w:pPr>
        <w:spacing w:after="0" w:line="163" w:lineRule="exact"/>
        <w:rPr>
          <w:sz w:val="20"/>
          <w:szCs w:val="20"/>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in releasing our new products or enhancements to the market;</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accurately predict market demand in terms of product functionality and to supply products that meet this demand in a timely fashion;</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our sales force and partners to focus on selling new products;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interoperate effectively with the networks or applications of our prospective end-customers;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protect against new types of attacks or techniques used by hackers;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defects, errors or failures;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&lt; /tr&gt;</w:t>
      </w:r>
    </w:p>
    <w:p>
      <w:pPr>
        <w:spacing w:after="0" w:line="19" w:lineRule="exact"/>
        <w:rPr>
          <w:sz w:val="20"/>
          <w:szCs w:val="20"/>
          <w:color w:val="auto"/>
        </w:rPr>
      </w:pPr>
    </w:p>
    <w:p>
      <w:pPr>
        <w:ind w:left="940" w:hanging="472"/>
        <w:spacing w:after="0"/>
        <w:tabs>
          <w:tab w:leader="none" w:pos="9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publicity about their performance or effectiveness;</w:t>
      </w:r>
    </w:p>
    <w:p>
      <w:pPr>
        <w:spacing w:after="0" w:line="151"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introduction or anticipated introduction of competing products by our competitors;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poor business conditions for our end-customers, causing them to delay IT purchases;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easing of regulatory requirements around security; and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reluctance of customers to purchase products incorporating open source software.</w:t>
      </w:r>
    </w:p>
    <w:p>
      <w:pPr>
        <w:spacing w:after="0" w:line="163" w:lineRule="exact"/>
        <w:rPr>
          <w:sz w:val="20"/>
          <w:szCs w:val="20"/>
          <w:color w:val="auto"/>
        </w:rPr>
      </w:pPr>
    </w:p>
    <w:p>
      <w:pPr>
        <w:ind w:right="100" w:firstLine="469"/>
        <w:spacing w:after="0" w:line="281" w:lineRule="auto"/>
        <w:rPr>
          <w:sz w:val="20"/>
          <w:szCs w:val="20"/>
          <w:color w:val="auto"/>
        </w:rPr>
      </w:pPr>
      <w:r>
        <w:rPr>
          <w:rFonts w:ascii="Times New Roman" w:cs="Times New Roman" w:eastAsia="Times New Roman" w:hAnsi="Times New Roman"/>
          <w:sz w:val="13"/>
          <w:szCs w:val="13"/>
          <w:color w:val="auto"/>
        </w:rPr>
        <w:t>If our new products or enhancements do not achieve adequate acceptance in the market, our competitive position will be impaired, our revenue will be diminished and the effect on our operating results may be particularly acute b ecause of the significant research, development, marketing, sales and other expenses we incurred in connection with the new product or enhancement.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Unless we continue to develop better market awareness of our company and our products, our revenue may not continue to grow.</w:t>
      </w:r>
    </w:p>
    <w:p>
      <w:pPr>
        <w:spacing w:after="0" w:line="167" w:lineRule="exact"/>
        <w:rPr>
          <w:sz w:val="20"/>
          <w:szCs w:val="20"/>
          <w:color w:val="auto"/>
        </w:rPr>
      </w:pPr>
    </w:p>
    <w:p>
      <w:pPr>
        <w:ind w:right="580" w:firstLine="469"/>
        <w:spacing w:after="0" w:line="281" w:lineRule="auto"/>
        <w:rPr>
          <w:sz w:val="20"/>
          <w:szCs w:val="20"/>
          <w:color w:val="auto"/>
        </w:rPr>
      </w:pPr>
      <w:r>
        <w:rPr>
          <w:rFonts w:ascii="Times New Roman" w:cs="Times New Roman" w:eastAsia="Times New Roman" w:hAnsi="Times New Roman"/>
          <w:sz w:val="13"/>
          <w:szCs w:val="13"/>
          <w:color w:val="auto"/>
        </w:rPr>
        <w:t>We are a relatively new entrant in the network security market and we believe that we have not yet established sufficient market awareness of our participation in that market. Market awareness of our capabilities and products is esse ntial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1440"/>
          </w:cols>
          <w:pgMar w:left="220" w:top="12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3"/>
          <w:szCs w:val="13"/>
          <w:color w:val="auto"/>
        </w:rPr>
        <w:t>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Demand for Unified Threat Management products may be limited by market perception that UTM products are inferior to network security solutions from multiple vendors.</w:t>
      </w:r>
    </w:p>
    <w:p>
      <w:pPr>
        <w:spacing w:after="0" w:line="167"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3"/>
          <w:szCs w:val="13"/>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 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 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67" w:lineRule="exact"/>
        <w:rPr>
          <w:sz w:val="20"/>
          <w:szCs w:val="20"/>
          <w:color w:val="auto"/>
        </w:rPr>
      </w:pPr>
    </w:p>
    <w:p>
      <w:pPr>
        <w:jc w:val="both"/>
        <w:ind w:right="120" w:firstLine="469"/>
        <w:spacing w:after="0" w:line="266" w:lineRule="auto"/>
        <w:rPr>
          <w:sz w:val="20"/>
          <w:szCs w:val="20"/>
          <w:color w:val="auto"/>
        </w:rPr>
      </w:pPr>
      <w:r>
        <w:rPr>
          <w:rFonts w:ascii="Times New Roman" w:cs="Times New Roman" w:eastAsia="Times New Roman" w:hAnsi="Times New Roman"/>
          <w:sz w:val="13"/>
          <w:szCs w:val="13"/>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(pending acquisition by Intel, Inc.), and SonicWALL, Inc. (acquired by Thoma Bravo), and other point solution security vendors.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Many of our existing and potential competitors enjoy substantial competitive advantages such as:</w:t>
      </w:r>
    </w:p>
    <w:p>
      <w:pPr>
        <w:spacing w:after="0" w:line="163" w:lineRule="exact"/>
        <w:rPr>
          <w:sz w:val="20"/>
          <w:szCs w:val="20"/>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name recognition and longer operating histories;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larger sales and marketing budgets and resources;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broader distribution and established relationships with distribution partners and end-customers;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to larger customer bases;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customer support resources;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resources to make acquisitions;</w:t>
      </w:r>
    </w:p>
    <w:p>
      <w:pPr>
        <w:spacing w:after="0" w:line="31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lower labor and development costs; and</w:t>
      </w:r>
    </w:p>
    <w:p>
      <w:pPr>
        <w:spacing w:after="0" w:line="18"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substantially greater financial, technical and other resources.</w:t>
      </w:r>
    </w:p>
    <w:p>
      <w:pPr>
        <w:spacing w:after="0" w:line="152" w:lineRule="exact"/>
        <w:rPr>
          <w:sz w:val="20"/>
          <w:szCs w:val="20"/>
          <w:color w:val="auto"/>
        </w:rPr>
      </w:pPr>
    </w:p>
    <w:p>
      <w:pPr>
        <w:ind w:right="20" w:firstLine="469"/>
        <w:spacing w:after="0" w:line="257" w:lineRule="auto"/>
        <w:rPr>
          <w:sz w:val="20"/>
          <w:szCs w:val="20"/>
          <w:color w:val="auto"/>
        </w:rPr>
      </w:pPr>
      <w:r>
        <w:rPr>
          <w:rFonts w:ascii="Times New Roman" w:cs="Times New Roman" w:eastAsia="Times New Roman" w:hAnsi="Times New Roman"/>
          <w:sz w:val="13"/>
          <w:szCs w:val="13"/>
          <w:color w:val="auto"/>
        </w:rPr>
        <w:t>In addition, some of our larger competitors have substantially broader product offerings and leverage their relationships based on other p 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1420"/>
          </w:cols>
          <w:pgMar w:left="220" w:top="124"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3"/>
          <w:szCs w:val="13"/>
          <w:color w:val="auto"/>
        </w:rPr>
        <w:t>third parties with greater available resources, such as Juniper's acquisition of NetScreen Technologies, Inc., Intel's pending acquisition of McAfee and Check Point's acquisition of Nokia's security appliance business. As a result of such acquisitions, our current or potential competitors might be able to adapt more quickly to new technologies and custome 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3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16"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3"/>
          <w:szCs w:val="13"/>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 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Intellectual Property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proprietary rights may be difficult to enforce, which could enable others to copy or use aspects of our products without compensa ting us.</w:t>
      </w:r>
    </w:p>
    <w:p>
      <w:pPr>
        <w:spacing w:after="0" w:line="167"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3"/>
          <w:szCs w:val="13"/>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 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36" w:lineRule="exact"/>
        <w:rPr>
          <w:sz w:val="20"/>
          <w:szCs w:val="20"/>
          <w:color w:val="auto"/>
        </w:rPr>
      </w:pPr>
    </w:p>
    <w:p>
      <w:pPr>
        <w:ind w:right="20" w:firstLine="469"/>
        <w:spacing w:after="0" w:line="257" w:lineRule="auto"/>
        <w:rPr>
          <w:sz w:val="20"/>
          <w:szCs w:val="20"/>
          <w:color w:val="auto"/>
        </w:rPr>
      </w:pPr>
      <w:r>
        <w:rPr>
          <w:rFonts w:ascii="Times New Roman" w:cs="Times New Roman" w:eastAsia="Times New Roman" w:hAnsi="Times New Roman"/>
          <w:sz w:val="13"/>
          <w:szCs w:val="13"/>
          <w:color w:val="auto"/>
        </w:rPr>
        <w:t>Despite our efforts to protect our prop 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 gainst claims of infringement or invalidity. Such litigation could result in substantial costs and diversion of resources and could negatively affect our business, operating results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1460"/>
          </w:cols>
          <w:pgMar w:left="220" w:top="124"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3"/>
          <w:szCs w:val="13"/>
          <w:color w:val="auto"/>
        </w:rPr>
        <w:t>financial condition. If we are unable to protect our proprietary rights (including aspects of our software and products protected other than by patent rights), we may find ourselves at a competitive disadvantage to others who need not incur the add itional expense, time and effort required to create the innovative products that have enabled us to be successful to date.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67"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3"/>
          <w:szCs w:val="13"/>
          <w:color w:val="auto"/>
        </w:rPr>
        <w:t>Our products contain software modules licensed to us by third-party authors under “open source” licenses, including the GNU Public License (GPL), the GNU Lesser Public License (LGPL), th 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 ase the source code of our proprietary software to the public. This would allow our competitors to create similar products with lower development effort and time and ultimately could result in a loss of product sales for us.</w:t>
      </w:r>
    </w:p>
    <w:p>
      <w:pPr>
        <w:spacing w:after="0" w:line="136"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 e, to re-engineer our products, or to discontinue the sale of our products if re-engineering could not be accomplished on a timely basis, any of which could adversely affect our business, operating results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Claims by others that we infringe their proprietary technology could harm our business.</w:t>
      </w:r>
    </w:p>
    <w:p>
      <w:pPr>
        <w:spacing w:after="0" w:line="16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Patent and other intellectual property disputes are common in the network security industry. Third parties have asserted and may in the future assert claims of infringement of intellectu 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35" w:lineRule="exact"/>
        <w:rPr>
          <w:sz w:val="20"/>
          <w:szCs w:val="20"/>
          <w:color w:val="auto"/>
        </w:rPr>
      </w:pPr>
    </w:p>
    <w:p>
      <w:pPr>
        <w:jc w:val="both"/>
        <w:ind w:right="220" w:firstLine="469"/>
        <w:spacing w:after="0" w:line="266" w:lineRule="auto"/>
        <w:rPr>
          <w:sz w:val="20"/>
          <w:szCs w:val="20"/>
          <w:color w:val="auto"/>
        </w:rPr>
      </w:pPr>
      <w:r>
        <w:rPr>
          <w:rFonts w:ascii="Times New Roman" w:cs="Times New Roman" w:eastAsia="Times New Roman" w:hAnsi="Times New Roman"/>
          <w:sz w:val="13"/>
          <w:szCs w:val="13"/>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29"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3"/>
          <w:szCs w:val="13"/>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 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29"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3"/>
          <w:szCs w:val="13"/>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 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1460"/>
          </w:cols>
          <w:pgMar w:left="220" w:top="124" w:right="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Superior Court denied Trend Micro's demurrer in its entirety. Also in May 2010, the United States District Court for the Northern District of California denied Trend Micro's motion to d ismiss without prejudice and stayed the action before that court pending the conclusion of the state Superior Court action. In January 2011, in response to petitions for re-examination we filed with the U.S. Patent and Trademark Office ("PTO"), the PTO issued an initial office action that Trend Micro's patents at issue were invalid. In January 2011, we filed a motion to stay the Superior Court case pending final resolution at the PTO. Our motion to stay is currently pending. At this stage it is not possible to predict the outcome. An adverse outcome in this dispute could result in accelerated royalty payments and additional damages.</w:t>
      </w:r>
    </w:p>
    <w:p>
      <w:pPr>
        <w:spacing w:after="0" w:line="143"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3"/>
          <w:szCs w:val="13"/>
          <w:color w:val="auto"/>
        </w:rPr>
        <w:t>As discussed in "Item 3-Legal Proceedings," from time to time we are subject to lawsuits claiming patent inf ringement and there are lawsuits claiming patent infringement currently pending. If we are unsuccessful in defending any such claims, our operating results and financial condition and results may be materially and adversely affected. For example, we may be required to pay substantial damages and could be prevented from selling certain of our products.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the availability of third-party licenses.</w:t>
      </w:r>
    </w:p>
    <w:p>
      <w:pPr>
        <w:spacing w:after="0" w:line="16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 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Common Stock</w:t>
      </w:r>
    </w:p>
    <w:p>
      <w:pPr>
        <w:spacing w:after="0" w:line="16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3"/>
          <w:szCs w:val="13"/>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18"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3"/>
          <w:szCs w:val="13"/>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 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completed our evaluation of our internal controls over financial reporting for fiscal 2010 as required by Section 404 of the Sarbanes-Oxley Act of 2002. Although our assessment, testing and evaluation resulted in our conclusion that as of December 31, 2010, our internal controls over financial reporting were effective, we cannot predict the outcome of our testing in future periods. If our internal controls or disclosure controls are ineffective in future periods, our business and reputation could be harmed. We may incur additional expenses and commitment of management's time in connection with further evaluations, both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1460"/>
          </w:cols>
          <w:pgMar w:left="220" w:top="124"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which could materially increase our operating expenses and accordingly reduce our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financial accounting standards may cause adverse unexpected fluctuations and affect our reported results of operat ions.</w:t>
      </w:r>
    </w:p>
    <w:p>
      <w:pPr>
        <w:spacing w:after="0" w:line="167"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3"/>
          <w:szCs w:val="13"/>
          <w:color w:val="auto"/>
        </w:rPr>
        <w:t>A change in accounting standards or practices and varying interpretations of existing accounting pronouncements, such as changes to standards related to revenue recognition recently adopted by the FASB, the increased use of fair value measure, the recent proposed change to revenue recognition, lease accounting, financial instrument accounting standards, and the potential requirement that U.S. registrants prepare financial statements in accordance with International Financial Reporting Standards (“IFRS”), could have a significant effect on our reported financial results or the way we conduct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stop publishing research or publish inaccurate or unfavorable research about our business, our stock price and trading volume could decline.</w:t>
      </w:r>
    </w:p>
    <w:p>
      <w:pPr>
        <w:spacing w:after="0" w:line="167"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 s regularly, demand for our stock could decrease, which could cause our stock price and trading volume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price of our common stock is likely to be volatile.</w:t>
      </w:r>
    </w:p>
    <w:p>
      <w:pPr>
        <w:spacing w:after="0" w:line="167" w:lineRule="exact"/>
        <w:rPr>
          <w:sz w:val="20"/>
          <w:szCs w:val="20"/>
          <w:color w:val="auto"/>
        </w:rPr>
      </w:pPr>
    </w:p>
    <w:p>
      <w:pPr>
        <w:ind w:right="100" w:firstLine="469"/>
        <w:spacing w:after="0" w:line="281" w:lineRule="auto"/>
        <w:rPr>
          <w:sz w:val="20"/>
          <w:szCs w:val="20"/>
          <w:color w:val="auto"/>
        </w:rPr>
      </w:pPr>
      <w:r>
        <w:rPr>
          <w:rFonts w:ascii="Times New Roman" w:cs="Times New Roman" w:eastAsia="Times New Roman" w:hAnsi="Times New Roman"/>
          <w:sz w:val="13"/>
          <w:szCs w:val="13"/>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19"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3"/>
          <w:szCs w:val="13"/>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the past, many companies that have ex perienced volatility in the market price of their stock have been subject to securities class action litigation. We may be the target of this type of litigation in the future.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litigation against us could result in substantial costs and divert our management's attention from other business concerns, which could seriously harm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67" w:lineRule="exact"/>
        <w:rPr>
          <w:sz w:val="20"/>
          <w:szCs w:val="20"/>
          <w:color w:val="auto"/>
        </w:rPr>
      </w:pPr>
    </w:p>
    <w:p>
      <w:pPr>
        <w:jc w:val="both"/>
        <w:ind w:right="40" w:firstLine="469"/>
        <w:spacing w:after="0" w:line="258" w:lineRule="auto"/>
        <w:rPr>
          <w:sz w:val="20"/>
          <w:szCs w:val="20"/>
          <w:color w:val="auto"/>
        </w:rPr>
      </w:pPr>
      <w:r>
        <w:rPr>
          <w:rFonts w:ascii="Times New Roman" w:cs="Times New Roman" w:eastAsia="Times New Roman" w:hAnsi="Times New Roman"/>
          <w:sz w:val="13"/>
          <w:szCs w:val="13"/>
          <w:color w:val="auto"/>
        </w:rPr>
        <w:t>We expect that our existing cash and cash equivalents will be sufficient to meet our anticipated cash needs for at least the next twelve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 le terms, we may not be able to, among other things:</w:t>
      </w:r>
    </w:p>
    <w:p>
      <w:pPr>
        <w:spacing w:after="0" w:line="135" w:lineRule="exact"/>
        <w:rPr>
          <w:sz w:val="20"/>
          <w:szCs w:val="20"/>
          <w:color w:val="auto"/>
        </w:rPr>
      </w:pPr>
    </w:p>
    <w:p>
      <w:pPr>
        <w:ind w:left="940" w:hanging="472"/>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 or enhance our products and services;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expand our sales and marketing and research and development organizations;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complementary technologies, products or businesses;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 operations, in the United States or internationally;</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train and retain employees; or</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1420"/>
          </w:cols>
          <w:pgMar w:left="220" w:top="124"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8" w:lineRule="exact"/>
        <w:rPr>
          <w:sz w:val="20"/>
          <w:szCs w:val="20"/>
          <w:color w:val="auto"/>
        </w:rPr>
      </w:pPr>
    </w:p>
    <w:p>
      <w:pPr>
        <w:ind w:left="460"/>
        <w:spacing w:after="0"/>
        <w:tabs>
          <w:tab w:leader="none" w:pos="960" w:val="left"/>
        </w:tabs>
        <w:rPr>
          <w:sz w:val="20"/>
          <w:szCs w:val="20"/>
          <w:color w:val="auto"/>
        </w:rPr>
      </w:pPr>
      <w:r>
        <w:rPr>
          <w:rFonts w:ascii="Times New Roman" w:cs="Times New Roman" w:eastAsia="Times New Roman" w:hAnsi="Times New Roman"/>
          <w:sz w:val="13"/>
          <w:szCs w:val="13"/>
          <w:color w:val="auto"/>
        </w:rPr>
        <w:t>&amp; bull;</w:t>
        <w:tab/>
        <w:t>respond to competitive pressures or unanticipated working capital requirements.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failure to do any of these things could seriously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ownership among our existing executive officers, directors and their affiliates may prevent new investors from influencing significant corporate decisions.</w:t>
      </w:r>
    </w:p>
    <w:p>
      <w:pPr>
        <w:spacing w:after="0" w:line="167"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3"/>
          <w:szCs w:val="13"/>
          <w:color w:val="auto"/>
        </w:rPr>
        <w:t>As of February 17, 2011, our executive officers, directors and their affiliates beneficially owned, in the aggregate, approximately 21.1%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 ions difficult or impossible without the support of these stockholders.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Anti-takeover provisions contained in our certificate of incorporation and bylaws, as well as provisions of Delaware law, could impair a takeover attempt.</w:t>
      </w:r>
    </w:p>
    <w:p>
      <w:pPr>
        <w:spacing w:after="0" w:line="167" w:lineRule="exact"/>
        <w:rPr>
          <w:sz w:val="20"/>
          <w:szCs w:val="20"/>
          <w:color w:val="auto"/>
        </w:rPr>
      </w:pPr>
    </w:p>
    <w:p>
      <w:pPr>
        <w:ind w:right="280" w:firstLine="469"/>
        <w:spacing w:after="0" w:line="281" w:lineRule="auto"/>
        <w:rPr>
          <w:sz w:val="20"/>
          <w:szCs w:val="20"/>
          <w:color w:val="auto"/>
        </w:rPr>
      </w:pPr>
      <w:r>
        <w:rPr>
          <w:rFonts w:ascii="Times New Roman" w:cs="Times New Roman" w:eastAsia="Times New Roman" w:hAnsi="Times New Roman"/>
          <w:sz w:val="13"/>
          <w:szCs w:val="13"/>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19" w:lineRule="exact"/>
        <w:rPr>
          <w:sz w:val="20"/>
          <w:szCs w:val="20"/>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creating a classified board of directors whose members serve staggered three-year terms;</w:t>
      </w:r>
    </w:p>
    <w:p>
      <w:pPr>
        <w:spacing w:after="0" w:line="163" w:lineRule="exact"/>
        <w:rPr>
          <w:rFonts w:ascii="Times New Roman" w:cs="Times New Roman" w:eastAsia="Times New Roman" w:hAnsi="Times New Roman"/>
          <w:sz w:val="13"/>
          <w:szCs w:val="13"/>
          <w:color w:val="auto"/>
        </w:rPr>
      </w:pPr>
    </w:p>
    <w:p>
      <w:pPr>
        <w:ind w:left="940" w:right="320" w:hanging="472"/>
        <w:spacing w:after="0" w:line="281" w:lineRule="auto"/>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authorizing “blank check” preferred stock, which could be issued by the board without stockholder approval and may contain voting, liquidation, dividend and other rights superior to our common stock;</w:t>
      </w:r>
    </w:p>
    <w:p>
      <w:pPr>
        <w:spacing w:after="0" w:line="11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the liability of, and providing indemnification to, our dire ctors and officers;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the ability of our stockholders to call and bring business before special meetings;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advance notice of stockholder proposals for business to be conducted at meetings of our stockholders and for nominations of candidates for election to our board of directors;</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controlling the procedures fo r the conduct and scheduling of board and stockholder meetings; and</w:t>
      </w:r>
    </w:p>
    <w:p>
      <w:pPr>
        <w:spacing w:after="0" w:line="16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the board of directors with the express power to postpone previously scheduled annual meetings and to cancel previously scheduled special meetings.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These provisions, alone or together, could delay or prevent hostile takeovers and changes in control or changes in our management.</w:t>
      </w:r>
    </w:p>
    <w:p>
      <w:pPr>
        <w:spacing w:after="0" w:line="163" w:lineRule="exact"/>
        <w:rPr>
          <w:sz w:val="20"/>
          <w:szCs w:val="20"/>
          <w:color w:val="auto"/>
        </w:rPr>
      </w:pPr>
    </w:p>
    <w:p>
      <w:pPr>
        <w:ind w:right="80" w:firstLine="469"/>
        <w:spacing w:after="0" w:line="281" w:lineRule="auto"/>
        <w:rPr>
          <w:sz w:val="20"/>
          <w:szCs w:val="20"/>
          <w:color w:val="auto"/>
        </w:rPr>
      </w:pPr>
      <w:r>
        <w:rPr>
          <w:rFonts w:ascii="Times New Roman" w:cs="Times New Roman" w:eastAsia="Times New Roman" w:hAnsi="Times New Roman"/>
          <w:sz w:val="13"/>
          <w:szCs w:val="13"/>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19" w:lineRule="exact"/>
        <w:rPr>
          <w:sz w:val="20"/>
          <w:szCs w:val="20"/>
          <w:color w:val="auto"/>
        </w:rPr>
      </w:pPr>
    </w:p>
    <w:p>
      <w:pPr>
        <w:ind w:right="120" w:firstLine="469"/>
        <w:spacing w:after="0" w:line="281" w:lineRule="auto"/>
        <w:rPr>
          <w:sz w:val="20"/>
          <w:szCs w:val="20"/>
          <w:color w:val="auto"/>
        </w:rPr>
      </w:pPr>
      <w:r>
        <w:rPr>
          <w:rFonts w:ascii="Times New Roman" w:cs="Times New Roman" w:eastAsia="Times New Roman" w:hAnsi="Times New Roman"/>
          <w:sz w:val="13"/>
          <w:szCs w:val="13"/>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1B.</w:t>
      </w:r>
      <w:r>
        <w:rPr>
          <w:sz w:val="20"/>
          <w:szCs w:val="20"/>
          <w:color w:val="auto"/>
        </w:rPr>
        <w:tab/>
      </w:r>
      <w:r>
        <w:rPr>
          <w:rFonts w:ascii="Times New Roman" w:cs="Times New Roman" w:eastAsia="Times New Roman" w:hAnsi="Times New Roman"/>
          <w:sz w:val="12"/>
          <w:szCs w:val="12"/>
          <w:b w:val="1"/>
          <w:bCs w:val="1"/>
          <w:color w:val="auto"/>
        </w:rPr>
        <w:t>Unresolved Staff Comments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2.</w:t>
        <w:tab/>
        <w:t>Properties</w:t>
      </w:r>
    </w:p>
    <w:p>
      <w:pPr>
        <w:spacing w:after="0" w:line="165" w:lineRule="exact"/>
        <w:rPr>
          <w:sz w:val="20"/>
          <w:szCs w:val="20"/>
          <w:color w:val="auto"/>
        </w:rPr>
      </w:pPr>
    </w:p>
    <w:p>
      <w:pPr>
        <w:ind w:right="120" w:firstLine="469"/>
        <w:spacing w:after="0" w:line="281" w:lineRule="auto"/>
        <w:rPr>
          <w:sz w:val="20"/>
          <w:szCs w:val="20"/>
          <w:color w:val="auto"/>
        </w:rPr>
      </w:pPr>
      <w:r>
        <w:rPr>
          <w:rFonts w:ascii="Times New Roman" w:cs="Times New Roman" w:eastAsia="Times New Roman" w:hAnsi="Times New Roman"/>
          <w:sz w:val="13"/>
          <w:szCs w:val="13"/>
          <w:color w:val="auto"/>
        </w:rPr>
        <w:t>Our corporate headquarters are located at 1090 Kifer Road, Sunnyvale, California in an office consisting of approximately 107,000 square feet. The lease for this office expires in September 2013. We sublease approximately 23,000</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1460"/>
          </w:cols>
          <w:pgMar w:left="220" w:top="124"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square feet of this space pursuant to a sublease that expires in December 2011.</w:t>
      </w:r>
    </w:p>
    <w:p>
      <w:pPr>
        <w:spacing w:after="0" w:line="163"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3"/>
          <w:szCs w:val="13"/>
          <w:color w:val="auto"/>
        </w:rPr>
        <w:t>In addition to our headquarters, we lease approximately 14,000 square feet of data center space and a total of approximately 69,000 square feet of office space in several buildings in Burnaby, Canada under various leases that expire between January 2012 and July 2015, approximately 16,000 square feet of office space in Ottawa, Canada under a lease that expires in&amp; nbsp;February 2014, approximately 19,000 square feet of office space in Sophia, France under a lease that expires in December 2013, and approximately 26,000 square feet of office space in Beijing, China under a lease that expires in August 2011. We also lease sales and support offices in Australia, Austria, Belgium, Egypt, Germany, Hong Kong, India, Indonesia, Israel, Italy, Japan, Korea, Malaysia, Mexico, the Netherlands, New Zealand, Philippines, Poland, Russia, Saudi Arabia, Singapore, Spain, Sweden, Switzerland, Taiwan, Thailand, United Arab Emirates, and the United Kingdom. We believe that our existing properties are in good condition and are sufficient and suitable for the conduct of our business.</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1380"/>
          </w:cols>
          <w:pgMar w:left="220" w:top="142"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3.</w:t>
        <w:tab/>
        <w:t>Legal Proceedings</w:t>
      </w:r>
    </w:p>
    <w:p>
      <w:pPr>
        <w:spacing w:after="0" w:line="165"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3"/>
          <w:szCs w:val="13"/>
          <w:color w:val="auto"/>
        </w:rPr>
        <w:t>In August 2009, Trend Micro Incorporated (“Trend Micro”) filed a complaint against us in the Superior Court of the State of California for Santa Clara County alleging breach of contract and see king a declaratory judgment that we are obligated to make certain royalty payments to Trend Micro pursuant to a settlement and license agreement entered into in January 2006. We maintain that the patents that are the basis for the royalty payments are invalid and consequently that we have no contractual obligation to pay the royalties. We filed an action in the Northern District of California that is stayed pending the resolution of the state court action. We have continued to accrue expense based on the quarterly royalties provided for in the settlement and license agreement. In January 2011, in response to petitions for re-examination we filed with the U.S.</w:t>
      </w:r>
    </w:p>
    <w:p>
      <w:pPr>
        <w:spacing w:after="0" w:line="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Patent and Trademark Office (“PTO”), the PTO issued an initial office action that the Trend Micro patents allegedly forming the basis for the royalty payments are invalid. In January 2011, we filed a motion to stay the state court case pending final resolution at the PTO. Our motion to stay is currently pending.</w:t>
      </w:r>
    </w:p>
    <w:p>
      <w:pPr>
        <w:spacing w:after="0" w:line="131"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In January 2009, we filed a complaint against Palo Alto Networks, Inc. (“PAN”) in the United States District Court for the Northern District of California alleging, among other claims, patent infringement. In November 2010, we filed a second complaint against PAN in the United States District Court for the Northern District of California alleging infringement of three additional patents. On January 20, 2011, we entered into a settlement and patent license agreement with PAN pursuant to which we agreed to license certain asserted patents and certain related patents in return for an up-front payment by PAN and ongoing quarterly payments over three years. The parties also agreed upon a three year covenant not to sue for patent related claims.</w:t>
      </w:r>
    </w:p>
    <w:p>
      <w:pPr>
        <w:spacing w:after="0" w:line="132" w:lineRule="exact"/>
        <w:rPr>
          <w:sz w:val="20"/>
          <w:szCs w:val="20"/>
          <w:color w:val="auto"/>
        </w:rPr>
      </w:pPr>
    </w:p>
    <w:p>
      <w:pPr>
        <w:jc w:val="both"/>
        <w:ind w:right="280" w:firstLine="469"/>
        <w:spacing w:after="0" w:line="266" w:lineRule="auto"/>
        <w:rPr>
          <w:sz w:val="20"/>
          <w:szCs w:val="20"/>
          <w:color w:val="auto"/>
        </w:rPr>
      </w:pPr>
      <w:r>
        <w:rPr>
          <w:rFonts w:ascii="Times New Roman" w:cs="Times New Roman" w:eastAsia="Times New Roman" w:hAnsi="Times New Roman"/>
          <w:sz w:val="13"/>
          <w:szCs w:val="13"/>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In June 2010, the Court granted our motion to stay pending the outcome of reexamination proceedings on both asserted patents. There is a related action that was dismissed by the Court, and that dismissal has been appealed by ESR to the Federal Circuit.</w:t>
      </w:r>
    </w:p>
    <w:p>
      <w:pPr>
        <w:spacing w:after="0" w:line="129" w:lineRule="exact"/>
        <w:rPr>
          <w:sz w:val="20"/>
          <w:szCs w:val="20"/>
          <w:color w:val="auto"/>
        </w:rPr>
      </w:pPr>
    </w:p>
    <w:p>
      <w:pPr>
        <w:ind w:right="420" w:firstLine="469"/>
        <w:spacing w:after="0" w:line="281" w:lineRule="auto"/>
        <w:rPr>
          <w:sz w:val="20"/>
          <w:szCs w:val="20"/>
          <w:color w:val="auto"/>
        </w:rPr>
      </w:pPr>
      <w:r>
        <w:rPr>
          <w:rFonts w:ascii="Times New Roman" w:cs="Times New Roman" w:eastAsia="Times New Roman" w:hAnsi="Times New Roman"/>
          <w:sz w:val="13"/>
          <w:szCs w:val="13"/>
          <w:color w:val="auto"/>
        </w:rPr>
        <w:t>In July 2010, Network Protection Sciences, LLC, a non-practicing entity, filed a complaint in the United States District Court for the Eastern District of Texas alleging patent infringement by us and other defendants. Currently the case is in the early stages.</w:t>
      </w:r>
    </w:p>
    <w:p>
      <w:pPr>
        <w:spacing w:after="0" w:line="11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In September 2010, WordCheck Tech, LLC ("WordCheck"), a non-practicing entity, filed a complaint in the United States District Court for the Eastern District of Texas alleging patent infringement by us and numerous other defendants. In January 2011, we entered a settlement and license agreement with WordCheck pursuant to which WordCheck dismissed the litigation against us in return for an immaterial payment by us to WordCheck.</w:t>
      </w:r>
    </w:p>
    <w:p>
      <w:pPr>
        <w:spacing w:after="0" w:line="129"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3"/>
          <w:szCs w:val="13"/>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w:t>
      </w:r>
    </w:p>
    <w:p>
      <w:pPr>
        <w:spacing w:after="0" w:line="129"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 ad 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us.</w:t>
      </w:r>
    </w:p>
    <w:p>
      <w:pPr>
        <w:spacing w:after="0" w:line="1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4.</w:t>
        <w:tab/>
        <w:t>(Removed and Reserved)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Market for Registrant’s Common Equity, Related Stockholder Matters and Issuer Purchases of Equity Securities</w:t>
      </w:r>
    </w:p>
    <w:p>
      <w:pPr>
        <w:spacing w:after="0" w:line="165" w:lineRule="exact"/>
        <w:rPr>
          <w:sz w:val="20"/>
          <w:szCs w:val="20"/>
          <w:color w:val="auto"/>
        </w:rPr>
      </w:pPr>
    </w:p>
    <w:p>
      <w:pPr>
        <w:ind w:right="320" w:firstLine="469"/>
        <w:spacing w:after="0" w:line="281" w:lineRule="auto"/>
        <w:rPr>
          <w:sz w:val="20"/>
          <w:szCs w:val="20"/>
          <w:color w:val="auto"/>
        </w:rPr>
      </w:pPr>
      <w:r>
        <w:rPr>
          <w:rFonts w:ascii="Times New Roman" w:cs="Times New Roman" w:eastAsia="Times New Roman" w:hAnsi="Times New Roman"/>
          <w:sz w:val="13"/>
          <w:szCs w:val="13"/>
          <w:color w:val="auto"/>
        </w:rPr>
        <w:t>Our common stock is traded on The NASDAQ Global Select Market under the symbol “FTNT” since our initial public offering on November 18, 2009. Prior to that time, there was no public market of our common stock. The following table sets forth, for the time periods indicated, the high and low c losing sales price of our common stock as reported on The NASDAQ Global Select Market.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1460"/>
          </w:cols>
          <w:pgMar w:left="220" w:top="124"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20.11</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580" w:type="dxa"/>
            <w:vAlign w:val="bottom"/>
          </w:tcPr>
          <w:p>
            <w:pPr>
              <w:spacing w:after="0"/>
              <w:rPr>
                <w:sz w:val="13"/>
                <w:szCs w:val="13"/>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High ($)</w:t>
            </w:r>
          </w:p>
        </w:tc>
        <w:tc>
          <w:tcPr>
            <w:tcW w:w="320" w:type="dxa"/>
            <w:vAlign w:val="bottom"/>
          </w:tcPr>
          <w:p>
            <w:pPr>
              <w:spacing w:after="0"/>
              <w:rPr>
                <w:sz w:val="13"/>
                <w:szCs w:val="13"/>
                <w:color w:val="auto"/>
              </w:rPr>
            </w:pPr>
          </w:p>
        </w:tc>
        <w:tc>
          <w:tcPr>
            <w:tcW w:w="90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Low ($)</w:t>
            </w:r>
          </w:p>
        </w:tc>
      </w:tr>
      <w:tr>
        <w:trPr>
          <w:trHeight w:val="25"/>
        </w:trPr>
        <w:tc>
          <w:tcPr>
            <w:tcW w:w="5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 2010</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33.46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24.08</w:t>
            </w:r>
          </w:p>
        </w:tc>
      </w:tr>
      <w:tr>
        <w:trPr>
          <w:trHeight w:val="175"/>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Third Quarter 2010</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25.21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16.00</w:t>
            </w:r>
          </w:p>
        </w:tc>
      </w:tr>
      <w:tr>
        <w:trPr>
          <w:trHeight w:val="21"/>
        </w:trPr>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Second Quarter 2010</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18.63</w:t>
            </w:r>
          </w:p>
        </w:tc>
        <w:tc>
          <w:tcPr>
            <w:tcW w:w="12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15.00</w:t>
            </w:r>
          </w:p>
        </w:tc>
      </w:tr>
      <w:tr>
        <w:trPr>
          <w:trHeight w:val="175"/>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Quarter 2010</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15.69</w:t>
            </w:r>
          </w:p>
        </w:tc>
        <w:tc>
          <w:tcPr>
            <w:tcW w:w="900" w:type="dxa"/>
            <w:vAlign w:val="bottom"/>
          </w:tcPr>
          <w:p>
            <w:pPr>
              <w:spacing w:after="0"/>
              <w:rPr>
                <w:sz w:val="15"/>
                <w:szCs w:val="15"/>
                <w:color w:val="auto"/>
              </w:rPr>
            </w:pPr>
          </w:p>
        </w:tc>
      </w:tr>
      <w:tr>
        <w:trPr>
          <w:trHeight w:val="21"/>
        </w:trPr>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Fourth Quarter 2009 (from November 18, 2009)</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18.36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16.55</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Holders of Record</w:t>
      </w:r>
    </w:p>
    <w:p>
      <w:pPr>
        <w:spacing w:after="0" w:line="167"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As of February 17, 2011, there were 131 holders of record of our common stock. A substantially greater number of holders of our common stock are “ street name” or beneficial holders, whose shares are held by banks, brokers and other financial institutions.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167"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3"/>
          <w:szCs w:val="13"/>
          <w:color w:val="auto"/>
        </w:rPr>
        <w:t>We have never declared or paid cash dividends on our capital stock. We intend to retain all available funds and any future earnings to support the operation of and to finance the growth and development of our business. We do not anticipate paying any cash dividends in the foreseeable future. Any future determination to declare cash dividends will be made at the discretion of our board of dire ctors and will depend on our financial condition, operating results, capital requirements, general business conditions and other factors that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Stock Performance Graph</w:t>
      </w:r>
    </w:p>
    <w:p>
      <w:pPr>
        <w:spacing w:after="0" w:line="165"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This performance graph shall not be deemed “filed” for purposes of Section 18 of the Securities Exchange Act of 1934, as amended (the "Exchange Act"), or incorporated by reference into any filing of Fortinet under the Securities Act of 1933, as amended, or the Exchange Act, exc ept as shall be expressly set forth by specific reference in such filing.</w:t>
      </w:r>
    </w:p>
    <w:p>
      <w:pPr>
        <w:spacing w:after="0" w:line="118"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3"/>
          <w:szCs w:val="13"/>
          <w:color w:val="auto"/>
        </w:rPr>
        <w:t>The following graph shows a comparison from November 18, 2009 through December 31, 2010,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1460"/>
          </w:cols>
          <w:pgMar w:left="220" w:top="124" w:right="2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COMPARISON OF CUMULATIVE TOTAL RETURN*</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Among Fortinet, Inc., The NASDAQ Composite Index and</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104775</wp:posOffset>
            </wp:positionV>
            <wp:extent cx="3850005"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50005"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$100 invested on 11/18/09 in stock or index, including reinvestment of dividends.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Unregistered Securities</w:t>
      </w:r>
    </w:p>
    <w:p>
      <w:pPr>
        <w:spacing w:after="0" w:line="167"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In October 2010, we issued 83,546 shares of our common stock in connection with a net exercise of a warrant to purchase 120,000 shares of our common stock with an exercise price of $7.47 per share. We believe this transaction was exempt from the registration requirements of the Securities Act of 1933, as amended, in reliance on Section 4(2) thereof, as a transaction by an issuer not involving a public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Purchases of Equity Securities by the Issuer and Affiliated Purchasers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None.</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1200"/>
          </w:cols>
          <w:pgMar w:left="220" w:top="124"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Selected Financial Data</w:t>
      </w:r>
    </w:p>
    <w:p>
      <w:pPr>
        <w:spacing w:after="0" w:line="165"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3"/>
          <w:szCs w:val="13"/>
          <w:color w:val="auto"/>
        </w:rPr>
        <w:t>You should read the following selected consolidated historical financial data below in conjunction with the section titled “Management’s Discussion and Analysis of Financial Condition and Results of Operations” and the consolidated financial statements, related notes and other financial information included elsewhere in this Annual Report on Form 10-K. The selected financial data in this section is not intended to replace the financial statements and is qualified in its entirety by the consolidated financial statements and related notes thereto included elsewhere in this Annual Report on Form 10-K.</w:t>
      </w:r>
    </w:p>
    <w:p>
      <w:pPr>
        <w:spacing w:after="0" w:line="1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We made the decision in the first quarter of 2009 to change our financial reporting periods from a fiscal to calendar basis. This change was implemented in the third quarter of 2009 upon completion of required system changes. Accordingly, commencing in the third quarter of fiscal 2009, we began operating and reporting financial results on a calendar quarter and year basis. Our third quarter of fiscal 2009 ended on September 30, 2009, and our fiscal year 2009 ended on December 31, 2009. This transition had the effect of increasing the number of days in our twelve months ended December 31, 2009 by four days. In 2005, we adopted a fiscal year that ends on the Sunday closest to December 31 of each year. Our 2006, 2007 and 2008 fiscal years ended on December 31, 2006, December 30, 2007 and December 28, 2008, respectively. Prior to the third quarter of fiscal 2009, our interim fiscal quarters ended on the Sunday closest to March 31, June 30 and September 30 of each year.</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1380"/>
          </w:cols>
          <w:pgMar w:left="220" w:top="124" w:right="299" w:bottom="1440" w:gutter="0" w:footer="0" w:header="0"/>
        </w:sectPr>
      </w:pPr>
    </w:p>
    <w:bookmarkStart w:id="37" w:name="page38"/>
    <w:bookmarkEnd w:id="37"/>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81" w:lineRule="exact"/>
        <w:rPr>
          <w:sz w:val="20"/>
          <w:szCs w:val="20"/>
          <w:color w:val="auto"/>
        </w:rPr>
      </w:pPr>
    </w:p>
    <w:tbl>
      <w:tblPr>
        <w:tblLayout w:type="fixed"/>
        <w:tblInd w:w="2"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2"/>
              </w:rPr>
              <w:t xml:space="preserve">Fiscal Year </w:t>
            </w:r>
            <w:r>
              <w:rPr>
                <w:rFonts w:ascii="Times New Roman" w:cs="Times New Roman" w:eastAsia="Times New Roman" w:hAnsi="Times New Roman"/>
                <w:sz w:val="13"/>
                <w:szCs w:val="13"/>
                <w:b w:val="1"/>
                <w:bCs w:val="1"/>
                <w:color w:val="auto"/>
                <w:w w:val="92"/>
                <w:vertAlign w:val="superscript"/>
              </w:rPr>
              <w:t>(1)</w:t>
            </w: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2"/>
        </w:trPr>
        <w:tc>
          <w:tcPr>
            <w:tcW w:w="4760" w:type="dxa"/>
            <w:vAlign w:val="bottom"/>
            <w:gridSpan w:val="2"/>
          </w:tcPr>
          <w:p>
            <w:pPr>
              <w:ind w:left="4500"/>
              <w:spacing w:after="0"/>
              <w:rPr>
                <w:sz w:val="20"/>
                <w:szCs w:val="20"/>
                <w:color w:val="auto"/>
              </w:rPr>
            </w:pPr>
            <w:r>
              <w:rPr>
                <w:rFonts w:ascii="Times New Roman" w:cs="Times New Roman" w:eastAsia="Times New Roman" w:hAnsi="Times New Roman"/>
                <w:sz w:val="12"/>
                <w:szCs w:val="12"/>
                <w:b w:val="1"/>
                <w:bCs w:val="1"/>
                <w:color w:val="auto"/>
                <w:w w:val="99"/>
              </w:rPr>
              <w:t>2010</w:t>
            </w:r>
          </w:p>
        </w:tc>
        <w:tc>
          <w:tcPr>
            <w:tcW w:w="7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2009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75"/>
              <w:spacing w:after="0"/>
              <w:rPr>
                <w:sz w:val="20"/>
                <w:szCs w:val="20"/>
                <w:color w:val="auto"/>
              </w:rPr>
            </w:pPr>
            <w:r>
              <w:rPr>
                <w:rFonts w:ascii="Times New Roman" w:cs="Times New Roman" w:eastAsia="Times New Roman" w:hAnsi="Times New Roman"/>
                <w:sz w:val="12"/>
                <w:szCs w:val="12"/>
                <w:b w:val="1"/>
                <w:bCs w:val="1"/>
                <w:color w:val="auto"/>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2007</w:t>
            </w:r>
          </w:p>
        </w:tc>
        <w:tc>
          <w:tcPr>
            <w:tcW w:w="100" w:type="dxa"/>
            <w:vAlign w:val="bottom"/>
          </w:tcPr>
          <w:p>
            <w:pPr>
              <w:spacing w:after="0"/>
              <w:rPr>
                <w:sz w:val="14"/>
                <w:szCs w:val="14"/>
                <w:color w:val="auto"/>
              </w:rPr>
            </w:pPr>
          </w:p>
        </w:tc>
        <w:tc>
          <w:tcPr>
            <w:tcW w:w="1340" w:type="dxa"/>
            <w:vAlign w:val="bottom"/>
            <w:gridSpan w:val="2"/>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2006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
        </w:trPr>
        <w:tc>
          <w:tcPr>
            <w:tcW w:w="40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1"/>
        </w:trPr>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560" w:type="dxa"/>
            <w:vAlign w:val="bottom"/>
            <w:gridSpan w:val="8"/>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7"/>
              </w:rPr>
              <w:t>($ amounts in 000's, except per share amounts)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
        </w:trPr>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6"/>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 Data:</w:t>
            </w:r>
          </w:p>
        </w:tc>
        <w:tc>
          <w:tcPr>
            <w:tcW w:w="7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163"/>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&lt;</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00" w:type="dxa"/>
            <w:vAlign w:val="bottom"/>
          </w:tcPr>
          <w:p>
            <w:pPr>
              <w:spacing w:after="0"/>
              <w:rPr>
                <w:sz w:val="14"/>
                <w:szCs w:val="14"/>
                <w:color w:val="auto"/>
              </w:rPr>
            </w:pP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/div&gt;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4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135,140</w:t>
            </w: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98,686</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94,587</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70,131</w:t>
            </w:r>
          </w:p>
        </w:tc>
        <w:tc>
          <w:tcPr>
            <w:tcW w:w="100" w:type="dxa"/>
            <w:vAlign w:val="bottom"/>
          </w:tcPr>
          <w:p>
            <w:pPr>
              <w:spacing w:after="0"/>
              <w:rPr>
                <w:sz w:val="15"/>
                <w:szCs w:val="15"/>
                <w:color w:val="auto"/>
              </w:rPr>
            </w:pP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59,469</w:t>
            </w:r>
          </w:p>
        </w:tc>
        <w:tc>
          <w:tcPr>
            <w:tcW w:w="40" w:type="dxa"/>
            <w:vAlign w:val="bottom"/>
            <w:tcBorders>
              <w:bottom w:val="single" w:sz="8" w:color="CCEEFF"/>
            </w:tcBorders>
            <w:shd w:val="clear" w:color="auto" w:fill="CCEEFF"/>
          </w:tcPr>
          <w:p>
            <w:pPr>
              <w:spacing w:after="0"/>
              <w:rPr>
                <w:sz w:val="15"/>
                <w:szCs w:val="15"/>
                <w:color w:val="auto"/>
              </w:rPr>
            </w:pPr>
          </w:p>
        </w:tc>
      </w:tr>
      <w:tr>
        <w:trPr>
          <w:trHeight w:val="175"/>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172,046</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139,172</w:t>
            </w:r>
          </w:p>
        </w:tc>
        <w:tc>
          <w:tcPr>
            <w:tcW w:w="1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105,292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74,152</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39,590</w:t>
            </w:r>
          </w:p>
        </w:tc>
        <w:tc>
          <w:tcPr>
            <w:tcW w:w="40" w:type="dxa"/>
            <w:vAlign w:val="bottom"/>
          </w:tcPr>
          <w:p>
            <w:pPr>
              <w:spacing w:after="0"/>
              <w:rPr>
                <w:sz w:val="15"/>
                <w:szCs w:val="15"/>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7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17,510</w:t>
            </w:r>
          </w:p>
        </w:tc>
        <w:tc>
          <w:tcPr>
            <w:tcW w:w="3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14,257</w:t>
            </w:r>
          </w:p>
        </w:tc>
        <w:tc>
          <w:tcPr>
            <w:tcW w:w="12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11,912</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11,083</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24,407</w:t>
            </w:r>
          </w:p>
        </w:tc>
        <w:tc>
          <w:tcPr>
            <w:tcW w:w="40" w:type="dxa"/>
            <w:vAlign w:val="bottom"/>
            <w:tcBorders>
              <w:bottom w:val="single" w:sz="8" w:color="auto"/>
            </w:tcBorders>
            <w:shd w:val="clear" w:color="auto" w:fill="CCEEFF"/>
          </w:tcPr>
          <w:p>
            <w:pPr>
              <w:spacing w:after="0"/>
              <w:rPr>
                <w:sz w:val="16"/>
                <w:szCs w:val="16"/>
                <w:color w:val="auto"/>
              </w:rPr>
            </w:pPr>
          </w:p>
        </w:tc>
      </w:tr>
      <w:tr>
        <w:trPr>
          <w:trHeight w:val="16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324,696</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252,115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211,791</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155,366</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123,466</w:t>
            </w:r>
          </w:p>
        </w:tc>
        <w:tc>
          <w:tcPr>
            <w:tcW w:w="40" w:type="dxa"/>
            <w:vAlign w:val="bottom"/>
          </w:tcPr>
          <w:p>
            <w:pPr>
              <w:spacing w:after="0"/>
              <w:rPr>
                <w:sz w:val="14"/>
                <w:szCs w:val="14"/>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7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r>
      <w:tr>
        <w:trPr>
          <w:trHeight w:val="196"/>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xml:space="preserve">Product </w:t>
            </w:r>
            <w:r>
              <w:rPr>
                <w:rFonts w:ascii="Times New Roman" w:cs="Times New Roman" w:eastAsia="Times New Roman" w:hAnsi="Times New Roman"/>
                <w:sz w:val="17"/>
                <w:szCs w:val="17"/>
                <w:color w:val="auto"/>
                <w:vertAlign w:val="superscript"/>
              </w:rPr>
              <w:t>(2)</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51,944</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42,166</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41,397</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35,948</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24,166</w:t>
            </w:r>
          </w:p>
        </w:tc>
        <w:tc>
          <w:tcPr>
            <w:tcW w:w="4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Services </w:t>
            </w:r>
            <w:r>
              <w:rPr>
                <w:rFonts w:ascii="Times New Roman" w:cs="Times New Roman" w:eastAsia="Times New Roman" w:hAnsi="Times New Roman"/>
                <w:sz w:val="13"/>
                <w:szCs w:val="13"/>
                <w:color w:val="auto"/>
                <w:vertAlign w:val="superscript"/>
              </w:rPr>
              <w:t>(2)</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26,967</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22,265</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19,441</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rPr>
              <w:t>15,941</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9,496</w:t>
            </w:r>
          </w:p>
        </w:tc>
        <w:tc>
          <w:tcPr>
            <w:tcW w:w="40" w:type="dxa"/>
            <w:vAlign w:val="bottom"/>
            <w:shd w:val="clear" w:color="auto" w:fill="CCEEFF"/>
          </w:tcPr>
          <w:p>
            <w:pPr>
              <w:spacing w:after="0"/>
              <w:rPr>
                <w:sz w:val="17"/>
                <w:szCs w:val="17"/>
                <w:color w:val="auto"/>
              </w:rPr>
            </w:pPr>
          </w:p>
        </w:tc>
      </w:tr>
      <w:tr>
        <w:trPr>
          <w:trHeight w:val="195"/>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7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6,295</w:t>
            </w:r>
          </w:p>
        </w:tc>
        <w:tc>
          <w:tcPr>
            <w:tcW w:w="3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4,763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7,302</w:t>
            </w: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0"/>
              </w:rPr>
              <w:t>;</w:t>
            </w:r>
          </w:p>
        </w:tc>
      </w:tr>
      <w:tr>
        <w:trPr>
          <w:trHeight w:val="18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7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85,206</w:t>
            </w:r>
          </w:p>
        </w:tc>
        <w:tc>
          <w:tcPr>
            <w:tcW w:w="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69,975</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65,472</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56,652</w:t>
            </w: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40,964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65"/>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4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83,196</w:t>
            </w: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56,520</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53,190</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34,183</w:t>
            </w: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35,303</w:t>
            </w:r>
          </w:p>
        </w:tc>
        <w:tc>
          <w:tcPr>
            <w:tcW w:w="40" w:type="dxa"/>
            <w:vAlign w:val="bottom"/>
            <w:tcBorders>
              <w:bottom w:val="single" w:sz="8" w:color="CCEEFF"/>
            </w:tcBorders>
            <w:shd w:val="clear" w:color="auto" w:fill="CCEEFF"/>
          </w:tcPr>
          <w:p>
            <w:pPr>
              <w:spacing w:after="0"/>
              <w:rPr>
                <w:sz w:val="15"/>
                <w:szCs w:val="15"/>
                <w:color w:val="auto"/>
              </w:rPr>
            </w:pPr>
          </w:p>
        </w:tc>
      </w:tr>
      <w:tr>
        <w:trPr>
          <w:trHeight w:val="175"/>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145,079</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116,907</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85,851</w:t>
            </w: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58,211</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30,094</w:t>
            </w:r>
          </w:p>
        </w:tc>
        <w:tc>
          <w:tcPr>
            <w:tcW w:w="40" w:type="dxa"/>
            <w:vAlign w:val="bottom"/>
          </w:tcPr>
          <w:p>
            <w:pPr>
              <w:spacing w:after="0"/>
              <w:rPr>
                <w:sz w:val="15"/>
                <w:szCs w:val="15"/>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7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11,215</w:t>
            </w: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8,713</w:t>
            </w:r>
          </w:p>
        </w:tc>
        <w:tc>
          <w:tcPr>
            <w:tcW w:w="10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6,320</w:t>
            </w: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17,105</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65"/>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gross profit</w:t>
            </w: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239,490</w:t>
            </w: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182,140</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146,319</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98,714</w:t>
            </w:r>
          </w:p>
        </w:tc>
        <w:tc>
          <w:tcPr>
            <w:tcW w:w="1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82,502</w:t>
            </w:r>
          </w:p>
        </w:tc>
        <w:tc>
          <w:tcPr>
            <w:tcW w:w="40" w:type="dxa"/>
            <w:vAlign w:val="bottom"/>
            <w:tcBorders>
              <w:top w:val="single" w:sz="8" w:color="auto"/>
            </w:tcBorders>
          </w:tcPr>
          <w:p>
            <w:pPr>
              <w:spacing w:after="0"/>
              <w:rPr>
                <w:sz w:val="14"/>
                <w:szCs w:val="14"/>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7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r>
      <w:tr>
        <w:trPr>
          <w:trHeight w:val="196"/>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xml:space="preserve">Research and development </w:t>
            </w:r>
            <w:r>
              <w:rPr>
                <w:rFonts w:ascii="Times New Roman" w:cs="Times New Roman" w:eastAsia="Times New Roman" w:hAnsi="Times New Roman"/>
                <w:sz w:val="13"/>
                <w:szCs w:val="13"/>
                <w:color w:val="auto"/>
                <w:vertAlign w:val="superscript"/>
              </w:rPr>
              <w:t>(2)</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49,801</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42,195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37,035</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27,588</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21,446</w:t>
            </w:r>
          </w:p>
        </w:tc>
        <w:tc>
          <w:tcPr>
            <w:tcW w:w="4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Sales and marketing </w:t>
            </w:r>
            <w:r>
              <w:rPr>
                <w:rFonts w:ascii="Times New Roman" w:cs="Times New Roman" w:eastAsia="Times New Roman" w:hAnsi="Times New Roman"/>
                <w:sz w:val="13"/>
                <w:szCs w:val="13"/>
                <w:color w:val="auto"/>
                <w:vertAlign w:val="superscript"/>
              </w:rPr>
              <w:t>(2)</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111,968</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96,291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87,717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72,159</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54,056</w:t>
            </w:r>
          </w:p>
        </w:tc>
        <w:tc>
          <w:tcPr>
            <w:tcW w:w="40" w:type="dxa"/>
            <w:vAlign w:val="bottom"/>
            <w:shd w:val="clear" w:color="auto" w:fill="CCEEFF"/>
          </w:tcPr>
          <w:p>
            <w:pPr>
              <w:spacing w:after="0"/>
              <w:rPr>
                <w:sz w:val="17"/>
                <w:szCs w:val="17"/>
                <w:color w:val="auto"/>
              </w:rPr>
            </w:pPr>
          </w:p>
        </w:tc>
      </w:tr>
      <w:tr>
        <w:trPr>
          <w:trHeight w:val="189"/>
        </w:trPr>
        <w:tc>
          <w:tcPr>
            <w:tcW w:w="4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 xml:space="preserve">General and administrative </w:t>
            </w:r>
            <w:r>
              <w:rPr>
                <w:rFonts w:ascii="Times New Roman" w:cs="Times New Roman" w:eastAsia="Times New Roman" w:hAnsi="Times New Roman"/>
                <w:sz w:val="13"/>
                <w:szCs w:val="13"/>
                <w:color w:val="auto"/>
                <w:vertAlign w:val="superscript"/>
              </w:rPr>
              <w:t>(2)</w:t>
            </w:r>
          </w:p>
        </w:tc>
        <w:tc>
          <w:tcPr>
            <w:tcW w:w="760" w:type="dxa"/>
            <w:vAlign w:val="bottom"/>
          </w:tcPr>
          <w:p>
            <w:pPr>
              <w:spacing w:after="0"/>
              <w:rPr>
                <w:sz w:val="16"/>
                <w:szCs w:val="16"/>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22,380</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18,320</w:t>
            </w: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16,640</w:t>
            </w:r>
          </w:p>
        </w:tc>
        <w:tc>
          <w:tcPr>
            <w:tcW w:w="1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20,544</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12,997</w:t>
            </w:r>
          </w:p>
        </w:tc>
        <w:tc>
          <w:tcPr>
            <w:tcW w:w="40" w:type="dxa"/>
            <w:vAlign w:val="bottom"/>
          </w:tcPr>
          <w:p>
            <w:pPr>
              <w:spacing w:after="0"/>
              <w:rPr>
                <w:sz w:val="16"/>
                <w:szCs w:val="16"/>
                <w:color w:val="auto"/>
              </w:rPr>
            </w:pPr>
          </w:p>
        </w:tc>
      </w:tr>
      <w:tr>
        <w:trPr>
          <w:trHeight w:val="171"/>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184,149</w:t>
            </w: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156,806</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120,291</w:t>
            </w:r>
          </w:p>
        </w:tc>
        <w:tc>
          <w:tcPr>
            <w:tcW w:w="1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88,499</w:t>
            </w:r>
          </w:p>
        </w:tc>
        <w:tc>
          <w:tcPr>
            <w:tcW w:w="40" w:type="dxa"/>
            <w:vAlign w:val="bottom"/>
            <w:tcBorders>
              <w:top w:val="single" w:sz="8" w:color="auto"/>
            </w:tcBorders>
          </w:tcPr>
          <w:p>
            <w:pPr>
              <w:spacing w:after="0"/>
              <w:rPr>
                <w:sz w:val="14"/>
                <w:szCs w:val="14"/>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55,341</w:t>
            </w: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25,334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(21,577)</w:t>
            </w: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(5,997)</w:t>
            </w:r>
          </w:p>
        </w:tc>
        <w:tc>
          <w:tcPr>
            <w:tcW w:w="40" w:type="dxa"/>
            <w:vAlign w:val="bottom"/>
            <w:tcBorders>
              <w:bottom w:val="single" w:sz="8" w:color="CCEEFF"/>
            </w:tcBorders>
            <w:shd w:val="clear" w:color="auto" w:fill="CCEEFF"/>
          </w:tcPr>
          <w:p>
            <w:pPr>
              <w:spacing w:after="0"/>
              <w:rPr>
                <w:sz w:val="14"/>
                <w:szCs w:val="14"/>
                <w:color w:val="auto"/>
              </w:rPr>
            </w:pPr>
          </w:p>
        </w:tc>
      </w:tr>
      <w:tr>
        <w:trPr>
          <w:trHeight w:val="17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1,815</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3,507</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2,376</w:t>
            </w:r>
          </w:p>
        </w:tc>
        <w:tc>
          <w:tcPr>
            <w:tcW w:w="40" w:type="dxa"/>
            <w:vAlign w:val="bottom"/>
          </w:tcPr>
          <w:p>
            <w:pPr>
              <w:spacing w:after="0"/>
              <w:rPr>
                <w:sz w:val="15"/>
                <w:szCs w:val="15"/>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7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(815)</w:t>
            </w: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(1,991)</w:t>
            </w: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(503)</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65"/>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56,341</w:t>
            </w: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27,513</w:t>
            </w:r>
          </w:p>
        </w:tc>
        <w:tc>
          <w:tcPr>
            <w:tcW w:w="12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9,251</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(20,061)</w:t>
            </w:r>
          </w:p>
        </w:tc>
        <w:tc>
          <w:tcPr>
            <w:tcW w:w="1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(4,124)</w:t>
            </w:r>
          </w:p>
        </w:tc>
        <w:tc>
          <w:tcPr>
            <w:tcW w:w="40" w:type="dxa"/>
            <w:vAlign w:val="bottom"/>
            <w:tcBorders>
              <w:top w:val="single" w:sz="8" w:color="auto"/>
            </w:tcBorders>
          </w:tcPr>
          <w:p>
            <w:pPr>
              <w:spacing w:after="0"/>
              <w:rPr>
                <w:sz w:val="14"/>
                <w:szCs w:val="14"/>
                <w:color w:val="auto"/>
              </w:rPr>
            </w:pPr>
          </w:p>
        </w:tc>
      </w:tr>
      <w:tr>
        <w:trPr>
          <w:trHeight w:val="21"/>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15,096</w:t>
            </w: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(32,666)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1,220</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41,245</w:t>
            </w: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60,179</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(21,842)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(5,344)</w:t>
            </w:r>
          </w:p>
        </w:tc>
        <w:tc>
          <w:tcPr>
            <w:tcW w:w="40" w:type="dxa"/>
            <w:vAlign w:val="bottom"/>
            <w:tcBorders>
              <w:bottom w:val="single" w:sz="8" w:color="auto"/>
            </w:tcBorders>
          </w:tcPr>
          <w:p>
            <w:pPr>
              <w:spacing w:after="0"/>
              <w:rPr>
                <w:sz w:val="17"/>
                <w:szCs w:val="17"/>
                <w:color w:val="auto"/>
              </w:rPr>
            </w:pPr>
          </w:p>
        </w:tc>
      </w:tr>
      <w:tr>
        <w:trPr>
          <w:trHeight w:val="18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Net income (loss) per share </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vertAlign w:val="subscript"/>
              </w:rPr>
              <w:t>:</w:t>
            </w:r>
          </w:p>
        </w:tc>
        <w:tc>
          <w:tcPr>
            <w:tcW w:w="7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r>
      <w:tr>
        <w:trPr>
          <w:trHeight w:val="205"/>
        </w:trPr>
        <w:tc>
          <w:tcPr>
            <w:tcW w:w="4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0.59</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(1.13)</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(0.28)</w:t>
            </w:r>
          </w:p>
        </w:tc>
        <w:tc>
          <w:tcPr>
            <w:tcW w:w="40" w:type="dxa"/>
            <w:vAlign w:val="bottom"/>
          </w:tcPr>
          <w:p>
            <w:pPr>
              <w:spacing w:after="0"/>
              <w:rPr>
                <w:sz w:val="17"/>
                <w:szCs w:val="17"/>
                <w:color w:val="auto"/>
              </w:rPr>
            </w:pPr>
          </w:p>
        </w:tc>
      </w:tr>
      <w:tr>
        <w:trPr>
          <w:trHeight w:val="124"/>
        </w:trPr>
        <w:tc>
          <w:tcPr>
            <w:tcW w:w="40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&amp;nb</w:t>
            </w:r>
          </w:p>
        </w:tc>
        <w:tc>
          <w:tcPr>
            <w:tcW w:w="3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r>
      <w:tr>
        <w:trPr>
          <w:trHeight w:val="208"/>
        </w:trPr>
        <w:tc>
          <w:tcPr>
            <w:tcW w:w="4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0.53sp;</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0.78</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(0.28)</w:t>
            </w:r>
          </w:p>
        </w:tc>
        <w:tc>
          <w:tcPr>
            <w:tcW w:w="40" w:type="dxa"/>
            <w:vAlign w:val="bottom"/>
            <w:tcBorders>
              <w:bottom w:val="single" w:sz="8" w:color="auto"/>
            </w:tcBorders>
            <w:shd w:val="clear" w:color="auto" w:fill="CCEEFF"/>
          </w:tcPr>
          <w:p>
            <w:pPr>
              <w:spacing w:after="0"/>
              <w:rPr>
                <w:sz w:val="18"/>
                <w:szCs w:val="18"/>
                <w:color w:val="auto"/>
              </w:rPr>
            </w:pPr>
          </w:p>
        </w:tc>
      </w:tr>
      <w:tr>
        <w:trPr>
          <w:trHeight w:val="18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70,363</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26,334</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20,017</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19,276</w:t>
            </w:r>
          </w:p>
        </w:tc>
        <w:tc>
          <w:tcPr>
            <w:tcW w:w="100" w:type="dxa"/>
            <w:vAlign w:val="bottom"/>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18,861</w:t>
            </w:r>
          </w:p>
        </w:tc>
        <w:tc>
          <w:tcPr>
            <w:tcW w:w="40" w:type="dxa"/>
            <w:vAlign w:val="bottom"/>
            <w:tcBorders>
              <w:bottom w:val="single" w:sz="8" w:color="auto"/>
            </w:tcBorders>
            <w:shd w:val="clear" w:color="auto" w:fill="CCEEFF"/>
          </w:tcPr>
          <w:p>
            <w:pPr>
              <w:spacing w:after="0"/>
              <w:rPr>
                <w:sz w:val="18"/>
                <w:szCs w:val="18"/>
                <w:color w:val="auto"/>
              </w:rPr>
            </w:pPr>
          </w:p>
        </w:tc>
      </w:tr>
      <w:tr>
        <w:trPr>
          <w:trHeight w:val="195"/>
        </w:trPr>
        <w:tc>
          <w:tcPr>
            <w:tcW w:w="4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Diluted</w:t>
            </w: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78,203</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65,219</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26,642</w:t>
            </w:r>
          </w:p>
        </w:tc>
        <w:tc>
          <w:tcPr>
            <w:tcW w:w="1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19,276</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18,861</w:t>
            </w:r>
          </w:p>
        </w:tc>
        <w:tc>
          <w:tcPr>
            <w:tcW w:w="40" w:type="dxa"/>
            <w:vAlign w:val="bottom"/>
          </w:tcPr>
          <w:p>
            <w:pPr>
              <w:spacing w:after="0"/>
              <w:rPr>
                <w:sz w:val="16"/>
                <w:szCs w:val="16"/>
                <w:color w:val="auto"/>
              </w:rPr>
            </w:pPr>
          </w:p>
        </w:tc>
      </w:tr>
      <w:tr>
        <w:trPr>
          <w:trHeight w:val="155"/>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w:t>
            </w:r>
          </w:p>
        </w:tc>
        <w:tc>
          <w:tcPr>
            <w:tcW w:w="7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bl>
    <w:p>
      <w:pPr>
        <w:spacing w:after="0" w:line="4" w:lineRule="exact"/>
        <w:rPr>
          <w:sz w:val="20"/>
          <w:szCs w:val="20"/>
          <w:color w:val="auto"/>
        </w:rPr>
      </w:pPr>
    </w:p>
    <w:p>
      <w:pPr>
        <w:ind w:left="462" w:hanging="462"/>
        <w:spacing w:after="0"/>
        <w:tabs>
          <w:tab w:leader="none" w:pos="462"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fiscal years ended on December 31, 2010, December 31, 2009, December 28, 2008, December 30, 200 7 and December 31, 2006.</w:t>
      </w:r>
    </w:p>
    <w:p>
      <w:pPr>
        <w:spacing w:after="0" w:line="1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1462"/>
          </w:cols>
          <w:pgMar w:left="218" w:top="124" w:right="219" w:bottom="1440" w:gutter="0" w:footer="0" w:header="0"/>
        </w:sectPr>
      </w:pPr>
    </w:p>
    <w:bookmarkStart w:id="38" w:name="page39"/>
    <w:bookmarkEnd w:id="38"/>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78" w:lineRule="exact"/>
        <w:rPr>
          <w:sz w:val="20"/>
          <w:szCs w:val="20"/>
          <w:color w:val="auto"/>
        </w:rPr>
      </w:pPr>
    </w:p>
    <w:p>
      <w:pPr>
        <w:ind w:left="2"/>
        <w:spacing w:after="0"/>
        <w:tabs>
          <w:tab w:leader="none" w:pos="441" w:val="left"/>
        </w:tabs>
        <w:rPr>
          <w:sz w:val="20"/>
          <w:szCs w:val="20"/>
          <w:color w:val="auto"/>
        </w:rPr>
      </w:pPr>
      <w:r>
        <w:rPr>
          <w:rFonts w:ascii="Times New Roman" w:cs="Times New Roman" w:eastAsia="Times New Roman" w:hAnsi="Times New Roman"/>
          <w:sz w:val="10"/>
          <w:szCs w:val="10"/>
          <w:color w:val="auto"/>
        </w:rPr>
        <w:t>(2)</w:t>
      </w:r>
      <w:r>
        <w:rPr>
          <w:sz w:val="20"/>
          <w:szCs w:val="20"/>
          <w:color w:val="auto"/>
        </w:rPr>
        <w:tab/>
      </w:r>
      <w:r>
        <w:rPr>
          <w:rFonts w:ascii="Times New Roman" w:cs="Times New Roman" w:eastAsia="Times New Roman" w:hAnsi="Times New Roman"/>
          <w:sz w:val="10"/>
          <w:szCs w:val="10"/>
          <w:color w:val="auto"/>
        </w:rPr>
        <w:t>Includes stock-based compensati on expense as follows:</w:t>
      </w:r>
    </w:p>
    <w:p>
      <w:pPr>
        <w:spacing w:after="0" w:line="390" w:lineRule="exact"/>
        <w:rPr>
          <w:sz w:val="20"/>
          <w:szCs w:val="20"/>
          <w:color w:val="auto"/>
        </w:rPr>
      </w:pPr>
    </w:p>
    <w:p>
      <w:pPr>
        <w:ind w:left="7542"/>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24765</wp:posOffset>
            </wp:positionV>
            <wp:extent cx="46577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57725" cy="6350"/>
                    </a:xfrm>
                    <a:prstGeom prst="rect">
                      <a:avLst/>
                    </a:prstGeom>
                    <a:noFill/>
                  </pic:spPr>
                </pic:pic>
              </a:graphicData>
            </a:graphic>
          </wp:anchor>
        </w:drawing>
      </w:r>
    </w:p>
    <w:p>
      <w:pPr>
        <w:spacing w:after="0" w:line="47"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5040" w:type="dxa"/>
            <w:vAlign w:val="bottom"/>
            <w:gridSpan w:val="2"/>
          </w:tcPr>
          <w:p>
            <w:pPr>
              <w:ind w:left="4720"/>
              <w:spacing w:after="0"/>
              <w:rPr>
                <w:sz w:val="20"/>
                <w:szCs w:val="20"/>
                <w:color w:val="auto"/>
              </w:rPr>
            </w:pPr>
            <w:r>
              <w:rPr>
                <w:rFonts w:ascii="Times New Roman" w:cs="Times New Roman" w:eastAsia="Times New Roman" w:hAnsi="Times New Roman"/>
                <w:sz w:val="12"/>
                <w:szCs w:val="12"/>
                <w:b w:val="1"/>
                <w:bCs w:val="1"/>
                <w:color w:val="auto"/>
              </w:rPr>
              <w:t>2010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501"/>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0" w:type="dxa"/>
            <w:vAlign w:val="bottom"/>
          </w:tcPr>
          <w:p>
            <w:pPr>
              <w:spacing w:after="0"/>
              <w:rPr>
                <w:sz w:val="13"/>
                <w:szCs w:val="13"/>
                <w:color w:val="auto"/>
              </w:rPr>
            </w:pPr>
          </w:p>
        </w:tc>
        <w:tc>
          <w:tcPr>
            <w:tcW w:w="1380" w:type="dxa"/>
            <w:vAlign w:val="bottom"/>
          </w:tcPr>
          <w:p>
            <w:pPr>
              <w:jc w:val="right"/>
              <w:ind w:right="521"/>
              <w:spacing w:after="0"/>
              <w:rPr>
                <w:sz w:val="20"/>
                <w:szCs w:val="20"/>
                <w:color w:val="auto"/>
              </w:rPr>
            </w:pPr>
            <w:r>
              <w:rPr>
                <w:rFonts w:ascii="Times New Roman" w:cs="Times New Roman" w:eastAsia="Times New Roman" w:hAnsi="Times New Roman"/>
                <w:sz w:val="12"/>
                <w:szCs w:val="12"/>
                <w:b w:val="1"/>
                <w:bCs w:val="1"/>
                <w:color w:val="auto"/>
              </w:rPr>
              <w:t>2008</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501"/>
              <w:spacing w:after="0"/>
              <w:rPr>
                <w:sz w:val="20"/>
                <w:szCs w:val="20"/>
                <w:color w:val="auto"/>
              </w:rPr>
            </w:pPr>
            <w:r>
              <w:rPr>
                <w:rFonts w:ascii="Times New Roman" w:cs="Times New Roman" w:eastAsia="Times New Roman" w:hAnsi="Times New Roman"/>
                <w:sz w:val="12"/>
                <w:szCs w:val="12"/>
                <w:b w:val="1"/>
                <w:bCs w:val="1"/>
                <w:color w:val="auto"/>
              </w:rPr>
              <w:t>2006</w:t>
            </w:r>
          </w:p>
        </w:tc>
      </w:tr>
      <w:tr>
        <w:trPr>
          <w:trHeight w:val="25"/>
        </w:trPr>
        <w:tc>
          <w:tcPr>
            <w:tcW w:w="4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1"/>
        </w:trPr>
        <w:tc>
          <w:tcPr>
            <w:tcW w:w="4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4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6"/>
        </w:trPr>
        <w:tc>
          <w:tcPr>
            <w:tcW w:w="5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Cost of product revenue</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w:t>
            </w:r>
          </w:p>
        </w:tc>
        <w:tc>
          <w:tcPr>
            <w:tcW w:w="15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99</w:t>
            </w:r>
          </w:p>
        </w:tc>
      </w:tr>
      <w:tr>
        <w:trPr>
          <w:trHeight w:val="193"/>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Cost of services revenue</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929</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658</w:t>
            </w:r>
          </w:p>
        </w:tc>
        <w:tc>
          <w:tcPr>
            <w:tcW w:w="120" w:type="dxa"/>
            <w:vAlign w:val="bottom"/>
          </w:tcPr>
          <w:p>
            <w:pPr>
              <w:spacing w:after="0"/>
              <w:rPr>
                <w:sz w:val="16"/>
                <w:szCs w:val="16"/>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52</w:t>
            </w:r>
          </w:p>
        </w:tc>
      </w:tr>
      <w:tr>
        <w:trPr>
          <w:trHeight w:val="178"/>
        </w:trPr>
        <w:tc>
          <w:tcPr>
            <w:tcW w:w="5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w:t>
            </w:r>
          </w:p>
        </w:tc>
        <w:tc>
          <w:tcPr>
            <w:tcW w:w="120" w:type="dxa"/>
            <w:vAlign w:val="bottom"/>
          </w:tcPr>
          <w:p>
            <w:pPr>
              <w:spacing w:after="0"/>
              <w:rPr>
                <w:sz w:val="15"/>
                <w:szCs w:val="15"/>
                <w:color w:val="auto"/>
              </w:rPr>
            </w:pPr>
          </w:p>
        </w:tc>
        <w:tc>
          <w:tcPr>
            <w:tcW w:w="15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1,963</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135</w:t>
            </w:r>
          </w:p>
        </w:tc>
      </w:tr>
      <w:tr>
        <w:trPr>
          <w:trHeight w:val="171"/>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Sales and marketing</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3,810</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3,020</w:t>
            </w:r>
          </w:p>
        </w:tc>
        <w:tc>
          <w:tcPr>
            <w:tcW w:w="12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354</w:t>
            </w:r>
          </w:p>
        </w:tc>
      </w:tr>
      <w:tr>
        <w:trPr>
          <w:trHeight w:val="25"/>
        </w:trPr>
        <w:tc>
          <w:tcPr>
            <w:tcW w:w="4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6"/>
        </w:trPr>
        <w:tc>
          <w:tcPr>
            <w:tcW w:w="4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2,136</w:t>
            </w:r>
          </w:p>
        </w:tc>
        <w:tc>
          <w:tcPr>
            <w:tcW w:w="15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1,718</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1,271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414</w:t>
            </w:r>
          </w:p>
        </w:tc>
      </w:tr>
      <w:tr>
        <w:trPr>
          <w:trHeight w:val="20"/>
        </w:trPr>
        <w:tc>
          <w:tcPr>
            <w:tcW w:w="4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185"/>
        </w:trPr>
        <w:tc>
          <w:tcPr>
            <w:tcW w:w="41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Total stock-based compensation</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9,315</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7,461</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5,299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9,332</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1,054</w:t>
            </w:r>
          </w:p>
        </w:tc>
      </w:tr>
    </w:tbl>
    <w:p>
      <w:pPr>
        <w:spacing w:after="0" w:line="159" w:lineRule="exact"/>
        <w:rPr>
          <w:sz w:val="20"/>
          <w:szCs w:val="20"/>
          <w:color w:val="auto"/>
        </w:rPr>
      </w:pPr>
    </w:p>
    <w:p>
      <w:pPr>
        <w:ind w:left="462" w:hanging="462"/>
        <w:spacing w:after="0"/>
        <w:tabs>
          <w:tab w:leader="none" w:pos="462"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related to 2008 have been corrected. See Note 7 to Consolidated Financial Statements.</w:t>
      </w:r>
    </w:p>
    <w:p>
      <w:pPr>
        <w:spacing w:after="0" w:line="2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&lt; td style="vertical-align:bottom;"&gt;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2700" cy="118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18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298450</wp:posOffset>
            </wp:positionV>
            <wp:extent cx="12700" cy="118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1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As of Fiscal Year End</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4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1"/>
        </w:trPr>
        <w:tc>
          <w:tcPr>
            <w:tcW w:w="4080" w:type="dxa"/>
            <w:vAlign w:val="bottom"/>
          </w:tcPr>
          <w:p>
            <w:pPr>
              <w:spacing w:after="0"/>
              <w:rPr>
                <w:sz w:val="13"/>
                <w:szCs w:val="13"/>
                <w:color w:val="auto"/>
              </w:rPr>
            </w:pPr>
          </w:p>
        </w:tc>
        <w:tc>
          <w:tcPr>
            <w:tcW w:w="860" w:type="dxa"/>
            <w:vAlign w:val="bottom"/>
          </w:tcPr>
          <w:p>
            <w:pPr>
              <w:jc w:val="right"/>
              <w:ind w:right="39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2"/>
                <w:szCs w:val="12"/>
                <w:b w:val="1"/>
                <w:bCs w:val="1"/>
                <w:color w:val="auto"/>
              </w:rPr>
              <w:t>2009</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jc w:val="right"/>
              <w:ind w:right="1217"/>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2"/>
                <w:szCs w:val="12"/>
                <w:b w:val="1"/>
                <w:bCs w:val="1"/>
                <w:color w:val="auto"/>
              </w:rPr>
              <w:t>2007</w:t>
            </w:r>
          </w:p>
        </w:tc>
        <w:tc>
          <w:tcPr>
            <w:tcW w:w="1660" w:type="dxa"/>
            <w:vAlign w:val="bottom"/>
          </w:tcPr>
          <w:p>
            <w:pPr>
              <w:jc w:val="right"/>
              <w:ind w:right="396"/>
              <w:spacing w:after="0"/>
              <w:rPr>
                <w:sz w:val="20"/>
                <w:szCs w:val="20"/>
                <w:color w:val="auto"/>
              </w:rPr>
            </w:pPr>
            <w:r>
              <w:rPr>
                <w:rFonts w:ascii="Times New Roman" w:cs="Times New Roman" w:eastAsia="Times New Roman" w:hAnsi="Times New Roman"/>
                <w:sz w:val="12"/>
                <w:szCs w:val="12"/>
                <w:b w:val="1"/>
                <w:bCs w:val="1"/>
                <w:color w:val="auto"/>
              </w:rPr>
              <w:t>2006</w:t>
            </w:r>
          </w:p>
        </w:tc>
        <w:tc>
          <w:tcPr>
            <w:tcW w:w="100" w:type="dxa"/>
            <w:vAlign w:val="bottom"/>
          </w:tcPr>
          <w:p>
            <w:pPr>
              <w:spacing w:after="0"/>
              <w:rPr>
                <w:sz w:val="13"/>
                <w:szCs w:val="13"/>
                <w:color w:val="auto"/>
              </w:rPr>
            </w:pPr>
          </w:p>
        </w:tc>
      </w:tr>
      <w:tr>
        <w:trPr>
          <w:trHeight w:val="25"/>
        </w:trPr>
        <w:tc>
          <w:tcPr>
            <w:tcW w:w="4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8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investments</w:t>
            </w: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9"/>
              </w:rPr>
              <w:t>387,460</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260,314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rPr>
              <w:t>124,190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90,161</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64,041</w:t>
            </w:r>
          </w:p>
        </w:tc>
      </w:tr>
      <w:tr>
        <w:trPr>
          <w:trHeight w:val="21"/>
        </w:trPr>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Working capital</w:t>
            </w:r>
          </w:p>
        </w:tc>
        <w:tc>
          <w:tcPr>
            <w:tcW w:w="8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9"/>
              </w:rPr>
              <w:t>201,776</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161,652</w:t>
            </w:r>
          </w:p>
        </w:tc>
        <w:tc>
          <w:tcPr>
            <w:tcW w:w="36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rPr>
              <w:t>38,193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12,862</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12,399</w:t>
            </w: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9"/>
              </w:rPr>
              <w:t>545,422</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387,213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rPr>
              <w:t>199,105</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145,192</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109,311</w:t>
            </w:r>
          </w:p>
        </w:tc>
      </w:tr>
      <w:tr>
        <w:trPr>
          <w:trHeight w:val="21"/>
        </w:trPr>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8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rPr>
              <w:t>94,368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94,368</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94,368</w:t>
            </w:r>
          </w:p>
        </w:tc>
      </w:tr>
      <w:tr>
        <w:trPr>
          <w:trHeight w:val="124"/>
        </w:trPr>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&amp;nb</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including treasury stock and additional paid-in capital</w:t>
            </w: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9"/>
              </w:rPr>
              <w:t>249,000</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201,340sp;</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rPr>
              <w:t>20,854</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13,438</w:t>
            </w:r>
          </w:p>
        </w:tc>
        <w:tc>
          <w:tcPr>
            <w:tcW w:w="166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rPr>
              <w:t>4,087</w:t>
            </w:r>
          </w:p>
        </w:tc>
        <w:tc>
          <w:tcPr>
            <w:tcW w:w="100" w:type="dxa"/>
            <w:vAlign w:val="bottom"/>
          </w:tcPr>
          <w:p>
            <w:pPr>
              <w:spacing w:after="0"/>
              <w:rPr>
                <w:sz w:val="16"/>
                <w:szCs w:val="16"/>
                <w:color w:val="auto"/>
              </w:rPr>
            </w:pPr>
          </w:p>
        </w:tc>
      </w:tr>
      <w:tr>
        <w:trPr>
          <w:trHeight w:val="17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8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9"/>
              </w:rPr>
              <w:t>232,454</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142,452</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(5,229)</w:t>
            </w:r>
          </w:p>
        </w:tc>
        <w:tc>
          <w:tcPr>
            <w:tcW w:w="178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(18,925)</w:t>
            </w:r>
          </w:p>
        </w:tc>
        <w:tc>
          <w:tcPr>
            <w:tcW w:w="10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rPr>
              <w:t>(7,217)</w:t>
            </w:r>
          </w:p>
        </w:tc>
        <w:tc>
          <w:tcPr>
            <w:tcW w:w="100" w:type="dxa"/>
            <w:vAlign w:val="bottom"/>
          </w:tcPr>
          <w:p>
            <w:pPr>
              <w:spacing w:after="0"/>
              <w:rPr>
                <w:sz w:val="15"/>
                <w:szCs w:val="15"/>
                <w:color w:val="auto"/>
              </w:rPr>
            </w:pPr>
          </w:p>
        </w:tc>
      </w:tr>
      <w:tr>
        <w:trPr>
          <w:trHeight w:val="468"/>
        </w:trPr>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36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62"/>
          </w:cols>
          <w:pgMar w:left="218" w:top="124"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163" w:lineRule="exact"/>
        <w:rPr>
          <w:sz w:val="20"/>
          <w:szCs w:val="20"/>
          <w:color w:val="auto"/>
        </w:rPr>
      </w:pPr>
    </w:p>
    <w:p>
      <w:pPr>
        <w:ind w:right="24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37" w:lineRule="exact"/>
        <w:rPr>
          <w:sz w:val="20"/>
          <w:szCs w:val="20"/>
          <w:color w:val="auto"/>
        </w:rPr>
      </w:pPr>
    </w:p>
    <w:p>
      <w:pPr>
        <w:ind w:left="940" w:hanging="472"/>
        <w:spacing w:after="0"/>
        <w:tabs>
          <w:tab w:leader="none" w:pos="940" w:val="left"/>
        </w:tabs>
        <w:numPr>
          <w:ilvl w:val="0"/>
          <w:numId w:val="2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continued realization of efficiency gains in our sales and marketing organization as well as efficiency gains in our overall headcount measured by revenue per employee;</w:t>
      </w:r>
    </w:p>
    <w:p>
      <w:pPr>
        <w:spacing w:after="0" w:line="16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growth in our high-end business and further penetration in certain verticals;</w:t>
      </w:r>
    </w:p>
    <w:p>
      <w:pPr>
        <w:spacing w:after="0" w:line="16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significance of stock compensation as an expense;</w:t>
      </w:r>
    </w:p>
    <w:p>
      <w:pPr>
        <w:spacing w:after="0" w:line="60" w:lineRule="exact"/>
        <w:rPr>
          <w:sz w:val="20"/>
          <w:szCs w:val="20"/>
          <w:color w:val="auto"/>
        </w:rPr>
      </w:pPr>
    </w:p>
    <w:p>
      <w:pPr>
        <w:ind w:left="980" w:hanging="512"/>
        <w:spacing w:after="0"/>
        <w:tabs>
          <w:tab w:leader="none" w:pos="980" w:val="left"/>
        </w:tabs>
        <w:numPr>
          <w:ilvl w:val="0"/>
          <w:numId w:val="25"/>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2"/>
          <w:szCs w:val="12"/>
          <w:i w:val="1"/>
          <w:iCs w:val="1"/>
          <w:color w:val="auto"/>
        </w:rPr>
        <w:t>the proportion of our revenue that consists of our product and service revenues and future trends with respect to service revenue as we renew existing services contracts and expands our customer base;</w:t>
      </w:r>
    </w:p>
    <w:p>
      <w:pPr>
        <w:ind w:left="460"/>
        <w:spacing w:after="0"/>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3"/>
          <w:szCs w:val="13"/>
          <w:i w:val="1"/>
          <w:iCs w:val="1"/>
          <w:color w:val="auto"/>
        </w:rPr>
        <w:t>bull;</w:t>
      </w:r>
    </w:p>
    <w:p>
      <w:pPr>
        <w:spacing w:after="0" w:line="304" w:lineRule="exact"/>
        <w:rPr>
          <w:sz w:val="20"/>
          <w:szCs w:val="20"/>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our royalty payments to Trend Micro;</w:t>
      </w:r>
    </w:p>
    <w:p>
      <w:pPr>
        <w:spacing w:after="0" w:line="20"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impact of our product innovation strategy;</w:t>
      </w:r>
    </w:p>
    <w:p>
      <w:pPr>
        <w:spacing w:after="0" w:line="149"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trends in product revenues, costs of services revenue, service gross margin and overall gross margin;</w:t>
      </w:r>
    </w:p>
    <w:p>
      <w:pPr>
        <w:spacing w:after="0" w:line="16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trends in our operating expenses, including personnel costs, research and development expense, sales and marketing expense and general a nd administrative expense;</w:t>
      </w:r>
    </w:p>
    <w:p>
      <w:pPr>
        <w:spacing w:after="0" w:line="16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investments in research and development and sales and marketing staff to address market opportunities and to position ourselves for future growth;</w:t>
      </w:r>
    </w:p>
    <w:p>
      <w:pPr>
        <w:spacing w:after="0" w:line="18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impact of seasonality on our business;</w:t>
      </w:r>
    </w:p>
    <w:p>
      <w:pPr>
        <w:spacing w:after="0" w:line="173"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sufficiency of our existing cash and cash equivalents to meet our cash needs for at least the next 12 months; and</w:t>
      </w:r>
    </w:p>
    <w:p>
      <w:pPr>
        <w:spacing w:after="0" w:line="163" w:lineRule="exact"/>
        <w:rPr>
          <w:rFonts w:ascii="Times New Roman" w:cs="Times New Roman" w:eastAsia="Times New Roman" w:hAnsi="Times New Roman"/>
          <w:sz w:val="13"/>
          <w:szCs w:val="13"/>
          <w:i w:val="1"/>
          <w:iCs w:val="1"/>
          <w:color w:val="auto"/>
        </w:rPr>
      </w:pPr>
    </w:p>
    <w:p>
      <w:pPr>
        <w:ind w:left="940" w:hanging="472"/>
        <w:spacing w:after="0"/>
        <w:tabs>
          <w:tab w:leader="none" w:pos="94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impact of inflation and foreign currency exchange rates;</w:t>
      </w:r>
    </w:p>
    <w:p>
      <w:pPr>
        <w:spacing w:after="0" w:line="165"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3"/>
          <w:szCs w:val="13"/>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Item 1A of this Annual Report on Form 10-K and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Overview</w:t>
      </w:r>
    </w:p>
    <w:p>
      <w:pPr>
        <w:spacing w:after="0" w:line="167" w:lineRule="exact"/>
        <w:rPr>
          <w:sz w:val="20"/>
          <w:szCs w:val="20"/>
          <w:color w:val="auto"/>
        </w:rPr>
      </w:pPr>
    </w:p>
    <w:p>
      <w:pPr>
        <w:jc w:val="both"/>
        <w:ind w:right="160" w:firstLine="469"/>
        <w:spacing w:after="0" w:line="266" w:lineRule="auto"/>
        <w:rPr>
          <w:sz w:val="20"/>
          <w:szCs w:val="20"/>
          <w:color w:val="auto"/>
        </w:rPr>
      </w:pPr>
      <w:r>
        <w:rPr>
          <w:rFonts w:ascii="Times New Roman" w:cs="Times New Roman" w:eastAsia="Times New Roman" w:hAnsi="Times New Roman"/>
          <w:sz w:val="13"/>
          <w:szCs w:val="13"/>
          <w:color w:val="auto"/>
        </w:rPr>
        <w:t>We provide network security solutions, which enable broad, integrated and high performance protection against dynamic security threats while simplifying the IT security infrastructure for enterprises, service providers and government entities worldwide. As of December 31, 2010, we had shipped over 675,000 appliances to more than 5,000 channel partners and to more than 100,000 end-customers worldwide, including a majority of the 2010 Fortune Global 100.</w:t>
      </w:r>
    </w:p>
    <w:p>
      <w:pPr>
        <w:spacing w:after="0" w:line="1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Our core UTM product line of FortiGate appliances ships with a set of security and networking capabilities, including firewall, VPN, antivirus, intrusion prevention, application control,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Our UTM solution also includes our FortiGuard security subscription services, which end-customers can subscribe to in order to obtain access to dynamic updates to the antivirus, intrusion prevention, Web filtering and antispam functionality include d in our appliances. End-customers can also choose to purchase FortiCare technical support services for our products. We complement our core FortiGate product line with other appliances and software that offer additional protection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1460"/>
          </w:cols>
          <w:pgMar w:left="220" w:top="124" w:right="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3"/>
          <w:szCs w:val="13"/>
          <w:color w:val="auto"/>
        </w:rPr>
        <w:t>security threats to other critical areas of the enterprise, such as messaging, Web-based traffic and databases, and employee computers or handheld devices. Sales of these complimentary products hav e grown in recent quarters, although these products still represent less than 10% of our total revenue. During the fourth quarter of fiscal 2010, we began shipping virtual appliances for our FortiGate and FortiManager product lines, which help secure the end-customer's "cloud-based" network infrastructures with the same functionality as the traditional physical appliance in their respective product lines.</w:t>
      </w:r>
    </w:p>
    <w:p>
      <w:pPr>
        <w:spacing w:after="0" w:line="129"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3"/>
          <w:szCs w:val="13"/>
          <w:color w:val="auto"/>
        </w:rPr>
        <w:t>Fiscal 2010 was our first full year as a public company, following our initial public offering in November 2009. We believe the greater visibility and brand recognition derived from being a public company, combined with success in selling to the enterprise and service provider customers and new product introductions, served as contributors to the accele ration in our business during fiscal 2010. Sales of FortiGate products have generally been balanced across entry-level (FortiGate-30 to -100 series), mid-range (FortiGate-200 to -800 series) and high-end (FortiGate-1000 to -5000 series) models with each product category representing approximately one-third of FortiGate sales, with some degree of variability from year to year and between quarters. During fiscal 2010 we executed well against our strategy to grow the high-end segment of our business, consisting of sales to large enterprises, service providers and telecommunications companies. The percentage of our FortiGate related billings from the high-end category increased to 34% in fiscal 2010 from 30% in fiscal 2009, while the entry-level category decreased from 38% to 35%, and the mid-range category remained relatively flat over the same period.</w:t>
      </w:r>
    </w:p>
    <w:p>
      <w:pPr>
        <w:spacing w:after="0" w:line="135" w:lineRule="exact"/>
        <w:rPr>
          <w:sz w:val="20"/>
          <w:szCs w:val="20"/>
          <w:color w:val="auto"/>
        </w:rPr>
      </w:pPr>
    </w:p>
    <w:p>
      <w:pPr>
        <w:ind w:right="300" w:firstLine="469"/>
        <w:spacing w:after="0" w:line="261" w:lineRule="auto"/>
        <w:rPr>
          <w:sz w:val="20"/>
          <w:szCs w:val="20"/>
          <w:color w:val="auto"/>
        </w:rPr>
      </w:pPr>
      <w:r>
        <w:rPr>
          <w:rFonts w:ascii="Times New Roman" w:cs="Times New Roman" w:eastAsia="Times New Roman" w:hAnsi="Times New Roman"/>
          <w:sz w:val="13"/>
          <w:szCs w:val="13"/>
          <w:color w:val="auto"/>
        </w:rPr>
        <w:t>We also believe continued product innovation has strengthened our technology advantage as evidenced by the introduction of several noteworthy new FortiGate appliance models such as the FG-60C, FG-3040B, and FG-3950B. During fiscal 2010 we also made a significant investment in our salesforce to expand our global presence both geographically as well as by industry segment. We believe these factors have allowed us to penetrate into larger enterprise and service provider accounts as evidenced by the increase in the number of deals involving sales greater than $100,000 and a substantial increase in the number of deals greater than $250,000 and $500,000 compared to fiscal 2009.</w:t>
      </w:r>
    </w:p>
    <w:p>
      <w:pPr>
        <w:spacing w:after="0" w:line="132"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3"/>
          <w:szCs w:val="13"/>
          <w:color w:val="auto"/>
        </w:rPr>
        <w:t>Continuing to grow our enterprise and high-end business will remain a strategic priority in fiscal 2011, as we continue to focus on further penetrating the financial services, healthcare, federal government and service provider verticals, which tend to purchase our mid-range and high-end products. Though we are a global, geographically diversified business, with 62% of our total revenue generated outside of the Americas region in fiscal 2010, we see opportunities to further expand our geographic presence across all regions. We intend to continue to invest in sales and research and development staff to address these opportunities.</w:t>
      </w:r>
    </w:p>
    <w:p>
      <w:pPr>
        <w:spacing w:after="0" w:line="1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3"/>
          <w:szCs w:val="13"/>
          <w:color w:val="auto"/>
        </w:rPr>
        <w:t>Billings, a non-GAAP financial measure that we define as total revenue plus the change in deferred revenue (further described under "Non-GAAP Financial Measures"), were $375.4 million, an increase of 33% compared to fiscal 2009. Total revenue was $324.7 million for fiscal 2010, an increase of 29% compared to fiscal 2009. Product revenue was $135.1 million, an increase of 37% compared to fiscal 2009, and a greater percentage of total revenue (42% in fiscal 2010, compared to 39% in fiscal 2009). A factor in the product revenue growth was the introduction of new products over the past year, including some non-FortiGate products. Services revenue in fiscal 2010 was $172.0 million, an increase of 24% compared to fiscal 2009. Services revenue is important to our future revenue and profitability as it provides a source of recurring revenue for us, representing 53% and 55% of total revenue for fiscal 2010 and 2009, respectively. Ratable product and services revenue in fiscal 2010 was $17.5 million, an increase of 23% compared to fiscal 2009.</w:t>
      </w:r>
    </w:p>
    <w:p>
      <w:pPr>
        <w:spacing w:after="0" w:line="13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For fiscal 2010, $124.0 million, or 38%, of our total revenue was generated from the A mericas, representing an increase of 34% from fiscal 2009. Europe, Middle East and Africa ("EMEA") generated $121.6 million, or 38%, of our total revenue during fiscal 2010, representing an increase of 27% from fiscal 2009. Asia Pacific and Japan ("APAC") generated $79.1 million, or 24%, of our total revenue during fiscal 2010, representing an increase of 24% from fiscal 2009.</w:t>
      </w:r>
    </w:p>
    <w:p>
      <w:pPr>
        <w:spacing w:after="0" w:line="129" w:lineRule="exact"/>
        <w:rPr>
          <w:sz w:val="20"/>
          <w:szCs w:val="20"/>
          <w:color w:val="auto"/>
        </w:rPr>
      </w:pPr>
    </w:p>
    <w:p>
      <w:pPr>
        <w:jc w:val="both"/>
        <w:ind w:right="40" w:firstLine="469"/>
        <w:spacing w:after="0" w:line="257" w:lineRule="auto"/>
        <w:rPr>
          <w:sz w:val="20"/>
          <w:szCs w:val="20"/>
          <w:color w:val="auto"/>
        </w:rPr>
      </w:pPr>
      <w:r>
        <w:rPr>
          <w:rFonts w:ascii="Times New Roman" w:cs="Times New Roman" w:eastAsia="Times New Roman" w:hAnsi="Times New Roman"/>
          <w:sz w:val="13"/>
          <w:szCs w:val="13"/>
          <w:color w:val="auto"/>
        </w:rPr>
        <w:t>In fiscal 2010, we experienced increased leverage from our prior investments in our sales and marketing organization, combined with our continued focus on effectively managing related expenses, as evidenced by the fact that sales and marketing expenses increased 16% from fiscal 2009, while our revenue increased 29% from fiscal 2009 (as discussed under "Results of Operations" below). We are also seeing improvements in productivity and efficiencies in our overall headcount as our annualized fiscal 2010 revenue per employee, defined as revenue divided by average headcount, reached $254,000, up from $217,000 for fiscal 2009.</w:t>
      </w:r>
    </w:p>
    <w:p>
      <w:pPr>
        <w:spacing w:after="0" w:line="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3"/>
          <w:szCs w:val="13"/>
          <w:color w:val="auto"/>
        </w:rPr>
        <w:t>Although headcount increased during fiscal 2010 from 1,223 at the end of fiscal 2009 to 1,336, our pace of hiring was slower than originally targeted for fiscal 2010, as it was a challenge to hire qualified sales and technical staff as quickly as we had anticipated due in part to the competitive landscape, the degree of specialized security expertise required, and increased turnover as the business climate improved within our industry.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sales strategy is based on a distribution model whereby we primarily sell our products and services directly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1460"/>
          </w:cols>
          <w:pgMar w:left="220" w:top="124" w:right="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but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could be longer as we are experiencing growth in sales of multi-year support and subscription contracts. Sales of new and renewal services increase our deferred revenue balance, which contributes significantly to our positive cash flow from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Key Metrics</w:t>
      </w:r>
    </w:p>
    <w:p>
      <w:pPr>
        <w:spacing w:after="0" w:line="167" w:lineRule="exact"/>
        <w:rPr>
          <w:sz w:val="20"/>
          <w:szCs w:val="20"/>
          <w:color w:val="auto"/>
        </w:rPr>
      </w:pPr>
    </w:p>
    <w:p>
      <w:pPr>
        <w:ind w:right="140" w:firstLine="469"/>
        <w:spacing w:after="0" w:line="257" w:lineRule="auto"/>
        <w:rPr>
          <w:sz w:val="20"/>
          <w:szCs w:val="20"/>
          <w:color w:val="auto"/>
        </w:rPr>
      </w:pPr>
      <w:r>
        <w:rPr>
          <w:rFonts w:ascii="Times New Roman" w:cs="Times New Roman" w:eastAsia="Times New Roman" w:hAnsi="Times New Roman"/>
          <w:sz w:val="13"/>
          <w:szCs w:val="13"/>
          <w:color w:val="auto"/>
        </w:rPr>
        <w:t>We monitor the key financial metrics set forth below to help us evaluate growth trends, establish budgets, measure the effectiveness of our sales and marketing efforts and assess operational efficiencies. Our total deferred revenue increased by $50.7 million from $201.9 million at December 31, 2009 to $252.6 million at December 31, 2010. Revenue recognized plus the change in deferred revenue from the beginning to the end of the period is a useful metric that management identifies as billings. Billings for services drive deferred re venue, which is an important indicator of the health and visibility of our business, and has historically represented a majority of the revenue that we recognize in a typical quarter. We also ended fiscal 2010 with $387.5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25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2"/>
          <w:szCs w:val="12"/>
          <w:b w:val="1"/>
          <w:bCs w:val="1"/>
          <w:color w:val="auto"/>
        </w:rPr>
        <w:t>Fiscal Year or 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30118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1805" cy="6350"/>
                    </a:xfrm>
                    <a:prstGeom prst="rect">
                      <a:avLst/>
                    </a:prstGeom>
                    <a:noFill/>
                  </pic:spPr>
                </pic:pic>
              </a:graphicData>
            </a:graphic>
          </wp:anchor>
        </w:drawing>
      </w:r>
    </w:p>
    <w:p>
      <w:pPr>
        <w:spacing w:after="0" w:line="47"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6840" w:type="dxa"/>
            <w:vAlign w:val="bottom"/>
            <w:gridSpan w:val="2"/>
          </w:tcPr>
          <w:p>
            <w:pPr>
              <w:ind w:left="6560"/>
              <w:spacing w:after="0"/>
              <w:rPr>
                <w:sz w:val="20"/>
                <w:szCs w:val="20"/>
                <w:color w:val="auto"/>
              </w:rPr>
            </w:pPr>
            <w:r>
              <w:rPr>
                <w:rFonts w:ascii="Times New Roman" w:cs="Times New Roman" w:eastAsia="Times New Roman" w:hAnsi="Times New Roman"/>
                <w:sz w:val="12"/>
                <w:szCs w:val="12"/>
                <w:b w:val="1"/>
                <w:bCs w:val="1"/>
                <w:color w:val="auto"/>
              </w:rPr>
              <w:t>2010</w:t>
            </w:r>
          </w:p>
        </w:tc>
        <w:tc>
          <w:tcPr>
            <w:tcW w:w="760" w:type="dxa"/>
            <w:vAlign w:val="bottom"/>
          </w:tcPr>
          <w:p>
            <w:pPr>
              <w:spacing w:after="0"/>
              <w:rPr>
                <w:sz w:val="15"/>
                <w:szCs w:val="15"/>
                <w:color w:val="auto"/>
              </w:rPr>
            </w:pPr>
          </w:p>
        </w:tc>
        <w:tc>
          <w:tcPr>
            <w:tcW w:w="1800" w:type="dxa"/>
            <w:vAlign w:val="bottom"/>
          </w:tcPr>
          <w:p>
            <w:pPr>
              <w:jc w:val="right"/>
              <w:ind w:right="858"/>
              <w:spacing w:after="0"/>
              <w:rPr>
                <w:sz w:val="20"/>
                <w:szCs w:val="20"/>
                <w:color w:val="auto"/>
              </w:rPr>
            </w:pPr>
            <w:r>
              <w:rPr>
                <w:rFonts w:ascii="Times New Roman" w:cs="Times New Roman" w:eastAsia="Times New Roman" w:hAnsi="Times New Roman"/>
                <w:sz w:val="12"/>
                <w:szCs w:val="12"/>
                <w:b w:val="1"/>
                <w:bCs w:val="1"/>
                <w:color w:val="auto"/>
              </w:rPr>
              <w:t xml:space="preserve">2009 </w:t>
            </w:r>
            <w:r>
              <w:rPr>
                <w:rFonts w:ascii="Times New Roman" w:cs="Times New Roman" w:eastAsia="Times New Roman" w:hAnsi="Times New Roman"/>
                <w:sz w:val="15"/>
                <w:szCs w:val="15"/>
                <w:b w:val="1"/>
                <w:bCs w:val="1"/>
                <w:color w:val="auto"/>
                <w:vertAlign w:val="superscript"/>
              </w:rPr>
              <w:t>(3)</w:t>
            </w:r>
          </w:p>
        </w:tc>
        <w:tc>
          <w:tcPr>
            <w:tcW w:w="1260" w:type="dxa"/>
            <w:vAlign w:val="bottom"/>
          </w:tcPr>
          <w:p>
            <w:pPr>
              <w:jc w:val="right"/>
              <w:ind w:right="578"/>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151"/>
        </w:trPr>
        <w:tc>
          <w:tcPr>
            <w:tcW w:w="5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260" w:type="dxa"/>
            <w:vAlign w:val="bottom"/>
            <w:tcBorders>
              <w:top w:val="single" w:sz="8" w:color="auto"/>
            </w:tcBorders>
          </w:tcPr>
          <w:p>
            <w:pPr>
              <w:spacing w:after="0"/>
              <w:rPr>
                <w:sz w:val="13"/>
                <w:szCs w:val="13"/>
                <w:color w:val="auto"/>
              </w:rPr>
            </w:pPr>
          </w:p>
        </w:tc>
      </w:tr>
      <w:tr>
        <w:trPr>
          <w:trHeight w:val="25"/>
        </w:trPr>
        <w:tc>
          <w:tcPr>
            <w:tcW w:w="5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6"/>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324,696</w:t>
            </w:r>
          </w:p>
        </w:tc>
        <w:tc>
          <w:tcPr>
            <w:tcW w:w="18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3"/>
                <w:szCs w:val="13"/>
                <w:color w:val="auto"/>
              </w:rPr>
              <w:t>252,115</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211,791</w:t>
            </w:r>
          </w:p>
        </w:tc>
      </w:tr>
      <w:tr>
        <w:trPr>
          <w:trHeight w:val="17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Gross margin</w:t>
            </w: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73.8%</w:t>
            </w:r>
          </w:p>
        </w:tc>
        <w:tc>
          <w:tcPr>
            <w:tcW w:w="1800" w:type="dxa"/>
            <w:vAlign w:val="bottom"/>
          </w:tcPr>
          <w:p>
            <w:pPr>
              <w:jc w:val="right"/>
              <w:ind w:right="318"/>
              <w:spacing w:after="0"/>
              <w:rPr>
                <w:sz w:val="20"/>
                <w:szCs w:val="20"/>
                <w:color w:val="auto"/>
              </w:rPr>
            </w:pPr>
            <w:r>
              <w:rPr>
                <w:rFonts w:ascii="Times New Roman" w:cs="Times New Roman" w:eastAsia="Times New Roman" w:hAnsi="Times New Roman"/>
                <w:sz w:val="13"/>
                <w:szCs w:val="13"/>
                <w:color w:val="auto"/>
              </w:rPr>
              <w:t>72.2%</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w:t>
            </w:r>
          </w:p>
        </w:tc>
      </w:tr>
      <w:tr>
        <w:trPr>
          <w:trHeight w:val="21"/>
        </w:trPr>
        <w:tc>
          <w:tcPr>
            <w:tcW w:w="5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Operating income </w:t>
            </w:r>
            <w:r>
              <w:rPr>
                <w:rFonts w:ascii="Times New Roman" w:cs="Times New Roman" w:eastAsia="Times New Roman" w:hAnsi="Times New Roman"/>
                <w:sz w:val="13"/>
                <w:szCs w:val="13"/>
                <w:color w:val="auto"/>
                <w:vertAlign w:val="superscript"/>
              </w:rPr>
              <w:t>(1)</w:t>
            </w:r>
          </w:p>
        </w:tc>
        <w:tc>
          <w:tcPr>
            <w:tcW w:w="7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55,341</w:t>
            </w:r>
          </w:p>
        </w:tc>
        <w:tc>
          <w:tcPr>
            <w:tcW w:w="18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3"/>
                <w:szCs w:val="13"/>
                <w:color w:val="auto"/>
              </w:rPr>
              <w:t>25,334</w:t>
            </w:r>
          </w:p>
        </w:tc>
        <w:tc>
          <w:tcPr>
            <w:tcW w:w="1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4,927</w:t>
            </w:r>
          </w:p>
        </w:tc>
      </w:tr>
      <w:tr>
        <w:trPr>
          <w:trHeight w:val="17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Operating margin</w:t>
            </w: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17.0%</w:t>
            </w:r>
          </w:p>
        </w:tc>
        <w:tc>
          <w:tcPr>
            <w:tcW w:w="1800" w:type="dxa"/>
            <w:vAlign w:val="bottom"/>
          </w:tcPr>
          <w:p>
            <w:pPr>
              <w:jc w:val="right"/>
              <w:ind w:right="318"/>
              <w:spacing w:after="0"/>
              <w:rPr>
                <w:sz w:val="20"/>
                <w:szCs w:val="20"/>
                <w:color w:val="auto"/>
              </w:rPr>
            </w:pPr>
            <w:r>
              <w:rPr>
                <w:rFonts w:ascii="Times New Roman" w:cs="Times New Roman" w:eastAsia="Times New Roman" w:hAnsi="Times New Roman"/>
                <w:sz w:val="13"/>
                <w:szCs w:val="13"/>
                <w:color w:val="auto"/>
              </w:rPr>
              <w:t>10.0%</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1"/>
        </w:trPr>
        <w:tc>
          <w:tcPr>
            <w:tcW w:w="5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revenue</w:t>
            </w:r>
          </w:p>
        </w:tc>
        <w:tc>
          <w:tcPr>
            <w:tcW w:w="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252,631</w:t>
            </w:r>
          </w:p>
        </w:tc>
        <w:tc>
          <w:tcPr>
            <w:tcW w:w="18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3"/>
                <w:szCs w:val="13"/>
                <w:color w:val="auto"/>
              </w:rPr>
              <w:t>201,930</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171,617</w:t>
            </w:r>
          </w:p>
        </w:tc>
      </w:tr>
      <w:tr>
        <w:trPr>
          <w:trHeight w:val="175"/>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Increase in total deferred revenue</w:t>
            </w: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50,701</w:t>
            </w:r>
          </w:p>
        </w:tc>
        <w:tc>
          <w:tcPr>
            <w:tcW w:w="1800" w:type="dxa"/>
            <w:vAlign w:val="bottom"/>
          </w:tcPr>
          <w:p>
            <w:pPr>
              <w:jc w:val="right"/>
              <w:ind w:right="418"/>
              <w:spacing w:after="0"/>
              <w:rPr>
                <w:sz w:val="20"/>
                <w:szCs w:val="20"/>
                <w:color w:val="auto"/>
              </w:rPr>
            </w:pPr>
            <w:r>
              <w:rPr>
                <w:rFonts w:ascii="Times New Roman" w:cs="Times New Roman" w:eastAsia="Times New Roman" w:hAnsi="Times New Roman"/>
                <w:sz w:val="13"/>
                <w:szCs w:val="13"/>
                <w:color w:val="auto"/>
              </w:rPr>
              <w:t>30,313</w:t>
            </w: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40,362</w:t>
            </w:r>
          </w:p>
        </w:tc>
      </w:tr>
      <w:tr>
        <w:trPr>
          <w:trHeight w:val="21"/>
        </w:trPr>
        <w:tc>
          <w:tcPr>
            <w:tcW w:w="5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investments</w:t>
            </w:r>
          </w:p>
        </w:tc>
        <w:tc>
          <w:tcPr>
            <w:tcW w:w="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387,460</w:t>
            </w:r>
          </w:p>
        </w:tc>
        <w:tc>
          <w:tcPr>
            <w:tcW w:w="18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3"/>
                <w:szCs w:val="13"/>
                <w:color w:val="auto"/>
              </w:rPr>
              <w:t>260,314</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124,190</w:t>
            </w:r>
          </w:p>
        </w:tc>
      </w:tr>
      <w:tr>
        <w:trPr>
          <w:trHeight w:val="175"/>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103,383</w:t>
            </w:r>
          </w:p>
        </w:tc>
        <w:tc>
          <w:tcPr>
            <w:tcW w:w="1800" w:type="dxa"/>
            <w:vAlign w:val="bottom"/>
          </w:tcPr>
          <w:p>
            <w:pPr>
              <w:jc w:val="right"/>
              <w:ind w:right="418"/>
              <w:spacing w:after="0"/>
              <w:rPr>
                <w:sz w:val="20"/>
                <w:szCs w:val="20"/>
                <w:color w:val="auto"/>
              </w:rPr>
            </w:pPr>
            <w:r>
              <w:rPr>
                <w:rFonts w:ascii="Times New Roman" w:cs="Times New Roman" w:eastAsia="Times New Roman" w:hAnsi="Times New Roman"/>
                <w:sz w:val="13"/>
                <w:szCs w:val="13"/>
                <w:color w:val="auto"/>
              </w:rPr>
              <w:t>61,971</w:t>
            </w: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37,686</w:t>
            </w:r>
          </w:p>
        </w:tc>
      </w:tr>
      <w:tr>
        <w:trPr>
          <w:trHeight w:val="21"/>
        </w:trPr>
        <w:tc>
          <w:tcPr>
            <w:tcW w:w="5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Free cash flow </w:t>
            </w:r>
            <w:r>
              <w:rPr>
                <w:rFonts w:ascii="Times New Roman" w:cs="Times New Roman" w:eastAsia="Times New Roman" w:hAnsi="Times New Roman"/>
                <w:sz w:val="13"/>
                <w:szCs w:val="13"/>
                <w:color w:val="auto"/>
                <w:vertAlign w:val="superscript"/>
              </w:rPr>
              <w:t>(2)</w:t>
            </w:r>
          </w:p>
        </w:tc>
        <w:tc>
          <w:tcPr>
            <w:tcW w:w="7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99,607</w:t>
            </w:r>
          </w:p>
        </w:tc>
        <w:tc>
          <w:tcPr>
            <w:tcW w:w="18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3"/>
                <w:szCs w:val="13"/>
                <w:color w:val="auto"/>
              </w:rPr>
              <w:t>57,382</w:t>
            </w:r>
          </w:p>
        </w:tc>
        <w:tc>
          <w:tcPr>
            <w:tcW w:w="1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34,888</w:t>
            </w:r>
          </w:p>
        </w:tc>
      </w:tr>
      <w:tr>
        <w:trPr>
          <w:trHeight w:val="175"/>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___________________</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 Includes:</w:t>
            </w: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68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0"/>
                <w:szCs w:val="10"/>
                <w:color w:val="auto"/>
              </w:rPr>
              <w:t>9,315</w:t>
            </w:r>
          </w:p>
        </w:tc>
        <w:tc>
          <w:tcPr>
            <w:tcW w:w="1800" w:type="dxa"/>
            <w:vAlign w:val="bottom"/>
          </w:tcPr>
          <w:p>
            <w:pPr>
              <w:jc w:val="right"/>
              <w:ind w:right="418"/>
              <w:spacing w:after="0"/>
              <w:rPr>
                <w:sz w:val="20"/>
                <w:szCs w:val="20"/>
                <w:color w:val="auto"/>
              </w:rPr>
            </w:pPr>
            <w:r>
              <w:rPr>
                <w:rFonts w:ascii="Times New Roman" w:cs="Times New Roman" w:eastAsia="Times New Roman" w:hAnsi="Times New Roman"/>
                <w:sz w:val="10"/>
                <w:szCs w:val="10"/>
                <w:color w:val="auto"/>
              </w:rPr>
              <w:t>7,461</w:t>
            </w: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0"/>
                <w:szCs w:val="10"/>
                <w:color w:val="auto"/>
              </w:rPr>
              <w:t>5,299</w:t>
            </w:r>
          </w:p>
        </w:tc>
      </w:tr>
      <w:tr>
        <w:trPr>
          <w:trHeight w:val="196"/>
        </w:trPr>
        <w:tc>
          <w:tcPr>
            <w:tcW w:w="68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Non-cash asset acquisition related write-offs:</w:t>
            </w: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right"/>
              <w:ind w:right="418"/>
              <w:spacing w:after="0"/>
              <w:rPr>
                <w:sz w:val="20"/>
                <w:szCs w:val="20"/>
                <w:color w:val="auto"/>
              </w:rPr>
            </w:pPr>
            <w:r>
              <w:rPr>
                <w:rFonts w:ascii="Times New Roman" w:cs="Times New Roman" w:eastAsia="Times New Roman" w:hAnsi="Times New Roman"/>
                <w:sz w:val="10"/>
                <w:szCs w:val="10"/>
                <w:color w:val="auto"/>
              </w:rPr>
              <w:t>2,387</w:t>
            </w: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0"/>
                <w:szCs w:val="10"/>
                <w:color w:val="auto"/>
              </w:rPr>
              <w:t>—</w:t>
            </w:r>
          </w:p>
        </w:tc>
      </w:tr>
      <w:tr>
        <w:trPr>
          <w:trHeight w:val="147"/>
        </w:trPr>
        <w:tc>
          <w:tcPr>
            <w:tcW w:w="68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The non-cash acquisition related write-offs are expenses for intangible assets that have no future value.</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100" w:lineRule="exact"/>
        <w:rPr>
          <w:sz w:val="20"/>
          <w:szCs w:val="20"/>
          <w:color w:val="auto"/>
        </w:rPr>
      </w:pPr>
    </w:p>
    <w:p>
      <w:pPr>
        <w:ind w:left="640" w:right="5280" w:hanging="207"/>
        <w:spacing w:after="0" w:line="347" w:lineRule="auto"/>
        <w:rPr>
          <w:sz w:val="20"/>
          <w:szCs w:val="20"/>
          <w:color w:val="auto"/>
        </w:rPr>
      </w:pPr>
      <w:r>
        <w:rPr>
          <w:rFonts w:ascii="Times New Roman" w:cs="Times New Roman" w:eastAsia="Times New Roman" w:hAnsi="Times New Roman"/>
          <w:sz w:val="10"/>
          <w:szCs w:val="10"/>
          <w:color w:val="auto"/>
        </w:rPr>
        <w:t>(2) Free cash flow is a non-GAAP financial measure, which we define as cash flow from operations minus capital expenditures, as further described below.</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(3) Commencing in the third quarter of fiscal 2009, we began operating and reporting financial results on a calendar quarter and year basis.</w:t>
      </w:r>
    </w:p>
    <w:p>
      <w:pPr>
        <w:spacing w:after="0" w:line="20" w:lineRule="exact"/>
        <w:rPr>
          <w:sz w:val="20"/>
          <w:szCs w:val="20"/>
          <w:color w:val="auto"/>
        </w:rPr>
      </w:pPr>
    </w:p>
    <w:p>
      <w:pPr>
        <w:ind w:left="600" w:right="4980"/>
        <w:spacing w:after="0" w:line="331" w:lineRule="auto"/>
        <w:rPr>
          <w:sz w:val="20"/>
          <w:szCs w:val="20"/>
          <w:color w:val="auto"/>
        </w:rPr>
      </w:pPr>
      <w:r>
        <w:rPr>
          <w:rFonts w:ascii="Times New Roman" w:cs="Times New Roman" w:eastAsia="Times New Roman" w:hAnsi="Times New Roman"/>
          <w:sz w:val="10"/>
          <w:szCs w:val="10"/>
          <w:color w:val="auto"/>
        </w:rPr>
        <w:t>Our third quarter of fiscal 2009 ended on September 30, 2009, and our fiscal 2009 ended on December 31, 2009. The impact of the reporting period change had the effect of increasing the number of d ays in the 12 month period ended December 31, 2009 by four days.</w:t>
      </w:r>
    </w:p>
    <w:p>
      <w:pPr>
        <w:spacing w:after="0" w:line="107" w:lineRule="exact"/>
        <w:rPr>
          <w:sz w:val="20"/>
          <w:szCs w:val="20"/>
          <w:color w:val="auto"/>
        </w:rPr>
      </w:pPr>
    </w:p>
    <w:p>
      <w:pPr>
        <w:ind w:right="12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 xml:space="preserve">Deferred revenue. </w:t>
      </w:r>
      <w:r>
        <w:rPr>
          <w:rFonts w:ascii="Times New Roman" w:cs="Times New Roman" w:eastAsia="Times New Roman" w:hAnsi="Times New Roman"/>
          <w:sz w:val="13"/>
          <w:szCs w:val="13"/>
          <w:color w:val="auto"/>
        </w:rPr>
        <w:t>Our deferred revenue consists of amounts that have been invoiced but that have not yet been recognized as revenue. The majority of our deferred revenue balance consists of the unamortized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portion of services revenue from subscription and support service contracts. We monitor our deferred revenue balance because it represents a significant portion of revenue to be recognized in future periods.</w:t>
      </w:r>
    </w:p>
    <w:p>
      <w:pPr>
        <w:spacing w:after="0" w:line="116" w:lineRule="exact"/>
        <w:rPr>
          <w:sz w:val="20"/>
          <w:szCs w:val="20"/>
          <w:color w:val="auto"/>
        </w:rPr>
      </w:pPr>
    </w:p>
    <w:p>
      <w:pPr>
        <w:ind w:right="20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Cash provided by operating activities. We monitor cash provided by operating activities as a measure of our overall business performance. Our cash provided by operating activities is driven in large part by advance payments for both new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1460"/>
          </w:cols>
          <w:pgMar w:left="220" w:top="124" w:right="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3"/>
          <w:szCs w:val="13"/>
          <w:color w:val="auto"/>
        </w:rPr>
        <w:t>renewal contracts for subscription and support services. Monitoring cas h provided by operating activities enables us to analyze our financial performance without the non-cash effects of certain items such as depreciation, amortization and stock-based compensation expenses, thereby allowing us to better understand and manage the cash needs of our business. Our cash provided by operating activities was $103.4 million in fiscal 2010, $62.0 million in fiscal 2009, and $37.7 million in fiscal 2008. In fiscal 2010, free cash flow (a non-GAAP financial measure, described under "Non-GAAP Financial Measures" below) was $99.6 million, compared to $57.4 million in fiscal 2009 and $34.9 million in fiscal 2008.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Non-GAAP Financial Measures</w:t>
      </w:r>
    </w:p>
    <w:p>
      <w:pPr>
        <w:spacing w:after="0" w:line="167"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3"/>
          <w:szCs w:val="13"/>
          <w:color w:val="auto"/>
        </w:rPr>
        <w:t>To supplement our consolidated financial statements presented in accordance with U.S. GAAP, we consider certain financial measures that are not prepared in accordance with GAAP, including non-GAAP gross margin, non-GAAP income from operations and non-GAAP operating margin, non-GAAP operating expenses, non-GAAP net income and non-GAAP free cash flow. These non-GAAP financial measures are not based on any standardized methodology prescribed by GAAP and are not necessarily comparable to similar measures presented by other companies. Non-GAAP gross margin is g ross margin as reported on our consolidated statements of operations, excluding the impact of stock-based compensation expense, which is a non-cash charge, and for fiscal 2009 only, non-cash asset acquisition related write-offs. Non-GAAP income from operations is operating income, as reported on our consolidated statements of operations, excluding the impact of stock-based compensation expense and for fiscal 2009 only, non-cash asset acquisition related write-offs. The non-cash asset acquisition related write-offs that we exclude from our fiscal 2009 non-GAAP financial measures are charges for intangible assets that have no future value, but these charges do not include amortization related to the intangible assets that provide an ongoing benefit to our recurring operations. Non-GAAP operating margin is non-GAAP income from operations divided by revenue. Non-GAAP operating expenses exclude the impact of stock-based compensation expense. Non-GAAP net income is net income plus stock-based compensation expense and non-cash asset acquisition related write-offs, less the related tax effects. Free cash flow, an alternative non-GAAP measure of liquidity, is defined as net cash provided by operating activities less capital expenditures.</w:t>
      </w:r>
    </w:p>
    <w:p>
      <w:pPr>
        <w:spacing w:after="0" w:line="141"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3"/>
          <w:szCs w:val="13"/>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35" w:lineRule="exact"/>
        <w:rPr>
          <w:sz w:val="20"/>
          <w:szCs w:val="20"/>
          <w:color w:val="auto"/>
        </w:rPr>
      </w:pPr>
    </w:p>
    <w:p>
      <w:pPr>
        <w:ind w:right="40" w:firstLine="469"/>
        <w:spacing w:after="0" w:line="257" w:lineRule="auto"/>
        <w:rPr>
          <w:sz w:val="20"/>
          <w:szCs w:val="20"/>
          <w:color w:val="auto"/>
        </w:rPr>
      </w:pPr>
      <w:r>
        <w:rPr>
          <w:rFonts w:ascii="Times New Roman" w:cs="Times New Roman" w:eastAsia="Times New Roman" w:hAnsi="Times New Roman"/>
          <w:sz w:val="13"/>
          <w:szCs w:val="13"/>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namely, stock-based compensation expense. Stock-based compensation has been, and will continue to be for the foreseeable future, a significant recurring expense in our business and is an important part of our employees' compensation that reflects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35"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The following tables reconcile GAAP gross margin, income from operations, operating margin, certain operating expenses and net income as reported on our consolidated statements of operations to non-GAAP gross margin, non-GAAP income from operations, non-GAAP operating margin, certain non-GAAP operating expenses and non-GAAP net income for fiscal 2010, 2009 and 2008. For fiscal 2010, both GAAP and non-GAAP results below include approximately $1.3 million of payroll tax expense resulting from the exercise of employee stock options during the year. Payroll tax expense associated with stock option exercises during fiscal 2009 and 2008 was immaterial.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1460"/>
          </w:cols>
          <w:pgMar w:left="220" w:top="124" w:right="2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center"/>
              <w:ind w:left="776"/>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r>
      <w:tr>
        <w:trPr>
          <w:trHeight w:val="161"/>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right"/>
              <w:ind w:right="721"/>
              <w:spacing w:after="0"/>
              <w:rPr>
                <w:sz w:val="20"/>
                <w:szCs w:val="20"/>
                <w:color w:val="auto"/>
              </w:rPr>
            </w:pPr>
            <w:r>
              <w:rPr>
                <w:rFonts w:ascii="Times New Roman" w:cs="Times New Roman" w:eastAsia="Times New Roman" w:hAnsi="Times New Roman"/>
                <w:sz w:val="12"/>
                <w:szCs w:val="12"/>
                <w:b w:val="1"/>
                <w:bCs w:val="1"/>
                <w:color w:val="auto"/>
              </w:rPr>
              <w:t>2010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2009</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gridSpan w:val="3"/>
          </w:tcPr>
          <w:p>
            <w:pPr>
              <w:jc w:val="right"/>
              <w:ind w:right="997"/>
              <w:spacing w:after="0"/>
              <w:rPr>
                <w:sz w:val="20"/>
                <w:szCs w:val="20"/>
                <w:color w:val="auto"/>
              </w:rPr>
            </w:pPr>
            <w:r>
              <w:rPr>
                <w:rFonts w:ascii="Times New Roman" w:cs="Times New Roman" w:eastAsia="Times New Roman" w:hAnsi="Times New Roman"/>
                <w:sz w:val="12"/>
                <w:szCs w:val="12"/>
                <w:b w:val="1"/>
                <w:bCs w:val="1"/>
                <w:color w:val="auto"/>
                <w:w w:val="99"/>
              </w:rPr>
              <w:t>2008</w:t>
            </w:r>
          </w:p>
        </w:tc>
      </w:tr>
      <w:tr>
        <w:trPr>
          <w:trHeight w:val="25"/>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5"/>
        </w:trPr>
        <w:tc>
          <w:tcPr>
            <w:tcW w:w="4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75"/>
        </w:trPr>
        <w:tc>
          <w:tcPr>
            <w:tcW w:w="4020" w:type="dxa"/>
            <w:vAlign w:val="bottom"/>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color w:val="auto"/>
              </w:rPr>
              <w:t>Revenue</w:t>
            </w:r>
          </w:p>
        </w:tc>
      </w:tr>
      <w:tr>
        <w:trPr>
          <w:trHeight w:val="153"/>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4"/>
          </w:tcPr>
          <w:p>
            <w:pPr>
              <w:jc w:val="center"/>
              <w:ind w:left="196"/>
              <w:spacing w:after="0"/>
              <w:rPr>
                <w:sz w:val="20"/>
                <w:szCs w:val="20"/>
                <w:color w:val="auto"/>
              </w:rPr>
            </w:pPr>
            <w:r>
              <w:rPr>
                <w:rFonts w:ascii="Times New Roman" w:cs="Times New Roman" w:eastAsia="Times New Roman" w:hAnsi="Times New Roman"/>
                <w:sz w:val="12"/>
                <w:szCs w:val="12"/>
                <w:b w:val="1"/>
                <w:bCs w:val="1"/>
                <w:color w:val="auto"/>
                <w:w w:val="98"/>
              </w:rPr>
              <w:t>($ amounts in 000's)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324,696</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252,115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211,791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gross profit and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239,490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rPr>
                <w:sz w:val="15"/>
                <w:szCs w:val="15"/>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182,140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146,319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69.1</w:t>
            </w: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760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5"/>
        </w:trPr>
        <w:tc>
          <w:tcPr>
            <w:tcW w:w="40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Non-cash asset acquisition related write-offs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gross profit and margin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240,520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185,287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146,786</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6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income from operations and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55,341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25,334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5"/>
        </w:trPr>
        <w:tc>
          <w:tcPr>
            <w:tcW w:w="40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Cost of revenue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5"/>
                <w:szCs w:val="15"/>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21"/>
        </w:trPr>
        <w:tc>
          <w:tcPr>
            <w:tcW w:w="4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1,963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5"/>
        </w:trPr>
        <w:tc>
          <w:tcPr>
            <w:tcW w:w="40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5"/>
                <w:szCs w:val="15"/>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1"/>
        </w:trPr>
        <w:tc>
          <w:tcPr>
            <w:tcW w:w="4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1,718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65"/>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stock-based compensation</w:t>
            </w:r>
          </w:p>
        </w:tc>
        <w:tc>
          <w:tcPr>
            <w:tcW w:w="10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9,315</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7 ,461</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color w:val="auto"/>
              </w:rPr>
              <w:t>5,299</w:t>
            </w: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1"/>
        </w:trPr>
        <w:tc>
          <w:tcPr>
            <w:tcW w:w="4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Non-cash asset acquisition related write-off s</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2,387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income from operations and margin</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64,656</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35,182</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10,226</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
        </w:trPr>
        <w:tc>
          <w:tcPr>
            <w:tcW w:w="294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1"/>
        </w:trPr>
        <w:tc>
          <w:tcPr>
            <w:tcW w:w="2940" w:type="dxa"/>
            <w:vAlign w:val="bottom"/>
          </w:tcPr>
          <w:p>
            <w:pPr>
              <w:spacing w:after="0"/>
              <w:rPr>
                <w:sz w:val="13"/>
                <w:szCs w:val="13"/>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2010</w:t>
            </w:r>
          </w:p>
        </w:tc>
        <w:tc>
          <w:tcPr>
            <w:tcW w:w="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gridSpan w:val="3"/>
          </w:tcPr>
          <w:p>
            <w:pPr>
              <w:jc w:val="right"/>
              <w:ind w:right="781"/>
              <w:spacing w:after="0"/>
              <w:rPr>
                <w:sz w:val="20"/>
                <w:szCs w:val="20"/>
                <w:color w:val="auto"/>
              </w:rPr>
            </w:pPr>
            <w:r>
              <w:rPr>
                <w:rFonts w:ascii="Times New Roman" w:cs="Times New Roman" w:eastAsia="Times New Roman" w:hAnsi="Times New Roman"/>
                <w:sz w:val="12"/>
                <w:szCs w:val="12"/>
                <w:b w:val="1"/>
                <w:bCs w:val="1"/>
                <w:color w:val="auto"/>
                <w:w w:val="91"/>
              </w:rPr>
              <w:t>2009</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2008</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
        </w:trPr>
        <w:tc>
          <w:tcPr>
            <w:tcW w:w="2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45"/>
        </w:trPr>
        <w:tc>
          <w:tcPr>
            <w:tcW w:w="2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 of</w:t>
            </w: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 of</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8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53"/>
        </w:trPr>
        <w:tc>
          <w:tcPr>
            <w:tcW w:w="2940" w:type="dxa"/>
            <w:vAlign w:val="bottom"/>
          </w:tcPr>
          <w:p>
            <w:pPr>
              <w:spacing w:after="0"/>
              <w:rPr>
                <w:sz w:val="13"/>
                <w:szCs w:val="13"/>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580" w:type="dxa"/>
            <w:vAlign w:val="bottom"/>
          </w:tcPr>
          <w:p>
            <w:pPr>
              <w:spacing w:after="0"/>
              <w:rPr>
                <w:sz w:val="13"/>
                <w:szCs w:val="13"/>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188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Revenue</w:t>
            </w:r>
          </w:p>
        </w:tc>
      </w:tr>
      <w:tr>
        <w:trPr>
          <w:trHeight w:val="25"/>
        </w:trPr>
        <w:tc>
          <w:tcPr>
            <w:tcW w:w="2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51"/>
        </w:trPr>
        <w:tc>
          <w:tcPr>
            <w:tcW w:w="2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40" w:type="dxa"/>
            <w:vAlign w:val="bottom"/>
            <w:gridSpan w:val="4"/>
          </w:tcPr>
          <w:p>
            <w:pPr>
              <w:jc w:val="right"/>
              <w:ind w:right="601"/>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5"/>
        </w:trPr>
        <w:tc>
          <w:tcPr>
            <w:tcW w:w="2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GAAP research and development expenses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49,801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15.3</w:t>
            </w:r>
          </w:p>
        </w:tc>
        <w:tc>
          <w:tcPr>
            <w:tcW w:w="2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42,195</w:t>
            </w:r>
          </w:p>
        </w:tc>
        <w:tc>
          <w:tcPr>
            <w:tcW w:w="10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16.7</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37,035</w:t>
            </w:r>
          </w:p>
        </w:tc>
        <w:tc>
          <w:tcPr>
            <w:tcW w:w="1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w:t>
            </w:r>
          </w:p>
        </w:tc>
      </w:tr>
      <w:tr>
        <w:trPr>
          <w:trHeight w:val="175"/>
        </w:trPr>
        <w:tc>
          <w:tcPr>
            <w:tcW w:w="2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(1,963)</w:t>
            </w: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(0.8)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(1,049)</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(0.5)</w:t>
            </w:r>
          </w:p>
        </w:tc>
      </w:tr>
      <w:tr>
        <w:trPr>
          <w:trHeight w:val="21"/>
        </w:trPr>
        <w:tc>
          <w:tcPr>
            <w:tcW w:w="2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5"/>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Non-GAAP research and development expenses</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w:t>
            </w:r>
          </w:p>
        </w:tc>
        <w:tc>
          <w:tcPr>
            <w:tcW w:w="1580" w:type="dxa"/>
            <w:vAlign w:val="bottom"/>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40,232</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15.9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35,986</w:t>
            </w:r>
          </w:p>
        </w:tc>
        <w:tc>
          <w:tcPr>
            <w:tcW w:w="1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17.0</w:t>
            </w:r>
          </w:p>
        </w:tc>
      </w:tr>
      <w:tr>
        <w:trPr>
          <w:trHeight w:val="165"/>
        </w:trPr>
        <w:tc>
          <w:tcPr>
            <w:tcW w:w="294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21"/>
        </w:trPr>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GAAP sales and marketing expenses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111,968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34.5</w:t>
            </w:r>
          </w:p>
        </w:tc>
        <w:tc>
          <w:tcPr>
            <w:tcW w:w="2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96,291</w:t>
            </w:r>
          </w:p>
        </w:tc>
        <w:tc>
          <w:tcPr>
            <w:tcW w:w="108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38.2</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87,717</w:t>
            </w:r>
          </w:p>
        </w:tc>
        <w:tc>
          <w:tcPr>
            <w:tcW w:w="1040" w:type="dxa"/>
            <w:vAlign w:val="bottom"/>
            <w:tcBorders>
              <w:bottom w:val="single" w:sz="8" w:color="CCEEFF"/>
            </w:tcBorders>
            <w:shd w:val="clear" w:color="auto" w:fill="CCEEFF"/>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5"/>
        </w:trPr>
        <w:tc>
          <w:tcPr>
            <w:tcW w:w="2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(1.2)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(2,512)</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284720" cy="323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323215"/>
                    </a:xfrm>
                    <a:prstGeom prst="rect">
                      <a:avLst/>
                    </a:prstGeom>
                    <a:noFill/>
                  </pic:spPr>
                </pic:pic>
              </a:graphicData>
            </a:graphic>
          </wp:anchor>
        </w:drawing>
      </w:r>
    </w:p>
    <w:p>
      <w:pPr>
        <w:spacing w:after="0" w:line="7" w:lineRule="exact"/>
        <w:rPr>
          <w:sz w:val="20"/>
          <w:szCs w:val="20"/>
          <w:color w:val="auto"/>
        </w:rPr>
      </w:pPr>
    </w:p>
    <w:p>
      <w:pPr>
        <w:ind w:left="4880" w:right="5040" w:firstLine="8"/>
        <w:spacing w:after="0" w:line="254" w:lineRule="auto"/>
        <w:tabs>
          <w:tab w:leader="none" w:pos="4986"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 style="overflow:hidden;font-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Non-GAAP sales and marketing expenses</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108,158</w:t>
            </w:r>
          </w:p>
        </w:tc>
        <w:tc>
          <w:tcPr>
            <w:tcW w:w="10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33.3</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size:10pt;"&gt;</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93,271</w:t>
            </w: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37.0</w:t>
            </w:r>
          </w:p>
        </w:tc>
        <w:tc>
          <w:tcPr>
            <w:tcW w:w="280" w:type="dxa"/>
            <w:vAlign w:val="bottom"/>
          </w:tcPr>
          <w:p>
            <w:pPr>
              <w:spacing w:after="0"/>
              <w:rPr>
                <w:sz w:val="16"/>
                <w:szCs w:val="16"/>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85,205</w:t>
            </w:r>
          </w:p>
        </w:tc>
        <w:tc>
          <w:tcPr>
            <w:tcW w:w="10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75"/>
        </w:trPr>
        <w:tc>
          <w:tcPr>
            <w:tcW w:w="2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GAAP general and administrative expenses</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22,380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6.9</w:t>
            </w:r>
          </w:p>
        </w:tc>
        <w:tc>
          <w:tcPr>
            <w:tcW w:w="7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18,320</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16,640</w:t>
            </w:r>
          </w:p>
        </w:tc>
        <w:tc>
          <w:tcPr>
            <w:tcW w:w="10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5"/>
        </w:trPr>
        <w:tc>
          <w:tcPr>
            <w:tcW w:w="2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740" w:type="dxa"/>
            <w:vAlign w:val="bottom"/>
          </w:tcPr>
          <w:p>
            <w:pPr>
              <w:spacing w:after="0"/>
              <w:rPr>
                <w:sz w:val="15"/>
                <w:szCs w:val="15"/>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10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1"/>
        </w:trPr>
        <w:tc>
          <w:tcPr>
            <w:tcW w:w="2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2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&lt; font style="font-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20,244</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w:t>
            </w:r>
          </w:p>
        </w:tc>
        <w:tc>
          <w:tcPr>
            <w:tcW w:w="740" w:type="dxa"/>
            <w:vAlign w:val="bottom"/>
            <w:shd w:val="clear" w:color="auto" w:fill="CCEEFF"/>
          </w:tcPr>
          <w:p>
            <w:pPr>
              <w:spacing w:after="0"/>
              <w:rPr>
                <w:sz w:val="13"/>
                <w:szCs w:val="13"/>
                <w:color w:val="auto"/>
              </w:rPr>
            </w:pPr>
          </w:p>
        </w:tc>
        <w:tc>
          <w:tcPr>
            <w:tcW w:w="17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16,602</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15,369</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family:inherit;font-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Non-GAAP general and administrative expenses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7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size:10pt;"&gt;</w:t>
            </w: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4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156,806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GAAP operating expenses</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184,149</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56.7</w:t>
            </w:r>
          </w:p>
        </w:tc>
        <w:tc>
          <w:tcPr>
            <w:tcW w:w="7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&lt; /td&gt;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62.2</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141,392</w:t>
            </w:r>
          </w:p>
        </w:tc>
        <w:tc>
          <w:tcPr>
            <w:tcW w:w="10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66.8</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w:t>
            </w:r>
            <w:r>
              <w:rPr>
                <w:rFonts w:ascii="Times New Roman" w:cs="Times New Roman" w:eastAsia="Times New Roman" w:hAnsi="Times New Roman"/>
                <w:sz w:val="26"/>
                <w:szCs w:val="26"/>
                <w:color w:val="auto"/>
                <w:vertAlign w:val="subscript"/>
              </w:rPr>
              <w: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&amp;nb</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(8,285)</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(6,701)</w:t>
            </w:r>
          </w:p>
        </w:tc>
        <w:tc>
          <w:tcPr>
            <w:tcW w:w="10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(2.7) sp;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(4,832)</w:t>
            </w:r>
          </w:p>
        </w:tc>
        <w:tc>
          <w:tcPr>
            <w:tcW w:w="10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5"/>
        </w:trPr>
        <w:tc>
          <w:tcPr>
            <w:tcW w:w="29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Non-GAAP operating expenses</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175,864</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54.2</w:t>
            </w:r>
          </w:p>
        </w:tc>
        <w:tc>
          <w:tcPr>
            <w:tcW w:w="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150,105</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59.5</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136,560</w:t>
            </w:r>
          </w:p>
        </w:tc>
        <w:tc>
          <w:tcPr>
            <w:tcW w:w="10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12"/>
        </w:trPr>
        <w:tc>
          <w:tcPr>
            <w:tcW w:w="29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jc w:val="right"/>
              <w:ind w:right="575"/>
              <w:spacing w:after="0"/>
              <w:rPr>
                <w:sz w:val="20"/>
                <w:szCs w:val="20"/>
                <w:color w:val="auto"/>
              </w:rPr>
            </w:pPr>
            <w:r>
              <w:rPr>
                <w:rFonts w:ascii="Times New Roman" w:cs="Times New Roman" w:eastAsia="Times New Roman" w:hAnsi="Times New Roman"/>
                <w:sz w:val="13"/>
                <w:szCs w:val="13"/>
                <w:color w:val="auto"/>
              </w:rPr>
              <w:t>41</w:t>
            </w:r>
          </w:p>
        </w:tc>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4" w:right="219" w:bottom="1440" w:gutter="0" w:footer="0" w:header="0"/>
        </w:sectPr>
      </w:pPr>
    </w:p>
    <w:bookmarkStart w:id="44" w:name="page45"/>
    <w:bookmarkEnd w:id="44"/>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01"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60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7160" w:type="dxa"/>
            <w:vAlign w:val="bottom"/>
            <w:gridSpan w:val="2"/>
          </w:tcPr>
          <w:p>
            <w:pPr>
              <w:ind w:left="6880"/>
              <w:spacing w:after="0"/>
              <w:rPr>
                <w:sz w:val="20"/>
                <w:szCs w:val="20"/>
                <w:color w:val="auto"/>
              </w:rPr>
            </w:pPr>
            <w:r>
              <w:rPr>
                <w:rFonts w:ascii="Times New Roman" w:cs="Times New Roman" w:eastAsia="Times New Roman" w:hAnsi="Times New Roman"/>
                <w:sz w:val="12"/>
                <w:szCs w:val="12"/>
                <w:b w:val="1"/>
                <w:bCs w:val="1"/>
                <w:color w:val="auto"/>
              </w:rPr>
              <w:t>2010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right"/>
              <w:ind w:right="616"/>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60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6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8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and share amounts in 000's, except per share amounts)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6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GAAP 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41,245</w:t>
            </w:r>
          </w:p>
        </w:tc>
        <w:tc>
          <w:tcPr>
            <w:tcW w:w="220" w:type="dxa"/>
            <w:vAlign w:val="bottom"/>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60,179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7,363</w:t>
            </w:r>
          </w:p>
        </w:tc>
      </w:tr>
      <w:tr>
        <w:trPr>
          <w:trHeight w:val="189"/>
        </w:trPr>
        <w:tc>
          <w:tcPr>
            <w:tcW w:w="71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xml:space="preserve">Stock-based compensation expense </w:t>
            </w:r>
            <w:r>
              <w:rPr>
                <w:rFonts w:ascii="Times New Roman" w:cs="Times New Roman" w:eastAsia="Times New Roman" w:hAnsi="Times New Roman"/>
                <w:sz w:val="13"/>
                <w:szCs w:val="13"/>
                <w:color w:val="auto"/>
                <w:vertAlign w:val="superscript"/>
              </w:rPr>
              <w:t>(1)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9,315</w:t>
            </w:r>
          </w:p>
        </w:tc>
        <w:tc>
          <w:tcPr>
            <w:tcW w:w="182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7,461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5,299</w:t>
            </w:r>
          </w:p>
        </w:tc>
      </w:tr>
      <w:tr>
        <w:trPr>
          <w:trHeight w:val="202"/>
        </w:trPr>
        <w:tc>
          <w:tcPr>
            <w:tcW w:w="7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Non-cash asset acquisition related write-offs </w:t>
            </w:r>
            <w:r>
              <w:rPr>
                <w:rFonts w:ascii="Times New Roman" w:cs="Times New Roman" w:eastAsia="Times New Roman" w:hAnsi="Times New Roman"/>
                <w:sz w:val="13"/>
                <w:szCs w:val="13"/>
                <w:color w:val="auto"/>
                <w:vertAlign w:val="superscript"/>
              </w:rPr>
              <w:t>(1)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2,387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81"/>
        </w:trPr>
        <w:tc>
          <w:tcPr>
            <w:tcW w:w="6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&lt;</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60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Provision for income taxes </w:t>
            </w:r>
            <w:r>
              <w:rPr>
                <w:rFonts w:ascii="Times New Roman" w:cs="Times New Roman" w:eastAsia="Times New Roman" w:hAnsi="Times New Roman"/>
                <w:sz w:val="13"/>
                <w:szCs w:val="13"/>
                <w:color w:val="auto"/>
                <w:vertAlign w:val="superscript"/>
              </w:rPr>
              <w:t>(2)</w:t>
            </w:r>
          </w:p>
        </w:tc>
        <w:tc>
          <w:tcPr>
            <w:tcW w:w="114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15,096/td&gt;</w:t>
            </w:r>
          </w:p>
        </w:tc>
        <w:tc>
          <w:tcPr>
            <w:tcW w:w="100" w:type="dxa"/>
            <w:vAlign w:val="bottom"/>
          </w:tcPr>
          <w:p>
            <w:pPr>
              <w:spacing w:after="0"/>
              <w:rPr>
                <w:sz w:val="16"/>
                <w:szCs w:val="16"/>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(32,666)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1,888</w:t>
            </w:r>
          </w:p>
        </w:tc>
      </w:tr>
      <w:tr>
        <w:trPr>
          <w:trHeight w:val="20"/>
        </w:trPr>
        <w:tc>
          <w:tcPr>
            <w:tcW w:w="60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6"/>
        </w:trPr>
        <w:tc>
          <w:tcPr>
            <w:tcW w:w="6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Non-GAAP income before provision for income taxes</w:t>
            </w:r>
          </w:p>
        </w:tc>
        <w:tc>
          <w:tcPr>
            <w:tcW w:w="1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65,656</w:t>
            </w:r>
          </w:p>
        </w:tc>
        <w:tc>
          <w:tcPr>
            <w:tcW w:w="10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37,361</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14,550</w:t>
            </w:r>
          </w:p>
        </w:tc>
      </w:tr>
      <w:tr>
        <w:trPr>
          <w:trHeight w:val="189"/>
        </w:trPr>
        <w:tc>
          <w:tcPr>
            <w:tcW w:w="6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 xml:space="preserve">Tax effects related to non-GAAP adjustments </w:t>
            </w:r>
            <w:r>
              <w:rPr>
                <w:rFonts w:ascii="Times New Roman" w:cs="Times New Roman" w:eastAsia="Times New Roman" w:hAnsi="Times New Roman"/>
                <w:sz w:val="13"/>
                <w:szCs w:val="13"/>
                <w:color w:val="auto"/>
                <w:vertAlign w:val="superscript"/>
              </w:rPr>
              <w:t>(3)</w:t>
            </w: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(21,010)</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(6,877)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(2,948)</w:t>
            </w:r>
          </w:p>
        </w:tc>
      </w:tr>
      <w:tr>
        <w:trPr>
          <w:trHeight w:val="211"/>
        </w:trPr>
        <w:tc>
          <w:tcPr>
            <w:tcW w:w="6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Non-GAAP net income</w:t>
            </w:r>
          </w:p>
        </w:tc>
        <w:tc>
          <w:tcPr>
            <w:tcW w:w="1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44,646</w:t>
            </w:r>
          </w:p>
        </w:tc>
        <w:tc>
          <w:tcPr>
            <w:tcW w:w="18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30,484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11,602</w:t>
            </w:r>
          </w:p>
        </w:tc>
      </w:tr>
      <w:tr>
        <w:trPr>
          <w:trHeight w:val="210"/>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Non-GAAP net income per share - diluted</w:t>
            </w:r>
          </w:p>
        </w:tc>
        <w:tc>
          <w:tcPr>
            <w:tcW w:w="114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CCEEFF"/>
            </w:tcBorders>
          </w:tcPr>
          <w:p>
            <w:pPr>
              <w:jc w:val="right"/>
              <w:ind w:right="56"/>
              <w:spacing w:after="0"/>
              <w:rPr>
                <w:sz w:val="20"/>
                <w:szCs w:val="20"/>
                <w:color w:val="auto"/>
              </w:rPr>
            </w:pPr>
            <w:r>
              <w:rPr>
                <w:rFonts w:ascii="Times New Roman" w:cs="Times New Roman" w:eastAsia="Times New Roman" w:hAnsi="Times New Roman"/>
                <w:sz w:val="13"/>
                <w:szCs w:val="13"/>
                <w:color w:val="auto"/>
              </w:rPr>
              <w:t>0.47</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0.17</w:t>
            </w:r>
          </w:p>
        </w:tc>
      </w:tr>
      <w:tr>
        <w:trPr>
          <w:trHeight w:val="200"/>
        </w:trPr>
        <w:tc>
          <w:tcPr>
            <w:tcW w:w="6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used in per share calculation - diluted</w:t>
            </w: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78,203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65,219</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67,122</w:t>
            </w:r>
          </w:p>
        </w:tc>
      </w:tr>
      <w:tr>
        <w:trPr>
          <w:trHeight w:val="146"/>
        </w:trPr>
        <w:tc>
          <w:tcPr>
            <w:tcW w:w="60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____________________</w:t>
            </w: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ind w:left="222" w:hanging="222"/>
        <w:spacing w:after="0"/>
        <w:tabs>
          <w:tab w:leader="none" w:pos="222"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Stock-based compensation expense and non-cash a sset acquisition related write-offs are added back to GAAP net income to reconcile to non-GAAP income before taxes.</w:t>
      </w:r>
    </w:p>
    <w:p>
      <w:pPr>
        <w:spacing w:after="0" w:line="2" w:lineRule="exact"/>
        <w:rPr>
          <w:rFonts w:ascii="Times New Roman" w:cs="Times New Roman" w:eastAsia="Times New Roman" w:hAnsi="Times New Roman"/>
          <w:sz w:val="10"/>
          <w:szCs w:val="10"/>
          <w:color w:val="auto"/>
        </w:rPr>
      </w:pPr>
    </w:p>
    <w:p>
      <w:pPr>
        <w:ind w:left="222" w:hanging="222"/>
        <w:spacing w:after="0"/>
        <w:tabs>
          <w:tab w:leader="none" w:pos="222"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Provision for income taxes is our GAAP provision that must be added to GAAP net income to reconcile to non-GAAP income before taxes. The provision for fiscal 2009 included a $37.8 million tax benefit from the reversal of our valuation allowance.</w:t>
      </w:r>
    </w:p>
    <w:p>
      <w:pPr>
        <w:spacing w:after="0" w:line="2" w:lineRule="exact"/>
        <w:rPr>
          <w:rFonts w:ascii="Times New Roman" w:cs="Times New Roman" w:eastAsia="Times New Roman" w:hAnsi="Times New Roman"/>
          <w:sz w:val="10"/>
          <w:szCs w:val="10"/>
          <w:color w:val="auto"/>
        </w:rPr>
      </w:pPr>
    </w:p>
    <w:p>
      <w:pPr>
        <w:ind w:left="402" w:right="20" w:hanging="402"/>
        <w:spacing w:after="0" w:line="261" w:lineRule="auto"/>
        <w:tabs>
          <w:tab w:leader="none" w:pos="215"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used a 32% effective tax rate in fiscal 2010 to calculate non-GAAP net income for fiscal 2010. The 32% effective tax rate reflects the exclusion of GAAP based stock option benefits, as well as the reinstated Federal R&amp;D Credit. Our effective tax rate for fiscal 2009 was 18% which reflects only our foreign tax provision as our US operations had net operating losses to offset any taxable income.</w:t>
      </w:r>
    </w:p>
    <w:p>
      <w:pPr>
        <w:spacing w:after="0" w:line="282"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3"/>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ind w:right="417"/>
              <w:spacing w:after="0"/>
              <w:rPr>
                <w:sz w:val="20"/>
                <w:szCs w:val="20"/>
                <w:color w:val="auto"/>
              </w:rPr>
            </w:pPr>
            <w:r>
              <w:rPr>
                <w:rFonts w:ascii="Times New Roman" w:cs="Times New Roman" w:eastAsia="Times New Roman" w:hAnsi="Times New Roman"/>
                <w:sz w:val="12"/>
                <w:szCs w:val="12"/>
                <w:b w:val="1"/>
                <w:bCs w:val="1"/>
                <w:color w:val="auto"/>
              </w:rPr>
              <w:t>2009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5"/>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Billings: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324,696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252,115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211,791</w:t>
            </w:r>
          </w:p>
        </w:tc>
      </w:tr>
      <w:tr>
        <w:trPr>
          <w:trHeight w:val="175"/>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Increase in deferred revenue</w:t>
            </w: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50,701</w:t>
            </w:r>
          </w:p>
        </w:tc>
        <w:tc>
          <w:tcPr>
            <w:tcW w:w="1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30,313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40,363</w:t>
            </w:r>
          </w:p>
        </w:tc>
      </w:tr>
      <w:tr>
        <w:trPr>
          <w:trHeight w:val="21"/>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billings (Non-GAAP)</w:t>
            </w: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375,397</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282,428</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252,154</w:t>
            </w:r>
          </w:p>
        </w:tc>
      </w:tr>
      <w:tr>
        <w:trPr>
          <w:trHeight w:val="590"/>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purchases of property and equipment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103,383</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61,971</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37,686</w:t>
            </w:r>
          </w:p>
        </w:tc>
      </w:tr>
      <w:tr>
        <w:trPr>
          <w:trHeight w:val="175"/>
        </w:trPr>
        <w:tc>
          <w:tcPr>
            <w:tcW w:w="6080" w:type="dxa"/>
            <w:vAlign w:val="bottom"/>
            <w:gridSpan w:val="2"/>
          </w:tcPr>
          <w:p>
            <w:pPr>
              <w:ind w:left="5440"/>
              <w:spacing w:after="0"/>
              <w:rPr>
                <w:sz w:val="20"/>
                <w:szCs w:val="20"/>
                <w:color w:val="auto"/>
              </w:rPr>
            </w:pPr>
            <w:r>
              <w:rPr>
                <w:rFonts w:ascii="Times New Roman" w:cs="Times New Roman" w:eastAsia="Times New Roman" w:hAnsi="Times New Roman"/>
                <w:sz w:val="13"/>
                <w:szCs w:val="13"/>
                <w:color w:val="auto"/>
              </w:rPr>
              <w:t>(3,776)</w:t>
            </w:r>
          </w:p>
        </w:tc>
        <w:tc>
          <w:tcPr>
            <w:tcW w:w="184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auto"/>
              </w:rPr>
              <w:t>(4,589)</w:t>
            </w:r>
          </w:p>
        </w:tc>
        <w:tc>
          <w:tcPr>
            <w:tcW w:w="226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color w:val="auto"/>
              </w:rPr>
              <w:t>(2,798)</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20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Free cash flow (Non-GAAP)</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99,607</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57,382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34,888</w:t>
            </w:r>
          </w:p>
        </w:tc>
        <w:tc>
          <w:tcPr>
            <w:tcW w:w="100" w:type="dxa"/>
            <w:vAlign w:val="bottom"/>
            <w:tcBorders>
              <w:bottom w:val="single" w:sz="8" w:color="auto"/>
            </w:tcBorders>
          </w:tcPr>
          <w:p>
            <w:pPr>
              <w:spacing w:after="0"/>
              <w:rPr>
                <w:sz w:val="17"/>
                <w:szCs w:val="17"/>
                <w:color w:val="auto"/>
              </w:rPr>
            </w:pPr>
          </w:p>
        </w:tc>
      </w:tr>
      <w:tr>
        <w:trPr>
          <w:trHeight w:val="185"/>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0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(283,710)</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13,757</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(53,706)</w:t>
            </w:r>
          </w:p>
        </w:tc>
      </w:tr>
      <w:tr>
        <w:trPr>
          <w:trHeight w:val="20"/>
        </w:trPr>
        <w:tc>
          <w:tcPr>
            <w:tcW w:w="57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9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78,049</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2,117</w:t>
            </w:r>
          </w:p>
        </w:tc>
      </w:tr>
    </w:tbl>
    <w:p>
      <w:pPr>
        <w:spacing w:after="0" w:line="1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Components of Operating Results</w:t>
      </w:r>
    </w:p>
    <w:p>
      <w:pPr>
        <w:spacing w:after="0" w:line="195"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i w:val="1"/>
          <w:iCs w:val="1"/>
          <w:color w:val="auto"/>
        </w:rPr>
        <w:t>Revenue</w:t>
      </w:r>
    </w:p>
    <w:p>
      <w:pPr>
        <w:spacing w:after="0" w:line="195" w:lineRule="exact"/>
        <w:rPr>
          <w:sz w:val="20"/>
          <w:szCs w:val="20"/>
          <w:color w:val="auto"/>
        </w:rPr>
      </w:pPr>
    </w:p>
    <w:p>
      <w:pPr>
        <w:ind w:left="2" w:right="40" w:firstLine="469"/>
        <w:spacing w:after="0" w:line="261" w:lineRule="auto"/>
        <w:rPr>
          <w:sz w:val="20"/>
          <w:szCs w:val="20"/>
          <w:color w:val="auto"/>
        </w:rPr>
      </w:pPr>
      <w:r>
        <w:rPr>
          <w:rFonts w:ascii="Times New Roman" w:cs="Times New Roman" w:eastAsia="Times New Roman" w:hAnsi="Times New Roman"/>
          <w:sz w:val="13"/>
          <w:szCs w:val="13"/>
          <w:color w:val="auto"/>
        </w:rPr>
        <w:t xml:space="preserve">We derive our revenue from sales of our products and subscription and support services. In fiscal 2010, we recognized our revenue in accordance with the guidance in ASC 985-605-25 (formerly referred to as Statement of Position, or SOP 97-2, </w:t>
      </w:r>
      <w:r>
        <w:rPr>
          <w:rFonts w:ascii="Times New Roman" w:cs="Times New Roman" w:eastAsia="Times New Roman" w:hAnsi="Times New Roman"/>
          <w:sz w:val="13"/>
          <w:szCs w:val="13"/>
          <w:i w:val="1"/>
          <w:iCs w:val="1"/>
          <w:color w:val="auto"/>
        </w:rPr>
        <w:t>Software Revenue Recognition</w:t>
      </w:r>
      <w:r>
        <w:rPr>
          <w:rFonts w:ascii="Times New Roman" w:cs="Times New Roman" w:eastAsia="Times New Roman" w:hAnsi="Times New Roman"/>
          <w:sz w:val="13"/>
          <w:szCs w:val="13"/>
          <w:color w:val="auto"/>
        </w:rPr>
        <w:t xml:space="preserve"> and SOP 98-9, Modification of SOP 97-2, Software Revenue Recognition, With Respect to Certain Transactions) which is discussed in further detail in “—Critical Accounting Policies and Estimates—Revenue Recognition” below. According to ASC 985-605-25, revenue is recognized when persuasive evid ence of an arrangement exists, delivery has occurred, the price is fixed or determinable and collection is probable.</w:t>
      </w:r>
    </w:p>
    <w:p>
      <w:pPr>
        <w:spacing w:after="0" w:line="161"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Our total revenue is comprised of the following:</w:t>
      </w:r>
    </w:p>
    <w:p>
      <w:pPr>
        <w:spacing w:after="0" w:line="83" w:lineRule="exact"/>
        <w:rPr>
          <w:sz w:val="20"/>
          <w:szCs w:val="20"/>
          <w:color w:val="auto"/>
        </w:rPr>
      </w:pPr>
    </w:p>
    <w:p>
      <w:pPr>
        <w:ind w:left="5662" w:right="5040" w:hanging="5192"/>
        <w:spacing w:after="0" w:line="567" w:lineRule="auto"/>
        <w:tabs>
          <w:tab w:leader="none" w:pos="93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Product revenue</w:t>
      </w:r>
      <w:r>
        <w:rPr>
          <w:rFonts w:ascii="Times New Roman" w:cs="Times New Roman" w:eastAsia="Times New Roman" w:hAnsi="Times New Roman"/>
          <w:sz w:val="13"/>
          <w:szCs w:val="13"/>
          <w:color w:val="auto"/>
        </w:rPr>
        <w:t>. Product revenue is generated from sales of our appliances and software. The substantial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42</w:t>
      </w:r>
    </w:p>
    <w:p>
      <w:pPr>
        <w:sectPr>
          <w:pgSz w:w="11900" w:h="16838" w:orient="portrait"/>
          <w:cols w:equalWidth="0" w:num="1">
            <w:col w:w="11462"/>
          </w:cols>
          <w:pgMar w:left="218" w:top="124"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1" w:lineRule="exact"/>
        <w:rPr>
          <w:sz w:val="20"/>
          <w:szCs w:val="20"/>
          <w:color w:val="auto"/>
        </w:rPr>
      </w:pPr>
    </w:p>
    <w:p>
      <w:pPr>
        <w:ind w:left="940"/>
        <w:spacing w:after="0" w:line="308" w:lineRule="auto"/>
        <w:rPr>
          <w:sz w:val="20"/>
          <w:szCs w:val="20"/>
          <w:color w:val="auto"/>
        </w:rPr>
      </w:pPr>
      <w:r>
        <w:rPr>
          <w:rFonts w:ascii="Times New Roman" w:cs="Times New Roman" w:eastAsia="Times New Roman" w:hAnsi="Times New Roman"/>
          <w:sz w:val="13"/>
          <w:szCs w:val="13"/>
          <w:color w:val="auto"/>
        </w:rPr>
        <w:t>majority of our product revenue has been generated by our FortiGate line of appliances and we do not expect this to change in the foreseeable future. Product revenue also includes revenue derived from sales of FortiManager and, FortiAnalyzer, as well as some of our other products. We generally reco gnize revenue for products sold to distributors under the “sell-in” method upon shipment to the distributor and, for “sell-through” distributors, upon sale to their end-customer. As a percentage of total revenue, we expect our product revenue may vary from quarter-to-quarter based on seasonal and cyclical factors discussed below under “—Quarterly Results of Operations” but generally may remain at relatively comparable levels.</w:t>
      </w:r>
    </w:p>
    <w:p>
      <w:pPr>
        <w:spacing w:after="0" w:line="33" w:lineRule="exact"/>
        <w:rPr>
          <w:sz w:val="20"/>
          <w:szCs w:val="20"/>
          <w:color w:val="auto"/>
        </w:rPr>
      </w:pPr>
    </w:p>
    <w:p>
      <w:pPr>
        <w:ind w:left="940" w:right="140" w:hanging="472"/>
        <w:spacing w:after="0" w:line="259" w:lineRule="auto"/>
        <w:tabs>
          <w:tab w:leader="none" w:pos="9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Services revenue</w:t>
      </w:r>
      <w:r>
        <w:rPr>
          <w:rFonts w:ascii="Times New Roman" w:cs="Times New Roman" w:eastAsia="Times New Roman" w:hAnsi="Times New Roman"/>
          <w:sz w:val="13"/>
          <w:szCs w:val="13"/>
          <w:color w:val="auto"/>
        </w:rPr>
        <w:t>. Services revenue is generated primarily from FortiCare technical support services for software updates, maintenance releases and patches, Internet access to technical content,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telephone and Internet access to technical support personnel,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We also generate a small portion of our revenue from professional services and training services and we recognize this revenue upon completion of the project. As a percentage of total revenue, we expect our services revenue to remain at relatively comparable levels.</w:t>
      </w:r>
    </w:p>
    <w:p>
      <w:pPr>
        <w:spacing w:after="0" w:line="54" w:lineRule="exact"/>
        <w:rPr>
          <w:rFonts w:ascii="Times New Roman" w:cs="Times New Roman" w:eastAsia="Times New Roman" w:hAnsi="Times New Roman"/>
          <w:sz w:val="13"/>
          <w:szCs w:val="13"/>
          <w:color w:val="auto"/>
        </w:rPr>
      </w:pPr>
    </w:p>
    <w:p>
      <w:pPr>
        <w:ind w:left="940" w:right="160" w:hanging="472"/>
        <w:spacing w:after="0" w:line="267" w:lineRule="auto"/>
        <w:tabs>
          <w:tab w:leader="none" w:pos="9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Ratable product and services revenue</w:t>
      </w:r>
      <w:r>
        <w:rPr>
          <w:rFonts w:ascii="Times New Roman" w:cs="Times New Roman" w:eastAsia="Times New Roman" w:hAnsi="Times New Roman"/>
          <w:sz w:val="13"/>
          <w:szCs w:val="13"/>
          <w:color w:val="auto"/>
        </w:rPr>
        <w:t>. Ratable product and services revenue is generated from sales of our products and services in cases where the fair value of the services being provided cannot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segregated from the value of the entire sale. In these cases, the value of the entire sale is deferred and recognized ratably over the life of the service performance period. See “—Critical Accounting Policies and Estimates—Revenue R ecognition.” In fiscal 2009 and 2010, ratable product and service revenue represented approximately 5% to 6% of total revenue.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Our total cost of revenue is comprised of the following:</w:t>
      </w:r>
    </w:p>
    <w:p>
      <w:pPr>
        <w:spacing w:after="0" w:line="193" w:lineRule="exact"/>
        <w:rPr>
          <w:sz w:val="20"/>
          <w:szCs w:val="20"/>
          <w:color w:val="auto"/>
        </w:rPr>
      </w:pPr>
    </w:p>
    <w:p>
      <w:pPr>
        <w:ind w:left="940" w:hanging="472"/>
        <w:spacing w:after="0" w:line="258" w:lineRule="auto"/>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product revenue. A substantial majority of the cost of product revenue consists of third-party manufacturing costs. Our cost of product 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3 - Legal Proceedings.” For fi scal 2009 and 2010, this royalty represented approximately 1% of total revenue and we do not expect this percentage to increase substantially in the foreseeable future.</w:t>
      </w:r>
    </w:p>
    <w:p>
      <w:pPr>
        <w:spacing w:after="0" w:line="164" w:lineRule="exact"/>
        <w:rPr>
          <w:rFonts w:ascii="Times New Roman" w:cs="Times New Roman" w:eastAsia="Times New Roman" w:hAnsi="Times New Roman"/>
          <w:sz w:val="13"/>
          <w:szCs w:val="13"/>
          <w:color w:val="auto"/>
        </w:rPr>
      </w:pPr>
    </w:p>
    <w:p>
      <w:pPr>
        <w:ind w:left="940" w:right="40" w:hanging="472"/>
        <w:spacing w:after="0" w:line="266" w:lineRule="auto"/>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services revenue. Cost of services revenue is primarily comprised of cash-based personnel costs associated with our FortiGuard Labs team and our technical support, professional services and training teams, as well as depreciation, supplies, data center, data communications , facility-related costs and stock-based compensation costs. We expect our cost of services revenue will increase as we continue to invest in subscription and support services to meet the needs of our growing customer base.</w:t>
      </w:r>
    </w:p>
    <w:p>
      <w:pPr>
        <w:spacing w:after="0" w:line="158"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ratable product and services revenue. Cost of ratable product and services revenue is comprised primarily of deferred product costs and services-related costs.</w:t>
      </w:r>
    </w:p>
    <w:p>
      <w:pPr>
        <w:spacing w:after="0" w:line="191" w:lineRule="exact"/>
        <w:rPr>
          <w:sz w:val="20"/>
          <w:szCs w:val="20"/>
          <w:color w:val="auto"/>
        </w:rPr>
      </w:pPr>
    </w:p>
    <w:p>
      <w:pPr>
        <w:ind w:firstLine="469"/>
        <w:spacing w:after="0" w:line="267" w:lineRule="auto"/>
        <w:rPr>
          <w:sz w:val="20"/>
          <w:szCs w:val="20"/>
          <w:color w:val="auto"/>
        </w:rPr>
      </w:pPr>
      <w:r>
        <w:rPr>
          <w:rFonts w:ascii="Times New Roman" w:cs="Times New Roman" w:eastAsia="Times New Roman" w:hAnsi="Times New Roman"/>
          <w:sz w:val="13"/>
          <w:szCs w:val="13"/>
          <w:i w:val="1"/>
          <w:iCs w:val="1"/>
          <w:color w:val="auto"/>
        </w:rPr>
        <w:t>Gross profit</w:t>
      </w:r>
      <w:r>
        <w:rPr>
          <w:rFonts w:ascii="Times New Roman" w:cs="Times New Roman" w:eastAsia="Times New Roman" w:hAnsi="Times New Roman"/>
          <w:sz w:val="13"/>
          <w:szCs w:val="13"/>
          <w:color w:val="auto"/>
        </w:rPr>
        <w:t>. Gross profit as a percentage of revenue, or gross margin, has been and will continue to be affected by a variety of factors, including the average sales price of our products, any excess inventory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write-offs, manufacturing costs, the mix of products sold and the mix of revenue between products and services. We believe our overall gross margin for the near term will remain at comparable levels or decline modestly compared to that achieved in fiscal 2010.</w:t>
      </w:r>
    </w:p>
    <w:p>
      <w:pPr>
        <w:spacing w:after="0" w:line="158" w:lineRule="exact"/>
        <w:rPr>
          <w:sz w:val="20"/>
          <w:szCs w:val="20"/>
          <w:color w:val="auto"/>
        </w:rPr>
      </w:pPr>
    </w:p>
    <w:p>
      <w:pPr>
        <w:ind w:right="80" w:firstLine="469"/>
        <w:spacing w:after="0" w:line="281" w:lineRule="auto"/>
        <w:rPr>
          <w:sz w:val="20"/>
          <w:szCs w:val="20"/>
          <w:color w:val="auto"/>
        </w:rPr>
      </w:pPr>
      <w:r>
        <w:rPr>
          <w:rFonts w:ascii="Times New Roman" w:cs="Times New Roman" w:eastAsia="Times New Roman" w:hAnsi="Times New Roman"/>
          <w:sz w:val="13"/>
          <w:szCs w:val="13"/>
          <w:color w:val="auto"/>
        </w:rPr>
        <w:t>Services revenue has historically increased as a percentage of total revenue since inception, and this trend has had a positive effect on our total gross margin given the higher services gross margins compared to product gross margins. We have generally maintained consistent services gross margins in fiscal 2009 and fiscal 2010.</w:t>
      </w:r>
    </w:p>
    <w:p>
      <w:pPr>
        <w:spacing w:after="0" w:line="117" w:lineRule="exact"/>
        <w:rPr>
          <w:sz w:val="20"/>
          <w:szCs w:val="20"/>
          <w:color w:val="auto"/>
        </w:rPr>
      </w:pPr>
    </w:p>
    <w:p>
      <w:pPr>
        <w:ind w:right="100" w:firstLine="469"/>
        <w:spacing w:after="0" w:line="267" w:lineRule="auto"/>
        <w:rPr>
          <w:sz w:val="20"/>
          <w:szCs w:val="20"/>
          <w:color w:val="auto"/>
        </w:rPr>
      </w:pPr>
      <w:r>
        <w:rPr>
          <w:rFonts w:ascii="Times New Roman" w:cs="Times New Roman" w:eastAsia="Times New Roman" w:hAnsi="Times New Roman"/>
          <w:sz w:val="13"/>
          <w:szCs w:val="13"/>
          <w:i w:val="1"/>
          <w:iCs w:val="1"/>
          <w:color w:val="auto"/>
        </w:rPr>
        <w:t>Operating expenses</w:t>
      </w:r>
      <w:r>
        <w:rPr>
          <w:rFonts w:ascii="Times New Roman" w:cs="Times New Roman" w:eastAsia="Times New Roman" w:hAnsi="Times New Roman"/>
          <w:sz w:val="13"/>
          <w:szCs w:val="13"/>
          <w:color w:val="auto"/>
        </w:rPr>
        <w:t>. Our operating expenses consist of research and development, sales and marketing and general and administrative expenses. Personnel costs are the most significant component of operating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1460"/>
          </w:cols>
          <w:pgMar w:left="220" w:top="124" w:right="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ind w:left="940" w:hanging="472"/>
        <w:spacing w:after="0" w:line="258" w:lineRule="auto"/>
        <w:tabs>
          <w:tab w:leader="none" w:pos="9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and development. Research and development expense consists primarily of cash-based personnel costs. Additional research and 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the United States. We expect our spending for research and development to increase in absolute dollars and may increas e modestly as a percentage of total revenue compared to fiscal 2010 results.</w:t>
      </w:r>
    </w:p>
    <w:p>
      <w:pPr>
        <w:spacing w:after="0" w:line="164" w:lineRule="exact"/>
        <w:rPr>
          <w:rFonts w:ascii="Times New Roman" w:cs="Times New Roman" w:eastAsia="Times New Roman" w:hAnsi="Times New Roman"/>
          <w:sz w:val="13"/>
          <w:szCs w:val="13"/>
          <w:color w:val="auto"/>
        </w:rPr>
      </w:pPr>
    </w:p>
    <w:p>
      <w:pPr>
        <w:ind w:left="940" w:right="120" w:hanging="472"/>
        <w:spacing w:after="0" w:line="258" w:lineRule="auto"/>
        <w:tabs>
          <w:tab w:leader="none" w:pos="9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and marketing. Sales and marketing expense is the largest component of our operating expenses and primarily consists of cash-based personnel costs including salary, benefits and commissions. Additional sales and marketing expenses include stock-based compensation, promotional and other marketing expenses, travel, depreciation of capital equipment and facility-relat 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164" w:lineRule="exact"/>
        <w:rPr>
          <w:rFonts w:ascii="Times New Roman" w:cs="Times New Roman" w:eastAsia="Times New Roman" w:hAnsi="Times New Roman"/>
          <w:sz w:val="13"/>
          <w:szCs w:val="13"/>
          <w:color w:val="auto"/>
        </w:rPr>
      </w:pPr>
    </w:p>
    <w:p>
      <w:pPr>
        <w:jc w:val="both"/>
        <w:ind w:left="940" w:right="180" w:hanging="472"/>
        <w:spacing w:after="0" w:line="261" w:lineRule="auto"/>
        <w:tabs>
          <w:tab w:leader="none" w:pos="9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and a dministrative. General and administrative expense consists of cash-based personnel costs as well as professional fees, stock-based 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defend our intellectual property.</w:t>
      </w:r>
    </w:p>
    <w:p>
      <w:pPr>
        <w:spacing w:after="0" w:line="159" w:lineRule="exact"/>
        <w:rPr>
          <w:sz w:val="20"/>
          <w:szCs w:val="20"/>
          <w:color w:val="auto"/>
        </w:rPr>
      </w:pPr>
    </w:p>
    <w:p>
      <w:pPr>
        <w:ind w:right="32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 xml:space="preserve">In terest income. </w:t>
      </w:r>
      <w:r>
        <w:rPr>
          <w:rFonts w:ascii="Times New Roman" w:cs="Times New Roman" w:eastAsia="Times New Roman" w:hAnsi="Times New Roman"/>
          <w:sz w:val="13"/>
          <w:szCs w:val="13"/>
          <w:color w:val="auto"/>
        </w:rPr>
        <w:t>Interest income consists of income earned on our cash, cash equivalents and investments. We have historically invested our cash in money market funds, commercial paper, corporate debt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and U.S. government debt securities.</w:t>
      </w:r>
    </w:p>
    <w:p>
      <w:pPr>
        <w:spacing w:after="0" w:line="145" w:lineRule="exact"/>
        <w:rPr>
          <w:sz w:val="20"/>
          <w:szCs w:val="20"/>
          <w:color w:val="auto"/>
        </w:rPr>
      </w:pPr>
    </w:p>
    <w:p>
      <w:pPr>
        <w:ind w:right="60"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Other income (expense), net</w:t>
      </w:r>
      <w:r>
        <w:rPr>
          <w:rFonts w:ascii="Times New Roman" w:cs="Times New Roman" w:eastAsia="Times New Roman" w:hAnsi="Times New Roman"/>
          <w:sz w:val="13"/>
          <w:szCs w:val="13"/>
          <w:color w:val="auto"/>
        </w:rPr>
        <w:t>. Other income (expense), net consists primarily of foreign exchange and related hedging gains and losses. Foreign exchange gains and losses relate to foreign currency exchange re-measurement. The hedging gains and losses are related to our settled balance sheet hedges.</w:t>
      </w:r>
    </w:p>
    <w:p>
      <w:pPr>
        <w:spacing w:after="0" w:line="145" w:lineRule="exact"/>
        <w:rPr>
          <w:sz w:val="20"/>
          <w:szCs w:val="20"/>
          <w:color w:val="auto"/>
        </w:rPr>
      </w:pPr>
    </w:p>
    <w:p>
      <w:pPr>
        <w:ind w:right="60" w:firstLine="469"/>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Provision for income taxes. </w:t>
      </w:r>
      <w:r>
        <w:rPr>
          <w:rFonts w:ascii="Times New Roman" w:cs="Times New Roman" w:eastAsia="Times New Roman" w:hAnsi="Times New Roman"/>
          <w:sz w:val="13"/>
          <w:szCs w:val="13"/>
          <w:color w:val="auto"/>
        </w:rPr>
        <w:t>We are subject to tax in the United States as well as other tax jurisdictions or countries in which we conduct business. Earnings from our non-U.S. activities are subject to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taxes in the local country which are generally lower than U.S. tax rates, and may be subject to current U.S. income taxes. Our effective tax rates differ from the U.S. statutory rate primarily due to foreign income subject to different tax rates than the U.S., research and development tax credits (particularly the recently reinstated U.S. Federal Research and Development Tax Credit), withholding taxes, nondeductible compensation and expenses and adjustments related to our intercompany transfer pricing.</w:t>
      </w:r>
    </w:p>
    <w:p>
      <w:pPr>
        <w:spacing w:after="0" w:line="132"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3"/>
          <w:szCs w:val="13"/>
          <w:color w:val="auto"/>
        </w:rPr>
        <w:t>The income tax provision for fiscal 2010 was comprised primarily of domestic income taxes, foreign income taxes and withholding taxes. The 2010 effective tax rate was impacted by the inclusion of stock option benefits, which affected the transfer pricing calculations between some of our foreign subsidiaries as well as the reinstated U.S. Federal Research and Development Tax Credit. The income tax provision for fiscal 2009 reflected a tax benefit related to the release of the valuation allowance, which resulted in the recognition of deferred tax assets. For periods beginning in 2010, as a result of fully reversing our valuation allowance, we expect that our effective tax rate will approximate the U.S. federal statutory tax rates plus the impact of state taxes, research and development tax credits (wh en applicable), withholding tax, nondeductible compensation and adjustments related to intercompany transfer pricing.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Policies and Estimates</w:t>
      </w:r>
    </w:p>
    <w:p>
      <w:pPr>
        <w:spacing w:after="0" w:line="197"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3"/>
          <w:szCs w:val="13"/>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 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1440"/>
          </w:cols>
          <w:pgMar w:left="220" w:top="12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estimates. To the extent that there are material differences between these estimates and our actual results, our future financial statements will be affected.</w:t>
      </w:r>
    </w:p>
    <w:p>
      <w:pPr>
        <w:spacing w:after="0" w:line="193" w:lineRule="exact"/>
        <w:rPr>
          <w:sz w:val="20"/>
          <w:szCs w:val="20"/>
          <w:color w:val="auto"/>
        </w:rPr>
      </w:pPr>
    </w:p>
    <w:p>
      <w:pPr>
        <w:ind w:right="80" w:firstLine="469"/>
        <w:spacing w:after="0" w:line="281" w:lineRule="auto"/>
        <w:rPr>
          <w:sz w:val="20"/>
          <w:szCs w:val="20"/>
          <w:color w:val="auto"/>
        </w:rPr>
      </w:pPr>
      <w:r>
        <w:rPr>
          <w:rFonts w:ascii="Times New Roman" w:cs="Times New Roman" w:eastAsia="Times New Roman" w:hAnsi="Times New Roman"/>
          <w:sz w:val="13"/>
          <w:szCs w:val="13"/>
          <w:color w:val="auto"/>
        </w:rPr>
        <w:t>We believe that of our significant accounting policies, which are described in Note 1 to the financial statements included in this 10-K, the following accounting policies involve a greater degree of judgment and complexity. Accordingly, we believe these are the most critical to fully understand and evaluate our financial condition and results of operations.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Revenue Recognition</w:t>
      </w:r>
    </w:p>
    <w:p>
      <w:pPr>
        <w:spacing w:after="0" w:line="195"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 See “—Recent Accounting Pronouncements in the notes to the consolidated financial statements” for a discussion of new revenue recognition standards that we will be required to adopt for fiscal 2011. We are still assessing the impact of the new standards and have not reflected in this annual report any impact such standards may have on our consolidated financial statements.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 revenue can be recognized until all of the following criteria have been met:</w:t>
      </w:r>
    </w:p>
    <w:p>
      <w:pPr>
        <w:spacing w:after="0" w:line="83" w:lineRule="exact"/>
        <w:rPr>
          <w:sz w:val="20"/>
          <w:szCs w:val="20"/>
          <w:color w:val="auto"/>
        </w:rPr>
      </w:pPr>
    </w:p>
    <w:p>
      <w:pPr>
        <w:ind w:left="940" w:hanging="472"/>
        <w:spacing w:after="0"/>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Persuasive evidence of an arrangement exists. </w:t>
      </w:r>
      <w:r>
        <w:rPr>
          <w:rFonts w:ascii="Times New Roman" w:cs="Times New Roman" w:eastAsia="Times New Roman" w:hAnsi="Times New Roman"/>
          <w:sz w:val="13"/>
          <w:szCs w:val="13"/>
          <w:color w:val="auto"/>
        </w:rPr>
        <w:t>Binding contracts or purchase orders are generally used to determine the exist ence of an arrangement.</w:t>
      </w:r>
    </w:p>
    <w:p>
      <w:pPr>
        <w:spacing w:after="0" w:line="85"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Delivery has occurred. </w:t>
      </w:r>
      <w:r>
        <w:rPr>
          <w:rFonts w:ascii="Times New Roman" w:cs="Times New Roman" w:eastAsia="Times New Roman" w:hAnsi="Times New Roman"/>
          <w:sz w:val="13"/>
          <w:szCs w:val="13"/>
          <w:color w:val="auto"/>
        </w:rPr>
        <w:t>Delivery occurs when we fulfill an order and title and risk of loss has been transferred or upon delivery of the service contract registration code.</w:t>
      </w:r>
    </w:p>
    <w:p>
      <w:pPr>
        <w:spacing w:after="0" w:line="192" w:lineRule="exact"/>
        <w:rPr>
          <w:rFonts w:ascii="Times New Roman" w:cs="Times New Roman" w:eastAsia="Times New Roman" w:hAnsi="Times New Roman"/>
          <w:sz w:val="13"/>
          <w:szCs w:val="13"/>
          <w:color w:val="auto"/>
        </w:rPr>
      </w:pPr>
    </w:p>
    <w:p>
      <w:pPr>
        <w:ind w:left="940" w:hanging="472"/>
        <w:spacing w:after="0" w:line="284"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The fee is fixed or determinable. </w:t>
      </w:r>
      <w:r>
        <w:rPr>
          <w:rFonts w:ascii="Times New Roman" w:cs="Times New Roman" w:eastAsia="Times New Roman" w:hAnsi="Times New Roman"/>
          <w:sz w:val="13"/>
          <w:szCs w:val="13"/>
          <w:color w:val="auto"/>
        </w:rPr>
        <w:t>We assess whether the fee is fixed or determinable based on the payment terms associated with the transaction. In the event payment terms differ from our standard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 practices, the fees are deemed to be not fixed or determinable and revenue is recognized when the payments become due, provided the remaining criteria for revenue recognition have been met.</w:t>
      </w:r>
    </w:p>
    <w:p>
      <w:pPr>
        <w:spacing w:after="0" w:line="37" w:lineRule="exact"/>
        <w:rPr>
          <w:rFonts w:ascii="Times New Roman" w:cs="Times New Roman" w:eastAsia="Times New Roman" w:hAnsi="Times New Roman"/>
          <w:sz w:val="13"/>
          <w:szCs w:val="13"/>
          <w:color w:val="auto"/>
        </w:rPr>
      </w:pPr>
    </w:p>
    <w:p>
      <w:pPr>
        <w:ind w:left="940" w:right="100" w:hanging="472"/>
        <w:spacing w:after="0" w:line="284" w:lineRule="auto"/>
        <w:tabs>
          <w:tab w:leader="none" w:pos="9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Collectability is probable. </w:t>
      </w:r>
      <w:r>
        <w:rPr>
          <w:rFonts w:ascii="Times New Roman" w:cs="Times New Roman" w:eastAsia="Times New Roman" w:hAnsi="Times New Roman"/>
          <w:sz w:val="13"/>
          <w:szCs w:val="13"/>
          <w:color w:val="auto"/>
        </w:rPr>
        <w:t>We assess collectability based primarily on creditworthiness as determined by credit checks and analysis, as well as payment history. Payment terms generally range from 30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90 days from invoice date.</w:t>
      </w:r>
    </w:p>
    <w:p>
      <w:pPr>
        <w:spacing w:after="0" w:line="147"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3"/>
          <w:szCs w:val="13"/>
          <w:color w:val="auto"/>
        </w:rPr>
        <w:t>For arrangem ents that include customer acceptance criteria, no revenue is recognized prior to acceptance. We recognize product revenue on sales to distributors that have no rights of return and end-customers upon shipment of the appliance, once all other revenue recognition criteria have been met. We also make sales through distributors under agreements that allow for rights of return. We recognize product revenue on sales made through such distributors upon sale by the distributor to the end-customer, at which time rights of return generally lapse. Substantially all of our products have been sold in combination with subscription or support services.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commence our subscription and support services on the date the customer registers the appliance. The customer is then entitled to service for the stated contractual period beginning on the registration date.</w:t>
      </w:r>
    </w:p>
    <w:p>
      <w:pPr>
        <w:spacing w:after="0" w:line="193"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 ses where VSOE of fair value of the undelivered elements does not exist, typically for subscription and support services, revenue for the entire arrangement is recognized ratably over the performance period of the undelivered elements. Revenue related to these arrangements is included in ratable product and services revenue in the accompanying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65" w:lineRule="exact"/>
        <w:rPr>
          <w:sz w:val="20"/>
          <w:szCs w:val="20"/>
          <w:color w:val="auto"/>
        </w:rPr>
      </w:pPr>
    </w:p>
    <w:p>
      <w:pPr>
        <w:jc w:val="both"/>
        <w:ind w:right="160" w:firstLine="469"/>
        <w:spacing w:after="0" w:line="266" w:lineRule="auto"/>
        <w:rPr>
          <w:sz w:val="20"/>
          <w:szCs w:val="20"/>
          <w:color w:val="auto"/>
        </w:rPr>
      </w:pPr>
      <w:r>
        <w:rPr>
          <w:rFonts w:ascii="Times New Roman" w:cs="Times New Roman" w:eastAsia="Times New Roman" w:hAnsi="Times New Roman"/>
          <w:sz w:val="13"/>
          <w:szCs w:val="13"/>
          <w:color w:val="auto"/>
        </w:rPr>
        <w:t>We offer certain sales incentives to channel partners. Additionally, in limited circumstances we may permit end-customers, distributors and resellers to return our products, sub ject to varying limitations, for a refund within a reasonably short period from the date of purchase. We reduce revenue for estimates of sales returns and allowances. We estimate and record reserves for these sales incentives and sales returns based on our historical experience. In each accounting period, we must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1460"/>
          </w:cols>
          <w:pgMar w:left="220" w:top="124" w:right="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make judgments and estimates of sales incentives and potential future sales returns related to current period revenue. These estimates affect our net revenue line item on our consolidated statement of operations and affect our net accounts receivable, deferred revenue or accrued liabilities line items on our consolidated balance sheet. Historically, there have been no significant adjustments to these estimates related to prior periods.</w:t>
      </w:r>
    </w:p>
    <w:p>
      <w:pPr>
        <w:spacing w:after="0" w:line="149" w:lineRule="exact"/>
        <w:rPr>
          <w:sz w:val="20"/>
          <w:szCs w:val="20"/>
          <w:color w:val="auto"/>
        </w:rPr>
      </w:pPr>
    </w:p>
    <w:p>
      <w:pPr>
        <w:ind w:right="400" w:firstLine="469"/>
        <w:spacing w:after="0" w:line="281" w:lineRule="auto"/>
        <w:rPr>
          <w:sz w:val="20"/>
          <w:szCs w:val="20"/>
          <w:color w:val="auto"/>
        </w:rPr>
      </w:pPr>
      <w:r>
        <w:rPr>
          <w:rFonts w:ascii="Times New Roman" w:cs="Times New Roman" w:eastAsia="Times New Roman" w:hAnsi="Times New Roman"/>
          <w:sz w:val="13"/>
          <w:szCs w:val="13"/>
          <w:color w:val="auto"/>
        </w:rPr>
        <w:t>At December 31, 2010, our allowance for sales returns was $2.0 million compared to $5.0 million at December 31, 2009. The decrease was the result of improved efficiency in processing sales incentives through the system at period end. If our allowance for sales returns was to increase by 10%, or $0.2 million, our net revenue would decrease by $0.2 million for fiscal 2010.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Stock-Based Compensation</w:t>
      </w:r>
    </w:p>
    <w:p>
      <w:pPr>
        <w:spacing w:after="0" w:line="193" w:lineRule="exact"/>
        <w:rPr>
          <w:sz w:val="20"/>
          <w:szCs w:val="20"/>
          <w:color w:val="auto"/>
        </w:rPr>
      </w:pPr>
    </w:p>
    <w:p>
      <w:pPr>
        <w:ind w:right="160" w:firstLine="469"/>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Employees. </w:t>
      </w:r>
      <w:r>
        <w:rPr>
          <w:rFonts w:ascii="Times New Roman" w:cs="Times New Roman" w:eastAsia="Times New Roman" w:hAnsi="Times New Roman"/>
          <w:sz w:val="13"/>
          <w:szCs w:val="13"/>
          <w:color w:val="auto"/>
        </w:rPr>
        <w:t>We have accounted for stock-based awards to employees in accordance with ASC 718 (SFAS 123R), which requires compensation expense related to share-based transactions, including employee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options, to be measured and recognized in the financial statements based on a determination of the fair value of the stock options. The grant date fair value is determined using the Black-Scholes-Merton (“Black-Scholes”) pricing model. For all employee stock options, we recognize expense over the requisite servic e period using the straight-line method. Our option pricing model requires the input of highly subjective assumptions, including the expected stock price volatility, expected term, and forfeiture rate. Any changes in these highly subjective assumptions significantly impact stock-based compensation expense.</w:t>
      </w:r>
    </w:p>
    <w:p>
      <w:pPr>
        <w:spacing w:after="0" w:line="159" w:lineRule="exact"/>
        <w:rPr>
          <w:sz w:val="20"/>
          <w:szCs w:val="20"/>
          <w:color w:val="auto"/>
        </w:rPr>
      </w:pPr>
    </w:p>
    <w:p>
      <w:pPr>
        <w:ind w:firstLine="469"/>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Non-employees. </w:t>
      </w:r>
      <w:r>
        <w:rPr>
          <w:rFonts w:ascii="Times New Roman" w:cs="Times New Roman" w:eastAsia="Times New Roman" w:hAnsi="Times New Roman"/>
          <w:sz w:val="13"/>
          <w:szCs w:val="13"/>
          <w:color w:val="auto"/>
        </w:rPr>
        <w:t>During fiscal 2010, 2009 and 2008 we issued to non-employees in exchange for services, options to purchase shares of common stock. These options vest over periods of up to 48 months, and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accordance with ASC 505-50 (formerly referred to as Emerging Issues Task Force (EITF) Issue No. 96-18), we accounted for these options as variable awards. The options were valued using the Black-Scholes opt ion pricing model.</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Valuation of Inventory</w:t>
      </w:r>
    </w:p>
    <w:p>
      <w:pPr>
        <w:spacing w:after="0" w:line="195"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3"/>
          <w:szCs w:val="13"/>
          <w:color w:val="auto"/>
        </w:rPr>
        <w:t>Inventory is recorded at the lower of cost (using the first-in, first-out method) or market, after we give appropriate consideration to 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 ould be required to record additional inventory write-downs which would be charged to cost of product revenue. Any write-downs could have an adverse impact on our gross margins and profitability.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Warranty Liabilities</w:t>
      </w:r>
    </w:p>
    <w:p>
      <w:pPr>
        <w:spacing w:after="0" w:line="19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We generally provide a one-year warranty on hardware products and a 90-day warranty on software. A provision for estimated future costs related to warranty activities is charged to cost of product revenue based upon historical product failure rates and historical costs incurred in correcting product fa ilures. If we experience an increase in warranty claims compared with our historical experience, or if the cost of servicing warranty claims is greater than expected, our gross margin could be adversely affected.</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Accounting for Income Taxes</w:t>
      </w:r>
    </w:p>
    <w:p>
      <w:pPr>
        <w:spacing w:after="0" w:line="19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 sequences, generally all expected future events other than enactments or changes in the tax law or rates are considered. Valuation allowances are provided when necessary to reduce deferred tax assets to the amount expected to be realized.</w:t>
      </w:r>
    </w:p>
    <w:p>
      <w:pPr>
        <w:spacing w:after="0" w:line="158"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3"/>
          <w:szCs w:val="13"/>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 x contingencies.</w:t>
      </w:r>
    </w:p>
    <w:p>
      <w:pPr>
        <w:spacing w:after="0" w:line="158"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We account for uncertain tax positions in accordance with ASC 740-10 (FIN 48), which defines the confidence level that a tax position must meet in order to be recognized in the financial statements. ASC 740-10 requires that the tax effects of a position be recognized only if it is “more likely than not” to be sustained based solely on its technical merits as of the reporting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1460"/>
          </w:cols>
          <w:pgMar w:left="220" w:top="124"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We consider many factors when evaluating and estimating our tax positions and tax benefits, which may require periodic adjustments and which may not accurately anticipate actual outcomes.</w:t>
      </w:r>
    </w:p>
    <w:p>
      <w:pPr>
        <w:spacing w:after="0" w:line="193"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3"/>
          <w:szCs w:val="13"/>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 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61" w:lineRule="exact"/>
        <w:rPr>
          <w:sz w:val="20"/>
          <w:szCs w:val="20"/>
          <w:color w:val="auto"/>
        </w:rPr>
      </w:pPr>
    </w:p>
    <w:p>
      <w:pPr>
        <w:ind w:right="40" w:firstLine="469"/>
        <w:spacing w:after="0" w:line="257" w:lineRule="auto"/>
        <w:rPr>
          <w:sz w:val="20"/>
          <w:szCs w:val="20"/>
          <w:color w:val="auto"/>
        </w:rPr>
      </w:pPr>
      <w:r>
        <w:rPr>
          <w:rFonts w:ascii="Times New Roman" w:cs="Times New Roman" w:eastAsia="Times New Roman" w:hAnsi="Times New Roman"/>
          <w:sz w:val="13"/>
          <w:szCs w:val="13"/>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fourth quarter of fiscal 2009 we c oncluded that it was more likely than not that we would be able to realize the benefit of our deferred tax assets in the future. We based this conclusion on historical and projected operating performance, as well as our expectation that our operations will generate sufficient taxable income in future periods to realize the tax benefits associated with the deferred tax assets. As a result, we released all of the valuation allowance on our net deferred tax assets. We will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164"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We make estimates and judgments about our future taxable income that are based on assumptions that are consistent with our plans and estimates. Should the actual amounts differ from our estimates, the amount of our tax expense and liabilities could be materially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Results of Operations</w:t>
      </w:r>
    </w:p>
    <w:p>
      <w:pPr>
        <w:spacing w:after="0" w:line="197"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The following tables set forth our results of operations for the periods presented and as a percentage of our total revenue for those periods. The period-to-period co mparison of financial results is not necessarily indicative of financial results to be achieved in future periods.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11460"/>
          </w:cols>
          <w:pgMar w:left="220" w:top="124" w:right="219" w:bottom="1440" w:gutter="0" w:footer="0" w:header="0"/>
        </w:sectPr>
      </w:pPr>
    </w:p>
    <w:bookmarkStart w:id="50" w:name="page51"/>
    <w:bookmarkEnd w:id="50"/>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79" w:lineRule="exact"/>
        <w:rPr>
          <w:sz w:val="20"/>
          <w:szCs w:val="20"/>
          <w:color w:val="auto"/>
        </w:rPr>
      </w:pPr>
    </w:p>
    <w:p>
      <w:pPr>
        <w:ind w:left="6082"/>
        <w:spacing w:after="0"/>
        <w:rPr>
          <w:sz w:val="20"/>
          <w:szCs w:val="20"/>
          <w:color w:val="auto"/>
        </w:rPr>
      </w:pPr>
      <w:r>
        <w:rPr>
          <w:rFonts w:ascii="Times New Roman" w:cs="Times New Roman" w:eastAsia="Times New Roman" w:hAnsi="Times New Roman"/>
          <w:sz w:val="13"/>
          <w:szCs w:val="13"/>
          <w:color w:val="auto"/>
        </w:rPr>
        <w:t>&lt; /td&gt;</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 xml:space="preserve">Fiscal Year </w:t>
            </w:r>
            <w:r>
              <w:rPr>
                <w:rFonts w:ascii="Times New Roman" w:cs="Times New Roman" w:eastAsia="Times New Roman" w:hAnsi="Times New Roman"/>
                <w:sz w:val="13"/>
                <w:szCs w:val="13"/>
                <w:b w:val="1"/>
                <w:bCs w:val="1"/>
                <w:color w:val="auto"/>
                <w:w w:val="92"/>
                <w:vertAlign w:val="superscript"/>
              </w:rPr>
              <w:t>(1)</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87"/>
        </w:trPr>
        <w:tc>
          <w:tcPr>
            <w:tcW w:w="6080" w:type="dxa"/>
            <w:vAlign w:val="bottom"/>
          </w:tcPr>
          <w:p>
            <w:pPr>
              <w:spacing w:after="0"/>
              <w:rPr>
                <w:sz w:val="16"/>
                <w:szCs w:val="16"/>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2010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155"/>
              <w:spacing w:after="0"/>
              <w:rPr>
                <w:sz w:val="20"/>
                <w:szCs w:val="20"/>
                <w:color w:val="auto"/>
              </w:rPr>
            </w:pPr>
            <w:r>
              <w:rPr>
                <w:rFonts w:ascii="Times New Roman" w:cs="Times New Roman" w:eastAsia="Times New Roman" w:hAnsi="Times New Roman"/>
                <w:sz w:val="12"/>
                <w:szCs w:val="12"/>
                <w:b w:val="1"/>
                <w:bCs w:val="1"/>
                <w:color w:val="auto"/>
                <w:w w:val="87"/>
              </w:rPr>
              <w:t xml:space="preserve">2009 </w:t>
            </w:r>
            <w:r>
              <w:rPr>
                <w:rFonts w:ascii="Times New Roman" w:cs="Times New Roman" w:eastAsia="Times New Roman" w:hAnsi="Times New Roman"/>
                <w:sz w:val="15"/>
                <w:szCs w:val="15"/>
                <w:b w:val="1"/>
                <w:bCs w:val="1"/>
                <w:color w:val="auto"/>
                <w:w w:val="87"/>
                <w:vertAlign w:val="superscript"/>
              </w:rPr>
              <w:t>(2)</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Borders>
              <w:bottom w:val="single" w:sz="8" w:color="auto"/>
            </w:tcBorders>
          </w:tcPr>
          <w:p>
            <w:pPr>
              <w:spacing w:after="0"/>
              <w:rPr>
                <w:sz w:val="16"/>
                <w:szCs w:val="16"/>
                <w:color w:val="auto"/>
              </w:rPr>
            </w:pPr>
          </w:p>
        </w:tc>
      </w:tr>
      <w:tr>
        <w:trPr>
          <w:trHeight w:val="151"/>
        </w:trPr>
        <w:tc>
          <w:tcPr>
            <w:tcW w:w="6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 Data:</w:t>
            </w: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135,140</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98,686</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94,587</w:t>
            </w:r>
          </w:p>
        </w:tc>
      </w:tr>
      <w:tr>
        <w:trPr>
          <w:trHeight w:val="175"/>
        </w:trPr>
        <w:tc>
          <w:tcPr>
            <w:tcW w:w="6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80" w:type="dxa"/>
            <w:vAlign w:val="bottom"/>
          </w:tcPr>
          <w:p>
            <w:pPr>
              <w:jc w:val="right"/>
              <w:ind w:right="578"/>
              <w:spacing w:after="0"/>
              <w:rPr>
                <w:sz w:val="20"/>
                <w:szCs w:val="20"/>
                <w:color w:val="auto"/>
              </w:rPr>
            </w:pPr>
            <w:r>
              <w:rPr>
                <w:rFonts w:ascii="Times New Roman" w:cs="Times New Roman" w:eastAsia="Times New Roman" w:hAnsi="Times New Roman"/>
                <w:sz w:val="13"/>
                <w:szCs w:val="13"/>
                <w:color w:val="auto"/>
                <w:w w:val="99"/>
              </w:rPr>
              <w:t>172,046</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139,172</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105,292</w:t>
            </w: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17,510</w:t>
            </w: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14,257</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11,912</w:t>
            </w: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324,696</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252,115</w:t>
            </w:r>
          </w:p>
        </w:tc>
        <w:tc>
          <w:tcPr>
            <w:tcW w:w="100" w:type="dxa"/>
            <w:vAlign w:val="bottom"/>
          </w:tcPr>
          <w:p>
            <w:pPr>
              <w:spacing w:after="0"/>
              <w:rPr>
                <w:sz w:val="14"/>
                <w:szCs w:val="14"/>
                <w:color w:val="auto"/>
              </w:rPr>
            </w:pPr>
          </w:p>
        </w:tc>
        <w:tc>
          <w:tcPr>
            <w:tcW w:w="1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211,791</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0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5"/>
        </w:trPr>
        <w:tc>
          <w:tcPr>
            <w:tcW w:w="6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51,944</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42,166</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41,397</w:t>
            </w: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26,967</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22,265</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19,441</w:t>
            </w:r>
          </w:p>
        </w:tc>
      </w:tr>
      <w:tr>
        <w:trPr>
          <w:trHeight w:val="175"/>
        </w:trPr>
        <w:tc>
          <w:tcPr>
            <w:tcW w:w="6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w:t>
            </w:r>
          </w:p>
        </w:tc>
        <w:tc>
          <w:tcPr>
            <w:tcW w:w="120" w:type="dxa"/>
            <w:vAlign w:val="bottom"/>
          </w:tcPr>
          <w:p>
            <w:pPr>
              <w:spacing w:after="0"/>
              <w:rPr>
                <w:sz w:val="15"/>
                <w:szCs w:val="15"/>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5,544</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4,634</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 of revenues</w:t>
            </w: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85,206</w:t>
            </w:r>
          </w:p>
        </w:tc>
        <w:tc>
          <w:tcPr>
            <w:tcW w:w="120" w:type="dxa"/>
            <w:vAlign w:val="bottom"/>
          </w:tcPr>
          <w:p>
            <w:pPr>
              <w:spacing w:after="0"/>
              <w:rPr>
                <w:sz w:val="16"/>
                <w:szCs w:val="16"/>
                <w:color w:val="auto"/>
              </w:rPr>
            </w:pP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69,975</w:t>
            </w:r>
          </w:p>
        </w:tc>
        <w:tc>
          <w:tcPr>
            <w:tcW w:w="100" w:type="dxa"/>
            <w:vAlign w:val="bottom"/>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65,472</w:t>
            </w: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83,196</w:t>
            </w: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56,520</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53,190</w:t>
            </w:r>
          </w:p>
        </w:tc>
      </w:tr>
      <w:tr>
        <w:trPr>
          <w:trHeight w:val="175"/>
        </w:trPr>
        <w:tc>
          <w:tcPr>
            <w:tcW w:w="6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145,079</w:t>
            </w:r>
          </w:p>
        </w:tc>
        <w:tc>
          <w:tcPr>
            <w:tcW w:w="120" w:type="dxa"/>
            <w:vAlign w:val="bottom"/>
          </w:tcPr>
          <w:p>
            <w:pPr>
              <w:spacing w:after="0"/>
              <w:rPr>
                <w:sz w:val="15"/>
                <w:szCs w:val="15"/>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116,907</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85,851</w:t>
            </w: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11,215</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8,713</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7,278</w:t>
            </w: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gross profit</w:t>
            </w: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239,490</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182,140</w:t>
            </w:r>
          </w:p>
        </w:tc>
        <w:tc>
          <w:tcPr>
            <w:tcW w:w="100" w:type="dxa"/>
            <w:vAlign w:val="bottom"/>
          </w:tcPr>
          <w:p>
            <w:pPr>
              <w:spacing w:after="0"/>
              <w:rPr>
                <w:sz w:val="14"/>
                <w:szCs w:val="14"/>
                <w:color w:val="auto"/>
              </w:rPr>
            </w:pPr>
          </w:p>
        </w:tc>
        <w:tc>
          <w:tcPr>
            <w:tcW w:w="1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146,319</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0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5"/>
        </w:trPr>
        <w:tc>
          <w:tcPr>
            <w:tcW w:w="60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49,801</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42,195</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37,035</w:t>
            </w: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10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111,968</w:t>
            </w: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96,291</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87,717</w:t>
            </w:r>
          </w:p>
        </w:tc>
      </w:tr>
      <w:tr>
        <w:trPr>
          <w:trHeight w:val="175"/>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22,380</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18,320</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16,640</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184,149</w:t>
            </w: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156,806</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141,392</w:t>
            </w: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55,341</w:t>
            </w:r>
          </w:p>
        </w:tc>
        <w:tc>
          <w:tcPr>
            <w:tcW w:w="100" w:type="dxa"/>
            <w:vAlign w:val="bottom"/>
          </w:tcPr>
          <w:p>
            <w:pPr>
              <w:spacing w:after="0"/>
              <w:rPr>
                <w:sz w:val="14"/>
                <w:szCs w:val="14"/>
                <w:color w:val="auto"/>
              </w:rPr>
            </w:pPr>
          </w:p>
        </w:tc>
        <w:tc>
          <w:tcPr>
            <w:tcW w:w="17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25,334</w:t>
            </w:r>
          </w:p>
        </w:tc>
        <w:tc>
          <w:tcPr>
            <w:tcW w:w="100" w:type="dxa"/>
            <w:vAlign w:val="bottom"/>
          </w:tcPr>
          <w:p>
            <w:pPr>
              <w:spacing w:after="0"/>
              <w:rPr>
                <w:sz w:val="14"/>
                <w:szCs w:val="14"/>
                <w:color w:val="auto"/>
              </w:rPr>
            </w:pPr>
          </w:p>
        </w:tc>
        <w:tc>
          <w:tcPr>
            <w:tcW w:w="1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4,927</w:t>
            </w:r>
          </w:p>
        </w:tc>
      </w:tr>
      <w:tr>
        <w:trPr>
          <w:trHeight w:val="21"/>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1,981</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2,614</w:t>
            </w:r>
          </w:p>
        </w:tc>
      </w:tr>
      <w:tr>
        <w:trPr>
          <w:trHeight w:val="17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(815)</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198</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1,710</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56,341</w:t>
            </w:r>
          </w:p>
        </w:tc>
        <w:tc>
          <w:tcPr>
            <w:tcW w:w="1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27,513</w:t>
            </w:r>
          </w:p>
        </w:tc>
        <w:tc>
          <w:tcPr>
            <w:tcW w:w="1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9,251</w:t>
            </w:r>
          </w:p>
        </w:tc>
      </w:tr>
      <w:tr>
        <w:trPr>
          <w:trHeight w:val="17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0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15,096</w:t>
            </w: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(32,666)</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1,888</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41,245</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60,179</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7,363</w:t>
            </w:r>
          </w:p>
        </w:tc>
      </w:tr>
      <w:tr>
        <w:trPr>
          <w:trHeight w:val="150"/>
        </w:trPr>
        <w:tc>
          <w:tcPr>
            <w:tcW w:w="6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____________________</w:t>
            </w:r>
          </w:p>
        </w:tc>
        <w:tc>
          <w:tcPr>
            <w:tcW w:w="10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bl>
    <w:p>
      <w:pPr>
        <w:spacing w:after="0" w:line="2" w:lineRule="exact"/>
        <w:rPr>
          <w:sz w:val="20"/>
          <w:szCs w:val="20"/>
          <w:color w:val="auto"/>
        </w:rPr>
      </w:pPr>
    </w:p>
    <w:p>
      <w:pPr>
        <w:ind w:left="462" w:hanging="462"/>
        <w:spacing w:after="0"/>
        <w:tabs>
          <w:tab w:leader="none" w:pos="462"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Our fiscal years ended on December 31, 2010, December 31, 2009 and December 28, 2008.</w:t>
      </w:r>
    </w:p>
    <w:p>
      <w:pPr>
        <w:spacing w:after="0" w:line="16" w:lineRule="exact"/>
        <w:rPr>
          <w:rFonts w:ascii="Times New Roman" w:cs="Times New Roman" w:eastAsia="Times New Roman" w:hAnsi="Times New Roman"/>
          <w:sz w:val="13"/>
          <w:szCs w:val="13"/>
          <w:color w:val="auto"/>
        </w:rPr>
      </w:pPr>
    </w:p>
    <w:p>
      <w:pPr>
        <w:ind w:left="462" w:right="100" w:hanging="462"/>
        <w:spacing w:after="0" w:line="325" w:lineRule="auto"/>
        <w:tabs>
          <w:tab w:leader="none" w:pos="462"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Commencing in the third quarter of fiscal 2009, we began operating and reporting financial results on a calendar quarter and year basis. This change in period end had the effect of increasing the number of days in fiscal 2009 by four days.</w:t>
      </w:r>
    </w:p>
    <w:p>
      <w:pPr>
        <w:spacing w:after="0" w:line="3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1462"/>
          </w:cols>
          <w:pgMar w:left="218" w:top="124" w:right="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&lt; td style="vertical-align:bottom;padding-left:2px;padding-top:2px;padding-bottom:2px;padding-right:2px;"&gt;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3"/>
        </w:trPr>
        <w:tc>
          <w:tcPr>
            <w:tcW w:w="6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341"/>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7240" w:type="dxa"/>
            <w:vAlign w:val="bottom"/>
            <w:gridSpan w:val="2"/>
          </w:tcPr>
          <w:p>
            <w:pPr>
              <w:ind w:left="6820"/>
              <w:spacing w:after="0"/>
              <w:rPr>
                <w:sz w:val="20"/>
                <w:szCs w:val="20"/>
                <w:color w:val="auto"/>
              </w:rPr>
            </w:pPr>
            <w:r>
              <w:rPr>
                <w:rFonts w:ascii="Times New Roman" w:cs="Times New Roman" w:eastAsia="Times New Roman" w:hAnsi="Times New Roman"/>
                <w:sz w:val="12"/>
                <w:szCs w:val="12"/>
                <w:b w:val="1"/>
                <w:bCs w:val="1"/>
                <w:color w:val="auto"/>
              </w:rPr>
              <w:t>2010</w:t>
            </w:r>
          </w:p>
        </w:tc>
        <w:tc>
          <w:tcPr>
            <w:tcW w:w="2000" w:type="dxa"/>
            <w:vAlign w:val="bottom"/>
            <w:gridSpan w:val="4"/>
          </w:tcPr>
          <w:p>
            <w:pPr>
              <w:jc w:val="center"/>
              <w:ind w:left="1035"/>
              <w:spacing w:after="0"/>
              <w:rPr>
                <w:sz w:val="20"/>
                <w:szCs w:val="20"/>
                <w:color w:val="auto"/>
              </w:rPr>
            </w:pPr>
            <w:r>
              <w:rPr>
                <w:rFonts w:ascii="Times New Roman" w:cs="Times New Roman" w:eastAsia="Times New Roman" w:hAnsi="Times New Roman"/>
                <w:sz w:val="12"/>
                <w:szCs w:val="12"/>
                <w:b w:val="1"/>
                <w:bCs w:val="1"/>
                <w:color w:val="auto"/>
                <w:w w:val="91"/>
              </w:rPr>
              <w:t>2009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right"/>
              <w:ind w:right="655"/>
              <w:spacing w:after="0"/>
              <w:rPr>
                <w:sz w:val="20"/>
                <w:szCs w:val="20"/>
                <w:color w:val="auto"/>
              </w:rPr>
            </w:pPr>
            <w:r>
              <w:rPr>
                <w:rFonts w:ascii="Times New Roman" w:cs="Times New Roman" w:eastAsia="Times New Roman" w:hAnsi="Times New Roman"/>
                <w:sz w:val="12"/>
                <w:szCs w:val="12"/>
                <w:b w:val="1"/>
                <w:bCs w:val="1"/>
                <w:color w:val="auto"/>
              </w:rPr>
              <w:t>2008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341"/>
              <w:spacing w:after="0"/>
              <w:rPr>
                <w:sz w:val="20"/>
                <w:szCs w:val="20"/>
                <w:color w:val="auto"/>
              </w:rPr>
            </w:pPr>
            <w:r>
              <w:rPr>
                <w:rFonts w:ascii="Times New Roman" w:cs="Times New Roman" w:eastAsia="Times New Roman" w:hAnsi="Times New Roman"/>
                <w:sz w:val="12"/>
                <w:szCs w:val="12"/>
                <w:b w:val="1"/>
                <w:bCs w:val="1"/>
                <w:color w:val="auto"/>
                <w:w w:val="97"/>
              </w:rPr>
              <w:t>(as % of revenue)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6"/>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5"/>
              </w:rPr>
              <w:t>100.0</w:t>
            </w:r>
          </w:p>
        </w:tc>
        <w:tc>
          <w:tcPr>
            <w:tcW w:w="1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gross profit</w:t>
            </w:r>
          </w:p>
        </w:tc>
        <w:tc>
          <w:tcPr>
            <w:tcW w:w="1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0" w:type="dxa"/>
            <w:vAlign w:val="bottom"/>
          </w:tcPr>
          <w:p>
            <w:pPr>
              <w:spacing w:after="0"/>
              <w:rPr>
                <w:sz w:val="1"/>
                <w:szCs w:val="1"/>
                <w:color w:val="auto"/>
              </w:rPr>
            </w:pPr>
          </w:p>
        </w:tc>
      </w:tr>
      <w:tr>
        <w:trPr>
          <w:trHeight w:val="1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 rating expenses</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95"/>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6. 9</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spacing w:after="0"/>
              <w:rPr>
                <w:sz w:val="14"/>
                <w:szCs w:val="1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7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Fiscal Years 2010 and 2009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Fiscal Year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1"/>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2010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gridSpan w:val="3"/>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w w:val="99"/>
              </w:rPr>
              <w:t>2009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45"/>
        </w:trPr>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32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301"/>
              <w:spacing w:after="0"/>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3"/>
        </w:trPr>
        <w:tc>
          <w:tcPr>
            <w:tcW w:w="334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32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30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4"/>
          </w:tcPr>
          <w:p>
            <w:pPr>
              <w:jc w:val="right"/>
              <w:ind w:right="401"/>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18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75"/>
        </w:trPr>
        <w:tc>
          <w:tcPr>
            <w:tcW w:w="3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Product&lt; /font&gt;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3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36,454</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21"/>
        </w:trPr>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3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32,874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75"/>
        </w:trPr>
        <w:tc>
          <w:tcPr>
            <w:tcW w:w="3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3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3,253</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3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72,581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170"/>
        </w:trPr>
        <w:tc>
          <w:tcPr>
            <w:tcW w:w="3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Revenue by Geography:</w:t>
            </w: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r>
      <w:tr>
        <w:trPr>
          <w:trHeight w:val="21"/>
        </w:trPr>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Americas</w:t>
            </w:r>
          </w:p>
        </w:tc>
        <w:tc>
          <w:tcPr>
            <w:tcW w:w="1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31,340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75"/>
        </w:trPr>
        <w:tc>
          <w:tcPr>
            <w:tcW w:w="3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EMEA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3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25,718</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21"/>
        </w:trPr>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APAC</w:t>
            </w:r>
          </w:p>
        </w:tc>
        <w:tc>
          <w:tcPr>
            <w:tcW w:w="1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79,131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15,523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324,696</w:t>
            </w: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252,115</w:t>
            </w: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72,581</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35"/>
        </w:trPr>
        <w:tc>
          <w:tcPr>
            <w:tcW w:w="334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360" w:type="dxa"/>
            <w:vAlign w:val="bottom"/>
          </w:tcPr>
          <w:p>
            <w:pPr>
              <w:spacing w:after="0"/>
              <w:rPr>
                <w:sz w:val="3"/>
                <w:szCs w:val="3"/>
                <w:color w:val="auto"/>
              </w:rPr>
            </w:pPr>
          </w:p>
        </w:tc>
      </w:tr>
    </w:tbl>
    <w:p>
      <w:pPr>
        <w:spacing w:after="0" w:line="173"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3"/>
          <w:szCs w:val="13"/>
          <w:color w:val="auto"/>
        </w:rPr>
        <w:t>Total revenue increased $72.6 million, or 28.8%, in fiscal 2010 compared to fiscal 2009. The Americas region contributed the largest portion of this growth. Product revenue increased $36.5 million, or 36.9%, compared to fiscal 2009. The increase in product revenue was primarily driven by higher product sales volume across all regions. When looking at the mix of product revenue, there was a greater mix of our high-end products due to increased sales to enterprise and service provider customers as evidenced by a 79% increase in the number of $500,000+ deals in fiscal 2010 compared to fiscal 2009. Services revenue increased $32.9 million, or 23.6%, in fiscal 2010 compared to fiscal 2009 due to the recognition of revenue from our growing deferred revenue balance consisting of subscription and support contracts sold to a larger customer base and our increased focus on contract renewals. The growth in services revenue tends to lag growth in billings and product revenue due to amortization of revenue over the service period. The growth in ratable product and services revenue was due to a slight decrease in the weighted-average service period as a result of a decrease in the average contractual term of support contr acts for arrangements in which we recognized product and services revenue ratably.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1460"/>
          </w:cols>
          <w:pgMar w:left="220" w:top="124"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gridSpan w:val="4"/>
          </w:tcPr>
          <w:p>
            <w:pPr>
              <w:jc w:val="right"/>
              <w:ind w:right="898"/>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61"/>
        </w:trPr>
        <w:tc>
          <w:tcPr>
            <w:tcW w:w="4600" w:type="dxa"/>
            <w:vAlign w:val="bottom"/>
            <w:gridSpan w:val="2"/>
          </w:tcPr>
          <w:p>
            <w:pPr>
              <w:ind w:left="3820"/>
              <w:spacing w:after="0"/>
              <w:rPr>
                <w:sz w:val="20"/>
                <w:szCs w:val="20"/>
                <w:color w:val="auto"/>
              </w:rPr>
            </w:pPr>
            <w:r>
              <w:rPr>
                <w:rFonts w:ascii="Times New Roman" w:cs="Times New Roman" w:eastAsia="Times New Roman" w:hAnsi="Times New Roman"/>
                <w:sz w:val="12"/>
                <w:szCs w:val="12"/>
                <w:b w:val="1"/>
                <w:bCs w:val="1"/>
                <w:color w:val="auto"/>
              </w:rPr>
              <w:t>2010</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2009</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900" w:type="dxa"/>
            <w:vAlign w:val="bottom"/>
          </w:tcPr>
          <w:p>
            <w:pPr>
              <w:spacing w:after="0"/>
              <w:rPr>
                <w:sz w:val="13"/>
                <w:szCs w:val="13"/>
                <w:color w:val="auto"/>
              </w:rPr>
            </w:pPr>
          </w:p>
        </w:tc>
        <w:tc>
          <w:tcPr>
            <w:tcW w:w="192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9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76"/>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r>
      <w:tr>
        <w:trPr>
          <w:trHeight w:val="175"/>
        </w:trPr>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51,944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42,166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9,778</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21"/>
        </w:trPr>
        <w:tc>
          <w:tcPr>
            <w:tcW w:w="3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26,967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rPr>
              <w:t>22,265</w:t>
            </w: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4,702</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75"/>
        </w:trPr>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5,544</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751</w:t>
            </w:r>
          </w:p>
        </w:tc>
        <w:tc>
          <w:tcPr>
            <w:tcW w:w="9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21"/>
        </w:trPr>
        <w:tc>
          <w:tcPr>
            <w:tcW w:w="4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0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80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85,206</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69,975</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15,231</w:t>
            </w:r>
          </w:p>
        </w:tc>
        <w:tc>
          <w:tcPr>
            <w:tcW w:w="1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margin (%):</w:t>
            </w:r>
          </w:p>
        </w:tc>
        <w:tc>
          <w:tcPr>
            <w:tcW w:w="8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920" w:type="dxa"/>
            <w:vAlign w:val="bottom"/>
          </w:tcPr>
          <w:p>
            <w:pPr>
              <w:spacing w:after="0"/>
              <w:rPr>
                <w:sz w:val="14"/>
                <w:szCs w:val="14"/>
                <w:color w:val="auto"/>
              </w:rPr>
            </w:pPr>
          </w:p>
        </w:tc>
      </w:tr>
      <w:tr>
        <w:trPr>
          <w:trHeight w:val="21"/>
        </w:trPr>
        <w:tc>
          <w:tcPr>
            <w:tcW w:w="46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4.3</w:t>
            </w:r>
          </w:p>
        </w:tc>
        <w:tc>
          <w:tcPr>
            <w:tcW w:w="1920" w:type="dxa"/>
            <w:vAlign w:val="bottom"/>
            <w:tcBorders>
              <w:bottom w:val="single" w:sz="8" w:color="CCEEFF"/>
            </w:tcBorders>
            <w:shd w:val="clear" w:color="auto" w:fill="CCEEFF"/>
          </w:tcPr>
          <w:p>
            <w:pPr>
              <w:spacing w:after="0"/>
              <w:rPr>
                <w:sz w:val="15"/>
                <w:szCs w:val="15"/>
                <w:color w:val="auto"/>
              </w:rPr>
            </w:pPr>
          </w:p>
        </w:tc>
      </w:tr>
      <w:tr>
        <w:trPr>
          <w:trHeight w:val="175"/>
        </w:trPr>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0.3</w:t>
            </w:r>
          </w:p>
        </w:tc>
        <w:tc>
          <w:tcPr>
            <w:tcW w:w="1920" w:type="dxa"/>
            <w:vAlign w:val="bottom"/>
          </w:tcPr>
          <w:p>
            <w:pPr>
              <w:spacing w:after="0"/>
              <w:rPr>
                <w:sz w:val="15"/>
                <w:szCs w:val="15"/>
                <w:color w:val="auto"/>
              </w:rPr>
            </w:pPr>
          </w:p>
        </w:tc>
      </w:tr>
      <w:tr>
        <w:trPr>
          <w:trHeight w:val="21"/>
        </w:trPr>
        <w:tc>
          <w:tcPr>
            <w:tcW w:w="46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2.9</w:t>
            </w:r>
          </w:p>
        </w:tc>
        <w:tc>
          <w:tcPr>
            <w:tcW w:w="1920" w:type="dxa"/>
            <w:vAlign w:val="bottom"/>
            <w:tcBorders>
              <w:bottom w:val="single" w:sz="8" w:color="CCEEFF"/>
            </w:tcBorders>
            <w:shd w:val="clear" w:color="auto" w:fill="CCEEFF"/>
          </w:tcPr>
          <w:p>
            <w:pPr>
              <w:spacing w:after="0"/>
              <w:rPr>
                <w:sz w:val="15"/>
                <w:szCs w:val="15"/>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gross margin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1.6</w:t>
            </w:r>
          </w:p>
        </w:tc>
        <w:tc>
          <w:tcPr>
            <w:tcW w:w="1920" w:type="dxa"/>
            <w:vAlign w:val="bottom"/>
          </w:tcPr>
          <w:p>
            <w:pPr>
              <w:spacing w:after="0"/>
              <w:rPr>
                <w:sz w:val="15"/>
                <w:szCs w:val="15"/>
                <w:color w:val="auto"/>
              </w:rPr>
            </w:pPr>
          </w:p>
        </w:tc>
      </w:tr>
    </w:tbl>
    <w:p>
      <w:pPr>
        <w:spacing w:after="0" w:line="164"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3"/>
          <w:szCs w:val="13"/>
          <w:color w:val="auto"/>
        </w:rPr>
        <w:t>Total gross margin increased 1.6 percentage points in fiscal 2010 primarily due to improved product margins in fiscal 2010 compared to fiscal 2009. Product gross margin increased 4.3 percentage points in fiscal 2010 compared to fiscal 2009 primarily due to a greater mix of our high-end products and the absence of asset acquisition related write-offs compared to a $2.4 million write-off in fiscal 2009. From time to time, we have experienced sales of previously reserved inventory. During fiscal 2010, we experienced a positive impact of 0.7 percentage points due to the sale of f ully reserved inventory compared to a positive impact of 1.1 percentage points in fiscal 2009. Services gross margin was relatively flat as we continued to make investments in our Americas support, professional services and FortiGuard global security research organizations. Services cost increased by $4.7 million primarily due to a $2.9 million increase in cash-based personnel costs related to headcount increases. Travel, depreciation and other expenses increased a combined $0.8 million. In addition, occupancy-related costs increased $0.7 million and stock-based compensation increased $0.3 million. Ratable product and services gross margin increased 2.9 percentage points as a result of leverage achieved from cost re ductions with respect to overhead.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40" w:type="dxa"/>
            <w:vAlign w:val="bottom"/>
            <w:gridSpan w:val="3"/>
          </w:tcPr>
          <w:p>
            <w:pPr>
              <w:jc w:val="right"/>
              <w:ind w:right="1019"/>
              <w:spacing w:after="0"/>
              <w:rPr>
                <w:sz w:val="20"/>
                <w:szCs w:val="20"/>
                <w:color w:val="auto"/>
              </w:rPr>
            </w:pPr>
            <w:r>
              <w:rPr>
                <w:rFonts w:ascii="Times New Roman" w:cs="Times New Roman" w:eastAsia="Times New Roman" w:hAnsi="Times New Roman"/>
                <w:sz w:val="12"/>
                <w:szCs w:val="12"/>
                <w:b w:val="1"/>
                <w:bCs w:val="1"/>
                <w:color w:val="auto"/>
                <w:w w:val="99"/>
              </w:rPr>
              <w:t>2010</w:t>
            </w:r>
          </w:p>
        </w:tc>
        <w:tc>
          <w:tcPr>
            <w:tcW w:w="1040" w:type="dxa"/>
            <w:vAlign w:val="bottom"/>
          </w:tcPr>
          <w:p>
            <w:pPr>
              <w:spacing w:after="0"/>
              <w:rPr>
                <w:sz w:val="13"/>
                <w:szCs w:val="13"/>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2009</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997"/>
              <w:spacing w:after="0"/>
              <w:rPr>
                <w:sz w:val="20"/>
                <w:szCs w:val="20"/>
                <w:color w:val="auto"/>
              </w:rPr>
            </w:pPr>
            <w:r>
              <w:rPr>
                <w:rFonts w:ascii="Times New Roman" w:cs="Times New Roman" w:eastAsia="Times New Roman" w:hAnsi="Times New Roman"/>
                <w:sz w:val="12"/>
                <w:szCs w:val="12"/>
                <w:b w:val="1"/>
                <w:bCs w:val="1"/>
                <w:color w:val="auto"/>
              </w:rPr>
              <w:t>% of</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ind w:right="997"/>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1180" w:type="dxa"/>
            <w:vAlign w:val="bottom"/>
          </w:tcPr>
          <w:p>
            <w:pPr>
              <w:jc w:val="right"/>
              <w:ind w:right="296"/>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00" w:type="dxa"/>
            <w:vAlign w:val="bottom"/>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49,801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4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42,195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7,606</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111,968</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96,291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15,677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5"/>
        </w:trPr>
        <w:tc>
          <w:tcPr>
            <w:tcW w:w="3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4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18,320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4,060</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21"/>
        </w:trPr>
        <w:tc>
          <w:tcPr>
            <w:tcW w:w="3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3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&lt; font style="font-</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w w:val="99"/>
              </w:rPr>
              <w:t>family:inherit;font-</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56.7 size:10pt;"&gt;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156,806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27,343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35"/>
        </w:trPr>
        <w:tc>
          <w:tcPr>
            <w:tcW w:w="3000" w:type="dxa"/>
            <w:vAlign w:val="bottom"/>
            <w:shd w:val="clear" w:color="auto" w:fill="CCEEFF"/>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Research and development expense</w:t>
      </w:r>
    </w:p>
    <w:p>
      <w:pPr>
        <w:spacing w:after="0" w:line="165"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Research and development expense increased $7.6 million, or 18.0%, in fiscal 2010 compared to fiscal 2009 primarily due to an increase of $5.2 million in cash-based personnel costs as a result of increased headcount to support continued enhancements of our products, higher occupancy-related costs of $1.7 million due to a move into a new office facility in Vancouver with significantly increased square footage, plus early termination and moving costs, an increase of $0.4 million in stock-based compensation expense, and an increase of $0.3 million in product development related expenses, such as non-recurring engineering (NRE), testing and certifications. A 10% increase in the Canadian dollar exchange rate against the US dollar also significantly contributed to the increase in research and development expenses.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1460"/>
          </w:cols>
          <w:pgMar w:left="220" w:top="124"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&lt; /div&gt;</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Sales and marketing expense</w:t>
      </w:r>
    </w:p>
    <w:p>
      <w:pPr>
        <w:spacing w:after="0" w:line="152"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3"/>
          <w:szCs w:val="13"/>
          <w:color w:val="auto"/>
        </w:rPr>
        <w:t>Sales and marketing expense increased $15.7 million, or 16.3%, in fiscal 2010 compared to fiscal 2009 as we continued to increase our sales headcount in order to expand our global footprint. The increase consisted of cash-based personnel costs of $14.5 million as a result of increased headcount, a $1.3 million increase in travel as a result of our overall sales growth of 29% and particularly sales growth in the Americas of 34%, a $0.8 million increase in stock-based compensation expense, and a $0.2 million increase in professional services. These increases were partially offset by a $1.1 million decrease in marketing-related expenses. As a percentage of revenue, sales and marketing expenses decreased 3.7 percentage points due to the leverage we are achieving from the investment in our salesforce during the past year, as evidenced by revenue growth of 29% exceeding sales and mark eting expenses growth of 16%.</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General and administrative expense</w:t>
      </w:r>
    </w:p>
    <w:p>
      <w:pPr>
        <w:spacing w:after="0" w:line="165"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In fiscal 2010, general and administrative expense increased $4.1 million, or 22.2%, compared to fiscal 2009. The increase was primarily due to a $1.8 million increase in legal expenses to support various patent litigation matters and a $0.6 million increase in accounting-related expenses due to being a public company. In addition, cash-based personnel costs increased $1.3 million and stock-based compensation expense increased $0.4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and other in 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60" w:type="dxa"/>
            <w:vAlign w:val="bottom"/>
          </w:tcPr>
          <w:p>
            <w:pPr>
              <w:jc w:val="right"/>
              <w:ind w:right="938"/>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96"/>
        </w:trPr>
        <w:tc>
          <w:tcPr>
            <w:tcW w:w="5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2010</w:t>
            </w:r>
          </w:p>
        </w:tc>
        <w:tc>
          <w:tcPr>
            <w:tcW w:w="19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80" w:type="dxa"/>
            <w:vAlign w:val="bottom"/>
          </w:tcPr>
          <w:p>
            <w:pPr>
              <w:spacing w:after="0"/>
              <w:rPr>
                <w:sz w:val="17"/>
                <w:szCs w:val="17"/>
                <w:color w:val="auto"/>
              </w:rPr>
            </w:pPr>
          </w:p>
        </w:tc>
        <w:tc>
          <w:tcPr>
            <w:tcW w:w="1620" w:type="dxa"/>
            <w:vAlign w:val="bottom"/>
          </w:tcPr>
          <w:p>
            <w:pPr>
              <w:jc w:val="right"/>
              <w:ind w:right="957"/>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80" w:type="dxa"/>
            <w:vAlign w:val="bottom"/>
          </w:tcPr>
          <w:p>
            <w:pPr>
              <w:jc w:val="right"/>
              <w:ind w:right="57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80" w:type="dxa"/>
            <w:vAlign w:val="bottom"/>
          </w:tcPr>
          <w:p>
            <w:pPr>
              <w:jc w:val="right"/>
              <w:ind w:right="77"/>
              <w:spacing w:after="0"/>
              <w:rPr>
                <w:sz w:val="20"/>
                <w:szCs w:val="20"/>
                <w:color w:val="auto"/>
              </w:rPr>
            </w:pPr>
            <w:r>
              <w:rPr>
                <w:rFonts w:ascii="Times New Roman" w:cs="Times New Roman" w:eastAsia="Times New Roman" w:hAnsi="Times New Roman"/>
                <w:sz w:val="12"/>
                <w:szCs w:val="12"/>
                <w:color w:val="auto"/>
              </w:rPr>
              <w:t>($ amounts in 000's)</w:t>
            </w: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6"/>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960" w:type="dxa"/>
            <w:vAlign w:val="bottom"/>
            <w:tcBorders>
              <w:bottom w:val="single" w:sz="8" w:color="CCEEFF"/>
            </w:tcBorders>
            <w:shd w:val="clear" w:color="auto" w:fill="CCEEFF"/>
          </w:tcPr>
          <w:p>
            <w:pPr>
              <w:jc w:val="right"/>
              <w:ind w:right="1398"/>
              <w:spacing w:after="0"/>
              <w:rPr>
                <w:sz w:val="20"/>
                <w:szCs w:val="20"/>
                <w:color w:val="auto"/>
              </w:rPr>
            </w:pPr>
            <w:r>
              <w:rPr>
                <w:rFonts w:ascii="Times New Roman" w:cs="Times New Roman" w:eastAsia="Times New Roman" w:hAnsi="Times New Roman"/>
                <w:sz w:val="13"/>
                <w:szCs w:val="13"/>
                <w:color w:val="auto"/>
              </w:rPr>
              <w:t>1,815</w:t>
            </w:r>
          </w:p>
        </w:tc>
        <w:tc>
          <w:tcPr>
            <w:tcW w:w="128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1,981</w:t>
            </w:r>
          </w:p>
        </w:tc>
        <w:tc>
          <w:tcPr>
            <w:tcW w:w="162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(166)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960" w:type="dxa"/>
            <w:vAlign w:val="bottom"/>
          </w:tcPr>
          <w:p>
            <w:pPr>
              <w:jc w:val="right"/>
              <w:ind w:right="1358"/>
              <w:spacing w:after="0"/>
              <w:rPr>
                <w:sz w:val="20"/>
                <w:szCs w:val="20"/>
                <w:color w:val="auto"/>
              </w:rPr>
            </w:pPr>
            <w:r>
              <w:rPr>
                <w:rFonts w:ascii="Times New Roman" w:cs="Times New Roman" w:eastAsia="Times New Roman" w:hAnsi="Times New Roman"/>
                <w:sz w:val="13"/>
                <w:szCs w:val="13"/>
                <w:color w:val="auto"/>
              </w:rPr>
              <w:t>(815)</w:t>
            </w:r>
          </w:p>
        </w:tc>
        <w:tc>
          <w:tcPr>
            <w:tcW w:w="128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rPr>
              <w:t>198</w:t>
            </w:r>
          </w:p>
        </w:tc>
        <w:tc>
          <w:tcPr>
            <w:tcW w:w="16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(1,013)</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(511.6)</w:t>
            </w:r>
          </w:p>
        </w:tc>
      </w:tr>
    </w:tbl>
    <w:p>
      <w:pPr>
        <w:spacing w:after="0" w:line="164"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The $0.2 million decrease in interest income in fiscal 2010 compared to fiscal 2009 was due to lower interest rates earned, despite higher balan ces of cash, cash equivalents and investments. The change in other income (expense), net for fiscal 2010 when compared to fiscal 2009 was the result of foreign exchange losses in fiscal 2010 due to the weakening of the U.S. dollar against the Australian Dollar, Chinese Yuan, and Japanese Yen.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 for (benefit from) income taxes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17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5"/>
        </w:trPr>
        <w:tc>
          <w:tcPr>
            <w:tcW w:w="2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8"/>
        </w:trPr>
        <w:tc>
          <w:tcPr>
            <w:tcW w:w="2580" w:type="dxa"/>
            <w:vAlign w:val="bottom"/>
          </w:tcPr>
          <w:p>
            <w:pPr>
              <w:spacing w:after="0"/>
              <w:rPr>
                <w:sz w:val="14"/>
                <w:szCs w:val="14"/>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2"/>
                <w:szCs w:val="12"/>
                <w:b w:val="1"/>
                <w:bCs w:val="1"/>
                <w:color w:val="auto"/>
              </w:rPr>
              <w:t>2010</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2"/>
                <w:szCs w:val="12"/>
                <w:b w:val="1"/>
                <w:bCs w:val="1"/>
                <w:color w:val="auto"/>
              </w:rPr>
              <w:t>2009</w:t>
            </w:r>
          </w:p>
        </w:tc>
        <w:tc>
          <w:tcPr>
            <w:tcW w:w="80" w:type="dxa"/>
            <w:vAlign w:val="bottom"/>
          </w:tcPr>
          <w:p>
            <w:pPr>
              <w:spacing w:after="0"/>
              <w:rPr>
                <w:sz w:val="14"/>
                <w:szCs w:val="14"/>
                <w:color w:val="auto"/>
              </w:rPr>
            </w:pPr>
          </w:p>
        </w:tc>
        <w:tc>
          <w:tcPr>
            <w:tcW w:w="12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58"/>
        </w:trPr>
        <w:tc>
          <w:tcPr>
            <w:tcW w:w="258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5"/>
        </w:trPr>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r>
      <w:tr>
        <w:trPr>
          <w:trHeight w:val="176"/>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15,096</w:t>
            </w: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(32,666)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47,762</w:t>
            </w:r>
          </w:p>
        </w:tc>
        <w:tc>
          <w:tcPr>
            <w:tcW w:w="80" w:type="dxa"/>
            <w:vAlign w:val="bottom"/>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tax rate (%)</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26.8</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_________________________</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1"/>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*not meaningful</w:t>
            </w: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139" w:lineRule="exact"/>
        <w:rPr>
          <w:sz w:val="20"/>
          <w:szCs w:val="20"/>
          <w:color w:val="auto"/>
        </w:rPr>
      </w:pPr>
    </w:p>
    <w:p>
      <w:pPr>
        <w:ind w:right="160" w:firstLine="469"/>
        <w:spacing w:after="0" w:line="256" w:lineRule="auto"/>
        <w:rPr>
          <w:sz w:val="20"/>
          <w:szCs w:val="20"/>
          <w:color w:val="auto"/>
        </w:rPr>
      </w:pPr>
      <w:r>
        <w:rPr>
          <w:rFonts w:ascii="Times New Roman" w:cs="Times New Roman" w:eastAsia="Times New Roman" w:hAnsi="Times New Roman"/>
          <w:sz w:val="13"/>
          <w:szCs w:val="13"/>
          <w:color w:val="auto"/>
        </w:rPr>
        <w:t>Our effective tax rate was 26.8% for fiscal 2010, compared with an effective tax rate of negative 118.7% for fiscal 2009. The provision for income taxes for fiscal 2010 is comprised primarily of federal, state and foreign income taxes. The 2010 effective tax rate is impacted by the inclusion of stock option benefits, which affected the transfer pricing calculations between some of our foreign subsidiaries, as well as the reinstated U.S. Federal Research and Development Tax Credit. The increase in the provision for income taxes for fiscal 2010 compared to fiscal 2009 reflected the release of the valuation allowance against our net deferred tax assets in fiscal 2009. We generated pretax income in fiscal 2009 and 2008. As a result of this positive earnings trend and projected future taxab le income, we reversed approximately $44.2 million of deferred tax asset valuation allowance in fiscal 2009 after having determined that it was more likely than not that our deferred tax assets would be realized. This reversal resulted in recognition of an income tax benefit totaling $37.8 million. Our estimates of future taxable income represent critical accounting estimates because such estimates are subject to change and a downward adjustment could have a significant impact on future earnings. Furthermore, we continue to evaluate our net deferred tax asset position, in regards to the likelihood of realization of our deferred tax assets.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1460"/>
          </w:cols>
          <w:pgMar w:left="220" w:top="124" w:right="2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Fiscal Years 2009 and 2008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1"/>
        </w:trPr>
        <w:tc>
          <w:tcPr>
            <w:tcW w:w="3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gridSpan w:val="3"/>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w w:val="99"/>
              </w:rPr>
              <w:t>2009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gridSpan w:val="3"/>
          </w:tcPr>
          <w:p>
            <w:pPr>
              <w:jc w:val="right"/>
              <w:ind w:right="1097"/>
              <w:spacing w:after="0"/>
              <w:rPr>
                <w:sz w:val="20"/>
                <w:szCs w:val="20"/>
                <w:color w:val="auto"/>
              </w:rPr>
            </w:pPr>
            <w:r>
              <w:rPr>
                <w:rFonts w:ascii="Times New Roman" w:cs="Times New Roman" w:eastAsia="Times New Roman" w:hAnsi="Times New Roman"/>
                <w:sz w:val="12"/>
                <w:szCs w:val="12"/>
                <w:b w:val="1"/>
                <w:bCs w:val="1"/>
                <w:color w:val="auto"/>
              </w:rPr>
              <w:t>2008</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45"/>
        </w:trPr>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301"/>
              <w:spacing w:after="0"/>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15"/>
              <w:spacing w:after="0"/>
              <w:rPr>
                <w:sz w:val="20"/>
                <w:szCs w:val="20"/>
                <w:color w:val="auto"/>
              </w:rPr>
            </w:pPr>
            <w:r>
              <w:rPr>
                <w:rFonts w:ascii="Times New Roman" w:cs="Times New Roman" w:eastAsia="Times New Roman" w:hAnsi="Times New Roman"/>
                <w:sz w:val="12"/>
                <w:szCs w:val="12"/>
                <w:color w:val="auto"/>
              </w:rPr>
              <w:t>% of</w:t>
            </w: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3"/>
        </w:trPr>
        <w:tc>
          <w:tcPr>
            <w:tcW w:w="3280" w:type="dxa"/>
            <w:vAlign w:val="bottom"/>
          </w:tcPr>
          <w:p>
            <w:pPr>
              <w:spacing w:after="0"/>
              <w:rPr>
                <w:sz w:val="13"/>
                <w:szCs w:val="13"/>
                <w:color w:val="auto"/>
              </w:rPr>
            </w:pP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301"/>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1"/>
        </w:trPr>
        <w:tc>
          <w:tcPr>
            <w:tcW w:w="3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6"/>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1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75"/>
        </w:trPr>
        <w:tc>
          <w:tcPr>
            <w:tcW w:w="32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94,587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80" w:type="dxa"/>
            <w:vAlign w:val="bottom"/>
          </w:tcPr>
          <w:p>
            <w:pPr>
              <w:spacing w:after="0"/>
              <w:rPr>
                <w:sz w:val="15"/>
                <w:szCs w:val="15"/>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4,099</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1"/>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105,292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33,880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r>
      <w:tr>
        <w:trPr>
          <w:trHeight w:val="175"/>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11,912</w:t>
            </w:r>
          </w:p>
        </w:tc>
        <w:tc>
          <w:tcPr>
            <w:tcW w:w="1720" w:type="dxa"/>
            <w:vAlign w:val="bottom"/>
            <w:gridSpan w:val="4"/>
          </w:tcPr>
          <w:p>
            <w:pPr>
              <w:jc w:val="right"/>
              <w:ind w:right="215"/>
              <w:spacing w:after="0"/>
              <w:rPr>
                <w:sz w:val="20"/>
                <w:szCs w:val="20"/>
                <w:color w:val="auto"/>
              </w:rPr>
            </w:pPr>
            <w:r>
              <w:rPr>
                <w:rFonts w:ascii="Times New Roman" w:cs="Times New Roman" w:eastAsia="Times New Roman" w:hAnsi="Times New Roman"/>
                <w:sz w:val="13"/>
                <w:szCs w:val="13"/>
                <w:color w:val="auto"/>
              </w:rPr>
              <w:t>5.6</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2,345</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33"/>
        </w:trPr>
        <w:tc>
          <w:tcPr>
            <w:tcW w:w="328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&amp;nb</w:t>
            </w:r>
          </w:p>
        </w:tc>
        <w:tc>
          <w:tcPr>
            <w:tcW w:w="12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777"/>
              <w:spacing w:after="0"/>
              <w:rPr>
                <w:sz w:val="20"/>
                <w:szCs w:val="20"/>
                <w:color w:val="auto"/>
              </w:rPr>
            </w:pPr>
            <w:r>
              <w:rPr>
                <w:rFonts w:ascii="Times New Roman" w:cs="Times New Roman" w:eastAsia="Times New Roman" w:hAnsi="Times New Roman"/>
                <w:sz w:val="13"/>
                <w:szCs w:val="13"/>
                <w:color w:val="auto"/>
              </w:rPr>
              <w:t>100.0 sp;</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40,324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0"/>
        </w:trPr>
        <w:tc>
          <w:tcPr>
            <w:tcW w:w="3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Revenue by Geography:</w:t>
            </w: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r>
      <w:tr>
        <w:trPr>
          <w:trHeight w:val="21"/>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Americas</w:t>
            </w:r>
          </w:p>
        </w:tc>
        <w:tc>
          <w:tcPr>
            <w:tcW w:w="11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92,621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75,367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8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17,254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75"/>
        </w:trPr>
        <w:tc>
          <w:tcPr>
            <w:tcW w:w="32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EMEA</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80" w:type="dxa"/>
            <w:vAlign w:val="bottom"/>
          </w:tcPr>
          <w:p>
            <w:pPr>
              <w:spacing w:after="0"/>
              <w:rPr>
                <w:sz w:val="15"/>
                <w:szCs w:val="15"/>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16,131</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21"/>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APAC</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6,939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252,115</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211,791</w:t>
            </w: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40,324</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bl>
    <w:p>
      <w:pPr>
        <w:spacing w:after="0" w:line="144"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3"/>
          <w:szCs w:val="13"/>
          <w:color w:val="auto"/>
        </w:rPr>
        <w:t>Total revenue increased $40.3 million, or 19.0%, in fiscal 2009 compared to fiscal 2008, primarily due to growth in services revenue. The Americas and EMEA regions contributed the largest portion of this growth. Product revenue increased $4.1 million, or 4.3%, compared to fiscal 2008. The increase in product revenue was primarily driven by higher product sales volume, predominantly in the Americas region, as we expanded our distributor base to include those that focus on high volume sales of entry-level products. While there were no material price changes between the periods, the shift in product mix towards our entry-level products had the effect of decreasing our average sales price. Services revenue increased $33.9 million, or 32.2%, in fiscal 2009 compared to fiscal 2008 due to recognition of revenue from our growing deferred revenue balance consisting of subscription and support contracts sold to a larger customer base. The increase in services revenue also reflects additional services revenue amortization of approximately $1.6 million due to our reporting period transition discussed above. The growth in ratable product and services revenue was due to a slight decrease in the weighted-average service period over which such revenue was recognized, due to a decrease in the average contractual term of support contracts for arrangements in which we recognized product and services revenue ratably over the performance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61"/>
        </w:trPr>
        <w:tc>
          <w:tcPr>
            <w:tcW w:w="5000" w:type="dxa"/>
            <w:vAlign w:val="bottom"/>
            <w:gridSpan w:val="2"/>
          </w:tcPr>
          <w:p>
            <w:pPr>
              <w:ind w:left="4600"/>
              <w:spacing w:after="0"/>
              <w:rPr>
                <w:sz w:val="20"/>
                <w:szCs w:val="20"/>
                <w:color w:val="auto"/>
              </w:rPr>
            </w:pPr>
            <w:r>
              <w:rPr>
                <w:rFonts w:ascii="Times New Roman" w:cs="Times New Roman" w:eastAsia="Times New Roman" w:hAnsi="Times New Roman"/>
                <w:sz w:val="12"/>
                <w:szCs w:val="12"/>
                <w:b w:val="1"/>
                <w:bCs w:val="1"/>
                <w:color w:val="auto"/>
              </w:rPr>
              <w:t>2009</w:t>
            </w:r>
          </w:p>
        </w:tc>
        <w:tc>
          <w:tcPr>
            <w:tcW w:w="1560" w:type="dxa"/>
            <w:vAlign w:val="bottom"/>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4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76"/>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r>
      <w:tr>
        <w:trPr>
          <w:trHeight w:val="175"/>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42,166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41,397</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1"/>
        </w:trPr>
        <w:tc>
          <w:tcPr>
            <w:tcW w:w="5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3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19,441</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2,824</w:t>
            </w: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6"/>
              </w:rPr>
              <w:t>14.5</w:t>
            </w:r>
          </w:p>
        </w:tc>
      </w:tr>
      <w:tr>
        <w:trPr>
          <w:trHeight w:val="175"/>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5,544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4,634</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r>
      <w:tr>
        <w:trPr>
          <w:trHeight w:val="205"/>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1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69,975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65,472</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4,503</w:t>
            </w: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margin (%):</w:t>
            </w:r>
          </w:p>
        </w:tc>
        <w:tc>
          <w:tcPr>
            <w:tcW w:w="1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
        </w:trPr>
        <w:tc>
          <w:tcPr>
            <w:tcW w:w="5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56.2</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81.5</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1"/>
        </w:trPr>
        <w:tc>
          <w:tcPr>
            <w:tcW w:w="5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bottom w:val="single" w:sz="8" w:color="CCEEFF"/>
            </w:tcBorders>
            <w:shd w:val="clear" w:color="auto" w:fill="CCEEFF"/>
          </w:tcPr>
          <w:p>
            <w:pPr>
              <w:spacing w:after="0"/>
              <w:rPr>
                <w:sz w:val="15"/>
                <w:szCs w:val="15"/>
                <w:color w:val="auto"/>
              </w:rPr>
            </w:pPr>
          </w:p>
        </w:tc>
      </w:tr>
      <w:tr>
        <w:trPr>
          <w:trHeight w:val="175"/>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gross margin</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69.1</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1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3"/>
          <w:szCs w:val="13"/>
          <w:color w:val="auto"/>
        </w:rPr>
        <w:t>Total gross margin increased 3.1 percentage points in fiscal 2009 primarily due to improved product and service margins and a higher mix of services revenue in fiscal 2009 compared to fiscal 2008. Product gross margin increased 1.1 percentage points in fiscal 2009 compared to fiscal 2008 primarily due to lower warranty-related return costs which resulted in a savings of $3.2 million, partially offset by $2.4 million of asset acquisition related write-offs. The 2.5 percentage point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1460"/>
          </w:cols>
          <w:pgMar w:left="220" w:top="124" w:right="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3"/>
          <w:szCs w:val="13"/>
          <w:color w:val="auto"/>
        </w:rPr>
        <w:t>increase in services gross margin was primarily due to growth in services revenue resulting from a larger customer base to leverage our support cost structure. Services cost increased $2.8 million primarily due to $2.0 million of higher cash-based personnel costs related to headcount increases in our professional services and training teams and an increase of $0.3 million in stock-based compensation expense. Ratable product and services gross margin was unchanged in the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gridSpan w:val="3"/>
          </w:tcPr>
          <w:p>
            <w:pPr>
              <w:jc w:val="right"/>
              <w:ind w:right="801"/>
              <w:spacing w:after="0"/>
              <w:rPr>
                <w:sz w:val="20"/>
                <w:szCs w:val="20"/>
                <w:color w:val="auto"/>
              </w:rPr>
            </w:pPr>
            <w:r>
              <w:rPr>
                <w:rFonts w:ascii="Times New Roman" w:cs="Times New Roman" w:eastAsia="Times New Roman" w:hAnsi="Times New Roman"/>
                <w:sz w:val="12"/>
                <w:szCs w:val="12"/>
                <w:b w:val="1"/>
                <w:bCs w:val="1"/>
                <w:color w:val="auto"/>
              </w:rPr>
              <w:t>2009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3"/>
          </w:tcPr>
          <w:p>
            <w:pPr>
              <w:jc w:val="right"/>
              <w:ind w:right="1117"/>
              <w:spacing w:after="0"/>
              <w:rPr>
                <w:sz w:val="20"/>
                <w:szCs w:val="20"/>
                <w:color w:val="auto"/>
              </w:rPr>
            </w:pPr>
            <w:r>
              <w:rPr>
                <w:rFonts w:ascii="Times New Roman" w:cs="Times New Roman" w:eastAsia="Times New Roman" w:hAnsi="Times New Roman"/>
                <w:sz w:val="12"/>
                <w:szCs w:val="12"/>
                <w:b w:val="1"/>
                <w:bCs w:val="1"/>
                <w:color w:val="auto"/>
                <w:w w:val="99"/>
              </w:rPr>
              <w:t>2008</w:t>
            </w:r>
          </w:p>
        </w:tc>
        <w:tc>
          <w:tcPr>
            <w:tcW w:w="100" w:type="dxa"/>
            <w:vAlign w:val="bottom"/>
          </w:tcPr>
          <w:p>
            <w:pPr>
              <w:spacing w:after="0"/>
              <w:rPr>
                <w:sz w:val="13"/>
                <w:szCs w:val="13"/>
                <w:color w:val="auto"/>
              </w:rPr>
            </w:pP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281"/>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180" w:type="dxa"/>
            <w:vAlign w:val="bottom"/>
          </w:tcPr>
          <w:p>
            <w:pPr>
              <w:jc w:val="right"/>
              <w:ind w:right="217"/>
              <w:spacing w:after="0"/>
              <w:rPr>
                <w:sz w:val="20"/>
                <w:szCs w:val="20"/>
                <w:color w:val="auto"/>
              </w:rPr>
            </w:pPr>
            <w:r>
              <w:rPr>
                <w:rFonts w:ascii="Times New Roman" w:cs="Times New Roman" w:eastAsia="Times New Roman" w:hAnsi="Times New Roman"/>
                <w:sz w:val="12"/>
                <w:szCs w:val="12"/>
                <w:color w:val="auto"/>
              </w:rPr>
              <w:t>Amount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281"/>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Revenue</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3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42,195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37,035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5,160</w:t>
            </w: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87,717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8,574</w:t>
            </w:r>
          </w:p>
        </w:tc>
        <w:tc>
          <w:tcPr>
            <w:tcW w:w="100" w:type="dxa"/>
            <w:vAlign w:val="bottom"/>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18,320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156,806</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141,392</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15,414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Research and development expense</w:t>
      </w:r>
    </w:p>
    <w:p>
      <w:pPr>
        <w:spacing w:after="0" w:line="16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Research and development expense increased $5.2 million, or 13.9%, in fiscal 2009 compared to fiscal 2008, primarily due to an increase of $3.7 million in cash-based personnel costs as a result of increased headcount to support continued enhancements of our products. We also had an increase of $0.9 million in stock-based compensation expense, an increase of $0.2 million in depreciation expense and $0.2 million in sup plies and other expenses.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Sales and marketing expense</w:t>
      </w:r>
    </w:p>
    <w:p>
      <w:pPr>
        <w:spacing w:after="0" w:line="165"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Sales and marketing expense increased $8.6 million, or 9.8%, in fiscal 2009 compared to fiscal 2008, primarily due to increased cash-based personnel costs of $5.4 million based on increased headcount primarily in the U.S., a $1.3 million increase in promotional and other marketing-related expenses, a $0.4 million increase in travel, a $0.4 million increase in depreciation costs, and a $0.5 million increase in stock-based compensation expense, offset by a $0.5 million decrease in rent and occupancy-related expenses. As a percentage of revenue, sales and marketing expenses decreased 3.2 percentage points.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General and administrat ive expense</w:t>
      </w:r>
    </w:p>
    <w:p>
      <w:pPr>
        <w:spacing w:after="0" w:line="165"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3"/>
          <w:szCs w:val="13"/>
          <w:color w:val="auto"/>
        </w:rPr>
        <w:t>In fiscal 2009, general and administrative expense increased $1.7 million, or 10.1%, compared to fiscal 2008. The increase was primarily due to a $0.9 million increase in external legal services, a $0.5 million increase in accounting-related services, a $0.5 million increase in rent and occupancy-related expenses and a $0.4 million increase in stock-based compensation expense. These increases were partially offset by a $0.5 million decrease in computer related supplies and a $0.2 million decrease in travel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Interest income and other income (expense),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40" w:type="dxa"/>
            <w:vAlign w:val="bottom"/>
          </w:tcPr>
          <w:p>
            <w:pPr>
              <w:jc w:val="right"/>
              <w:ind w:right="918"/>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1"/>
        </w:trPr>
        <w:tc>
          <w:tcPr>
            <w:tcW w:w="5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2009</w:t>
            </w:r>
          </w:p>
        </w:tc>
        <w:tc>
          <w:tcPr>
            <w:tcW w:w="194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2008</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jc w:val="right"/>
              <w:ind w:right="957"/>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80" w:type="dxa"/>
            <w:vAlign w:val="bottom"/>
          </w:tcPr>
          <w:p>
            <w:pPr>
              <w:jc w:val="right"/>
              <w:ind w:right="57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5"/>
        </w:trPr>
        <w:tc>
          <w:tcPr>
            <w:tcW w:w="3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6"/>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940" w:type="dxa"/>
            <w:vAlign w:val="bottom"/>
            <w:tcBorders>
              <w:bottom w:val="single" w:sz="8" w:color="CCEEFF"/>
            </w:tcBorders>
            <w:shd w:val="clear" w:color="auto" w:fill="CCEEFF"/>
          </w:tcPr>
          <w:p>
            <w:pPr>
              <w:jc w:val="right"/>
              <w:ind w:right="1378"/>
              <w:spacing w:after="0"/>
              <w:rPr>
                <w:sz w:val="20"/>
                <w:szCs w:val="20"/>
                <w:color w:val="auto"/>
              </w:rPr>
            </w:pPr>
            <w:r>
              <w:rPr>
                <w:rFonts w:ascii="Times New Roman" w:cs="Times New Roman" w:eastAsia="Times New Roman" w:hAnsi="Times New Roman"/>
                <w:sz w:val="13"/>
                <w:szCs w:val="13"/>
                <w:color w:val="auto"/>
              </w:rPr>
              <w:t>1,981</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2,614</w:t>
            </w:r>
          </w:p>
        </w:tc>
        <w:tc>
          <w:tcPr>
            <w:tcW w:w="6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(633)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7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940" w:type="dxa"/>
            <w:vAlign w:val="bottom"/>
          </w:tcPr>
          <w:p>
            <w:pPr>
              <w:jc w:val="right"/>
              <w:ind w:right="1378"/>
              <w:spacing w:after="0"/>
              <w:rPr>
                <w:sz w:val="20"/>
                <w:szCs w:val="20"/>
                <w:color w:val="auto"/>
              </w:rPr>
            </w:pPr>
            <w:r>
              <w:rPr>
                <w:rFonts w:ascii="Times New Roman" w:cs="Times New Roman" w:eastAsia="Times New Roman" w:hAnsi="Times New Roman"/>
                <w:sz w:val="13"/>
                <w:szCs w:val="13"/>
                <w:color w:val="auto"/>
              </w:rPr>
              <w:t>198</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1,710</w:t>
            </w:r>
          </w:p>
        </w:tc>
        <w:tc>
          <w:tcPr>
            <w:tcW w:w="680" w:type="dxa"/>
            <w:vAlign w:val="bottom"/>
          </w:tcPr>
          <w:p>
            <w:pPr>
              <w:spacing w:after="0"/>
              <w:rPr>
                <w:sz w:val="15"/>
                <w:szCs w:val="15"/>
                <w:color w:val="auto"/>
              </w:rPr>
            </w:pPr>
          </w:p>
        </w:tc>
        <w:tc>
          <w:tcPr>
            <w:tcW w:w="16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(1,512)</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r>
    </w:tbl>
    <w:p>
      <w:pPr>
        <w:spacing w:after="0" w:line="164" w:lineRule="exact"/>
        <w:rPr>
          <w:sz w:val="20"/>
          <w:szCs w:val="20"/>
          <w:color w:val="auto"/>
        </w:rPr>
      </w:pPr>
    </w:p>
    <w:p>
      <w:pPr>
        <w:ind w:right="320" w:firstLine="469"/>
        <w:spacing w:after="0" w:line="281" w:lineRule="auto"/>
        <w:rPr>
          <w:sz w:val="20"/>
          <w:szCs w:val="20"/>
          <w:color w:val="auto"/>
        </w:rPr>
      </w:pPr>
      <w:r>
        <w:rPr>
          <w:rFonts w:ascii="Times New Roman" w:cs="Times New Roman" w:eastAsia="Times New Roman" w:hAnsi="Times New Roman"/>
          <w:sz w:val="13"/>
          <w:szCs w:val="13"/>
          <w:color w:val="auto"/>
        </w:rPr>
        <w:t>The $0.6 million decrease in interest income in fiscal 2009 compared to fiscal 2008 was due to lower interest rates earned, despite higher balances of cash, cash equivalents and short-term investments. The change in other income (expense), net for fiscal 2009 was the result of a stronger U.S. dollar compared to the Euro, British Pound and the Canadian dollar in 2008 when compared to 2009.</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1460"/>
          </w:cols>
          <w:pgMar w:left="220" w:top="124" w:right="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u w:val="single" w:color="auto"/>
          <w:color w:val="0000FF"/>
        </w:rPr>
        <w:t>Table of Cont 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 for (benefit from)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3"/>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&lt; div style="text-</w:t>
            </w: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8"/>
        </w:trPr>
        <w:tc>
          <w:tcPr>
            <w:tcW w:w="3800" w:type="dxa"/>
            <w:vAlign w:val="bottom"/>
          </w:tcPr>
          <w:p>
            <w:pPr>
              <w:spacing w:after="0"/>
              <w:rPr>
                <w:sz w:val="14"/>
                <w:szCs w:val="14"/>
                <w:color w:val="auto"/>
              </w:rPr>
            </w:pP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2009</w:t>
            </w:r>
          </w:p>
        </w:tc>
        <w:tc>
          <w:tcPr>
            <w:tcW w:w="66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align:center;font-size:9pt;"&gt;</w:t>
            </w:r>
            <w:r>
              <w:rPr>
                <w:rFonts w:ascii="Times New Roman" w:cs="Times New Roman" w:eastAsia="Times New Roman" w:hAnsi="Times New Roman"/>
                <w:sz w:val="11"/>
                <w:szCs w:val="11"/>
                <w:b w:val="1"/>
                <w:bCs w:val="1"/>
                <w:color w:val="auto"/>
              </w:rPr>
              <w:t>2008</w:t>
            </w:r>
          </w:p>
        </w:tc>
        <w:tc>
          <w:tcPr>
            <w:tcW w:w="1620" w:type="dxa"/>
            <w:vAlign w:val="bottom"/>
          </w:tcPr>
          <w:p>
            <w:pPr>
              <w:jc w:val="right"/>
              <w:ind w:right="958"/>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80" w:type="dxa"/>
            <w:vAlign w:val="bottom"/>
          </w:tcPr>
          <w:p>
            <w:pPr>
              <w:jc w:val="right"/>
              <w:ind w:right="57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1"/>
        </w:trPr>
        <w:tc>
          <w:tcPr>
            <w:tcW w:w="3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51"/>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0" w:type="dxa"/>
            <w:vAlign w:val="bottom"/>
            <w:gridSpan w:val="2"/>
          </w:tcPr>
          <w:p>
            <w:pPr>
              <w:ind w:left="1480"/>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2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3"/>
                <w:szCs w:val="13"/>
                <w:color w:val="auto"/>
                <w:w w:val="99"/>
              </w:rPr>
              <w:t>(32,666</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1,888</w:t>
            </w:r>
          </w:p>
        </w:tc>
        <w:tc>
          <w:tcPr>
            <w:tcW w:w="6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(34,554)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tax rate (%)</w:t>
            </w:r>
          </w:p>
        </w:tc>
        <w:tc>
          <w:tcPr>
            <w:tcW w:w="12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(118.7)</w:t>
            </w:r>
          </w:p>
        </w:tc>
        <w:tc>
          <w:tcPr>
            <w:tcW w:w="1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20.4</w:t>
            </w: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_________________________</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1"/>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*not meaningful</w:t>
            </w: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spacing w:after="0" w:line="139"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3"/>
          <w:szCs w:val="13"/>
          <w:color w:val="auto"/>
        </w:rPr>
        <w:t>Our effective tax rate was negative 118.7% for fiscal 200 9, compared to an effective tax rate of 20.4% for fiscal 2008. The provision for income taxes for fiscal 2009 is comprised primarily of federal, state and foreign income taxes as well as the release of the valuation allowance. The decrease in the provision for income taxes for fiscal 2009 compared to fiscal 2008 was attributable to the release of the valuation allowance against our net deferred tax assets. We generated pretax income in fiscal 2009 and 2008. As a result of this positive earnings trend and projected future taxable income, we reversed approximately $44.2 million of deferred tax asset valuation allowance in fiscal 2009 after having determined that it was more likely than not that our deferred tax assets would be realized. This reversal resulted in recognition of an income tax benefit totaling $37.8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Quarterly Results of Operations</w:t>
      </w:r>
    </w:p>
    <w:p>
      <w:pPr>
        <w:spacing w:after="0" w:line="167"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The following table sets forth our unaudited quarterly statements of operations data for the last eight fiscal quarters. The information for each of these quarters has been pr 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1460"/>
          </w:cols>
          <w:pgMar w:left="220" w:top="124" w:right="219" w:bottom="1440" w:gutter="0" w:footer="0" w:header="0"/>
        </w:sectPr>
      </w:pPr>
    </w:p>
    <w:bookmarkStart w:id="57" w:name="page58"/>
    <w:bookmarkEnd w:id="57"/>
    <w:p>
      <w:pPr>
        <w:ind w:left="2"/>
        <w:spacing w:after="0"/>
        <w:rPr>
          <w:sz w:val="20"/>
          <w:szCs w:val="20"/>
          <w:color w:val="auto"/>
        </w:rPr>
      </w:pPr>
      <w:r>
        <w:rPr>
          <w:rFonts w:ascii="Times New Roman" w:cs="Times New Roman" w:eastAsia="Times New Roman" w:hAnsi="Times New Roman"/>
          <w:sz w:val="10"/>
          <w:szCs w:val="10"/>
          <w:u w:val="single" w:color="auto"/>
          <w:color w:val="0000EE"/>
        </w:rPr>
        <w:t>Table of Contents</w:t>
      </w:r>
    </w:p>
    <w:p>
      <w:pPr>
        <w:spacing w:after="0" w:line="2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&lt; /tr&gt;</w:t>
      </w:r>
    </w:p>
    <w:p>
      <w:pPr>
        <w:spacing w:after="0" w:line="28" w:lineRule="exact"/>
        <w:rPr>
          <w:sz w:val="20"/>
          <w:szCs w:val="20"/>
          <w:color w:val="auto"/>
        </w:rPr>
      </w:pPr>
    </w:p>
    <w:p>
      <w:pPr>
        <w:ind w:left="6082"/>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24765</wp:posOffset>
            </wp:positionV>
            <wp:extent cx="61728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835" cy="6350"/>
                    </a:xfrm>
                    <a:prstGeom prst="rect">
                      <a:avLst/>
                    </a:prstGeom>
                    <a:noFill/>
                  </pic:spPr>
                </pic:pic>
              </a:graphicData>
            </a:graphic>
          </wp:anchor>
        </w:drawing>
      </w:r>
    </w:p>
    <w:p>
      <w:pPr>
        <w:spacing w:after="0" w:line="38"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Mar 29,</w:t>
            </w: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Jun 28,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8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8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560" w:type="dxa"/>
            <w:vAlign w:val="bottom"/>
          </w:tcPr>
          <w:p>
            <w:pPr>
              <w:spacing w:after="0"/>
              <w:rPr>
                <w:sz w:val="12"/>
                <w:szCs w:val="12"/>
                <w:color w:val="auto"/>
              </w:rPr>
            </w:pPr>
          </w:p>
        </w:tc>
        <w:tc>
          <w:tcPr>
            <w:tcW w:w="1760" w:type="dxa"/>
            <w:vAlign w:val="bottom"/>
            <w:gridSpan w:val="3"/>
          </w:tcPr>
          <w:p>
            <w:pPr>
              <w:ind w:left="640"/>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2"/>
                <w:szCs w:val="12"/>
                <w:b w:val="1"/>
                <w:bCs w:val="1"/>
                <w:color w:val="auto"/>
              </w:rPr>
              <w:t>2009</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 xml:space="preserve">2009 </w:t>
            </w:r>
            <w:r>
              <w:rPr>
                <w:rFonts w:ascii="Times New Roman" w:cs="Times New Roman" w:eastAsia="Times New Roman" w:hAnsi="Times New Roman"/>
                <w:sz w:val="15"/>
                <w:szCs w:val="15"/>
                <w:b w:val="1"/>
                <w:bCs w:val="1"/>
                <w:color w:val="auto"/>
                <w:vertAlign w:val="superscript"/>
              </w:rPr>
              <w:t>(1)</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2"/>
                <w:szCs w:val="12"/>
                <w:b w:val="1"/>
                <w:bCs w:val="1"/>
                <w:color w:val="auto"/>
              </w:rPr>
              <w:t>2010</w:t>
            </w:r>
          </w:p>
        </w:tc>
        <w:tc>
          <w:tcPr>
            <w:tcW w:w="0" w:type="dxa"/>
            <w:vAlign w:val="bottom"/>
          </w:tcPr>
          <w:p>
            <w:pPr>
              <w:spacing w:after="0"/>
              <w:rPr>
                <w:sz w:val="1"/>
                <w:szCs w:val="1"/>
                <w:color w:val="auto"/>
              </w:rPr>
            </w:pPr>
          </w:p>
        </w:tc>
      </w:tr>
      <w:tr>
        <w:trPr>
          <w:trHeight w:val="151"/>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gridSpan w:val="8"/>
          </w:tcPr>
          <w:p>
            <w:pPr>
              <w:ind w:left="600"/>
              <w:spacing w:after="0"/>
              <w:rPr>
                <w:sz w:val="20"/>
                <w:szCs w:val="20"/>
                <w:color w:val="auto"/>
              </w:rPr>
            </w:pPr>
            <w:r>
              <w:rPr>
                <w:rFonts w:ascii="Times New Roman" w:cs="Times New Roman" w:eastAsia="Times New Roman" w:hAnsi="Times New Roman"/>
                <w:sz w:val="12"/>
                <w:szCs w:val="12"/>
                <w:b w:val="1"/>
                <w:bCs w:val="1"/>
                <w:color w:val="auto"/>
              </w:rPr>
              <w:t>($ amounts in 000's, except per share amounts)</w:t>
            </w: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 Data:</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Product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19,326</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24,451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25,550</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29,359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27,110</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31,037</w:t>
            </w:r>
          </w:p>
        </w:tc>
        <w:tc>
          <w:tcPr>
            <w:tcW w:w="15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35,913</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41,080</w:t>
            </w:r>
          </w:p>
        </w:tc>
        <w:tc>
          <w:tcPr>
            <w:tcW w:w="0" w:type="dxa"/>
            <w:vAlign w:val="bottom"/>
          </w:tcPr>
          <w:p>
            <w:pPr>
              <w:spacing w:after="0"/>
              <w:rPr>
                <w:sz w:val="1"/>
                <w:szCs w:val="1"/>
                <w:color w:val="auto"/>
              </w:rPr>
            </w:pPr>
          </w:p>
        </w:tc>
      </w:tr>
      <w:tr>
        <w:trPr>
          <w:trHeight w:val="175"/>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31,573</w:t>
            </w:r>
          </w:p>
        </w:tc>
        <w:tc>
          <w:tcPr>
            <w:tcW w:w="100" w:type="dxa"/>
            <w:vAlign w:val="bottom"/>
          </w:tcPr>
          <w:p>
            <w:pPr>
              <w:spacing w:after="0"/>
              <w:rPr>
                <w:sz w:val="15"/>
                <w:szCs w:val="15"/>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33,473</w:t>
            </w: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36,712</w:t>
            </w:r>
          </w:p>
        </w:tc>
        <w:tc>
          <w:tcPr>
            <w:tcW w:w="86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color w:val="auto"/>
              </w:rPr>
              <w:t>37,414</w:t>
            </w: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38,625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40,964</w:t>
            </w:r>
          </w:p>
        </w:tc>
        <w:tc>
          <w:tcPr>
            <w:tcW w:w="1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44,527</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47,930</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3,602</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4,060</w:t>
            </w:r>
          </w:p>
        </w:tc>
        <w:tc>
          <w:tcPr>
            <w:tcW w:w="80" w:type="dxa"/>
            <w:vAlign w:val="bottom"/>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4,330</w:t>
            </w:r>
          </w:p>
        </w:tc>
        <w:tc>
          <w:tcPr>
            <w:tcW w:w="1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4,589</w:t>
            </w:r>
          </w:p>
        </w:tc>
        <w:tc>
          <w:tcPr>
            <w:tcW w:w="0" w:type="dxa"/>
            <w:vAlign w:val="bottom"/>
          </w:tcPr>
          <w:p>
            <w:pPr>
              <w:spacing w:after="0"/>
              <w:rPr>
                <w:sz w:val="1"/>
                <w:szCs w:val="1"/>
                <w:color w:val="auto"/>
              </w:rPr>
            </w:pPr>
          </w:p>
        </w:tc>
      </w:tr>
      <w:tr>
        <w:trPr>
          <w:trHeight w:val="16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54,194</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color w:val="auto"/>
              </w:rPr>
              <w:t>61,345</w:t>
            </w:r>
          </w:p>
        </w:tc>
        <w:tc>
          <w:tcPr>
            <w:tcW w:w="10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65,864</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70,712</w:t>
            </w: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69,795</w:t>
            </w:r>
          </w:p>
        </w:tc>
        <w:tc>
          <w:tcPr>
            <w:tcW w:w="8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76,331</w:t>
            </w:r>
          </w:p>
        </w:tc>
        <w:tc>
          <w:tcPr>
            <w:tcW w:w="1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84,971</w:t>
            </w: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93,599</w:t>
            </w:r>
          </w:p>
        </w:tc>
        <w:tc>
          <w:tcPr>
            <w:tcW w:w="0" w:type="dxa"/>
            <w:vAlign w:val="bottom"/>
          </w:tcPr>
          <w:p>
            <w:pPr>
              <w:spacing w:after="0"/>
              <w:rPr>
                <w:sz w:val="1"/>
                <w:szCs w:val="1"/>
                <w:color w:val="auto"/>
              </w:rPr>
            </w:pPr>
          </w:p>
        </w:tc>
      </w:tr>
      <w:tr>
        <w:trPr>
          <w:trHeight w:val="21"/>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xml:space="preserve">Product </w:t>
            </w:r>
            <w:r>
              <w:rPr>
                <w:rFonts w:ascii="Times New Roman" w:cs="Times New Roman" w:eastAsia="Times New Roman" w:hAnsi="Times New Roman"/>
                <w:sz w:val="13"/>
                <w:szCs w:val="13"/>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10,316</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10,428</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13,117</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11,314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11,822</w:t>
            </w:r>
          </w:p>
        </w:tc>
        <w:tc>
          <w:tcPr>
            <w:tcW w:w="1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13,263</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&lt; /div&gt;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15,545</w:t>
            </w:r>
          </w:p>
        </w:tc>
        <w:tc>
          <w:tcPr>
            <w:tcW w:w="0" w:type="dxa"/>
            <w:vAlign w:val="bottom"/>
          </w:tcPr>
          <w:p>
            <w:pPr>
              <w:spacing w:after="0"/>
              <w:rPr>
                <w:sz w:val="1"/>
                <w:szCs w:val="1"/>
                <w:color w:val="auto"/>
              </w:rPr>
            </w:pPr>
          </w:p>
        </w:tc>
      </w:tr>
      <w:tr>
        <w:trPr>
          <w:trHeight w:val="196"/>
        </w:trPr>
        <w:tc>
          <w:tcPr>
            <w:tcW w:w="1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Services </w:t>
            </w:r>
            <w:r>
              <w:rPr>
                <w:rFonts w:ascii="Times New Roman" w:cs="Times New Roman" w:eastAsia="Times New Roman" w:hAnsi="Times New Roman"/>
                <w:sz w:val="13"/>
                <w:szCs w:val="13"/>
                <w:color w:val="auto"/>
                <w:vertAlign w:val="superscript"/>
              </w:rPr>
              <w:t>(2)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5,357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5,550</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6,310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6,468</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6,818</w:t>
            </w:r>
          </w:p>
        </w:tc>
        <w:tc>
          <w:tcPr>
            <w:tcW w:w="1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7,116</w:t>
            </w:r>
          </w:p>
        </w:tc>
        <w:tc>
          <w:tcPr>
            <w:tcW w:w="0" w:type="dxa"/>
            <w:vAlign w:val="bottom"/>
          </w:tcPr>
          <w:p>
            <w:pPr>
              <w:spacing w:after="0"/>
              <w:rPr>
                <w:sz w:val="1"/>
                <w:szCs w:val="1"/>
                <w:color w:val="auto"/>
              </w:rPr>
            </w:pPr>
          </w:p>
        </w:tc>
      </w:tr>
      <w:tr>
        <w:trPr>
          <w:trHeight w:val="144"/>
        </w:trPr>
        <w:tc>
          <w:tcPr>
            <w:tcW w:w="1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Ratable product and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&lt; font style="font-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9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family:inherit;font-</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1,306</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1,455</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1,593</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1,525</w:t>
            </w:r>
          </w:p>
        </w:tc>
        <w:tc>
          <w:tcPr>
            <w:tcW w:w="156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rPr>
              <w:t>1,615size:10pt;"&gt;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1,562</w:t>
            </w:r>
          </w:p>
        </w:tc>
        <w:tc>
          <w:tcPr>
            <w:tcW w:w="0" w:type="dxa"/>
            <w:vAlign w:val="bottom"/>
          </w:tcPr>
          <w:p>
            <w:pPr>
              <w:spacing w:after="0"/>
              <w:rPr>
                <w:sz w:val="1"/>
                <w:szCs w:val="1"/>
                <w:color w:val="auto"/>
              </w:rPr>
            </w:pPr>
          </w:p>
        </w:tc>
      </w:tr>
      <w:tr>
        <w:trPr>
          <w:trHeight w:val="144"/>
        </w:trPr>
        <w:tc>
          <w:tcPr>
            <w:tcW w:w="17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&lt; div</w:t>
            </w:r>
          </w:p>
        </w:tc>
        <w:tc>
          <w:tcPr>
            <w:tcW w:w="6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style="overflow:hidden;font-</w:t>
            </w:r>
          </w:p>
        </w:tc>
        <w:tc>
          <w:tcPr>
            <w:tcW w:w="6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16,979</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17,433</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20,909</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19,375</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20,165</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size:10pt;"&gt;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21,443</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24,223</w:t>
            </w:r>
          </w:p>
        </w:tc>
        <w:tc>
          <w:tcPr>
            <w:tcW w:w="0" w:type="dxa"/>
            <w:vAlign w:val="bottom"/>
          </w:tcPr>
          <w:p>
            <w:pPr>
              <w:spacing w:after="0"/>
              <w:rPr>
                <w:sz w:val="1"/>
                <w:szCs w:val="1"/>
                <w:color w:val="auto"/>
              </w:rPr>
            </w:pPr>
          </w:p>
        </w:tc>
      </w:tr>
      <w:tr>
        <w:trPr>
          <w:trHeight w:val="165"/>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gross profit</w:t>
            </w: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39,540</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color w:val="auto"/>
              </w:rPr>
              <w:t>44,366</w:t>
            </w:r>
          </w:p>
        </w:tc>
        <w:tc>
          <w:tcPr>
            <w:tcW w:w="10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48,431</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49,803</w:t>
            </w: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50,420</w:t>
            </w:r>
          </w:p>
        </w:tc>
        <w:tc>
          <w:tcPr>
            <w:tcW w:w="8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56,166</w:t>
            </w:r>
          </w:p>
        </w:tc>
        <w:tc>
          <w:tcPr>
            <w:tcW w:w="15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63,528</w:t>
            </w: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69,376</w:t>
            </w:r>
          </w:p>
        </w:tc>
        <w:tc>
          <w:tcPr>
            <w:tcW w:w="0" w:type="dxa"/>
            <w:vAlign w:val="bottom"/>
          </w:tcPr>
          <w:p>
            <w:pPr>
              <w:spacing w:after="0"/>
              <w:rPr>
                <w:sz w:val="1"/>
                <w:szCs w:val="1"/>
                <w:color w:val="auto"/>
              </w:rPr>
            </w:pPr>
          </w:p>
        </w:tc>
      </w:tr>
      <w:tr>
        <w:trPr>
          <w:trHeight w:val="21"/>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Research and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11,934&lt;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xml:space="preserve">development </w:t>
            </w:r>
            <w:r>
              <w:rPr>
                <w:rFonts w:ascii="Times New Roman" w:cs="Times New Roman" w:eastAsia="Times New Roman" w:hAnsi="Times New Roman"/>
                <w:sz w:val="13"/>
                <w:szCs w:val="13"/>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10,534</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10,797</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10,988</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/font&gt;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12,676</w:t>
            </w:r>
          </w:p>
        </w:tc>
        <w:tc>
          <w:tcPr>
            <w:tcW w:w="1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12,389</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12,802</w:t>
            </w:r>
          </w:p>
        </w:tc>
        <w:tc>
          <w:tcPr>
            <w:tcW w:w="0" w:type="dxa"/>
            <w:vAlign w:val="bottom"/>
          </w:tcPr>
          <w:p>
            <w:pPr>
              <w:spacing w:after="0"/>
              <w:rPr>
                <w:sz w:val="1"/>
                <w:szCs w:val="1"/>
                <w:color w:val="auto"/>
              </w:rPr>
            </w:pPr>
          </w:p>
        </w:tc>
      </w:tr>
      <w:tr>
        <w:trPr>
          <w:trHeight w:val="196"/>
        </w:trPr>
        <w:tc>
          <w:tcPr>
            <w:tcW w:w="1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Sales and marketing </w:t>
            </w:r>
            <w:r>
              <w:rPr>
                <w:rFonts w:ascii="Times New Roman" w:cs="Times New Roman" w:eastAsia="Times New Roman" w:hAnsi="Times New Roman"/>
                <w:sz w:val="13"/>
                <w:szCs w:val="13"/>
                <w:color w:val="auto"/>
                <w:vertAlign w:val="superscript"/>
              </w:rPr>
              <w:t>(2)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21,763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24,341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23,468</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26,719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26,723</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27,777</w:t>
            </w:r>
          </w:p>
        </w:tc>
        <w:tc>
          <w:tcPr>
            <w:tcW w:w="1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26,987</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30,481</w:t>
            </w:r>
          </w:p>
        </w:tc>
        <w:tc>
          <w:tcPr>
            <w:tcW w:w="0" w:type="dxa"/>
            <w:vAlign w:val="bottom"/>
          </w:tcPr>
          <w:p>
            <w:pPr>
              <w:spacing w:after="0"/>
              <w:rPr>
                <w:sz w:val="1"/>
                <w:szCs w:val="1"/>
                <w:color w:val="auto"/>
              </w:rPr>
            </w:pPr>
          </w:p>
        </w:tc>
      </w:tr>
      <w:tr>
        <w:trPr>
          <w:trHeight w:val="163"/>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General and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 xml:space="preserve">administrative </w:t>
            </w:r>
            <w:r>
              <w:rPr>
                <w:rFonts w:ascii="Times New Roman" w:cs="Times New Roman" w:eastAsia="Times New Roman" w:hAnsi="Times New Roman"/>
                <w:sz w:val="13"/>
                <w:szCs w:val="13"/>
                <w:color w:val="auto"/>
                <w:vertAlign w:val="superscript"/>
              </w:rPr>
              <w:t>(2)</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color w:val="auto"/>
              </w:rPr>
              <w:t>4,516</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4,490</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4,642</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5,059</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5,933</w:t>
            </w:r>
          </w:p>
        </w:tc>
        <w:tc>
          <w:tcPr>
            <w:tcW w:w="15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5,993</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5,395</w:t>
            </w: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36,311</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39,391</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38,755</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42,349</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43,716</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46,386</w:t>
            </w:r>
          </w:p>
        </w:tc>
        <w:tc>
          <w:tcPr>
            <w:tcW w:w="15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45,369</w:t>
            </w: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48,678</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4,975</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9,676</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7,454</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6,704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9,780</w:t>
            </w:r>
          </w:p>
        </w:tc>
        <w:tc>
          <w:tcPr>
            <w:tcW w:w="1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18,159</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20,698</w:t>
            </w:r>
          </w:p>
        </w:tc>
        <w:tc>
          <w:tcPr>
            <w:tcW w:w="0" w:type="dxa"/>
            <w:vAlign w:val="bottom"/>
          </w:tcPr>
          <w:p>
            <w:pPr>
              <w:spacing w:after="0"/>
              <w:rPr>
                <w:sz w:val="1"/>
                <w:szCs w:val="1"/>
                <w:color w:val="auto"/>
              </w:rPr>
            </w:pPr>
          </w:p>
        </w:tc>
      </w:tr>
      <w:tr>
        <w:trPr>
          <w:trHeight w:val="21"/>
        </w:trPr>
        <w:tc>
          <w:tcPr>
            <w:tcW w:w="19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268</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399</w:t>
            </w:r>
          </w:p>
        </w:tc>
        <w:tc>
          <w:tcPr>
            <w:tcW w:w="1560" w:type="dxa"/>
            <w:vAlign w:val="bottom"/>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475"/>
              <w:spacing w:after="0"/>
              <w:rPr>
                <w:sz w:val="20"/>
                <w:szCs w:val="20"/>
                <w:color w:val="auto"/>
              </w:rPr>
            </w:pPr>
            <w:r>
              <w:rPr>
                <w:rFonts w:ascii="Times New Roman" w:cs="Times New Roman" w:eastAsia="Times New Roman" w:hAnsi="Times New Roman"/>
                <w:sz w:val="13"/>
                <w:szCs w:val="13"/>
                <w:color w:val="auto"/>
              </w:rPr>
              <w:t>634</w:t>
            </w:r>
          </w:p>
        </w:tc>
        <w:tc>
          <w:tcPr>
            <w:tcW w:w="0" w:type="dxa"/>
            <w:vAlign w:val="bottom"/>
          </w:tcPr>
          <w:p>
            <w:pPr>
              <w:spacing w:after="0"/>
              <w:rPr>
                <w:sz w:val="1"/>
                <w:szCs w:val="1"/>
                <w:color w:val="auto"/>
              </w:rPr>
            </w:pPr>
          </w:p>
        </w:tc>
      </w:tr>
      <w:tr>
        <w:trPr>
          <w:trHeight w:val="17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5"/>
                <w:szCs w:val="15"/>
                <w:color w:val="auto"/>
              </w:rPr>
            </w:pPr>
          </w:p>
        </w:tc>
        <w:tc>
          <w:tcPr>
            <w:tcW w:w="1320" w:type="dxa"/>
            <w:vAlign w:val="bottom"/>
          </w:tcPr>
          <w:p>
            <w:pPr>
              <w:jc w:val="right"/>
              <w:ind w:right="575"/>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87</w:t>
            </w:r>
          </w:p>
        </w:tc>
        <w:tc>
          <w:tcPr>
            <w:tcW w:w="1560" w:type="dxa"/>
            <w:vAlign w:val="bottom"/>
          </w:tcPr>
          <w:p>
            <w:pPr>
              <w:spacing w:after="0"/>
              <w:rPr>
                <w:sz w:val="15"/>
                <w:szCs w:val="15"/>
                <w:color w:val="auto"/>
              </w:rPr>
            </w:pPr>
          </w:p>
        </w:tc>
        <w:tc>
          <w:tcPr>
            <w:tcW w:w="1660" w:type="dxa"/>
            <w:vAlign w:val="bottom"/>
            <w:gridSpan w:val="2"/>
          </w:tcPr>
          <w:p>
            <w:pPr>
              <w:jc w:val="right"/>
              <w:ind w:right="896"/>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1"/>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4,4 37</w:t>
            </w: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color w:val="auto"/>
              </w:rPr>
              <w:t>5,228</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10,040</w:t>
            </w:r>
          </w:p>
        </w:tc>
        <w:tc>
          <w:tcPr>
            <w:tcW w:w="8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7,808</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6,722</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10,266</w:t>
            </w:r>
          </w:p>
        </w:tc>
        <w:tc>
          <w:tcPr>
            <w:tcW w:w="1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18,271</w:t>
            </w: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21,082</w:t>
            </w:r>
          </w:p>
        </w:tc>
        <w:tc>
          <w:tcPr>
            <w:tcW w:w="0" w:type="dxa"/>
            <w:vAlign w:val="bottom"/>
          </w:tcPr>
          <w:p>
            <w:pPr>
              <w:spacing w:after="0"/>
              <w:rPr>
                <w:sz w:val="1"/>
                <w:szCs w:val="1"/>
                <w:color w:val="auto"/>
              </w:rPr>
            </w:pPr>
          </w:p>
        </w:tc>
      </w:tr>
      <w:tr>
        <w:trPr>
          <w:trHeight w:val="163"/>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Provision for (benefit from)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Pr>
          <w:p>
            <w:pPr>
              <w:spacing w:after="0"/>
              <w:rPr>
                <w:sz w:val="16"/>
                <w:szCs w:val="16"/>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(36,132)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2,504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3,397</w:t>
            </w:r>
          </w:p>
        </w:tc>
        <w:tc>
          <w:tcPr>
            <w:tcW w:w="1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4,941</w:t>
            </w:r>
          </w:p>
        </w:tc>
        <w:tc>
          <w:tcPr>
            <w:tcW w:w="0" w:type="dxa"/>
            <w:vAlign w:val="bottom"/>
          </w:tcPr>
          <w:p>
            <w:pPr>
              <w:spacing w:after="0"/>
              <w:rPr>
                <w:sz w:val="1"/>
                <w:szCs w:val="1"/>
                <w:color w:val="auto"/>
              </w:rPr>
            </w:pPr>
          </w:p>
        </w:tc>
      </w:tr>
      <w:tr>
        <w:trPr>
          <w:trHeight w:val="134"/>
        </w:trPr>
        <w:tc>
          <w:tcPr>
            <w:tcW w:w="1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&lt; div</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640"/>
              <w:spacing w:after="0" w:line="137" w:lineRule="exact"/>
              <w:rPr>
                <w:sz w:val="20"/>
                <w:szCs w:val="20"/>
                <w:color w:val="auto"/>
              </w:rPr>
            </w:pPr>
            <w:r>
              <w:rPr>
                <w:rFonts w:ascii="Times New Roman" w:cs="Times New Roman" w:eastAsia="Times New Roman" w:hAnsi="Times New Roman"/>
                <w:sz w:val="13"/>
                <w:szCs w:val="13"/>
                <w:color w:val="auto"/>
              </w:rPr>
              <w:t>style="text-</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4,576align:left;"&gt;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7,889</w:t>
            </w:r>
          </w:p>
        </w:tc>
        <w:tc>
          <w:tcPr>
            <w:tcW w:w="8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43,940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4,218</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6,869</w:t>
            </w:r>
          </w:p>
        </w:tc>
        <w:tc>
          <w:tcPr>
            <w:tcW w:w="1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16,141</w:t>
            </w:r>
          </w:p>
        </w:tc>
        <w:tc>
          <w:tcPr>
            <w:tcW w:w="0" w:type="dxa"/>
            <w:vAlign w:val="bottom"/>
          </w:tcPr>
          <w:p>
            <w:pPr>
              <w:spacing w:after="0"/>
              <w:rPr>
                <w:sz w:val="1"/>
                <w:szCs w:val="1"/>
                <w:color w:val="auto"/>
              </w:rPr>
            </w:pPr>
          </w:p>
        </w:tc>
      </w:tr>
      <w:tr>
        <w:trPr>
          <w:trHeight w:val="134"/>
        </w:trPr>
        <w:tc>
          <w:tcPr>
            <w:tcW w:w="1740" w:type="dxa"/>
            <w:vAlign w:val="bottom"/>
            <w:tcBorders>
              <w:top w:val="single" w:sz="8" w:color="CCEEFF"/>
            </w:tcBorders>
          </w:tcPr>
          <w:p>
            <w:pPr>
              <w:ind w:left="20"/>
              <w:spacing w:after="0" w:line="134" w:lineRule="exact"/>
              <w:rPr>
                <w:sz w:val="20"/>
                <w:szCs w:val="20"/>
                <w:color w:val="auto"/>
              </w:rPr>
            </w:pPr>
            <w:r>
              <w:rPr>
                <w:rFonts w:ascii="Times New Roman" w:cs="Times New Roman" w:eastAsia="Times New Roman" w:hAnsi="Times New Roman"/>
                <w:sz w:val="13"/>
                <w:szCs w:val="13"/>
                <w:color w:val="auto"/>
              </w:rPr>
              <w:t>Net income (loss) per share</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attributable to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stockholders </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0.06</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r>
        <w:trPr>
          <w:trHeight w:val="195"/>
        </w:trPr>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tcPr>
          <w:p>
            <w:pPr>
              <w:spacing w:after="0"/>
              <w:rPr>
                <w:sz w:val="16"/>
                <w:szCs w:val="16"/>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0.10</w:t>
            </w:r>
          </w:p>
        </w:tc>
        <w:tc>
          <w:tcPr>
            <w:tcW w:w="8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0.06</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0.09</w:t>
            </w:r>
          </w:p>
        </w:tc>
        <w:tc>
          <w:tcPr>
            <w:tcW w:w="1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w w:val="91"/>
              </w:rPr>
              <w:t>_____________________________</w:t>
            </w: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42" w:hanging="242"/>
        <w:spacing w:after="0"/>
        <w:tabs>
          <w:tab w:leader="none" w:pos="242"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transition to a calendar year and quarters beginning in the third quarter of fiscal 2009 had the effect of increasing the number of days in fiscal 2009 by four days relative to fiscal 2010.</w:t>
      </w:r>
    </w:p>
    <w:p>
      <w:pPr>
        <w:spacing w:after="0" w:line="1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1462"/>
          </w:cols>
          <w:pgMar w:left="218" w:top="124" w:right="219" w:bottom="1440" w:gutter="0" w:footer="0" w:header="0"/>
        </w:sectPr>
      </w:pPr>
    </w:p>
    <w:bookmarkStart w:id="58" w:name="page59"/>
    <w:bookmarkEnd w:id="58"/>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77" w:lineRule="exact"/>
        <w:rPr>
          <w:sz w:val="20"/>
          <w:szCs w:val="20"/>
          <w:color w:val="auto"/>
        </w:rPr>
      </w:pPr>
    </w:p>
    <w:p>
      <w:pPr>
        <w:ind w:left="462" w:hanging="462"/>
        <w:spacing w:after="0"/>
        <w:tabs>
          <w:tab w:leader="none" w:pos="462" w:val="left"/>
        </w:tabs>
        <w:numPr>
          <w:ilvl w:val="0"/>
          <w:numId w:val="3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stock-based compensation expense and asset acquisition related write-offs as follows:</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3"/>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5"/>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5"/>
        </w:trPr>
        <w:tc>
          <w:tcPr>
            <w:tcW w:w="2420" w:type="dxa"/>
            <w:vAlign w:val="bottom"/>
          </w:tcPr>
          <w:p>
            <w:pPr>
              <w:spacing w:after="0"/>
              <w:rPr>
                <w:sz w:val="12"/>
                <w:szCs w:val="12"/>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2"/>
                <w:szCs w:val="12"/>
                <w:b w:val="1"/>
                <w:bCs w:val="1"/>
                <w:color w:val="auto"/>
              </w:rPr>
              <w:t>Mar 29,</w:t>
            </w:r>
          </w:p>
        </w:tc>
        <w:tc>
          <w:tcPr>
            <w:tcW w:w="100" w:type="dxa"/>
            <w:vAlign w:val="bottom"/>
          </w:tcPr>
          <w:p>
            <w:pPr>
              <w:spacing w:after="0"/>
              <w:rPr>
                <w:sz w:val="12"/>
                <w:szCs w:val="12"/>
                <w:color w:val="auto"/>
              </w:rPr>
            </w:pP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2"/>
                <w:szCs w:val="12"/>
                <w:b w:val="1"/>
                <w:bCs w:val="1"/>
                <w:color w:val="auto"/>
              </w:rPr>
              <w:t>Jun 2 8,</w:t>
            </w:r>
          </w:p>
        </w:tc>
        <w:tc>
          <w:tcPr>
            <w:tcW w:w="100" w:type="dxa"/>
            <w:vAlign w:val="bottom"/>
          </w:tcPr>
          <w:p>
            <w:pPr>
              <w:spacing w:after="0"/>
              <w:rPr>
                <w:sz w:val="12"/>
                <w:szCs w:val="12"/>
                <w:color w:val="auto"/>
              </w:rPr>
            </w:pPr>
          </w:p>
        </w:tc>
        <w:tc>
          <w:tcPr>
            <w:tcW w:w="1120" w:type="dxa"/>
            <w:vAlign w:val="bottom"/>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Dec 31,</w:t>
            </w:r>
          </w:p>
        </w:tc>
        <w:tc>
          <w:tcPr>
            <w:tcW w:w="100" w:type="dxa"/>
            <w:vAlign w:val="bottom"/>
          </w:tcPr>
          <w:p>
            <w:pPr>
              <w:spacing w:after="0"/>
              <w:rPr>
                <w:sz w:val="12"/>
                <w:szCs w:val="12"/>
                <w:color w:val="auto"/>
              </w:rPr>
            </w:pPr>
          </w:p>
        </w:tc>
        <w:tc>
          <w:tcPr>
            <w:tcW w:w="1020" w:type="dxa"/>
            <w:vAlign w:val="bottom"/>
          </w:tcPr>
          <w:p>
            <w:pPr>
              <w:jc w:val="right"/>
              <w:ind w:right="261"/>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2"/>
                <w:szCs w:val="12"/>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2"/>
                <w:szCs w:val="12"/>
                <w:color w:val="auto"/>
              </w:rPr>
            </w:pP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120" w:type="dxa"/>
            <w:vAlign w:val="bottom"/>
          </w:tcPr>
          <w:p>
            <w:pPr>
              <w:spacing w:after="0"/>
              <w:rPr>
                <w:sz w:val="12"/>
                <w:szCs w:val="12"/>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2"/>
                <w:szCs w:val="12"/>
                <w:b w:val="1"/>
                <w:bCs w:val="1"/>
                <w:color w:val="auto"/>
              </w:rPr>
              <w:t>Dec 31,</w:t>
            </w:r>
          </w:p>
        </w:tc>
      </w:tr>
      <w:tr>
        <w:trPr>
          <w:trHeight w:val="153"/>
        </w:trPr>
        <w:tc>
          <w:tcPr>
            <w:tcW w:w="2420" w:type="dxa"/>
            <w:vAlign w:val="bottom"/>
          </w:tcPr>
          <w:p>
            <w:pPr>
              <w:spacing w:after="0"/>
              <w:rPr>
                <w:sz w:val="13"/>
                <w:szCs w:val="13"/>
                <w:color w:val="auto"/>
              </w:rPr>
            </w:pPr>
          </w:p>
        </w:tc>
        <w:tc>
          <w:tcPr>
            <w:tcW w:w="1040" w:type="dxa"/>
            <w:vAlign w:val="bottom"/>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2009</w:t>
            </w: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12"/>
                <w:szCs w:val="12"/>
                <w:color w:val="auto"/>
              </w:rPr>
              <w:t>2009</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1120" w:type="dxa"/>
            <w:vAlign w:val="bottom"/>
            <w:gridSpan w:val="2"/>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2010</w:t>
            </w:r>
          </w:p>
        </w:tc>
        <w:tc>
          <w:tcPr>
            <w:tcW w:w="1120" w:type="dxa"/>
            <w:vAlign w:val="bottom"/>
            <w:gridSpan w:val="2"/>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2010</w:t>
            </w:r>
          </w:p>
        </w:tc>
      </w:tr>
      <w:tr>
        <w:trPr>
          <w:trHeight w:val="25"/>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1"/>
        </w:trPr>
        <w:tc>
          <w:tcPr>
            <w:tcW w:w="2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3"/>
          </w:tcPr>
          <w:p>
            <w:pPr>
              <w:jc w:val="right"/>
              <w:ind w:right="581"/>
              <w:spacing w:after="0"/>
              <w:rPr>
                <w:sz w:val="20"/>
                <w:szCs w:val="20"/>
                <w:color w:val="auto"/>
              </w:rPr>
            </w:pPr>
            <w:r>
              <w:rPr>
                <w:rFonts w:ascii="Times New Roman" w:cs="Times New Roman" w:eastAsia="Times New Roman" w:hAnsi="Times New Roman"/>
                <w:sz w:val="12"/>
                <w:szCs w:val="12"/>
                <w:b w:val="1"/>
                <w:bCs w:val="1"/>
                <w:color w:val="auto"/>
              </w:rPr>
              <w:t>($ amounts in 000's)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5"/>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176"/>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Cost of product revenue</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w:t>
            </w:r>
          </w:p>
        </w:tc>
        <w:tc>
          <w:tcPr>
            <w:tcW w:w="1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w:t>
            </w:r>
          </w:p>
        </w:tc>
        <w:tc>
          <w:tcPr>
            <w:tcW w:w="12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w:t>
            </w: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25</w:t>
            </w:r>
          </w:p>
        </w:tc>
      </w:tr>
      <w:tr>
        <w:trPr>
          <w:trHeight w:val="171"/>
        </w:trPr>
        <w:tc>
          <w:tcPr>
            <w:tcW w:w="24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Cost of services revenue</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124</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193</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208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tcPr>
          <w:p>
            <w:pPr>
              <w:spacing w:after="0"/>
              <w:rPr>
                <w:sz w:val="14"/>
                <w:szCs w:val="14"/>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242</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245</w:t>
            </w:r>
          </w:p>
        </w:tc>
      </w:tr>
      <w:tr>
        <w:trPr>
          <w:trHeight w:val="25"/>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176"/>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378</w:t>
            </w:r>
          </w:p>
        </w:tc>
        <w:tc>
          <w:tcPr>
            <w:tcW w:w="1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498</w:t>
            </w:r>
          </w:p>
        </w:tc>
        <w:tc>
          <w:tcPr>
            <w:tcW w:w="12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516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571</w:t>
            </w: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600</w:t>
            </w: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598</w:t>
            </w:r>
          </w:p>
        </w:tc>
      </w:tr>
      <w:tr>
        <w:trPr>
          <w:trHeight w:val="171"/>
        </w:trPr>
        <w:tc>
          <w:tcPr>
            <w:tcW w:w="24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Sales and marketing</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644</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692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767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917</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866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100" w:type="dxa"/>
            <w:vAlign w:val="bottom"/>
          </w:tcPr>
          <w:p>
            <w:pPr>
              <w:spacing w:after="0"/>
              <w:rPr>
                <w:sz w:val="14"/>
                <w:szCs w:val="14"/>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1,017</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1,030</w:t>
            </w:r>
          </w:p>
        </w:tc>
      </w:tr>
      <w:tr>
        <w:trPr>
          <w:trHeight w:val="25"/>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r>
      <w:tr>
        <w:trPr>
          <w:trHeight w:val="185"/>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380</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459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475</w:t>
            </w:r>
          </w:p>
        </w:tc>
        <w:tc>
          <w:tcPr>
            <w:tcW w:w="7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549</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571</w:t>
            </w:r>
          </w:p>
        </w:tc>
      </w:tr>
      <w:tr>
        <w:trPr>
          <w:trHeight w:val="157"/>
        </w:trPr>
        <w:tc>
          <w:tcPr>
            <w:tcW w:w="2420" w:type="dxa"/>
            <w:vAlign w:val="bottom"/>
            <w:tcBorders>
              <w:top w:val="single" w:sz="8" w:color="CCEEFF"/>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&lt; font style="font-</w:t>
            </w:r>
          </w:p>
        </w:tc>
        <w:tc>
          <w:tcPr>
            <w:tcW w:w="1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47"/>
        </w:trPr>
        <w:tc>
          <w:tcPr>
            <w:tcW w:w="2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w w:val="99"/>
              </w:rPr>
              <w:t>family:inherit;font-</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stock-based compensation</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1,550</w:t>
            </w:r>
          </w:p>
        </w:tc>
        <w:tc>
          <w:tcPr>
            <w:tcW w:w="10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size:9pt;"&gt;1,793</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1,936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2,182</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2,148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2,264</w:t>
            </w:r>
          </w:p>
        </w:tc>
        <w:tc>
          <w:tcPr>
            <w:tcW w:w="100" w:type="dxa"/>
            <w:vAlign w:val="bottom"/>
          </w:tcPr>
          <w:p>
            <w:pPr>
              <w:spacing w:after="0"/>
              <w:rPr>
                <w:sz w:val="13"/>
                <w:szCs w:val="13"/>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2,434</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2"/>
                <w:szCs w:val="12"/>
                <w:color w:val="auto"/>
              </w:rPr>
              <w:t>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8472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304165"/>
                    </a:xfrm>
                    <a:prstGeom prst="rect">
                      <a:avLst/>
                    </a:prstGeom>
                    <a:noFill/>
                  </pic:spPr>
                </pic:pic>
              </a:graphicData>
            </a:graphic>
          </wp:anchor>
        </w:drawing>
      </w:r>
    </w:p>
    <w:p>
      <w:pPr>
        <w:spacing w:after="0" w:line="148"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13"/>
          <w:szCs w:val="13"/>
          <w:color w:val="auto"/>
        </w:rPr>
        <w:t>&lt;</w:t>
      </w:r>
    </w:p>
    <w:p>
      <w:pPr>
        <w:spacing w:after="0" w:line="13" w:lineRule="exact"/>
        <w:rPr>
          <w:sz w:val="20"/>
          <w:szCs w:val="20"/>
          <w:color w:val="auto"/>
        </w:rPr>
      </w:pPr>
    </w:p>
    <w:tbl>
      <w:tblPr>
        <w:tblLayout w:type="fixed"/>
        <w:tblInd w:w="22" w:type="dxa"/>
        <w:tblCellMar>
          <w:top w:w="0" w:type="dxa"/>
          <w:left w:w="0" w:type="dxa"/>
          <w:bottom w:w="0" w:type="dxa"/>
          <w:right w:w="0" w:type="dxa"/>
        </w:tblCellMar>
      </w:tblPr>
      <w:tr>
        <w:trPr>
          <w:trHeight w:val="163"/>
        </w:trPr>
        <w:tc>
          <w:tcPr>
            <w:tcW w:w="24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Asset acquisition related write-offs</w:t>
            </w: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r>
              <w:rPr>
                <w:rFonts w:ascii="Times New Roman" w:cs="Times New Roman" w:eastAsia="Times New Roman" w:hAnsi="Times New Roman"/>
                <w:sz w:val="13"/>
                <w:szCs w:val="13"/>
                <w:color w:val="auto"/>
              </w:rPr>
              <w:t>/td&gt;</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1,663</w:t>
            </w:r>
          </w:p>
        </w:tc>
        <w:tc>
          <w:tcPr>
            <w:tcW w:w="1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Total stock based compensation and asset</w:t>
            </w:r>
          </w:p>
        </w:tc>
        <w:tc>
          <w:tcPr>
            <w:tcW w:w="1040" w:type="dxa"/>
            <w:vAlign w:val="bottom"/>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1,550</w:t>
            </w:r>
          </w:p>
        </w:tc>
        <w:tc>
          <w:tcPr>
            <w:tcW w:w="100" w:type="dxa"/>
            <w:vAlign w:val="bottom"/>
            <w:vMerge w:val="restart"/>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141"/>
              <w:spacing w:after="0"/>
              <w:rPr>
                <w:sz w:val="20"/>
                <w:szCs w:val="20"/>
                <w:color w:val="auto"/>
              </w:rPr>
            </w:pPr>
            <w:r>
              <w:rPr>
                <w:rFonts w:ascii="Times New Roman" w:cs="Times New Roman" w:eastAsia="Times New Roman" w:hAnsi="Times New Roman"/>
                <w:sz w:val="12"/>
                <w:szCs w:val="12"/>
                <w:color w:val="auto"/>
              </w:rPr>
              <w:t>2,029</w:t>
            </w:r>
          </w:p>
        </w:tc>
        <w:tc>
          <w:tcPr>
            <w:tcW w:w="120" w:type="dxa"/>
            <w:vAlign w:val="bottom"/>
            <w:vMerge w:val="restart"/>
          </w:tcPr>
          <w:p>
            <w:pPr>
              <w:spacing w:after="0"/>
              <w:rPr>
                <w:sz w:val="12"/>
                <w:szCs w:val="12"/>
                <w:color w:val="auto"/>
              </w:rPr>
            </w:pPr>
          </w:p>
        </w:tc>
        <w:tc>
          <w:tcPr>
            <w:tcW w:w="1020" w:type="dxa"/>
            <w:vAlign w:val="bottom"/>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3,845</w:t>
            </w:r>
          </w:p>
        </w:tc>
        <w:tc>
          <w:tcPr>
            <w:tcW w:w="10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2,148</w:t>
            </w:r>
          </w:p>
        </w:tc>
        <w:tc>
          <w:tcPr>
            <w:tcW w:w="1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2,264</w:t>
            </w:r>
          </w:p>
        </w:tc>
        <w:tc>
          <w:tcPr>
            <w:tcW w:w="10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102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2,434</w:t>
            </w:r>
          </w:p>
        </w:tc>
        <w:tc>
          <w:tcPr>
            <w:tcW w:w="120" w:type="dxa"/>
            <w:vAlign w:val="bottom"/>
            <w:vMerge w:val="restart"/>
          </w:tcPr>
          <w:p>
            <w:pPr>
              <w:spacing w:after="0"/>
              <w:rPr>
                <w:sz w:val="12"/>
                <w:szCs w:val="12"/>
                <w:color w:val="auto"/>
              </w:rPr>
            </w:pPr>
          </w:p>
        </w:tc>
        <w:tc>
          <w:tcPr>
            <w:tcW w:w="100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2,469</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acquisition related write-offs</w:t>
            </w: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7"/>
          <w:szCs w:val="7"/>
          <w:color w:val="auto"/>
        </w:rPr>
        <w:t>_______________________________________________</w:t>
      </w:r>
    </w:p>
    <w:p>
      <w:pPr>
        <w:spacing w:after="0" w:line="6" w:lineRule="exact"/>
        <w:rPr>
          <w:sz w:val="20"/>
          <w:szCs w:val="20"/>
          <w:color w:val="auto"/>
        </w:rPr>
      </w:pPr>
    </w:p>
    <w:p>
      <w:pPr>
        <w:ind w:left="462" w:hanging="462"/>
        <w:spacing w:after="0"/>
        <w:tabs>
          <w:tab w:leader="none" w:pos="462"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7 to the Consolidated Financial Statements.</w:t>
      </w:r>
    </w:p>
    <w:p>
      <w:pPr>
        <w:spacing w:after="0" w:line="17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Seasonality, Cyclicality and Quarterly Revenue Trends</w:t>
      </w:r>
    </w:p>
    <w:p>
      <w:pPr>
        <w:spacing w:after="0" w:line="167" w:lineRule="exact"/>
        <w:rPr>
          <w:sz w:val="20"/>
          <w:szCs w:val="20"/>
          <w:color w:val="auto"/>
        </w:rPr>
      </w:pPr>
    </w:p>
    <w:p>
      <w:pPr>
        <w:ind w:left="2" w:right="80" w:firstLine="469"/>
        <w:spacing w:after="0" w:line="257" w:lineRule="auto"/>
        <w:rPr>
          <w:sz w:val="20"/>
          <w:szCs w:val="20"/>
          <w:color w:val="auto"/>
        </w:rPr>
      </w:pPr>
      <w:r>
        <w:rPr>
          <w:rFonts w:ascii="Times New Roman" w:cs="Times New Roman" w:eastAsia="Times New Roman" w:hAnsi="Times New Roman"/>
          <w:sz w:val="13"/>
          <w:szCs w:val="13"/>
          <w:color w:val="auto"/>
        </w:rPr>
        <w:t>Our quarterly results reflect seasonality in the sale of our products, subscriptions and services. In general, a pattern of increased customer buying at year-end has positively impacted sales activity in the fourth quarter. In the first quarter we generally experience lower sequential billings and product revenues, which results in lower product revenue. Our product revenue in the third quarter can be negatively affected by reduced economic activity in Europe during the summer months. During fiscal 2010, the growth in the Americas during the third quarter more than offset the slight decline in Europe, but this may not always be the case. Similarly, our gross margins and operating income have been affected by these historical trends because expenses are relatively fixed in the near-term. Although these seasonal factors are common in the technology sect 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a quarter. We believe this is due to customer buying patterns typical in this industry.</w:t>
      </w:r>
    </w:p>
    <w:p>
      <w:pPr>
        <w:spacing w:after="0" w:line="135" w:lineRule="exact"/>
        <w:rPr>
          <w:sz w:val="20"/>
          <w:szCs w:val="20"/>
          <w:color w:val="auto"/>
        </w:rPr>
      </w:pPr>
    </w:p>
    <w:p>
      <w:pPr>
        <w:ind w:left="2" w:right="240" w:firstLine="469"/>
        <w:spacing w:after="0" w:line="266" w:lineRule="auto"/>
        <w:rPr>
          <w:sz w:val="20"/>
          <w:szCs w:val="20"/>
          <w:color w:val="auto"/>
        </w:rPr>
      </w:pPr>
      <w:r>
        <w:rPr>
          <w:rFonts w:ascii="Times New Roman" w:cs="Times New Roman" w:eastAsia="Times New Roman" w:hAnsi="Times New Roman"/>
          <w:sz w:val="13"/>
          <w:szCs w:val="13"/>
          <w:color w:val="auto"/>
        </w:rPr>
        <w:t>Our total quarterly revenue over the past twelve quarters has increased sequentially in every quarter except for the first quarters of fiscal 2010 and fiscal 2009. We believe these declines in the first and third quarters of fiscal 2010 are based on seasonality as discussed above, which particularly impacts our product revenue. Product revenue in all of the quarters of fiscal 2010 was higher as compared to the same periods in fiscal 2009, which we believe was due in part to the investments made in our sales organization and improvements in overall corporate IT spending.</w:t>
      </w:r>
    </w:p>
    <w:p>
      <w:pPr>
        <w:spacing w:after="0" w:line="1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1462"/>
          </w:cols>
          <w:pgMar w:left="218" w:top="124"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15"/>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0000FF"/>
              </w:rPr>
              <w:t>Table of Contents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Mar 29,</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Jun 28,</w:t>
            </w: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100" w:type="dxa"/>
            <w:vAlign w:val="bottom"/>
          </w:tcPr>
          <w:p>
            <w:pPr>
              <w:spacing w:after="0"/>
              <w:rPr>
                <w:sz w:val="12"/>
                <w:szCs w:val="12"/>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280" w:type="dxa"/>
            <w:vAlign w:val="bottom"/>
          </w:tcPr>
          <w:p>
            <w:pPr>
              <w:spacing w:after="0"/>
              <w:rPr>
                <w:sz w:val="12"/>
                <w:szCs w:val="12"/>
                <w:color w:val="auto"/>
              </w:rPr>
            </w:pPr>
          </w:p>
        </w:tc>
        <w:tc>
          <w:tcPr>
            <w:tcW w:w="100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0" w:type="dxa"/>
            <w:vAlign w:val="bottom"/>
          </w:tcPr>
          <w:p>
            <w:pPr>
              <w:spacing w:after="0"/>
              <w:rPr>
                <w:sz w:val="13"/>
                <w:szCs w:val="13"/>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20" w:type="dxa"/>
            <w:vAlign w:val="bottom"/>
            <w:gridSpan w:val="2"/>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0" w:type="dxa"/>
            <w:vAlign w:val="bottom"/>
          </w:tcPr>
          <w:p>
            <w:pPr>
              <w:spacing w:after="0"/>
              <w:rPr>
                <w:sz w:val="13"/>
                <w:szCs w:val="13"/>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80" w:type="dxa"/>
            <w:vAlign w:val="bottom"/>
            <w:gridSpan w:val="2"/>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2010</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 amounts in 000's)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Data:</w:t>
            </w: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 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19,326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24,451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25,550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29,359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27,110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31,037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35,913</w:t>
            </w:r>
          </w:p>
        </w:tc>
        <w:tc>
          <w:tcPr>
            <w:tcW w:w="1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41,080</w:t>
            </w:r>
          </w:p>
        </w:tc>
        <w:tc>
          <w:tcPr>
            <w:tcW w:w="0" w:type="dxa"/>
            <w:vAlign w:val="bottom"/>
          </w:tcPr>
          <w:p>
            <w:pPr>
              <w:spacing w:after="0"/>
              <w:rPr>
                <w:sz w:val="1"/>
                <w:szCs w:val="1"/>
                <w:color w:val="auto"/>
              </w:rPr>
            </w:pPr>
          </w:p>
        </w:tc>
      </w:tr>
      <w:tr>
        <w:trPr>
          <w:trHeight w:val="175"/>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31,573</w:t>
            </w:r>
          </w:p>
        </w:tc>
        <w:tc>
          <w:tcPr>
            <w:tcW w:w="1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33,473</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36,712</w:t>
            </w:r>
          </w:p>
        </w:tc>
        <w:tc>
          <w:tcPr>
            <w:tcW w:w="12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37,414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38,625</w:t>
            </w:r>
          </w:p>
        </w:tc>
        <w:tc>
          <w:tcPr>
            <w:tcW w:w="1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40,964</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44,527</w:t>
            </w:r>
          </w:p>
        </w:tc>
        <w:tc>
          <w:tcPr>
            <w:tcW w:w="12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47,930</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3,295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3,421</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3,939</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4,060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4,330</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4,531</w:t>
            </w:r>
          </w:p>
        </w:tc>
        <w:tc>
          <w:tcPr>
            <w:tcW w:w="1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4,589</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54,194</w:t>
            </w:r>
          </w:p>
        </w:tc>
        <w:tc>
          <w:tcPr>
            <w:tcW w:w="1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61,345</w:t>
            </w:r>
          </w:p>
        </w:tc>
        <w:tc>
          <w:tcPr>
            <w:tcW w:w="1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65,864</w:t>
            </w:r>
          </w:p>
        </w:tc>
        <w:tc>
          <w:tcPr>
            <w:tcW w:w="1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70,712</w:t>
            </w:r>
          </w:p>
        </w:tc>
        <w:tc>
          <w:tcPr>
            <w:tcW w:w="1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69,795</w:t>
            </w:r>
          </w:p>
        </w:tc>
        <w:tc>
          <w:tcPr>
            <w:tcW w:w="1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76,331</w:t>
            </w:r>
          </w:p>
        </w:tc>
        <w:tc>
          <w:tcPr>
            <w:tcW w:w="1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84,971</w:t>
            </w:r>
          </w:p>
        </w:tc>
        <w:tc>
          <w:tcPr>
            <w:tcW w:w="2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93,599</w:t>
            </w:r>
          </w:p>
        </w:tc>
        <w:tc>
          <w:tcPr>
            <w:tcW w:w="0" w:type="dxa"/>
            <w:vAlign w:val="bottom"/>
          </w:tcPr>
          <w:p>
            <w:pPr>
              <w:spacing w:after="0"/>
              <w:rPr>
                <w:sz w:val="1"/>
                <w:szCs w:val="1"/>
                <w:color w:val="auto"/>
              </w:rPr>
            </w:pPr>
          </w:p>
        </w:tc>
      </w:tr>
      <w:tr>
        <w:trPr>
          <w:trHeight w:val="144"/>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a percentage of revenue:</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&amp;n</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gridSpan w:val="2"/>
            <w:vMerge w:val="continue"/>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bsp;</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 (%):</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39.9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41.5</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42.3</w:t>
            </w:r>
          </w:p>
        </w:tc>
        <w:tc>
          <w:tcPr>
            <w:tcW w:w="12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95"/>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54.6</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52.9</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53.7</w:t>
            </w:r>
          </w:p>
        </w:tc>
        <w:tc>
          <w:tcPr>
            <w:tcW w:w="1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52.4</w:t>
            </w:r>
          </w:p>
        </w:tc>
        <w:tc>
          <w:tcPr>
            <w:tcW w:w="12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w:t>
            </w:r>
          </w:p>
        </w:tc>
        <w:tc>
          <w:tcPr>
            <w:tcW w:w="1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Quarterly Gross Margin Trend</w:t>
      </w:r>
    </w:p>
    <w:p>
      <w:pPr>
        <w:spacing w:after="0" w:line="167"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3"/>
          <w:szCs w:val="13"/>
          <w:color w:val="auto"/>
        </w:rPr>
        <w:t>Gross margin has fluctuated on a quarterly basis primarily due to shifts in the mix of sales between products and services, types of pro ducts sold and the average selling prices of our products. Product gross margins in the fourth quarter of fiscal 2009 decreased due to asset acquisition related costs of $1.7 million. Services gross margins have increased or remained relatively flat, with minor fluctuations, from the first quarter of fiscal 2009 through the fourth quarter of fiscal 2010 due to higher revenue and a larger customer base over which to spread related costs. We experienced a slight decrease in services gross margins during the fourth quarter of fiscal 2009 and first two quarters of fiscal 20 10 due to an increase in headcount as we invested in support personnel.</w:t>
      </w:r>
    </w:p>
    <w:p>
      <w:pPr>
        <w:spacing w:after="0" w:line="9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24765</wp:posOffset>
            </wp:positionV>
            <wp:extent cx="577532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5325" cy="635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380" w:type="dxa"/>
            <w:vAlign w:val="bottom"/>
          </w:tcPr>
          <w:p>
            <w:pPr>
              <w:spacing w:after="0"/>
              <w:rPr>
                <w:sz w:val="12"/>
                <w:szCs w:val="12"/>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Mar 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Jun 28,</w:t>
            </w:r>
          </w:p>
        </w:tc>
        <w:tc>
          <w:tcPr>
            <w:tcW w:w="740" w:type="dxa"/>
            <w:vAlign w:val="bottom"/>
          </w:tcPr>
          <w:p>
            <w:pPr>
              <w:jc w:val="center"/>
              <w:ind w:left="221"/>
              <w:spacing w:after="0"/>
              <w:rPr>
                <w:sz w:val="20"/>
                <w:szCs w:val="20"/>
                <w:color w:val="auto"/>
              </w:rPr>
            </w:pPr>
            <w:r>
              <w:rPr>
                <w:rFonts w:ascii="Times New Roman" w:cs="Times New Roman" w:eastAsia="Times New Roman" w:hAnsi="Times New Roman"/>
                <w:sz w:val="12"/>
                <w:szCs w:val="12"/>
                <w:b w:val="1"/>
                <w:bCs w:val="1"/>
                <w:color w:val="auto"/>
                <w:w w:val="93"/>
              </w:rPr>
              <w:t>Sept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left="241"/>
              <w:spacing w:after="0"/>
              <w:rPr>
                <w:sz w:val="20"/>
                <w:szCs w:val="20"/>
                <w:color w:val="auto"/>
              </w:rPr>
            </w:pPr>
            <w:r>
              <w:rPr>
                <w:rFonts w:ascii="Times New Roman" w:cs="Times New Roman" w:eastAsia="Times New Roman" w:hAnsi="Times New Roman"/>
                <w:sz w:val="12"/>
                <w:szCs w:val="12"/>
                <w:b w:val="1"/>
                <w:bCs w:val="1"/>
                <w:color w:val="auto"/>
                <w:w w:val="96"/>
              </w:rPr>
              <w:t>Dec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2"/>
                <w:szCs w:val="12"/>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Dec 31,</w:t>
            </w:r>
          </w:p>
        </w:tc>
      </w:tr>
      <w:tr>
        <w:trPr>
          <w:trHeight w:val="153"/>
        </w:trPr>
        <w:tc>
          <w:tcPr>
            <w:tcW w:w="3120" w:type="dxa"/>
            <w:vAlign w:val="bottom"/>
            <w:gridSpan w:val="2"/>
          </w:tcPr>
          <w:p>
            <w:pPr>
              <w:ind w:left="2760"/>
              <w:spacing w:after="0"/>
              <w:rPr>
                <w:sz w:val="20"/>
                <w:szCs w:val="20"/>
                <w:color w:val="auto"/>
              </w:rPr>
            </w:pPr>
            <w:r>
              <w:rPr>
                <w:rFonts w:ascii="Times New Roman" w:cs="Times New Roman" w:eastAsia="Times New Roman" w:hAnsi="Times New Roman"/>
                <w:sz w:val="12"/>
                <w:szCs w:val="12"/>
                <w:b w:val="1"/>
                <w:bCs w:val="1"/>
                <w:color w:val="auto"/>
              </w:rPr>
              <w:t>2009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2009</w:t>
            </w:r>
          </w:p>
        </w:tc>
        <w:tc>
          <w:tcPr>
            <w:tcW w:w="260" w:type="dxa"/>
            <w:vAlign w:val="bottom"/>
          </w:tcPr>
          <w:p>
            <w:pPr>
              <w:spacing w:after="0"/>
              <w:rPr>
                <w:sz w:val="13"/>
                <w:szCs w:val="13"/>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2009</w:t>
            </w: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2009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0" w:type="dxa"/>
            <w:vAlign w:val="bottom"/>
          </w:tcPr>
          <w:p>
            <w:pPr>
              <w:spacing w:after="0"/>
              <w:rPr>
                <w:sz w:val="13"/>
                <w:szCs w:val="13"/>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140" w:type="dxa"/>
            <w:vAlign w:val="bottom"/>
            <w:gridSpan w:val="2"/>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102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2010</w:t>
            </w:r>
          </w:p>
        </w:tc>
      </w:tr>
      <w:tr>
        <w:trPr>
          <w:trHeight w:val="25"/>
        </w:trPr>
        <w:tc>
          <w:tcPr>
            <w:tcW w:w="23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5"/>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Margin by Component of Revenue:</w:t>
            </w: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&lt; /div&gt;</w:t>
            </w:r>
          </w:p>
        </w:tc>
        <w:tc>
          <w:tcPr>
            <w:tcW w:w="1020" w:type="dxa"/>
            <w:vAlign w:val="bottom"/>
            <w:tcBorders>
              <w:bottom w:val="single" w:sz="8" w:color="CCEEFF"/>
            </w:tcBorders>
            <w:shd w:val="clear" w:color="auto" w:fill="CCEEFF"/>
          </w:tcPr>
          <w:p>
            <w:pPr>
              <w:spacing w:after="0"/>
              <w:rPr>
                <w:sz w:val="14"/>
                <w:szCs w:val="14"/>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margin (%):</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17"/>
              <w:spacing w:after="0"/>
              <w:rPr>
                <w:sz w:val="20"/>
                <w:szCs w:val="20"/>
                <w:color w:val="auto"/>
              </w:rPr>
            </w:pPr>
            <w:r>
              <w:rPr>
                <w:rFonts w:ascii="Times New Roman" w:cs="Times New Roman" w:eastAsia="Times New Roman" w:hAnsi="Times New Roman"/>
                <w:sz w:val="13"/>
                <w:szCs w:val="13"/>
                <w:color w:val="auto"/>
              </w:rPr>
              <w:t>&amp;nbs p;</w:t>
            </w:r>
          </w:p>
        </w:tc>
      </w:tr>
      <w:tr>
        <w:trPr>
          <w:trHeight w:val="21"/>
        </w:trPr>
        <w:tc>
          <w:tcPr>
            <w:tcW w:w="2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6"/>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57.8</w:t>
            </w:r>
          </w:p>
        </w:tc>
        <w:tc>
          <w:tcPr>
            <w:tcW w:w="2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163"/>
        </w:trPr>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&amp;n</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16"/>
                <w:szCs w:val="16"/>
                <w:color w:val="auto"/>
              </w:rPr>
            </w:pPr>
          </w:p>
        </w:tc>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84.0 bsp;</w:t>
            </w:r>
          </w:p>
        </w:tc>
        <w:tc>
          <w:tcPr>
            <w:tcW w:w="7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100" w:type="dxa"/>
            <w:vAlign w:val="bottom"/>
          </w:tcPr>
          <w:p>
            <w:pPr>
              <w:spacing w:after="0"/>
              <w:rPr>
                <w:sz w:val="16"/>
                <w:szCs w:val="16"/>
                <w:color w:val="auto"/>
              </w:rPr>
            </w:pPr>
          </w:p>
        </w:tc>
        <w:tc>
          <w:tcPr>
            <w:tcW w:w="102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w w:val="96"/>
              </w:rPr>
              <w:t>83.3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r>
      <w:tr>
        <w:trPr>
          <w:trHeight w:val="176"/>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61.8</w:t>
            </w:r>
          </w:p>
        </w:tc>
        <w:tc>
          <w:tcPr>
            <w:tcW w:w="2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r>
      <w:tr>
        <w:trPr>
          <w:trHeight w:val="33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gross margin</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73.0 ;</w:t>
            </w:r>
          </w:p>
        </w:tc>
        <w:tc>
          <w:tcPr>
            <w:tcW w:w="10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72.3</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r>
    </w:tbl>
    <w:p>
      <w:pPr>
        <w:spacing w:after="0" w:line="26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2"/>
          <w:szCs w:val="12"/>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23495</wp:posOffset>
            </wp:positionV>
            <wp:extent cx="595566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5665"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00" w:type="dxa"/>
            <w:vAlign w:val="bottom"/>
          </w:tcPr>
          <w:p>
            <w:pPr>
              <w:spacing w:after="0"/>
              <w:rPr>
                <w:sz w:val="12"/>
                <w:szCs w:val="12"/>
                <w:color w:val="auto"/>
              </w:rPr>
            </w:pPr>
          </w:p>
        </w:tc>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Mar 29,</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Jun 28,</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Sept 30,</w:t>
            </w:r>
          </w:p>
        </w:tc>
        <w:tc>
          <w:tcPr>
            <w:tcW w:w="120" w:type="dxa"/>
            <w:vAlign w:val="bottom"/>
          </w:tcPr>
          <w:p>
            <w:pPr>
              <w:spacing w:after="0"/>
              <w:rPr>
                <w:sz w:val="12"/>
                <w:szCs w:val="12"/>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Dec 31,</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56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0" w:type="dxa"/>
            <w:vAlign w:val="bottom"/>
          </w:tcPr>
          <w:p>
            <w:pPr>
              <w:spacing w:after="0"/>
              <w:rPr>
                <w:sz w:val="13"/>
                <w:szCs w:val="13"/>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2010</w:t>
            </w: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2010</w:t>
            </w:r>
          </w:p>
        </w:tc>
        <w:tc>
          <w:tcPr>
            <w:tcW w:w="0" w:type="dxa"/>
            <w:vAlign w:val="bottom"/>
          </w:tcPr>
          <w:p>
            <w:pPr>
              <w:spacing w:after="0"/>
              <w:rPr>
                <w:sz w:val="1"/>
                <w:szCs w:val="1"/>
                <w:color w:val="auto"/>
              </w:rPr>
            </w:pPr>
          </w:p>
        </w:tc>
      </w:tr>
      <w:tr>
        <w:trPr>
          <w:trHeight w:val="25"/>
        </w:trPr>
        <w:tc>
          <w:tcPr>
            <w:tcW w:w="2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1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Reconciliation of GAAP to non-</w:t>
            </w:r>
          </w:p>
        </w:tc>
        <w:tc>
          <w:tcPr>
            <w:tcW w:w="8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gross margin:</w:t>
            </w:r>
          </w:p>
        </w:tc>
        <w:tc>
          <w:tcPr>
            <w:tcW w:w="8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&lt; div</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style="overflow:hidden;font-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Gross margin (%):</w:t>
            </w:r>
          </w:p>
        </w:tc>
        <w:tc>
          <w:tcPr>
            <w:tcW w:w="24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73.0 size:10pt;"&gt;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5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3"/>
        </w:trPr>
        <w:tc>
          <w:tcPr>
            <w:tcW w:w="2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Asset acquisition-related write-</w:t>
            </w: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1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offs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vMerge w:val="restart"/>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8"/>
        </w:trPr>
        <w:tc>
          <w:tcPr>
            <w:tcW w:w="2100" w:type="dxa"/>
            <w:vAlign w:val="bottom"/>
            <w:tcBorders>
              <w:bottom w:val="single" w:sz="8" w:color="CCEEFF"/>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560" w:type="dxa"/>
            <w:vAlign w:val="bottom"/>
            <w:tcBorders>
              <w:bottom w:val="single" w:sz="8" w:color="CCEEFF"/>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gross margin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0" w:type="dxa"/>
            <w:vAlign w:val="bottom"/>
          </w:tcPr>
          <w:p>
            <w:pPr>
              <w:spacing w:after="0"/>
              <w:rPr>
                <w:sz w:val="1"/>
                <w:szCs w:val="1"/>
                <w:color w:val="auto"/>
              </w:rPr>
            </w:pPr>
          </w:p>
        </w:tc>
      </w:tr>
      <w:tr>
        <w:trPr>
          <w:trHeight w:val="302"/>
        </w:trPr>
        <w:tc>
          <w:tcPr>
            <w:tcW w:w="210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2" w:right="219" w:bottom="1440" w:gutter="0" w:footer="0" w:header="0"/>
        </w:sectPr>
      </w:pPr>
    </w:p>
    <w:bookmarkStart w:id="60" w:name="page61"/>
    <w:bookmarkEnd w:id="60"/>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Liquidity and Capital Resources</w:t>
      </w:r>
    </w:p>
    <w:p>
      <w:pPr>
        <w:spacing w:after="0" w:line="2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2"/>
          <w:szCs w:val="12"/>
          <w:color w:val="auto"/>
        </w:rPr>
        <w:t>&lt; td style="vertical-align:bottom;background-color:#cceeff;padding-left:2px;padding-top:2px;padding-bottom:2px;padding-right:2px;"&gt;</w:t>
      </w:r>
    </w:p>
    <w:p>
      <w:pPr>
        <w:spacing w:after="0" w:line="259" w:lineRule="exact"/>
        <w:rPr>
          <w:sz w:val="20"/>
          <w:szCs w:val="20"/>
          <w:color w:val="auto"/>
        </w:rPr>
      </w:pPr>
    </w:p>
    <w:tbl>
      <w:tblPr>
        <w:tblLayout w:type="fixed"/>
        <w:tblInd w:w="2" w:type="dxa"/>
        <w:tblCellMar>
          <w:top w:w="0" w:type="dxa"/>
          <w:left w:w="0" w:type="dxa"/>
          <w:bottom w:w="0" w:type="dxa"/>
          <w:right w:w="0" w:type="dxa"/>
        </w:tblCellMar>
      </w:tblPr>
      <w:tr>
        <w:trPr>
          <w:trHeight w:val="168"/>
        </w:trPr>
        <w:tc>
          <w:tcPr>
            <w:tcW w:w="6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(937</w:t>
            </w:r>
          </w:p>
        </w:tc>
      </w:tr>
      <w:tr>
        <w:trPr>
          <w:trHeight w:val="289"/>
        </w:trPr>
        <w:tc>
          <w:tcPr>
            <w:tcW w:w="6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left="277"/>
              <w:spacing w:after="0"/>
              <w:rPr>
                <w:sz w:val="20"/>
                <w:szCs w:val="20"/>
                <w:color w:val="auto"/>
              </w:rPr>
            </w:pPr>
            <w:r>
              <w:rPr>
                <w:rFonts w:ascii="Times New Roman" w:cs="Times New Roman" w:eastAsia="Times New Roman" w:hAnsi="Times New Roman"/>
                <w:sz w:val="12"/>
                <w:szCs w:val="12"/>
                <w:b w:val="1"/>
                <w:bCs w:val="1"/>
                <w:color w:val="auto"/>
                <w:w w:val="96"/>
              </w:rPr>
              <w:t>As of Fiscal Year End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65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1"/>
        </w:trPr>
        <w:tc>
          <w:tcPr>
            <w:tcW w:w="6560" w:type="dxa"/>
            <w:vAlign w:val="bottom"/>
          </w:tcPr>
          <w:p>
            <w:pPr>
              <w:spacing w:after="0"/>
              <w:rPr>
                <w:sz w:val="13"/>
                <w:szCs w:val="13"/>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780" w:type="dxa"/>
            <w:vAlign w:val="bottom"/>
            <w:gridSpan w:val="2"/>
          </w:tcPr>
          <w:p>
            <w:pPr>
              <w:jc w:val="right"/>
              <w:ind w:right="435"/>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65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6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left="277"/>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6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66,859</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212,458</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56,571</w:t>
            </w:r>
          </w:p>
        </w:tc>
      </w:tr>
      <w:tr>
        <w:trPr>
          <w:trHeight w:val="175"/>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320,601</w:t>
            </w:r>
          </w:p>
        </w:tc>
        <w:tc>
          <w:tcPr>
            <w:tcW w:w="100" w:type="dxa"/>
            <w:vAlign w:val="bottom"/>
          </w:tcPr>
          <w:p>
            <w:pPr>
              <w:spacing w:after="0"/>
              <w:rPr>
                <w:sz w:val="15"/>
                <w:szCs w:val="15"/>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47,856</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67,619</w:t>
            </w:r>
          </w:p>
        </w:tc>
      </w:tr>
      <w:tr>
        <w:trPr>
          <w:trHeight w:val="21"/>
        </w:trPr>
        <w:tc>
          <w:tcPr>
            <w:tcW w:w="6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investments</w:t>
            </w: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387,460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260,314</w:t>
            </w:r>
          </w:p>
        </w:tc>
        <w:tc>
          <w:tcPr>
            <w:tcW w:w="1780" w:type="dxa"/>
            <w:vAlign w:val="bottom"/>
            <w:tcBorders>
              <w:bottom w:val="single" w:sz="8" w:color="auto"/>
            </w:tcBorders>
            <w:gridSpan w:val="2"/>
            <w:shd w:val="clear" w:color="auto" w:fill="CCEEFF"/>
          </w:tcPr>
          <w:p>
            <w:pPr>
              <w:jc w:val="right"/>
              <w:ind w:right="1275"/>
              <w:spacing w:after="0"/>
              <w:rPr>
                <w:sz w:val="20"/>
                <w:szCs w:val="20"/>
                <w:color w:val="auto"/>
              </w:rPr>
            </w:pPr>
            <w:r>
              <w:rPr>
                <w:rFonts w:ascii="Times New Roman" w:cs="Times New Roman" w:eastAsia="Times New Roman" w:hAnsi="Times New Roman"/>
                <w:sz w:val="13"/>
                <w:szCs w:val="13"/>
                <w:color w:val="auto"/>
                <w:w w:val="99"/>
              </w:rPr>
              <w:t>124,190</w:t>
            </w:r>
          </w:p>
        </w:tc>
        <w:tc>
          <w:tcPr>
            <w:tcW w:w="100" w:type="dxa"/>
            <w:vAlign w:val="bottom"/>
            <w:tcBorders>
              <w:bottom w:val="single" w:sz="8" w:color="auto"/>
            </w:tcBorders>
          </w:tcPr>
          <w:p>
            <w:pPr>
              <w:spacing w:after="0"/>
              <w:rPr>
                <w:sz w:val="16"/>
                <w:szCs w:val="16"/>
                <w:color w:val="auto"/>
              </w:rPr>
            </w:pPr>
          </w:p>
        </w:tc>
      </w:tr>
      <w:tr>
        <w:trPr>
          <w:trHeight w:val="292"/>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Working capital</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201,776</w:t>
            </w:r>
          </w:p>
        </w:tc>
        <w:tc>
          <w:tcPr>
            <w:tcW w:w="100" w:type="dxa"/>
            <w:vAlign w:val="bottom"/>
          </w:tcPr>
          <w:p>
            <w:pPr>
              <w:spacing w:after="0"/>
              <w:rPr>
                <w:sz w:val="24"/>
                <w:szCs w:val="24"/>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161,652</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38,193</w:t>
            </w:r>
          </w:p>
        </w:tc>
      </w:tr>
      <w:tr>
        <w:trPr>
          <w:trHeight w:val="319"/>
        </w:trPr>
        <w:tc>
          <w:tcPr>
            <w:tcW w:w="6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left="277"/>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65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1"/>
        </w:trPr>
        <w:tc>
          <w:tcPr>
            <w:tcW w:w="6560" w:type="dxa"/>
            <w:vAlign w:val="bottom"/>
          </w:tcPr>
          <w:p>
            <w:pPr>
              <w:spacing w:after="0"/>
              <w:rPr>
                <w:sz w:val="13"/>
                <w:szCs w:val="13"/>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780" w:type="dxa"/>
            <w:vAlign w:val="bottom"/>
            <w:gridSpan w:val="2"/>
          </w:tcPr>
          <w:p>
            <w:pPr>
              <w:jc w:val="right"/>
              <w:ind w:right="435"/>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65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1"/>
        </w:trPr>
        <w:tc>
          <w:tcPr>
            <w:tcW w:w="6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left="277"/>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
        </w:trPr>
        <w:tc>
          <w:tcPr>
            <w:tcW w:w="6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r>
      <w:tr>
        <w:trPr>
          <w:trHeight w:val="17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103,383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61,971</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37,686</w:t>
            </w:r>
          </w:p>
        </w:tc>
      </w:tr>
      <w:tr>
        <w:trPr>
          <w:trHeight w:val="175"/>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(used in) investing activities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(283,710)</w:t>
            </w:r>
          </w:p>
        </w:tc>
        <w:tc>
          <w:tcPr>
            <w:tcW w:w="100" w:type="dxa"/>
            <w:vAlign w:val="bottom"/>
          </w:tcPr>
          <w:p>
            <w:pPr>
              <w:spacing w:after="0"/>
              <w:rPr>
                <w:sz w:val="15"/>
                <w:szCs w:val="15"/>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13,757</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(53,706)</w:t>
            </w:r>
          </w:p>
        </w:tc>
      </w:tr>
      <w:tr>
        <w:trPr>
          <w:trHeight w:val="21"/>
        </w:trPr>
        <w:tc>
          <w:tcPr>
            <w:tcW w:w="6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7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34,019</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78,049</w:t>
            </w:r>
          </w:p>
        </w:tc>
        <w:tc>
          <w:tcPr>
            <w:tcW w:w="1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2,117</w:t>
            </w:r>
          </w:p>
        </w:tc>
      </w:tr>
      <w:tr>
        <w:trPr>
          <w:trHeight w:val="175"/>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rates on cash and cash equivalents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Pr>
          <w:p>
            <w:pPr>
              <w:spacing w:after="0"/>
              <w:rPr>
                <w:sz w:val="15"/>
                <w:szCs w:val="15"/>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2,110</w:t>
            </w:r>
          </w:p>
        </w:tc>
        <w:tc>
          <w:tcPr>
            <w:tcW w:w="1780" w:type="dxa"/>
            <w:vAlign w:val="bottom"/>
            <w:gridSpan w:val="2"/>
          </w:tcPr>
          <w:p>
            <w:pPr>
              <w:jc w:val="right"/>
              <w:ind w:right="12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r>
      <w:tr>
        <w:trPr>
          <w:trHeight w:val="21"/>
        </w:trPr>
        <w:tc>
          <w:tcPr>
            <w:tcW w:w="6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(145,599&lt; /font&gt;)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155,887</w:t>
            </w:r>
          </w:p>
        </w:tc>
        <w:tc>
          <w:tcPr>
            <w:tcW w:w="44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-2235200</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04" w:lineRule="exact"/>
        <w:rPr>
          <w:sz w:val="20"/>
          <w:szCs w:val="20"/>
          <w:color w:val="auto"/>
        </w:rPr>
      </w:pPr>
    </w:p>
    <w:p>
      <w:pPr>
        <w:ind w:left="2" w:right="60" w:firstLine="469"/>
        <w:spacing w:after="0" w:line="257" w:lineRule="auto"/>
        <w:rPr>
          <w:sz w:val="20"/>
          <w:szCs w:val="20"/>
          <w:color w:val="auto"/>
        </w:rPr>
      </w:pPr>
      <w:r>
        <w:rPr>
          <w:rFonts w:ascii="Times New Roman" w:cs="Times New Roman" w:eastAsia="Times New Roman" w:hAnsi="Times New Roman"/>
          <w:sz w:val="13"/>
          <w:szCs w:val="13"/>
          <w:color w:val="auto"/>
        </w:rPr>
        <w:t>At December 31, 2010, our cash, cash equivalents, and investments of $387.5 million were held for working-capital purposes and were invested primarily in money market funds, commercial paper, corporate debt securities and U.S. government debt securities. We do not enter into investments for trading or speculative purposes. We believe that our existing cash and cash equivalents will be sufficient to meet our anticipated cash needs for at least the next twelve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 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34" w:lineRule="exact"/>
        <w:rPr>
          <w:sz w:val="20"/>
          <w:szCs w:val="20"/>
          <w:color w:val="auto"/>
        </w:rPr>
      </w:pPr>
    </w:p>
    <w:p>
      <w:pPr>
        <w:ind w:left="8862"/>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24765</wp:posOffset>
            </wp:positionV>
            <wp:extent cx="29806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0690" cy="6350"/>
                    </a:xfrm>
                    <a:prstGeom prst="rect">
                      <a:avLst/>
                    </a:prstGeom>
                    <a:noFill/>
                  </pic:spPr>
                </pic:pic>
              </a:graphicData>
            </a:graphic>
          </wp:anchor>
        </w:drawing>
      </w:r>
    </w:p>
    <w:p>
      <w:pPr>
        <w:spacing w:after="0" w:line="47"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7680" w:type="dxa"/>
            <w:vAlign w:val="bottom"/>
            <w:gridSpan w:val="2"/>
          </w:tcPr>
          <w:p>
            <w:pPr>
              <w:ind w:left="7400"/>
              <w:spacing w:after="0"/>
              <w:rPr>
                <w:sz w:val="20"/>
                <w:szCs w:val="20"/>
                <w:color w:val="auto"/>
              </w:rPr>
            </w:pPr>
            <w:r>
              <w:rPr>
                <w:rFonts w:ascii="Times New Roman" w:cs="Times New Roman" w:eastAsia="Times New Roman" w:hAnsi="Times New Roman"/>
                <w:sz w:val="12"/>
                <w:szCs w:val="12"/>
                <w:b w:val="1"/>
                <w:bCs w:val="1"/>
                <w:color w:val="auto"/>
              </w:rPr>
              <w:t>2010</w:t>
            </w:r>
          </w:p>
        </w:tc>
        <w:tc>
          <w:tcPr>
            <w:tcW w:w="600" w:type="dxa"/>
            <w:vAlign w:val="bottom"/>
          </w:tcPr>
          <w:p>
            <w:pPr>
              <w:spacing w:after="0"/>
              <w:rPr>
                <w:sz w:val="13"/>
                <w:szCs w:val="13"/>
                <w:color w:val="auto"/>
              </w:rPr>
            </w:pPr>
          </w:p>
        </w:tc>
        <w:tc>
          <w:tcPr>
            <w:tcW w:w="1480" w:type="dxa"/>
            <w:vAlign w:val="bottom"/>
            <w:gridSpan w:val="2"/>
          </w:tcPr>
          <w:p>
            <w:pPr>
              <w:jc w:val="right"/>
              <w:ind w:right="43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25"/>
        </w:trPr>
        <w:tc>
          <w:tcPr>
            <w:tcW w:w="6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51"/>
        </w:trPr>
        <w:tc>
          <w:tcPr>
            <w:tcW w:w="6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 amounts in 000's)</w:t>
            </w:r>
          </w:p>
        </w:tc>
        <w:tc>
          <w:tcPr>
            <w:tcW w:w="1460" w:type="dxa"/>
            <w:vAlign w:val="bottom"/>
          </w:tcPr>
          <w:p>
            <w:pPr>
              <w:spacing w:after="0"/>
              <w:rPr>
                <w:sz w:val="13"/>
                <w:szCs w:val="13"/>
                <w:color w:val="auto"/>
              </w:rPr>
            </w:pPr>
          </w:p>
        </w:tc>
      </w:tr>
      <w:tr>
        <w:trPr>
          <w:trHeight w:val="25"/>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41,245</w:t>
            </w:r>
          </w:p>
        </w:tc>
        <w:tc>
          <w:tcPr>
            <w:tcW w:w="100" w:type="dxa"/>
            <w:vAlign w:val="bottom"/>
          </w:tcPr>
          <w:p>
            <w:pPr>
              <w:spacing w:after="0"/>
              <w:rPr>
                <w:sz w:val="15"/>
                <w:szCs w:val="15"/>
                <w:color w:val="auto"/>
              </w:rPr>
            </w:pP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60,179</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7,363</w:t>
            </w:r>
          </w:p>
        </w:tc>
      </w:tr>
      <w:tr>
        <w:trPr>
          <w:trHeight w:val="18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Adjustments for non-cash charges </w:t>
            </w:r>
            <w:r>
              <w:rPr>
                <w:rFonts w:ascii="Times New Roman" w:cs="Times New Roman" w:eastAsia="Times New Roman" w:hAnsi="Times New Roman"/>
                <w:sz w:val="13"/>
                <w:szCs w:val="13"/>
                <w:color w:val="auto"/>
                <w:vertAlign w:val="superscript"/>
              </w:rPr>
              <w:t>(1)</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16,593</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(15,166)</w:t>
            </w:r>
          </w:p>
        </w:tc>
        <w:tc>
          <w:tcPr>
            <w:tcW w:w="12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9,574</w:t>
            </w:r>
          </w:p>
        </w:tc>
      </w:tr>
      <w:tr>
        <w:trPr>
          <w:trHeight w:val="159"/>
        </w:trPr>
        <w:tc>
          <w:tcPr>
            <w:tcW w:w="67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&lt; font style="font-</w:t>
            </w:r>
          </w:p>
        </w:tc>
      </w:tr>
      <w:tr>
        <w:trPr>
          <w:trHeight w:val="156"/>
        </w:trPr>
        <w:tc>
          <w:tcPr>
            <w:tcW w:w="6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family:inherit;font-</w:t>
            </w:r>
          </w:p>
        </w:tc>
      </w:tr>
      <w:tr>
        <w:trPr>
          <w:trHeight w:val="169"/>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before non-cash charges</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57,838</w:t>
            </w:r>
          </w:p>
        </w:tc>
        <w:tc>
          <w:tcPr>
            <w:tcW w:w="1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45,013</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size:10pt;"&gt;16,937</w:t>
            </w:r>
          </w:p>
        </w:tc>
      </w:tr>
      <w:tr>
        <w:trPr>
          <w:trHeight w:val="17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Increase in deferred revenue</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50,701</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30,313</w:t>
            </w:r>
          </w:p>
        </w:tc>
        <w:tc>
          <w:tcPr>
            <w:tcW w:w="120" w:type="dxa"/>
            <w:vAlign w:val="bottom"/>
          </w:tcPr>
          <w:p>
            <w:pPr>
              <w:spacing w:after="0"/>
              <w:rPr>
                <w:sz w:val="15"/>
                <w:szCs w:val="15"/>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40,363</w:t>
            </w:r>
          </w:p>
        </w:tc>
      </w:tr>
      <w:tr>
        <w:trPr>
          <w:trHeight w:val="21"/>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income tax payable and deferred tax assets, net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11,739</w:t>
            </w:r>
          </w:p>
        </w:tc>
        <w:tc>
          <w:tcPr>
            <w:tcW w:w="1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(6,996)</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w:t>
            </w:r>
          </w:p>
        </w:tc>
      </w:tr>
      <w:tr>
        <w:trPr>
          <w:trHeight w:val="17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Increase in accrued payroll and compensation</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5,465</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Pr>
          <w:p>
            <w:pPr>
              <w:spacing w:after="0"/>
              <w:rPr>
                <w:sz w:val="15"/>
                <w:szCs w:val="15"/>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5,030</w:t>
            </w:r>
          </w:p>
        </w:tc>
      </w:tr>
      <w:tr>
        <w:trPr>
          <w:trHeight w:val="21"/>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accounts payable and accrued liabilities, net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4,800</w:t>
            </w:r>
          </w:p>
        </w:tc>
        <w:tc>
          <w:tcPr>
            <w:tcW w:w="1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5,203</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w:t>
            </w:r>
          </w:p>
        </w:tc>
      </w:tr>
      <w:tr>
        <w:trPr>
          <w:trHeight w:val="17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Increase in accounts receivable</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(17,784)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(8,508)</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(18,350)</w:t>
            </w:r>
          </w:p>
        </w:tc>
      </w:tr>
      <w:tr>
        <w:trPr>
          <w:trHeight w:val="21"/>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in inventories</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(5,946)</w:t>
            </w:r>
          </w:p>
        </w:tc>
        <w:tc>
          <w:tcPr>
            <w:tcW w:w="1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(2,012)</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Increase in prepaid expenses and other assets, net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(3,794)</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21"/>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deferred cost of revenues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364</w:t>
            </w:r>
          </w:p>
        </w:tc>
        <w:tc>
          <w:tcPr>
            <w:tcW w:w="1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(1,063)</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r>
      <w:tr>
        <w:trPr>
          <w:trHeight w:val="195"/>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103,383</w:t>
            </w:r>
          </w:p>
        </w:tc>
        <w:tc>
          <w:tcPr>
            <w:tcW w:w="10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61,971</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37,686</w:t>
            </w:r>
          </w:p>
        </w:tc>
      </w:tr>
      <w:tr>
        <w:trPr>
          <w:trHeight w:val="155"/>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w:t>
            </w:r>
          </w:p>
        </w:tc>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bl>
    <w:p>
      <w:pPr>
        <w:spacing w:after="0" w:line="4" w:lineRule="exact"/>
        <w:rPr>
          <w:sz w:val="20"/>
          <w:szCs w:val="20"/>
          <w:color w:val="auto"/>
        </w:rPr>
      </w:pPr>
    </w:p>
    <w:p>
      <w:pPr>
        <w:ind w:left="462" w:right="140" w:hanging="462"/>
        <w:spacing w:after="0" w:line="368" w:lineRule="auto"/>
        <w:tabs>
          <w:tab w:leader="none" w:pos="462"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Non-cash charges primarily consist of stock-based compensation expense, depreciation and amortization, write-off of intangible assets, gain on disposal of fixed assets, amortization of investment premiums, excess tax benefit from employee stock option plans, and reversal of the valuation in fiscal 2009.</w:t>
      </w:r>
    </w:p>
    <w:p>
      <w:pPr>
        <w:spacing w:after="0" w:line="2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1462"/>
          </w:cols>
          <w:pgMar w:left="218" w:top="124"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148"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3"/>
          <w:szCs w:val="13"/>
          <w:color w:val="auto"/>
        </w:rPr>
        <w:t>In fiscal 2010, operating activities provided $103.4 million in cash as a result of our strong performance primarily driven by billings growth, profitability, and the ability to successfully manage our working capital. Net income was $41.2 million, increased by non-cash adjustments of $16.6 million and sources of cash of $73.1 million partially offset by uses of cash of $27.5 million. Non-cash adjustments consist of stock-based compensation expense of $9.3 million, amortization of investment premiums of $7.3 million, and depreciation and amortization of $5.7 million, partially offset by an excess tax benefit from employee stock option plans of $5.7 million. Sources of cash were related to a $50.7 million increase in deferred revenue which was attributable primarily to increased sales of our subscription and support services, which have yet to be recognized in income, an $11.7 million increase in income tax payable and deferred tax assets, due to our continued profitability and timing of tax payments (cash paid for taxes was $2.5 million), a $5.5 million increase in accrued payroll and compensation primarily related to increased headcount and employer taxes related to the exercise of stock options, a $4.8 million increase in accrued liabilities and accounts payable, related to timing of payments, and a $0.4 million decrease in deferred cost of revenues. Uses of cash were relat ed to a $17.8 million increase in accounts receivable due to the overall growth of our business with days sales outstanding remaining flat (70 days), a $5.9 million increase in inventory primarily to support new product releases in the latter part of the year combined with the overall growth of our business, and a $3.8 million increase in prepaid expenses and other assets. Days sales outstanding is calculated as the ratio of ending accounts receivable, net of allowances, divided by average daily sales for the preceding 90 days.</w:t>
      </w:r>
    </w:p>
    <w:p>
      <w:pPr>
        <w:spacing w:after="0" w:line="102" w:lineRule="exact"/>
        <w:rPr>
          <w:sz w:val="20"/>
          <w:szCs w:val="20"/>
          <w:color w:val="auto"/>
        </w:rPr>
      </w:pPr>
    </w:p>
    <w:p>
      <w:pPr>
        <w:ind w:firstLine="352"/>
        <w:spacing w:after="0" w:line="256" w:lineRule="auto"/>
        <w:rPr>
          <w:sz w:val="20"/>
          <w:szCs w:val="20"/>
          <w:color w:val="auto"/>
        </w:rPr>
      </w:pPr>
      <w:r>
        <w:rPr>
          <w:rFonts w:ascii="Times New Roman" w:cs="Times New Roman" w:eastAsia="Times New Roman" w:hAnsi="Times New Roman"/>
          <w:sz w:val="13"/>
          <w:szCs w:val="13"/>
          <w:color w:val="auto"/>
        </w:rPr>
        <w:t>In fiscal 2009, operating activities provided $62.0 million in cash as a result of net income of $60.2 million, decreased by non-cash adjustments of $15.2 million, increased by sources of cash of $36.1 million, and partially offset by uses of cash of $19.2 million. Non-cash adjustments consist of a tax benefit from the release of our valuation allowance of $30.2 million and excess tax benefit from employee stock option plans of $1.6 million, offset by stock-based compensation of $7.5 million, depreciation and amortization of $5.9 million, write-off of intangible assets of $2.4 million, and amortization of investment premiums of $0.8 million. Sources of cash were related to a $30.3 million increase in deferred revenue which was attributable primarily to increased sales of our subscription and support services, a $5.2 million increase in accounts payable and accrued liabilities due to timing of payments, and a $0.6 million increase in accrued payroll and compensation primarily related to increased headcount. Uses of cash were related to an $8.5 million increase in accounts receivable due to the overall growth of our business with days sales outstanding remaining flat (69 days), a $7.0 million decrease in income tax payable and deferred tax assets, a $2.0 million increase in inventory, a $1.1 million increase in deferred cost of revenues and a $0.6 million increase in prepaid expenses and other assets .</w:t>
      </w:r>
    </w:p>
    <w:p>
      <w:pPr>
        <w:spacing w:after="0" w:line="97" w:lineRule="exact"/>
        <w:rPr>
          <w:sz w:val="20"/>
          <w:szCs w:val="20"/>
          <w:color w:val="auto"/>
        </w:rPr>
      </w:pPr>
    </w:p>
    <w:p>
      <w:pPr>
        <w:ind w:right="80" w:firstLine="352"/>
        <w:spacing w:after="0" w:line="257" w:lineRule="auto"/>
        <w:rPr>
          <w:sz w:val="20"/>
          <w:szCs w:val="20"/>
          <w:color w:val="auto"/>
        </w:rPr>
      </w:pPr>
      <w:r>
        <w:rPr>
          <w:rFonts w:ascii="Times New Roman" w:cs="Times New Roman" w:eastAsia="Times New Roman" w:hAnsi="Times New Roman"/>
          <w:sz w:val="13"/>
          <w:szCs w:val="13"/>
          <w:color w:val="auto"/>
        </w:rPr>
        <w:t>In fiscal 2008, operating activities provided $37.7 million in cash as a result of net income of $7.4 million, increased by non-cash adjustments of $9.6 million, sources of cash of $45.4 million, partially offset by uses of cash of $24.6 million. Non-cash adjustments consist of stock-based compensation expense of $5.3 m illion and depreciation and amortization costs of $4.3 million. Sources of cash were related to a $40.4 million increase in deferred revenue, which was attributable to increased sales of our subscription and support services, and a $5.0 million increase in accrued payroll and compensation primarily related to increased headcount. Uses of cash were related to a $18.4 million increase in accounts receivable due to the overall growth of our business and a 13 day increase (from 57 to 70 days) in days sales outstanding due to slower customer payments, a $2.6 million decrease in accounts payable and accrued liabilities, related to timing of payments, a $1.9 million decrease in income tax payable and deferred tax assets, a $1.2 million increase in deferred cost of revenues related to the increase in ratable products and services deferred revenue, a $0.3 million increase in prepaid expenses and other assets, and a $0.2 million increase in inventory.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pacing w:after="0" w:line="148"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In fiscal 2010, our investing activities consisted primarily of purchases and sales of investments, and to a much lesser extent, capital expenditures. The $283.7 million of cash used by investing activities wa s due to net purchases of investments of $280.0 million reflecting primarily the transfer of funds from money market to corporate bonds, agency notes and commercial paper during the period. This was offset by $3.8 million used for capital expenditures.</w:t>
      </w:r>
    </w:p>
    <w:p>
      <w:pPr>
        <w:spacing w:after="0" w:line="90"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In fiscal 2009, our investing activities consisted primarily of purchases and sales of investments associated with our investment balances and capital expenditures. The $13.8 million of cash provided by investing activities was due primarily to net maturities of short-term investments of $18.9 million. Additiona lly, we used cash of $4.6 million for capital expenditures and $0.5 million for the purchase of certain technology assets.</w:t>
      </w:r>
    </w:p>
    <w:p>
      <w:pPr>
        <w:spacing w:after="0" w:line="80" w:lineRule="exact"/>
        <w:rPr>
          <w:sz w:val="20"/>
          <w:szCs w:val="20"/>
          <w:color w:val="auto"/>
        </w:rPr>
      </w:pPr>
    </w:p>
    <w:p>
      <w:pPr>
        <w:ind w:right="140" w:firstLine="469"/>
        <w:spacing w:after="0" w:line="281" w:lineRule="auto"/>
        <w:rPr>
          <w:sz w:val="20"/>
          <w:szCs w:val="20"/>
          <w:color w:val="auto"/>
        </w:rPr>
      </w:pPr>
      <w:r>
        <w:rPr>
          <w:rFonts w:ascii="Times New Roman" w:cs="Times New Roman" w:eastAsia="Times New Roman" w:hAnsi="Times New Roman"/>
          <w:sz w:val="13"/>
          <w:szCs w:val="13"/>
          <w:color w:val="auto"/>
        </w:rPr>
        <w:t>In fiscal 2008, the $53.7 million of cash used in investing activities was due primarily to $48.8 million in net purchases of investments. Additionally, we used cash of $2.8 million for capital expenditures, $1.0 million for the purchase of assets from IPLocks and $1.0 million for the purchase of certain other technology assets.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1460"/>
          </w:cols>
          <w:pgMar w:left="220" w:top="124" w:right="219" w:bottom="1440" w:gutter="0" w:footer="0" w:header="0"/>
        </w:sectPr>
      </w:pPr>
    </w:p>
    <w:bookmarkStart w:id="62" w:name="page63"/>
    <w:bookmarkEnd w:id="62"/>
    <w:p>
      <w:pPr>
        <w:ind w:left="2"/>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148" w:lineRule="exact"/>
        <w:rPr>
          <w:sz w:val="20"/>
          <w:szCs w:val="20"/>
          <w:color w:val="auto"/>
        </w:rPr>
      </w:pPr>
    </w:p>
    <w:p>
      <w:pPr>
        <w:ind w:left="2" w:right="60" w:firstLine="469"/>
        <w:spacing w:after="0" w:line="266" w:lineRule="auto"/>
        <w:rPr>
          <w:sz w:val="20"/>
          <w:szCs w:val="20"/>
          <w:color w:val="auto"/>
        </w:rPr>
      </w:pPr>
      <w:r>
        <w:rPr>
          <w:rFonts w:ascii="Times New Roman" w:cs="Times New Roman" w:eastAsia="Times New Roman" w:hAnsi="Times New Roman"/>
          <w:sz w:val="13"/>
          <w:szCs w:val="13"/>
          <w:color w:val="auto"/>
        </w:rPr>
        <w:t>In fiscal 2010, our financing activities resulted in net cash provided of $34.0 million as a result of receiving proceeds of $29.1 million from the exercise of stock o ptions and warrants to purchase our common stock and an excess tax benefit from employee stock option plans of $5.8 million related to option exercises, partially offset by $0.9 million of issuance costs paid in connection with our initial public offering, which had been accrued as of December 31, 2009.</w:t>
      </w:r>
    </w:p>
    <w:p>
      <w:pPr>
        <w:spacing w:after="0" w:line="109" w:lineRule="exact"/>
        <w:rPr>
          <w:sz w:val="20"/>
          <w:szCs w:val="20"/>
          <w:color w:val="auto"/>
        </w:rPr>
      </w:pPr>
    </w:p>
    <w:p>
      <w:pPr>
        <w:jc w:val="both"/>
        <w:ind w:left="2" w:right="60" w:firstLine="469"/>
        <w:spacing w:after="0" w:line="266" w:lineRule="auto"/>
        <w:rPr>
          <w:sz w:val="20"/>
          <w:szCs w:val="20"/>
          <w:color w:val="auto"/>
        </w:rPr>
      </w:pPr>
      <w:r>
        <w:rPr>
          <w:rFonts w:ascii="Times New Roman" w:cs="Times New Roman" w:eastAsia="Times New Roman" w:hAnsi="Times New Roman"/>
          <w:sz w:val="13"/>
          <w:szCs w:val="13"/>
          <w:color w:val="auto"/>
        </w:rPr>
        <w:t>In fiscal 2009, our financing activities resulted in net cash provided of $78.0 million as a result of receiving proceeds of $91.5 million, net of issuance costs paid of $3.3 mi llion, from the sale of common stock in connection with our initial public offering in November 2009. In addition, we received proceeds of $4.0 million from the exercise of stock options and warrants to purchase our common stock and had an in excess tax benefit from employee stock option plans of $1.6 million, all partially offset by $15.8 million related to the repurchase of our preferred and common stock in the first half of fiscal 2009.</w:t>
      </w:r>
    </w:p>
    <w:p>
      <w:pPr>
        <w:spacing w:after="0" w:line="109"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In fiscal 2008, our financing activities related to proceeds of $2.1 million, as a result of exercises of stock options to purchase our common stock.</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Contractual Obligations and Commitments</w:t>
      </w:r>
    </w:p>
    <w:p>
      <w:pPr>
        <w:spacing w:after="0" w:line="144"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The following summarizes our contractual obligations as of December 31, 2010:</w:t>
      </w:r>
    </w:p>
    <w:p>
      <w:pPr>
        <w:spacing w:after="0" w:line="263"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0" w:type="dxa"/>
            <w:vAlign w:val="bottom"/>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w w:val="98"/>
              </w:rPr>
              <w:t>Payments Due by Period</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5"/>
        </w:trPr>
        <w:tc>
          <w:tcPr>
            <w:tcW w:w="4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5"/>
        </w:trPr>
        <w:tc>
          <w:tcPr>
            <w:tcW w:w="4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Less Than</w:t>
            </w:r>
          </w:p>
        </w:tc>
        <w:tc>
          <w:tcPr>
            <w:tcW w:w="1740" w:type="dxa"/>
            <w:vAlign w:val="bottom"/>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1-3</w:t>
            </w:r>
          </w:p>
        </w:tc>
        <w:tc>
          <w:tcPr>
            <w:tcW w:w="1260" w:type="dxa"/>
            <w:vAlign w:val="bottom"/>
          </w:tcPr>
          <w:p>
            <w:pPr>
              <w:spacing w:after="0"/>
              <w:rPr>
                <w:sz w:val="12"/>
                <w:szCs w:val="12"/>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4-5</w:t>
            </w:r>
          </w:p>
        </w:tc>
        <w:tc>
          <w:tcPr>
            <w:tcW w:w="124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More Than</w:t>
            </w:r>
          </w:p>
        </w:tc>
      </w:tr>
      <w:tr>
        <w:trPr>
          <w:trHeight w:val="153"/>
        </w:trPr>
        <w:tc>
          <w:tcPr>
            <w:tcW w:w="4080" w:type="dxa"/>
            <w:vAlign w:val="bottom"/>
          </w:tcPr>
          <w:p>
            <w:pPr>
              <w:spacing w:after="0"/>
              <w:rPr>
                <w:sz w:val="13"/>
                <w:szCs w:val="13"/>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1260" w:type="dxa"/>
            <w:vAlign w:val="bottom"/>
          </w:tcPr>
          <w:p>
            <w:pPr>
              <w:spacing w:after="0"/>
              <w:rPr>
                <w:sz w:val="13"/>
                <w:szCs w:val="13"/>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6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5 Years</w:t>
            </w:r>
          </w:p>
        </w:tc>
      </w:tr>
      <w:tr>
        <w:trPr>
          <w:trHeight w:val="25"/>
        </w:trPr>
        <w:tc>
          <w:tcPr>
            <w:tcW w:w="4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51"/>
        </w:trPr>
        <w:tc>
          <w:tcPr>
            <w:tcW w:w="4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0" w:type="dxa"/>
            <w:vAlign w:val="bottom"/>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5"/>
        </w:trPr>
        <w:tc>
          <w:tcPr>
            <w:tcW w:w="4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Operating leases </w:t>
            </w:r>
            <w:r>
              <w:rPr>
                <w:rFonts w:ascii="Times New Roman" w:cs="Times New Roman" w:eastAsia="Times New Roman" w:hAnsi="Times New Roman"/>
                <w:sz w:val="13"/>
                <w:szCs w:val="13"/>
                <w:color w:val="auto"/>
                <w:vertAlign w:val="superscript"/>
              </w:rPr>
              <w:t>(1)</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20,438</w:t>
            </w:r>
          </w:p>
        </w:tc>
        <w:tc>
          <w:tcPr>
            <w:tcW w:w="100" w:type="dxa"/>
            <w:vAlign w:val="bottom"/>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7,493</w:t>
            </w:r>
          </w:p>
        </w:tc>
        <w:tc>
          <w:tcPr>
            <w:tcW w:w="1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11,636</w:t>
            </w: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5"/>
              </w:rPr>
              <w:t>1,309</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Purchase commitments </w:t>
            </w:r>
            <w:r>
              <w:rPr>
                <w:rFonts w:ascii="Times New Roman" w:cs="Times New Roman" w:eastAsia="Times New Roman" w:hAnsi="Times New Roman"/>
                <w:sz w:val="13"/>
                <w:szCs w:val="13"/>
                <w:color w:val="auto"/>
                <w:vertAlign w:val="superscript"/>
              </w:rPr>
              <w:t>(2)</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18,566</w:t>
            </w: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18,566</w:t>
            </w:r>
          </w:p>
        </w:tc>
        <w:tc>
          <w:tcPr>
            <w:tcW w:w="1260" w:type="dxa"/>
            <w:vAlign w:val="bottom"/>
          </w:tcPr>
          <w:p>
            <w:pPr>
              <w:spacing w:after="0"/>
              <w:rPr>
                <w:sz w:val="16"/>
                <w:szCs w:val="16"/>
                <w:color w:val="auto"/>
              </w:rPr>
            </w:pPr>
          </w:p>
        </w:tc>
        <w:tc>
          <w:tcPr>
            <w:tcW w:w="1740" w:type="dxa"/>
            <w:vAlign w:val="bottom"/>
            <w:gridSpan w:val="2"/>
          </w:tcPr>
          <w:p>
            <w:pPr>
              <w:jc w:val="right"/>
              <w:ind w:right="13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right"/>
              <w:ind w:right="13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Royalty commitments </w:t>
            </w:r>
            <w:r>
              <w:rPr>
                <w:rFonts w:ascii="Times New Roman" w:cs="Times New Roman" w:eastAsia="Times New Roman" w:hAnsi="Times New Roman"/>
                <w:sz w:val="13"/>
                <w:szCs w:val="13"/>
                <w:color w:val="auto"/>
                <w:vertAlign w:val="superscript"/>
              </w:rPr>
              <w:t>(3)</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1,000</w:t>
            </w:r>
          </w:p>
        </w:tc>
        <w:tc>
          <w:tcPr>
            <w:tcW w:w="1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2,500</w:t>
            </w:r>
          </w:p>
        </w:tc>
        <w:tc>
          <w:tcPr>
            <w:tcW w:w="12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500</w:t>
            </w:r>
          </w:p>
        </w:tc>
        <w:tc>
          <w:tcPr>
            <w:tcW w:w="12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201"/>
        </w:trPr>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xml:space="preserve">Total </w:t>
            </w:r>
            <w:r>
              <w:rPr>
                <w:rFonts w:ascii="Times New Roman" w:cs="Times New Roman" w:eastAsia="Times New Roman" w:hAnsi="Times New Roman"/>
                <w:sz w:val="13"/>
                <w:szCs w:val="13"/>
                <w:color w:val="auto"/>
                <w:vertAlign w:val="superscript"/>
              </w:rPr>
              <w:t>(4)</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43,004</w:t>
            </w: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27,059</w:t>
            </w:r>
          </w:p>
        </w:tc>
        <w:tc>
          <w:tcPr>
            <w:tcW w:w="1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14,136</w:t>
            </w:r>
          </w:p>
        </w:tc>
        <w:tc>
          <w:tcPr>
            <w:tcW w:w="1260" w:type="dxa"/>
            <w:vAlign w:val="bottom"/>
          </w:tcPr>
          <w:p>
            <w:pPr>
              <w:spacing w:after="0"/>
              <w:rPr>
                <w:sz w:val="17"/>
                <w:szCs w:val="17"/>
                <w:color w:val="auto"/>
              </w:rPr>
            </w:pPr>
          </w:p>
        </w:tc>
        <w:tc>
          <w:tcPr>
            <w:tcW w:w="4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5"/>
              </w:rPr>
              <w:t>1,809</w:t>
            </w:r>
          </w:p>
        </w:tc>
        <w:tc>
          <w:tcPr>
            <w:tcW w:w="124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w:t>
            </w: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bl>
    <w:p>
      <w:pPr>
        <w:spacing w:after="0" w:line="4" w:lineRule="exact"/>
        <w:rPr>
          <w:sz w:val="20"/>
          <w:szCs w:val="20"/>
          <w:color w:val="auto"/>
        </w:rPr>
      </w:pPr>
    </w:p>
    <w:p>
      <w:pPr>
        <w:ind w:left="462" w:hanging="462"/>
        <w:spacing w:after="0"/>
        <w:tabs>
          <w:tab w:leader="none" w:pos="462"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contractual obligations from non-cancelable office space under operating leases.</w:t>
      </w:r>
    </w:p>
    <w:p>
      <w:pPr>
        <w:spacing w:after="0" w:line="41" w:lineRule="exact"/>
        <w:rPr>
          <w:rFonts w:ascii="Times New Roman" w:cs="Times New Roman" w:eastAsia="Times New Roman" w:hAnsi="Times New Roman"/>
          <w:sz w:val="10"/>
          <w:szCs w:val="10"/>
          <w:color w:val="auto"/>
        </w:rPr>
      </w:pPr>
    </w:p>
    <w:p>
      <w:pPr>
        <w:ind w:left="462" w:hanging="462"/>
        <w:spacing w:after="0"/>
        <w:tabs>
          <w:tab w:leader="none" w:pos="462"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minimum purchase commitments with independent contract manufacturers.</w:t>
      </w:r>
    </w:p>
    <w:p>
      <w:pPr>
        <w:spacing w:after="0" w:line="41" w:lineRule="exact"/>
        <w:rPr>
          <w:rFonts w:ascii="Times New Roman" w:cs="Times New Roman" w:eastAsia="Times New Roman" w:hAnsi="Times New Roman"/>
          <w:sz w:val="10"/>
          <w:szCs w:val="10"/>
          <w:color w:val="auto"/>
        </w:rPr>
      </w:pPr>
    </w:p>
    <w:p>
      <w:pPr>
        <w:ind w:left="462" w:right="140" w:hanging="462"/>
        <w:spacing w:after="0" w:line="326" w:lineRule="auto"/>
        <w:tabs>
          <w:tab w:leader="none" w:pos="462"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minimum royalties claimed by Trend Micro pursuant to the January 2006 settlement and license agreement between Trend and Fortinet, which are subject to dispute. See “Item 3—Legal Proceedings.” We have accrued a total payment including inte rest of $4.3 million as of December 31, 2010, related to amounts under the settlement and license agreement with Trend Micro which have not been paid pursuant to the dispute.</w:t>
      </w:r>
    </w:p>
    <w:p>
      <w:pPr>
        <w:ind w:left="462" w:hanging="462"/>
        <w:spacing w:after="0"/>
        <w:tabs>
          <w:tab w:leader="none" w:pos="462"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 amounts related to ASC 740-10 (FIN 48) are included. As of December 31, 2010, we had approximately $11.2 milli on of tax liabilities,</w:t>
      </w:r>
    </w:p>
    <w:p>
      <w:pPr>
        <w:spacing w:after="0" w:line="21" w:lineRule="exact"/>
        <w:rPr>
          <w:rFonts w:ascii="Times New Roman" w:cs="Times New Roman" w:eastAsia="Times New Roman" w:hAnsi="Times New Roman"/>
          <w:sz w:val="10"/>
          <w:szCs w:val="10"/>
          <w:color w:val="auto"/>
        </w:rPr>
      </w:pPr>
    </w:p>
    <w:p>
      <w:pPr>
        <w:ind w:left="462"/>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including interest, related to uncertain tax positions. Because of the high degree of uncertainty regarding the settlement of these liabilities, we are unable to estimate the years in which future cash outflows may occur.</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48" w:lineRule="exact"/>
        <w:rPr>
          <w:sz w:val="20"/>
          <w:szCs w:val="20"/>
          <w:color w:val="auto"/>
        </w:rPr>
      </w:pPr>
    </w:p>
    <w:p>
      <w:pPr>
        <w:ind w:left="2" w:right="300" w:firstLine="469"/>
        <w:spacing w:after="0" w:line="281" w:lineRule="auto"/>
        <w:rPr>
          <w:sz w:val="20"/>
          <w:szCs w:val="20"/>
          <w:color w:val="auto"/>
        </w:rPr>
      </w:pPr>
      <w:r>
        <w:rPr>
          <w:rFonts w:ascii="Times New Roman" w:cs="Times New Roman" w:eastAsia="Times New Roman" w:hAnsi="Times New Roman"/>
          <w:sz w:val="13"/>
          <w:szCs w:val="13"/>
          <w:color w:val="auto"/>
        </w:rPr>
        <w:t>During fiscal 2010, 2009 and 2008,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See Note 1 of Notes to Consolidated Financial Statements for recent accounting pronouncements that could have an effect on us.</w:t>
      </w:r>
    </w:p>
    <w:p>
      <w:pPr>
        <w:spacing w:after="0" w:line="161" w:lineRule="exact"/>
        <w:rPr>
          <w:sz w:val="20"/>
          <w:szCs w:val="20"/>
          <w:color w:val="auto"/>
        </w:rPr>
      </w:pPr>
    </w:p>
    <w:p>
      <w:pPr>
        <w:ind w:left="2"/>
        <w:spacing w:after="0"/>
        <w:tabs>
          <w:tab w:leader="none" w:pos="721" w:val="left"/>
        </w:tabs>
        <w:rPr>
          <w:sz w:val="20"/>
          <w:szCs w:val="20"/>
          <w:color w:val="auto"/>
        </w:rPr>
      </w:pPr>
      <w:r>
        <w:rPr>
          <w:rFonts w:ascii="Times New Roman" w:cs="Times New Roman" w:eastAsia="Times New Roman" w:hAnsi="Times New Roman"/>
          <w:sz w:val="13"/>
          <w:szCs w:val="13"/>
          <w:b w:val="1"/>
          <w:bCs w:val="1"/>
          <w:color w:val="auto"/>
        </w:rPr>
        <w:t>ITEM 7A.</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Interest Rate Fluctuation Risk</w:t>
      </w:r>
    </w:p>
    <w:p>
      <w:pPr>
        <w:spacing w:after="0" w:line="167" w:lineRule="exact"/>
        <w:rPr>
          <w:sz w:val="20"/>
          <w:szCs w:val="20"/>
          <w:color w:val="auto"/>
        </w:rPr>
      </w:pPr>
    </w:p>
    <w:p>
      <w:pPr>
        <w:ind w:left="2" w:firstLine="469"/>
        <w:spacing w:after="0" w:line="266" w:lineRule="auto"/>
        <w:rPr>
          <w:sz w:val="20"/>
          <w:szCs w:val="20"/>
          <w:color w:val="auto"/>
        </w:rPr>
      </w:pPr>
      <w:r>
        <w:rPr>
          <w:rFonts w:ascii="Times New Roman" w:cs="Times New Roman" w:eastAsia="Times New Roman" w:hAnsi="Times New Roman"/>
          <w:sz w:val="13"/>
          <w:szCs w:val="13"/>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short-term investments in a variety of securities, including commercial paper, money market funds, government and corporate debt securities and certificates of deposit. The risk associated with fluctuating interest</w:t>
      </w:r>
    </w:p>
    <w:p>
      <w:pPr>
        <w:spacing w:after="0" w:line="1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1462"/>
          </w:cols>
          <w:pgMar w:left="218" w:top="124"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rates is limited to our investment portfolio. A 10% decrease in interest rates in 2010, 2009 and 2008 would have resulted in a decrease in our interest income of approximately $0.2 million, $0.2 millio n and $0.3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Exchange Risk</w:t>
      </w:r>
    </w:p>
    <w:p>
      <w:pPr>
        <w:spacing w:after="0" w:line="167"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3"/>
          <w:szCs w:val="13"/>
          <w:color w:val="auto"/>
        </w:rPr>
        <w:t xml:space="preserve">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 nd (GBP), and Japanese Yen (JPY). To help protect against significant fluctuations in the value and the volatility of future cash flows caused by changes in currency exchange rates, we engage in foreign currency risk management activities to hedge balance sheet items denominated in EUR, GBP, and CAD, and occasionally to hedge future forecasted cash outflows denominated in EUR. We do not use these contracts for speculative or trading purposes. All of the derivative instruments are with high quality financial institutions and we monitor the creditworthiness of these parties. These contracts typically have maturities between one and three months. We account for our hedges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We record changes in the fair value of forward exchange contracts related to balance sheet accounts as other income (expense), net in the consolidated statement of operation s. Gains or losses resulting from settled forward exchange contracts related to future forecasted cash outflows are recorded in operating expenses in the consolidated statement of operations, in the same period the hedged items occur. Gains or losses resulting from unsettled forward exchange contracts related to future forecasted cash outflows are recorded in other comprehensive income in the consolidated balance sheet. We recognized an expense of $0.8 million in other income (expense), net in fiscal 2010 due to foreign currency transaction losses.</w:t>
      </w:r>
    </w:p>
    <w:p>
      <w:pPr>
        <w:spacing w:after="0" w:line="141"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3"/>
          <w:szCs w:val="13"/>
          <w:color w:val="auto"/>
        </w:rPr>
        <w:t>Our hedging activities are intended to reduce ,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Risk</w:t>
      </w:r>
    </w:p>
    <w:p>
      <w:pPr>
        <w:spacing w:after="0" w:line="167" w:lineRule="exact"/>
        <w:rPr>
          <w:sz w:val="20"/>
          <w:szCs w:val="20"/>
          <w:color w:val="auto"/>
        </w:rPr>
      </w:pPr>
    </w:p>
    <w:p>
      <w:pPr>
        <w:jc w:val="both"/>
        <w:ind w:right="320" w:firstLine="469"/>
        <w:spacing w:after="0" w:line="266" w:lineRule="auto"/>
        <w:rPr>
          <w:sz w:val="20"/>
          <w:szCs w:val="20"/>
          <w:color w:val="auto"/>
        </w:rPr>
      </w:pPr>
      <w:r>
        <w:rPr>
          <w:rFonts w:ascii="Times New Roman" w:cs="Times New Roman" w:eastAsia="Times New Roman" w:hAnsi="Times New Roman"/>
          <w:sz w:val="13"/>
          <w:szCs w:val="13"/>
          <w:color w:val="auto"/>
        </w:rPr>
        <w:t>Our monetary assets, consisting primarily of cash, cash equivalents and short-term investments, are not affected significantly by inflation because they are short-term. We believe the impact of inflation on replacement c 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1420"/>
          </w:cols>
          <w:pgMar w:left="220" w:top="124"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13"/>
          <w:szCs w:val="13"/>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FINANCIAL STATEMENTS AND SUPPLEMENTARY DATA</w:t>
      </w:r>
    </w:p>
    <w:p>
      <w:pPr>
        <w:spacing w:after="0" w:line="1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5"/>
        </w:trPr>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81"/>
        </w:trPr>
        <w:tc>
          <w:tcPr>
            <w:tcW w:w="3060" w:type="dxa"/>
            <w:vAlign w:val="bottom"/>
            <w:gridSpan w:val="5"/>
          </w:tcPr>
          <w:p>
            <w:pPr>
              <w:spacing w:after="0"/>
              <w:rPr>
                <w:rFonts w:ascii="Times New Roman" w:cs="Times New Roman" w:eastAsia="Times New Roman" w:hAnsi="Times New Roman"/>
                <w:sz w:val="13"/>
                <w:szCs w:val="13"/>
                <w:color w:val="0000FF"/>
                <w:w w:val="99"/>
              </w:rPr>
            </w:pPr>
            <w:hyperlink w:anchor="page65">
              <w:r>
                <w:rPr>
                  <w:rFonts w:ascii="Times New Roman" w:cs="Times New Roman" w:eastAsia="Times New Roman" w:hAnsi="Times New Roman"/>
                  <w:sz w:val="13"/>
                  <w:szCs w:val="13"/>
                  <w:color w:val="0000FF"/>
                  <w:w w:val="99"/>
                </w:rPr>
                <w:t>Report of Independent Registered Public Accounting Firm</w:t>
              </w:r>
            </w:hyperlink>
          </w:p>
        </w:tc>
        <w:tc>
          <w:tcPr>
            <w:tcW w:w="7700" w:type="dxa"/>
            <w:vAlign w:val="bottom"/>
            <w:gridSpan w:val="2"/>
          </w:tcPr>
          <w:p>
            <w:pPr>
              <w:spacing w:after="0"/>
              <w:rPr>
                <w:sz w:val="24"/>
                <w:szCs w:val="24"/>
                <w:color w:val="auto"/>
              </w:rPr>
            </w:pPr>
          </w:p>
        </w:tc>
        <w:tc>
          <w:tcPr>
            <w:tcW w:w="680" w:type="dxa"/>
            <w:vAlign w:val="bottom"/>
            <w:gridSpan w:val="2"/>
          </w:tcPr>
          <w:p>
            <w:pPr>
              <w:jc w:val="right"/>
              <w:spacing w:after="0"/>
              <w:rPr>
                <w:rFonts w:ascii="Times New Roman" w:cs="Times New Roman" w:eastAsia="Times New Roman" w:hAnsi="Times New Roman"/>
                <w:sz w:val="13"/>
                <w:szCs w:val="13"/>
                <w:color w:val="0000FF"/>
              </w:rPr>
            </w:pPr>
            <w:hyperlink w:anchor="page65">
              <w:r>
                <w:rPr>
                  <w:rFonts w:ascii="Times New Roman" w:cs="Times New Roman" w:eastAsia="Times New Roman" w:hAnsi="Times New Roman"/>
                  <w:sz w:val="13"/>
                  <w:szCs w:val="13"/>
                  <w:color w:val="0000FF"/>
                </w:rPr>
                <w:t>63</w:t>
              </w:r>
            </w:hyperlink>
          </w:p>
        </w:tc>
      </w:tr>
      <w:tr>
        <w:trPr>
          <w:trHeight w:val="20"/>
        </w:trPr>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6"/>
        </w:trPr>
        <w:tc>
          <w:tcPr>
            <w:tcW w:w="1520" w:type="dxa"/>
            <w:vAlign w:val="bottom"/>
          </w:tcPr>
          <w:p>
            <w:pPr>
              <w:spacing w:after="0"/>
              <w:rPr>
                <w:rFonts w:ascii="Times New Roman" w:cs="Times New Roman" w:eastAsia="Times New Roman" w:hAnsi="Times New Roman"/>
                <w:sz w:val="13"/>
                <w:szCs w:val="13"/>
                <w:color w:val="0000FF"/>
                <w:w w:val="99"/>
              </w:rPr>
            </w:pPr>
            <w:hyperlink w:anchor="page66">
              <w:r>
                <w:rPr>
                  <w:rFonts w:ascii="Times New Roman" w:cs="Times New Roman" w:eastAsia="Times New Roman" w:hAnsi="Times New Roman"/>
                  <w:sz w:val="13"/>
                  <w:szCs w:val="13"/>
                  <w:color w:val="0000FF"/>
                  <w:w w:val="99"/>
                </w:rPr>
                <w:t>Consolidated Balance Sheets</w:t>
              </w:r>
            </w:hyperlink>
          </w:p>
        </w:tc>
        <w:tc>
          <w:tcPr>
            <w:tcW w:w="1540" w:type="dxa"/>
            <w:vAlign w:val="bottom"/>
            <w:gridSpan w:val="4"/>
          </w:tcPr>
          <w:p>
            <w:pPr>
              <w:spacing w:after="0"/>
              <w:rPr>
                <w:sz w:val="15"/>
                <w:szCs w:val="15"/>
                <w:color w:val="auto"/>
              </w:rPr>
            </w:pPr>
          </w:p>
        </w:tc>
        <w:tc>
          <w:tcPr>
            <w:tcW w:w="7700" w:type="dxa"/>
            <w:vAlign w:val="bottom"/>
            <w:gridSpan w:val="2"/>
          </w:tcPr>
          <w:p>
            <w:pPr>
              <w:spacing w:after="0"/>
              <w:rPr>
                <w:sz w:val="15"/>
                <w:szCs w:val="15"/>
                <w:color w:val="auto"/>
              </w:rPr>
            </w:pPr>
          </w:p>
        </w:tc>
        <w:tc>
          <w:tcPr>
            <w:tcW w:w="680" w:type="dxa"/>
            <w:vAlign w:val="bottom"/>
            <w:gridSpan w:val="2"/>
          </w:tcPr>
          <w:p>
            <w:pPr>
              <w:jc w:val="right"/>
              <w:spacing w:after="0"/>
              <w:rPr>
                <w:rFonts w:ascii="Times New Roman" w:cs="Times New Roman" w:eastAsia="Times New Roman" w:hAnsi="Times New Roman"/>
                <w:sz w:val="13"/>
                <w:szCs w:val="13"/>
                <w:color w:val="0000FF"/>
              </w:rPr>
            </w:pPr>
            <w:hyperlink w:anchor="page66">
              <w:r>
                <w:rPr>
                  <w:rFonts w:ascii="Times New Roman" w:cs="Times New Roman" w:eastAsia="Times New Roman" w:hAnsi="Times New Roman"/>
                  <w:sz w:val="13"/>
                  <w:szCs w:val="13"/>
                  <w:color w:val="0000FF"/>
                </w:rPr>
                <w:t>64</w:t>
              </w:r>
            </w:hyperlink>
          </w:p>
        </w:tc>
      </w:tr>
      <w:tr>
        <w:trPr>
          <w:trHeight w:val="20"/>
        </w:trPr>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6"/>
        </w:trPr>
        <w:tc>
          <w:tcPr>
            <w:tcW w:w="2040" w:type="dxa"/>
            <w:vAlign w:val="bottom"/>
            <w:gridSpan w:val="2"/>
          </w:tcPr>
          <w:p>
            <w:pPr>
              <w:spacing w:after="0"/>
              <w:rPr>
                <w:rFonts w:ascii="Times New Roman" w:cs="Times New Roman" w:eastAsia="Times New Roman" w:hAnsi="Times New Roman"/>
                <w:sz w:val="13"/>
                <w:szCs w:val="13"/>
                <w:color w:val="0000FF"/>
                <w:w w:val="99"/>
              </w:rPr>
            </w:pPr>
            <w:hyperlink w:anchor="page67">
              <w:r>
                <w:rPr>
                  <w:rFonts w:ascii="Times New Roman" w:cs="Times New Roman" w:eastAsia="Times New Roman" w:hAnsi="Times New Roman"/>
                  <w:sz w:val="13"/>
                  <w:szCs w:val="13"/>
                  <w:color w:val="0000FF"/>
                  <w:w w:val="99"/>
                </w:rPr>
                <w:t>Consolidated Statements of Operations</w:t>
              </w:r>
            </w:hyperlink>
          </w:p>
        </w:tc>
        <w:tc>
          <w:tcPr>
            <w:tcW w:w="8720" w:type="dxa"/>
            <w:vAlign w:val="bottom"/>
            <w:gridSpan w:val="5"/>
          </w:tcPr>
          <w:p>
            <w:pPr>
              <w:spacing w:after="0"/>
              <w:rPr>
                <w:sz w:val="15"/>
                <w:szCs w:val="15"/>
                <w:color w:val="auto"/>
              </w:rPr>
            </w:pPr>
          </w:p>
        </w:tc>
        <w:tc>
          <w:tcPr>
            <w:tcW w:w="680" w:type="dxa"/>
            <w:vAlign w:val="bottom"/>
            <w:gridSpan w:val="2"/>
          </w:tcPr>
          <w:p>
            <w:pPr>
              <w:jc w:val="right"/>
              <w:spacing w:after="0"/>
              <w:rPr>
                <w:rFonts w:ascii="Times New Roman" w:cs="Times New Roman" w:eastAsia="Times New Roman" w:hAnsi="Times New Roman"/>
                <w:sz w:val="13"/>
                <w:szCs w:val="13"/>
                <w:color w:val="0000FF"/>
              </w:rPr>
            </w:pPr>
            <w:hyperlink w:anchor="page67">
              <w:r>
                <w:rPr>
                  <w:rFonts w:ascii="Times New Roman" w:cs="Times New Roman" w:eastAsia="Times New Roman" w:hAnsi="Times New Roman"/>
                  <w:sz w:val="13"/>
                  <w:szCs w:val="13"/>
                  <w:color w:val="0000FF"/>
                </w:rPr>
                <w:t>65</w:t>
              </w:r>
            </w:hyperlink>
          </w:p>
        </w:tc>
      </w:tr>
      <w:tr>
        <w:trPr>
          <w:trHeight w:val="20"/>
        </w:trPr>
        <w:tc>
          <w:tcPr>
            <w:tcW w:w="2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6"/>
        </w:trPr>
        <w:tc>
          <w:tcPr>
            <w:tcW w:w="10760" w:type="dxa"/>
            <w:vAlign w:val="bottom"/>
            <w:gridSpan w:val="7"/>
          </w:tcPr>
          <w:p>
            <w:pPr>
              <w:spacing w:after="0"/>
              <w:rPr>
                <w:rFonts w:ascii="Times New Roman" w:cs="Times New Roman" w:eastAsia="Times New Roman" w:hAnsi="Times New Roman"/>
                <w:sz w:val="13"/>
                <w:szCs w:val="13"/>
                <w:color w:val="0000FF"/>
              </w:rPr>
            </w:pPr>
            <w:hyperlink w:anchor="page68">
              <w:r>
                <w:rPr>
                  <w:rFonts w:ascii="Times New Roman" w:cs="Times New Roman" w:eastAsia="Times New Roman" w:hAnsi="Times New Roman"/>
                  <w:sz w:val="13"/>
                  <w:szCs w:val="13"/>
                  <w:color w:val="0000FF"/>
                </w:rPr>
                <w:t>Consolidated Statements of Stockholders’ Equity (Deficit) and Comprehensive Income</w:t>
              </w:r>
            </w:hyperlink>
          </w:p>
        </w:tc>
        <w:tc>
          <w:tcPr>
            <w:tcW w:w="680" w:type="dxa"/>
            <w:vAlign w:val="bottom"/>
            <w:gridSpan w:val="2"/>
          </w:tcPr>
          <w:p>
            <w:pPr>
              <w:jc w:val="right"/>
              <w:spacing w:after="0"/>
              <w:rPr>
                <w:rFonts w:ascii="Times New Roman" w:cs="Times New Roman" w:eastAsia="Times New Roman" w:hAnsi="Times New Roman"/>
                <w:sz w:val="13"/>
                <w:szCs w:val="13"/>
                <w:color w:val="0000FF"/>
              </w:rPr>
            </w:pPr>
            <w:hyperlink w:anchor="page68">
              <w:r>
                <w:rPr>
                  <w:rFonts w:ascii="Times New Roman" w:cs="Times New Roman" w:eastAsia="Times New Roman" w:hAnsi="Times New Roman"/>
                  <w:sz w:val="13"/>
                  <w:szCs w:val="13"/>
                  <w:color w:val="0000FF"/>
                </w:rPr>
                <w:t>66</w:t>
              </w:r>
            </w:hyperlink>
          </w:p>
        </w:tc>
      </w:tr>
      <w:tr>
        <w:trPr>
          <w:trHeight w:val="20"/>
        </w:trPr>
        <w:tc>
          <w:tcPr>
            <w:tcW w:w="20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6"/>
        </w:trPr>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Consolidated Statements of Cash Flows</w:t>
            </w:r>
          </w:p>
        </w:tc>
        <w:tc>
          <w:tcPr>
            <w:tcW w:w="2460" w:type="dxa"/>
            <w:vAlign w:val="bottom"/>
            <w:gridSpan w:val="3"/>
          </w:tcPr>
          <w:p>
            <w:pPr>
              <w:spacing w:after="0"/>
              <w:rPr>
                <w:sz w:val="15"/>
                <w:szCs w:val="15"/>
                <w:color w:val="auto"/>
              </w:rPr>
            </w:pPr>
          </w:p>
        </w:tc>
        <w:tc>
          <w:tcPr>
            <w:tcW w:w="6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67</w:t>
            </w:r>
          </w:p>
        </w:tc>
      </w:tr>
      <w:tr>
        <w:trPr>
          <w:trHeight w:val="20"/>
        </w:trPr>
        <w:tc>
          <w:tcPr>
            <w:tcW w:w="20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76"/>
        </w:trPr>
        <w:tc>
          <w:tcPr>
            <w:tcW w:w="2280" w:type="dxa"/>
            <w:vAlign w:val="bottom"/>
            <w:gridSpan w:val="4"/>
          </w:tcPr>
          <w:p>
            <w:pPr>
              <w:spacing w:after="0"/>
              <w:rPr>
                <w:rFonts w:ascii="Times New Roman" w:cs="Times New Roman" w:eastAsia="Times New Roman" w:hAnsi="Times New Roman"/>
                <w:sz w:val="13"/>
                <w:szCs w:val="13"/>
                <w:color w:val="0000FF"/>
                <w:w w:val="99"/>
              </w:rPr>
            </w:pPr>
            <w:hyperlink w:anchor="page70">
              <w:r>
                <w:rPr>
                  <w:rFonts w:ascii="Times New Roman" w:cs="Times New Roman" w:eastAsia="Times New Roman" w:hAnsi="Times New Roman"/>
                  <w:sz w:val="13"/>
                  <w:szCs w:val="13"/>
                  <w:color w:val="0000FF"/>
                  <w:w w:val="99"/>
                </w:rPr>
                <w:t>Notes to Consolidated Financial Statements</w:t>
              </w:r>
            </w:hyperlink>
          </w:p>
        </w:tc>
        <w:tc>
          <w:tcPr>
            <w:tcW w:w="8480" w:type="dxa"/>
            <w:vAlign w:val="bottom"/>
            <w:gridSpan w:val="3"/>
          </w:tcPr>
          <w:p>
            <w:pPr>
              <w:spacing w:after="0"/>
              <w:rPr>
                <w:sz w:val="15"/>
                <w:szCs w:val="15"/>
                <w:color w:val="auto"/>
              </w:rPr>
            </w:pPr>
          </w:p>
        </w:tc>
        <w:tc>
          <w:tcPr>
            <w:tcW w:w="680" w:type="dxa"/>
            <w:vAlign w:val="bottom"/>
            <w:gridSpan w:val="2"/>
          </w:tcPr>
          <w:p>
            <w:pPr>
              <w:jc w:val="right"/>
              <w:spacing w:after="0"/>
              <w:rPr>
                <w:rFonts w:ascii="Times New Roman" w:cs="Times New Roman" w:eastAsia="Times New Roman" w:hAnsi="Times New Roman"/>
                <w:sz w:val="13"/>
                <w:szCs w:val="13"/>
                <w:color w:val="0000FF"/>
              </w:rPr>
            </w:pPr>
            <w:hyperlink w:anchor="page70">
              <w:r>
                <w:rPr>
                  <w:rFonts w:ascii="Times New Roman" w:cs="Times New Roman" w:eastAsia="Times New Roman" w:hAnsi="Times New Roman"/>
                  <w:sz w:val="13"/>
                  <w:szCs w:val="13"/>
                  <w:color w:val="0000FF"/>
                </w:rPr>
                <w:t>68</w:t>
              </w:r>
            </w:hyperlink>
          </w:p>
        </w:tc>
      </w:tr>
      <w:tr>
        <w:trPr>
          <w:trHeight w:val="20"/>
        </w:trPr>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supplementary financial information required by this Item&amp; nbsp;8 is included in Item 7 under the caption “Quarterly Results of Operations.”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1460"/>
          </w:cols>
          <w:pgMar w:left="220" w:top="124"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Sunnyvale, California</w:t>
      </w:r>
    </w:p>
    <w:p>
      <w:pPr>
        <w:spacing w:after="0" w:line="279"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Fortinet, Inc. and subsidiaries (the "Company") as of December 31, 2010 and 2009, and the related consolidated statements of operations, stockholders' equity (deficit) and comprehensive income, and cash flows for each of the three years in the period ended December 31, 2010. Our audits also included the financial statement schedule l 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03"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 lieve that our audits provide a reasonable basis for our opinion.</w:t>
      </w:r>
    </w:p>
    <w:p>
      <w:pPr>
        <w:spacing w:after="0" w:line="103"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3"/>
          <w:szCs w:val="13"/>
          <w:color w:val="auto"/>
        </w:rPr>
        <w:t>In our opinion, such consolidated financial statements present fairly, in all material respects, the financial position of Fortinet Inc.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00"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and our report dated February 24, 2011 expressed an unqualified opinion on the Company's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 Jose, California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24, 2011</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1440"/>
          </w:cols>
          <w:pgMar w:left="220" w:top="12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15"/>
        </w:trPr>
        <w:tc>
          <w:tcPr>
            <w:tcW w:w="8120" w:type="dxa"/>
            <w:vAlign w:val="bottom"/>
            <w:gridSpan w:val="2"/>
          </w:tcPr>
          <w:p>
            <w:pPr>
              <w:spacing w:after="0"/>
              <w:rPr>
                <w:sz w:val="20"/>
                <w:szCs w:val="20"/>
                <w:color w:val="auto"/>
              </w:rPr>
            </w:pPr>
            <w:r>
              <w:rPr>
                <w:rFonts w:ascii="Times New Roman" w:cs="Times New Roman" w:eastAsia="Times New Roman" w:hAnsi="Times New Roman"/>
                <w:sz w:val="10"/>
                <w:szCs w:val="10"/>
                <w:color w:val="0000FF"/>
              </w:rPr>
              <w:t>Table of Contents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740" w:type="dxa"/>
            <w:vAlign w:val="bottom"/>
            <w:tcBorders>
              <w:top w:val="single" w:sz="8" w:color="0000FF"/>
            </w:tcBorders>
          </w:tcPr>
          <w:p>
            <w:pPr>
              <w:spacing w:after="0"/>
              <w:rPr>
                <w:sz w:val="24"/>
                <w:szCs w:val="24"/>
                <w:color w:val="auto"/>
              </w:rPr>
            </w:pPr>
          </w:p>
        </w:tc>
        <w:tc>
          <w:tcPr>
            <w:tcW w:w="7380" w:type="dxa"/>
            <w:vAlign w:val="bottom"/>
          </w:tcPr>
          <w:p>
            <w:pPr>
              <w:jc w:val="center"/>
              <w:ind w:left="2535"/>
              <w:spacing w:after="0"/>
              <w:rPr>
                <w:sz w:val="20"/>
                <w:szCs w:val="20"/>
                <w:color w:val="auto"/>
              </w:rPr>
            </w:pPr>
            <w:r>
              <w:rPr>
                <w:rFonts w:ascii="Times New Roman" w:cs="Times New Roman" w:eastAsia="Times New Roman" w:hAnsi="Times New Roman"/>
                <w:sz w:val="13"/>
                <w:szCs w:val="13"/>
                <w:b w:val="1"/>
                <w:bCs w:val="1"/>
                <w:color w:val="auto"/>
                <w:w w:val="99"/>
              </w:rPr>
              <w:t>FORTINET, INC. AND SUBSIDIARIES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7380" w:type="dxa"/>
            <w:vAlign w:val="bottom"/>
          </w:tcPr>
          <w:p>
            <w:pPr>
              <w:jc w:val="center"/>
              <w:ind w:left="2535"/>
              <w:spacing w:after="0"/>
              <w:rPr>
                <w:sz w:val="20"/>
                <w:szCs w:val="20"/>
                <w:color w:val="auto"/>
              </w:rPr>
            </w:pPr>
            <w:r>
              <w:rPr>
                <w:rFonts w:ascii="Times New Roman" w:cs="Times New Roman" w:eastAsia="Times New Roman" w:hAnsi="Times New Roman"/>
                <w:sz w:val="13"/>
                <w:szCs w:val="13"/>
                <w:b w:val="1"/>
                <w:bCs w:val="1"/>
                <w:color w:val="auto"/>
                <w:w w:val="99"/>
              </w:rPr>
              <w:t>CONSOLIDATED BALANCE SHEETS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7380" w:type="dxa"/>
            <w:vAlign w:val="bottom"/>
          </w:tcPr>
          <w:p>
            <w:pPr>
              <w:jc w:val="center"/>
              <w:ind w:left="2555"/>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&lt; tr&gt;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4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66,859</w:t>
            </w:r>
          </w:p>
        </w:tc>
        <w:tc>
          <w:tcPr>
            <w:tcW w:w="500" w:type="dxa"/>
            <w:vAlign w:val="bottom"/>
            <w:tcBorders>
              <w:bottom w:val="single" w:sz="8" w:color="CCEEFF"/>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212,458</w:t>
            </w:r>
          </w:p>
        </w:tc>
        <w:tc>
          <w:tcPr>
            <w:tcW w:w="0" w:type="dxa"/>
            <w:vAlign w:val="bottom"/>
          </w:tcPr>
          <w:p>
            <w:pPr>
              <w:spacing w:after="0"/>
              <w:rPr>
                <w:sz w:val="1"/>
                <w:szCs w:val="1"/>
                <w:color w:val="auto"/>
              </w:rPr>
            </w:pPr>
          </w:p>
        </w:tc>
      </w:tr>
      <w:tr>
        <w:trPr>
          <w:trHeight w:val="17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Short-term investments</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246,651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47,856</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$303 and $367 at December 31, 2010 and December 31, 2009, respectively</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54,551</w:t>
            </w:r>
          </w:p>
        </w:tc>
        <w:tc>
          <w:tcPr>
            <w:tcW w:w="0" w:type="dxa"/>
            <w:vAlign w:val="bottom"/>
          </w:tcPr>
          <w:p>
            <w:pPr>
              <w:spacing w:after="0"/>
              <w:rPr>
                <w:sz w:val="1"/>
                <w:szCs w:val="1"/>
                <w:color w:val="auto"/>
              </w:rPr>
            </w:pPr>
          </w:p>
        </w:tc>
      </w:tr>
      <w:tr>
        <w:trPr>
          <w:trHeight w:val="175"/>
        </w:trPr>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Inventory</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13,517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10,649</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tax asset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8,158</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9,652</w:t>
            </w:r>
          </w:p>
        </w:tc>
        <w:tc>
          <w:tcPr>
            <w:tcW w:w="0" w:type="dxa"/>
            <w:vAlign w:val="bottom"/>
          </w:tcPr>
          <w:p>
            <w:pPr>
              <w:spacing w:after="0"/>
              <w:rPr>
                <w:sz w:val="1"/>
                <w:szCs w:val="1"/>
                <w:color w:val="auto"/>
              </w:rPr>
            </w:pPr>
          </w:p>
        </w:tc>
      </w:tr>
      <w:tr>
        <w:trPr>
          <w:trHeight w:val="17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8,849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3,100</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cost of revenues</w:t>
            </w: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3,788</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3,951</w:t>
            </w:r>
          </w:p>
        </w:tc>
        <w:tc>
          <w:tcPr>
            <w:tcW w:w="0" w:type="dxa"/>
            <w:vAlign w:val="bottom"/>
          </w:tcPr>
          <w:p>
            <w:pPr>
              <w:spacing w:after="0"/>
              <w:rPr>
                <w:sz w:val="1"/>
                <w:szCs w:val="1"/>
                <w:color w:val="auto"/>
              </w:rPr>
            </w:pPr>
          </w:p>
        </w:tc>
      </w:tr>
      <w:tr>
        <w:trPr>
          <w:trHeight w:val="165"/>
        </w:trPr>
        <w:tc>
          <w:tcPr>
            <w:tcW w:w="81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Total current assets</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420,158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342,217</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EQUIPMENT—Net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7,056</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6,387</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 ASSET—Non-current</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37,443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31,671</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shd w:val="clear" w:color="auto" w:fill="CCEEFF"/>
          </w:tcPr>
          <w:p>
            <w:pPr>
              <w:spacing w:after="0"/>
              <w:rPr>
                <w:sz w:val="10"/>
                <w:szCs w:val="10"/>
                <w:color w:val="auto"/>
              </w:rPr>
            </w:pPr>
          </w:p>
        </w:tc>
        <w:tc>
          <w:tcPr>
            <w:tcW w:w="7380" w:type="dxa"/>
            <w:vAlign w:val="bottom"/>
            <w:shd w:val="clear" w:color="auto" w:fill="CCEEFF"/>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3"/>
                <w:szCs w:val="13"/>
                <w:color w:val="auto"/>
              </w:rPr>
              <w:t>&amp;</w:t>
            </w:r>
          </w:p>
        </w:tc>
        <w:tc>
          <w:tcPr>
            <w:tcW w:w="0" w:type="dxa"/>
            <w:vAlign w:val="bottom"/>
          </w:tcPr>
          <w:p>
            <w:pPr>
              <w:spacing w:after="0"/>
              <w:rPr>
                <w:sz w:val="1"/>
                <w:szCs w:val="1"/>
                <w:color w:val="auto"/>
              </w:rPr>
            </w:pPr>
          </w:p>
        </w:tc>
      </w:tr>
      <w:tr>
        <w:trPr>
          <w:trHeight w:val="109"/>
        </w:trPr>
        <w:tc>
          <w:tcPr>
            <w:tcW w:w="8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COST OF REVENUES</w:t>
            </w: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5,743nbsp;</w:t>
            </w:r>
          </w:p>
        </w:tc>
        <w:tc>
          <w:tcPr>
            <w:tcW w:w="0" w:type="dxa"/>
            <w:vAlign w:val="bottom"/>
          </w:tcPr>
          <w:p>
            <w:pPr>
              <w:spacing w:after="0"/>
              <w:rPr>
                <w:sz w:val="1"/>
                <w:szCs w:val="1"/>
                <w:color w:val="auto"/>
              </w:rPr>
            </w:pPr>
          </w:p>
        </w:tc>
      </w:tr>
      <w:tr>
        <w:trPr>
          <w:trHeight w:val="79"/>
        </w:trPr>
        <w:tc>
          <w:tcPr>
            <w:tcW w:w="8120" w:type="dxa"/>
            <w:vAlign w:val="bottom"/>
            <w:gridSpan w:val="2"/>
            <w:vMerge w:val="continue"/>
            <w:shd w:val="clear" w:color="auto" w:fill="CCEEFF"/>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INVESTMENTS</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73,950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1,272</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19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545,422</w:t>
            </w:r>
          </w:p>
        </w:tc>
        <w:tc>
          <w:tcPr>
            <w:tcW w:w="2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387,213</w:t>
            </w: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/td&gt;</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12,761</w:t>
            </w:r>
          </w:p>
        </w:tc>
        <w:tc>
          <w:tcPr>
            <w:tcW w:w="500" w:type="dxa"/>
            <w:vAlign w:val="bottom"/>
            <w:tcBorders>
              <w:bottom w:val="single" w:sz="8" w:color="CCEEFF"/>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10,987</w:t>
            </w:r>
          </w:p>
        </w:tc>
        <w:tc>
          <w:tcPr>
            <w:tcW w:w="0" w:type="dxa"/>
            <w:vAlign w:val="bottom"/>
          </w:tcPr>
          <w:p>
            <w:pPr>
              <w:spacing w:after="0"/>
              <w:rPr>
                <w:sz w:val="1"/>
                <w:szCs w:val="1"/>
                <w:color w:val="auto"/>
              </w:rPr>
            </w:pPr>
          </w:p>
        </w:tc>
      </w:tr>
      <w:tr>
        <w:trPr>
          <w:trHeight w:val="19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Accrued liabilities</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16,303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15,050</w:t>
            </w:r>
          </w:p>
        </w:tc>
        <w:tc>
          <w:tcPr>
            <w:tcW w:w="0" w:type="dxa"/>
            <w:vAlign w:val="bottom"/>
          </w:tcPr>
          <w:p>
            <w:pPr>
              <w:spacing w:after="0"/>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payroll and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19,670</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13,991</w:t>
            </w:r>
          </w:p>
        </w:tc>
        <w:tc>
          <w:tcPr>
            <w:tcW w:w="0" w:type="dxa"/>
            <w:vAlign w:val="bottom"/>
          </w:tcPr>
          <w:p>
            <w:pPr>
              <w:spacing w:after="0"/>
              <w:rPr>
                <w:sz w:val="1"/>
                <w:szCs w:val="1"/>
                <w:color w:val="auto"/>
              </w:rPr>
            </w:pPr>
          </w:p>
        </w:tc>
      </w:tr>
      <w:tr>
        <w:trPr>
          <w:trHeight w:val="17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169,648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140,537</w:t>
            </w:r>
          </w:p>
        </w:tc>
        <w:tc>
          <w:tcPr>
            <w:tcW w:w="0" w:type="dxa"/>
            <w:vAlign w:val="bottom"/>
          </w:tcPr>
          <w:p>
            <w:pPr>
              <w:spacing w:after="0"/>
              <w:rPr>
                <w:sz w:val="1"/>
                <w:szCs w:val="1"/>
                <w:color w:val="auto"/>
              </w:rPr>
            </w:pPr>
          </w:p>
        </w:tc>
      </w:tr>
      <w:tr>
        <w:trPr>
          <w:trHeight w:val="21"/>
        </w:trPr>
        <w:tc>
          <w:tcPr>
            <w:tcW w:w="74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81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218,382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180,565</w:t>
            </w: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REVENUE—Non-current</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82,983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61,393</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11,603</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2,803</w:t>
            </w:r>
          </w:p>
        </w:tc>
        <w:tc>
          <w:tcPr>
            <w:tcW w:w="0" w:type="dxa"/>
            <w:vAlign w:val="bottom"/>
          </w:tcPr>
          <w:p>
            <w:pPr>
              <w:spacing w:after="0"/>
              <w:rPr>
                <w:sz w:val="1"/>
                <w:szCs w:val="1"/>
                <w:color w:val="auto"/>
              </w:rPr>
            </w:pPr>
          </w:p>
        </w:tc>
      </w:tr>
      <w:tr>
        <w:trPr>
          <w:trHeight w:val="165"/>
        </w:trPr>
        <w:tc>
          <w:tcPr>
            <w:tcW w:w="81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Total liabilities</w:t>
            </w: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312,968</w:t>
            </w:r>
          </w:p>
        </w:tc>
        <w:tc>
          <w:tcPr>
            <w:tcW w:w="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244,761</w:t>
            </w:r>
          </w:p>
        </w:tc>
        <w:tc>
          <w:tcPr>
            <w:tcW w:w="0" w:type="dxa"/>
            <w:vAlign w:val="bottom"/>
          </w:tcPr>
          <w:p>
            <w:pPr>
              <w:spacing w:after="0"/>
              <w:rPr>
                <w:sz w:val="1"/>
                <w:szCs w:val="1"/>
                <w:color w:val="auto"/>
              </w:rPr>
            </w:pPr>
          </w:p>
        </w:tc>
      </w:tr>
      <w:tr>
        <w:trPr>
          <w:trHeight w:val="21"/>
        </w:trPr>
        <w:tc>
          <w:tcPr>
            <w:tcW w:w="74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9)</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$0.001 par value — 300,000 shares authorized; 75,085 and 67,517 shares issued and 74,381 and 66,813 shares outstanding at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2010 and December 31, 2009, respectively</w:t>
            </w: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w:t>
            </w:r>
          </w:p>
        </w:tc>
        <w:tc>
          <w:tcPr>
            <w:tcW w:w="260" w:type="dxa"/>
            <w:vAlign w:val="bottom"/>
            <w:tcBorders>
              <w:bottom w:val="single" w:sz="8" w:color="CCEEFF"/>
            </w:tcBorders>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Additional paid-in-capital</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251,920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204,268</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Treasury stock</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(2,995)</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(2,995)</w:t>
            </w:r>
          </w:p>
        </w:tc>
        <w:tc>
          <w:tcPr>
            <w:tcW w:w="0" w:type="dxa"/>
            <w:vAlign w:val="bottom"/>
          </w:tcPr>
          <w:p>
            <w:pPr>
              <w:spacing w:after="0"/>
              <w:rPr>
                <w:sz w:val="1"/>
                <w:szCs w:val="1"/>
                <w:color w:val="auto"/>
              </w:rPr>
            </w:pPr>
          </w:p>
        </w:tc>
      </w:tr>
      <w:tr>
        <w:trPr>
          <w:trHeight w:val="175"/>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2,181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Accumulated deficit</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(18,727)</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(59,972)</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232,454</w:t>
            </w:r>
          </w:p>
        </w:tc>
        <w:tc>
          <w:tcPr>
            <w:tcW w:w="2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142,452</w:t>
            </w:r>
          </w:p>
        </w:tc>
        <w:tc>
          <w:tcPr>
            <w:tcW w:w="0" w:type="dxa"/>
            <w:vAlign w:val="bottom"/>
          </w:tcPr>
          <w:p>
            <w:pPr>
              <w:spacing w:after="0"/>
              <w:rPr>
                <w:sz w:val="1"/>
                <w:szCs w:val="1"/>
                <w:color w:val="auto"/>
              </w:rPr>
            </w:pPr>
          </w:p>
        </w:tc>
      </w:tr>
      <w:tr>
        <w:trPr>
          <w:trHeight w:val="20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545,422</w:t>
            </w: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387,213</w:t>
            </w:r>
          </w:p>
        </w:tc>
        <w:tc>
          <w:tcPr>
            <w:tcW w:w="0" w:type="dxa"/>
            <w:vAlign w:val="bottom"/>
          </w:tcPr>
          <w:p>
            <w:pPr>
              <w:spacing w:after="0"/>
              <w:rPr>
                <w:sz w:val="1"/>
                <w:szCs w:val="1"/>
                <w:color w:val="auto"/>
              </w:rPr>
            </w:pPr>
          </w:p>
        </w:tc>
      </w:tr>
      <w:tr>
        <w:trPr>
          <w:trHeight w:val="150"/>
        </w:trPr>
        <w:tc>
          <w:tcPr>
            <w:tcW w:w="740" w:type="dxa"/>
            <w:vAlign w:val="bottom"/>
            <w:tcBorders>
              <w:top w:val="single" w:sz="8" w:color="CCEEFF"/>
            </w:tcBorders>
          </w:tcPr>
          <w:p>
            <w:pPr>
              <w:spacing w:after="0"/>
              <w:rPr>
                <w:sz w:val="13"/>
                <w:szCs w:val="13"/>
                <w:color w:val="auto"/>
              </w:rPr>
            </w:pPr>
          </w:p>
        </w:tc>
        <w:tc>
          <w:tcPr>
            <w:tcW w:w="7380" w:type="dxa"/>
            <w:vAlign w:val="bottom"/>
            <w:tcBorders>
              <w:top w:val="single" w:sz="8" w:color="CCEEFF"/>
            </w:tcBorders>
          </w:tcPr>
          <w:p>
            <w:pPr>
              <w:jc w:val="center"/>
              <w:ind w:left="2535"/>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69"/>
        </w:trPr>
        <w:tc>
          <w:tcPr>
            <w:tcW w:w="8120" w:type="dxa"/>
            <w:vAlign w:val="bottom"/>
            <w:gridSpan w:val="2"/>
          </w:tcPr>
          <w:p>
            <w:pPr>
              <w:jc w:val="center"/>
              <w:ind w:left="3275"/>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2" w:right="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&lt; td style="vertical-align:bottom;padding-top:2px;padding-bottom:2px;border-bottom:3px double #000000;"&gt;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1.93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20" w:type="dxa"/>
            <w:vAlign w:val="bottom"/>
            <w:gridSpan w:val="2"/>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
        </w:trPr>
        <w:tc>
          <w:tcPr>
            <w:tcW w:w="4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1"/>
        </w:trPr>
        <w:tc>
          <w:tcPr>
            <w:tcW w:w="4720" w:type="dxa"/>
            <w:vAlign w:val="bottom"/>
          </w:tcPr>
          <w:p>
            <w:pPr>
              <w:spacing w:after="0"/>
              <w:rPr>
                <w:sz w:val="13"/>
                <w:szCs w:val="13"/>
                <w:color w:val="auto"/>
              </w:rPr>
            </w:pPr>
          </w:p>
        </w:tc>
        <w:tc>
          <w:tcPr>
            <w:tcW w:w="116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2010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2009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2008</w:t>
            </w:r>
          </w:p>
        </w:tc>
        <w:tc>
          <w:tcPr>
            <w:tcW w:w="80" w:type="dxa"/>
            <w:vAlign w:val="bottom"/>
          </w:tcPr>
          <w:p>
            <w:pPr>
              <w:spacing w:after="0"/>
              <w:rPr>
                <w:sz w:val="13"/>
                <w:szCs w:val="13"/>
                <w:color w:val="auto"/>
              </w:rPr>
            </w:pPr>
          </w:p>
        </w:tc>
      </w:tr>
      <w:tr>
        <w:trPr>
          <w:trHeight w:val="25"/>
        </w:trPr>
        <w:tc>
          <w:tcPr>
            <w:tcW w:w="4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5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&lt; div</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style="overflow:hidden;font-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135,140</w:t>
            </w:r>
          </w:p>
        </w:tc>
        <w:tc>
          <w:tcPr>
            <w:tcW w:w="1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size:10pt;"&gt;</w:t>
            </w:r>
          </w:p>
        </w:tc>
        <w:tc>
          <w:tcPr>
            <w:tcW w:w="1520" w:type="dxa"/>
            <w:vAlign w:val="bottom"/>
            <w:gridSpan w:val="2"/>
          </w:tcPr>
          <w:p>
            <w:pPr>
              <w:jc w:val="right"/>
              <w:ind w:right="77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98,686</w:t>
            </w:r>
          </w:p>
        </w:tc>
        <w:tc>
          <w:tcPr>
            <w:tcW w:w="100" w:type="dxa"/>
            <w:vAlign w:val="bottom"/>
          </w:tcPr>
          <w:p>
            <w:pPr>
              <w:spacing w:after="0"/>
              <w:rPr>
                <w:sz w:val="14"/>
                <w:szCs w:val="14"/>
                <w:color w:val="auto"/>
              </w:rPr>
            </w:pPr>
          </w:p>
        </w:tc>
        <w:tc>
          <w:tcPr>
            <w:tcW w:w="540" w:type="dxa"/>
            <w:vAlign w:val="bottom"/>
            <w:gridSpan w:val="2"/>
          </w:tcPr>
          <w:p>
            <w:pPr>
              <w:jc w:val="center"/>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94,587</w:t>
            </w: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172,046</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105,292</w:t>
            </w:r>
          </w:p>
        </w:tc>
      </w:tr>
      <w:tr>
        <w:trPr>
          <w:trHeight w:val="17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17,510</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11,912</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5"/>
        </w:trPr>
        <w:tc>
          <w:tcPr>
            <w:tcW w:w="4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revenue</w:t>
            </w: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324,696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252,115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211,791</w:t>
            </w: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51,944</w:t>
            </w: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3"/>
                <w:szCs w:val="13"/>
                <w:color w:val="auto"/>
              </w:rPr>
              <w:t>42,166</w:t>
            </w:r>
          </w:p>
        </w:tc>
        <w:tc>
          <w:tcPr>
            <w:tcW w:w="1240" w:type="dxa"/>
            <w:vAlign w:val="bottom"/>
            <w:tcBorders>
              <w:bottom w:val="single" w:sz="8" w:color="CCEEFF"/>
            </w:tcBorders>
            <w:gridSpan w:val="5"/>
            <w:shd w:val="clear" w:color="auto" w:fill="CCEEFF"/>
          </w:tcPr>
          <w:p>
            <w:pPr>
              <w:jc w:val="center"/>
              <w:ind w:left="375"/>
              <w:spacing w:after="0"/>
              <w:rPr>
                <w:sz w:val="20"/>
                <w:szCs w:val="20"/>
                <w:color w:val="auto"/>
              </w:rPr>
            </w:pPr>
            <w:r>
              <w:rPr>
                <w:rFonts w:ascii="Times New Roman" w:cs="Times New Roman" w:eastAsia="Times New Roman" w:hAnsi="Times New Roman"/>
                <w:sz w:val="13"/>
                <w:szCs w:val="13"/>
                <w:color w:val="auto"/>
              </w:rPr>
              <w:t>41,397</w:t>
            </w: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26,967</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19,441</w:t>
            </w:r>
          </w:p>
        </w:tc>
      </w:tr>
      <w:tr>
        <w:trPr>
          <w:trHeight w:val="19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4,634</w:t>
            </w:r>
          </w:p>
        </w:tc>
      </w:tr>
      <w:tr>
        <w:trPr>
          <w:trHeight w:val="165"/>
        </w:trPr>
        <w:tc>
          <w:tcPr>
            <w:tcW w:w="47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cost of revenue</w:t>
            </w: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85,206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69,975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65,472</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7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Product</w:t>
            </w:r>
          </w:p>
        </w:tc>
        <w:tc>
          <w:tcPr>
            <w:tcW w:w="1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83,196</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56,520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53,190</w:t>
            </w: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7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145,079</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116,907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85,851</w:t>
            </w:r>
          </w:p>
        </w:tc>
      </w:tr>
      <w:tr>
        <w:trPr>
          <w:trHeight w:val="17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Ratable product and services</w:t>
            </w: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7,278</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185"/>
        </w:trPr>
        <w:tc>
          <w:tcPr>
            <w:tcW w:w="4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gross profit</w:t>
            </w: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239,490</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182,140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146,319</w:t>
            </w: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7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49,801</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42,195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37,035</w:t>
            </w:r>
          </w:p>
        </w:tc>
      </w:tr>
      <w:tr>
        <w:trPr>
          <w:trHeight w:val="17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11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111,968</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96,291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87,717</w:t>
            </w: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22,380</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18,320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16,640</w:t>
            </w:r>
          </w:p>
        </w:tc>
      </w:tr>
      <w:tr>
        <w:trPr>
          <w:trHeight w:val="165"/>
        </w:trPr>
        <w:tc>
          <w:tcPr>
            <w:tcW w:w="47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&lt; div style="text-align:left;font-size:10pt;"&gt;Total operating expenses</w:t>
            </w: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184,149</w:t>
            </w:r>
          </w:p>
        </w:tc>
        <w:tc>
          <w:tcPr>
            <w:tcW w:w="100" w:type="dxa"/>
            <w:vAlign w:val="bottom"/>
            <w:tcBorders>
              <w:top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156,806</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141,392</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16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55,341</w:t>
            </w: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25,334</w:t>
            </w:r>
          </w:p>
        </w:tc>
        <w:tc>
          <w:tcPr>
            <w:tcW w:w="1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4,927</w:t>
            </w:r>
          </w:p>
        </w:tc>
      </w:tr>
      <w:tr>
        <w:trPr>
          <w:trHeight w:val="175"/>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1,815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ind w:right="755"/>
              <w:spacing w:after="0"/>
              <w:rPr>
                <w:sz w:val="20"/>
                <w:szCs w:val="20"/>
                <w:color w:val="auto"/>
              </w:rPr>
            </w:pPr>
            <w:r>
              <w:rPr>
                <w:rFonts w:ascii="Times New Roman" w:cs="Times New Roman" w:eastAsia="Times New Roman" w:hAnsi="Times New Roman"/>
                <w:sz w:val="13"/>
                <w:szCs w:val="13"/>
                <w:color w:val="auto"/>
              </w:rPr>
              <w:t>1,981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2,614</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(EXPENSE)—Net</w:t>
            </w:r>
          </w:p>
        </w:tc>
        <w:tc>
          <w:tcPr>
            <w:tcW w:w="1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(815)</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1,710</w:t>
            </w: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56,341</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27,513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9,251</w:t>
            </w: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15,096</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(32,666)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1,888</w:t>
            </w:r>
          </w:p>
        </w:tc>
      </w:tr>
      <w:tr>
        <w:trPr>
          <w:trHeight w:val="195"/>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41,245</w:t>
            </w:r>
          </w:p>
        </w:tc>
        <w:tc>
          <w:tcPr>
            <w:tcW w:w="9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60,179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center"/>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7,363</w:t>
            </w:r>
          </w:p>
        </w:tc>
      </w:tr>
      <w:tr>
        <w:trPr>
          <w:trHeight w:val="17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common stockholders (Note 7):</w:t>
            </w: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5"/>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0.59</w:t>
            </w:r>
          </w:p>
        </w:tc>
        <w:tc>
          <w:tcPr>
            <w:tcW w:w="9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77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0.02</w:t>
            </w: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10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0.78</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0.02</w:t>
            </w:r>
          </w:p>
        </w:tc>
      </w:tr>
      <w:tr>
        <w:trPr>
          <w:trHeight w:val="170"/>
        </w:trPr>
        <w:tc>
          <w:tcPr>
            <w:tcW w:w="4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05"/>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1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70,363</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26,334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20,017</w:t>
            </w:r>
          </w:p>
        </w:tc>
      </w:tr>
      <w:tr>
        <w:trPr>
          <w:trHeight w:val="205"/>
        </w:trPr>
        <w:tc>
          <w:tcPr>
            <w:tcW w:w="47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78,203</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65,219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26,642</w:t>
            </w:r>
          </w:p>
        </w:tc>
      </w:tr>
    </w:tbl>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1460"/>
          </w:cols>
          <w:pgMar w:left="220" w:top="124" w:right="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6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CONSOLIDATED STATEMENTS OF STOCKHOLDERS’ EQUITY (DEFICIT) AND COMPREHENSIVE INCOME</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THE YEARS ENDED DECEMBER 31, 2010, DECEMBER 31, 2009 AND DECEMBER 28, 2008</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12700" cy="124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12446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6"/>
                <w:szCs w:val="6"/>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6"/>
                <w:szCs w:val="6"/>
                <w:color w:val="auto"/>
              </w:rPr>
            </w:pPr>
          </w:p>
        </w:tc>
        <w:tc>
          <w:tcPr>
            <w:tcW w:w="720" w:type="dxa"/>
            <w:vAlign w:val="bottom"/>
          </w:tcPr>
          <w:p>
            <w:pPr>
              <w:jc w:val="center"/>
              <w:spacing w:after="0" w:line="69" w:lineRule="exact"/>
              <w:rPr>
                <w:sz w:val="20"/>
                <w:szCs w:val="20"/>
                <w:color w:val="auto"/>
              </w:rPr>
            </w:pPr>
            <w:r>
              <w:rPr>
                <w:rFonts w:ascii="Times New Roman" w:cs="Times New Roman" w:eastAsia="Times New Roman" w:hAnsi="Times New Roman"/>
                <w:sz w:val="8"/>
                <w:szCs w:val="8"/>
                <w:b w:val="1"/>
                <w:bCs w:val="1"/>
                <w:color w:val="auto"/>
              </w:rPr>
              <w:t>Paid-In-</w:t>
            </w:r>
          </w:p>
        </w:tc>
        <w:tc>
          <w:tcPr>
            <w:tcW w:w="80" w:type="dxa"/>
            <w:vAlign w:val="bottom"/>
          </w:tcPr>
          <w:p>
            <w:pPr>
              <w:spacing w:after="0"/>
              <w:rPr>
                <w:sz w:val="6"/>
                <w:szCs w:val="6"/>
                <w:color w:val="auto"/>
              </w:rPr>
            </w:pPr>
          </w:p>
        </w:tc>
        <w:tc>
          <w:tcPr>
            <w:tcW w:w="780" w:type="dxa"/>
            <w:vAlign w:val="bottom"/>
          </w:tcPr>
          <w:p>
            <w:pPr>
              <w:jc w:val="center"/>
              <w:spacing w:after="0" w:line="69"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80" w:type="dxa"/>
            <w:vAlign w:val="bottom"/>
          </w:tcPr>
          <w:p>
            <w:pPr>
              <w:spacing w:after="0"/>
              <w:rPr>
                <w:sz w:val="6"/>
                <w:szCs w:val="6"/>
                <w:color w:val="auto"/>
              </w:rPr>
            </w:pPr>
          </w:p>
        </w:tc>
        <w:tc>
          <w:tcPr>
            <w:tcW w:w="1720" w:type="dxa"/>
            <w:vAlign w:val="bottom"/>
          </w:tcPr>
          <w:p>
            <w:pPr>
              <w:jc w:val="right"/>
              <w:ind w:right="509"/>
              <w:spacing w:after="0" w:line="69"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40" w:type="dxa"/>
            <w:vAlign w:val="bottom"/>
          </w:tcPr>
          <w:p>
            <w:pPr>
              <w:spacing w:after="0"/>
              <w:rPr>
                <w:sz w:val="6"/>
                <w:szCs w:val="6"/>
                <w:color w:val="auto"/>
              </w:rPr>
            </w:pPr>
          </w:p>
        </w:tc>
        <w:tc>
          <w:tcPr>
            <w:tcW w:w="740" w:type="dxa"/>
            <w:vAlign w:val="bottom"/>
            <w:gridSpan w:val="2"/>
          </w:tcPr>
          <w:p>
            <w:pPr>
              <w:jc w:val="center"/>
              <w:spacing w:after="0" w:line="69" w:lineRule="exact"/>
              <w:rPr>
                <w:sz w:val="20"/>
                <w:szCs w:val="20"/>
                <w:color w:val="auto"/>
              </w:rPr>
            </w:pPr>
            <w:r>
              <w:rPr>
                <w:rFonts w:ascii="Times New Roman" w:cs="Times New Roman" w:eastAsia="Times New Roman" w:hAnsi="Times New Roman"/>
                <w:sz w:val="8"/>
                <w:szCs w:val="8"/>
                <w:b w:val="1"/>
                <w:bCs w:val="1"/>
                <w:color w:val="auto"/>
              </w:rPr>
              <w:t>Equity</w:t>
            </w:r>
          </w:p>
        </w:tc>
        <w:tc>
          <w:tcPr>
            <w:tcW w:w="80" w:type="dxa"/>
            <w:vAlign w:val="bottom"/>
          </w:tcPr>
          <w:p>
            <w:pPr>
              <w:spacing w:after="0"/>
              <w:rPr>
                <w:sz w:val="6"/>
                <w:szCs w:val="6"/>
                <w:color w:val="auto"/>
              </w:rPr>
            </w:pPr>
          </w:p>
        </w:tc>
        <w:tc>
          <w:tcPr>
            <w:tcW w:w="740" w:type="dxa"/>
            <w:vAlign w:val="bottom"/>
          </w:tcPr>
          <w:p>
            <w:pPr>
              <w:ind w:left="20"/>
              <w:spacing w:after="0" w:line="69"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2"/>
                <w:szCs w:val="12"/>
                <w:color w:val="auto"/>
              </w:rPr>
            </w:pPr>
          </w:p>
        </w:tc>
        <w:tc>
          <w:tcPr>
            <w:tcW w:w="1720" w:type="dxa"/>
            <w:vAlign w:val="bottom"/>
          </w:tcPr>
          <w:p>
            <w:pPr>
              <w:jc w:val="right"/>
              <w:ind w:right="669"/>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4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100" w:type="dxa"/>
            <w:vAlign w:val="bottom"/>
            <w:tcBorders>
              <w:top w:val="single" w:sz="8" w:color="CCEEFF"/>
            </w:tcBorders>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BALANCE—</w:t>
            </w:r>
          </w:p>
        </w:tc>
        <w:tc>
          <w:tcPr>
            <w:tcW w:w="400" w:type="dxa"/>
            <w:vAlign w:val="bottom"/>
            <w:tcBorders>
              <w:top w:val="single" w:sz="8" w:color="auto"/>
            </w:tcBorders>
            <w:shd w:val="clear" w:color="auto" w:fill="CCEEFF"/>
          </w:tcPr>
          <w:p>
            <w:pPr>
              <w:jc w:val="right"/>
              <w:ind w:right="6"/>
              <w:spacing w:after="0" w:line="102" w:lineRule="exact"/>
              <w:rPr>
                <w:sz w:val="20"/>
                <w:szCs w:val="20"/>
                <w:color w:val="auto"/>
              </w:rPr>
            </w:pPr>
            <w:r>
              <w:rPr>
                <w:rFonts w:ascii="Times New Roman" w:cs="Times New Roman" w:eastAsia="Times New Roman" w:hAnsi="Times New Roman"/>
                <w:sz w:val="10"/>
                <w:szCs w:val="10"/>
                <w:color w:val="auto"/>
              </w:rPr>
              <w:t>40,480</w:t>
            </w:r>
          </w:p>
        </w:tc>
        <w:tc>
          <w:tcPr>
            <w:tcW w:w="10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ind w:right="8"/>
              <w:spacing w:after="0" w:line="102" w:lineRule="exact"/>
              <w:rPr>
                <w:sz w:val="20"/>
                <w:szCs w:val="20"/>
                <w:color w:val="auto"/>
              </w:rPr>
            </w:pPr>
            <w:r>
              <w:rPr>
                <w:rFonts w:ascii="Times New Roman" w:cs="Times New Roman" w:eastAsia="Times New Roman" w:hAnsi="Times New Roman"/>
                <w:sz w:val="10"/>
                <w:szCs w:val="10"/>
                <w:color w:val="auto"/>
                <w:w w:val="97"/>
              </w:rPr>
              <w:t>$ 94,368</w:t>
            </w: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19,277</w:t>
            </w: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20</w:t>
            </w:r>
          </w:p>
        </w:tc>
        <w:tc>
          <w:tcPr>
            <w:tcW w:w="140" w:type="dxa"/>
            <w:vAlign w:val="bottom"/>
            <w:tcBorders>
              <w:top w:val="single" w:sz="8" w:color="auto"/>
            </w:tcBorders>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tcBorders>
              <w:top w:val="single" w:sz="8" w:color="auto"/>
            </w:tcBorders>
            <w:gridSpan w:val="2"/>
            <w:shd w:val="clear" w:color="auto" w:fill="CCEEFF"/>
          </w:tcPr>
          <w:p>
            <w:pPr>
              <w:ind w:left="3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tcBorders>
            <w:shd w:val="clear" w:color="auto" w:fill="CCEEFF"/>
          </w:tcPr>
          <w:p>
            <w:pPr>
              <w:jc w:val="right"/>
              <w:ind w:right="369"/>
              <w:spacing w:after="0" w:line="102" w:lineRule="exact"/>
              <w:rPr>
                <w:sz w:val="20"/>
                <w:szCs w:val="20"/>
                <w:color w:val="auto"/>
              </w:rPr>
            </w:pPr>
            <w:r>
              <w:rPr>
                <w:rFonts w:ascii="Times New Roman" w:cs="Times New Roman" w:eastAsia="Times New Roman" w:hAnsi="Times New Roman"/>
                <w:sz w:val="10"/>
                <w:szCs w:val="10"/>
                <w:color w:val="auto"/>
              </w:rPr>
              <w:t>13,418</w:t>
            </w:r>
          </w:p>
        </w:tc>
        <w:tc>
          <w:tcPr>
            <w:tcW w:w="80" w:type="dxa"/>
            <w:vAlign w:val="bottom"/>
            <w:tcBorders>
              <w:top w:val="single" w:sz="8" w:color="CCEEFF"/>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589"/>
              <w:spacing w:after="0" w:line="102" w:lineRule="exact"/>
              <w:rPr>
                <w:sz w:val="20"/>
                <w:szCs w:val="20"/>
                <w:color w:val="auto"/>
              </w:rPr>
            </w:pPr>
            <w:r>
              <w:rPr>
                <w:rFonts w:ascii="Times New Roman" w:cs="Times New Roman" w:eastAsia="Times New Roman" w:hAnsi="Times New Roman"/>
                <w:sz w:val="10"/>
                <w:szCs w:val="10"/>
                <w:color w:val="auto"/>
                <w:w w:val="79"/>
              </w:rPr>
              <w:t>783</w:t>
            </w:r>
          </w:p>
        </w:tc>
        <w:tc>
          <w:tcPr>
            <w:tcW w:w="80" w:type="dxa"/>
            <w:vAlign w:val="bottom"/>
            <w:tcBorders>
              <w:top w:val="single" w:sz="8" w:color="CCEEFF"/>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720" w:type="dxa"/>
            <w:vAlign w:val="bottom"/>
            <w:tcBorders>
              <w:top w:val="single" w:sz="8" w:color="auto"/>
            </w:tcBorders>
            <w:shd w:val="clear" w:color="auto" w:fill="CCEEFF"/>
          </w:tcPr>
          <w:p>
            <w:pPr>
              <w:jc w:val="right"/>
              <w:ind w:right="1249"/>
              <w:spacing w:after="0" w:line="102" w:lineRule="exact"/>
              <w:rPr>
                <w:sz w:val="20"/>
                <w:szCs w:val="20"/>
                <w:color w:val="auto"/>
              </w:rPr>
            </w:pPr>
            <w:r>
              <w:rPr>
                <w:rFonts w:ascii="Times New Roman" w:cs="Times New Roman" w:eastAsia="Times New Roman" w:hAnsi="Times New Roman"/>
                <w:sz w:val="10"/>
                <w:szCs w:val="10"/>
                <w:color w:val="auto"/>
              </w:rPr>
              <w:t>(127,514)</w:t>
            </w:r>
          </w:p>
        </w:tc>
        <w:tc>
          <w:tcPr>
            <w:tcW w:w="1040" w:type="dxa"/>
            <w:vAlign w:val="bottom"/>
            <w:tcBorders>
              <w:top w:val="single" w:sz="8" w:color="CCEEFF"/>
            </w:tcBorders>
            <w:shd w:val="clear" w:color="auto" w:fill="CCEEFF"/>
          </w:tcPr>
          <w:p>
            <w:pPr>
              <w:jc w:val="right"/>
              <w:ind w:right="9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249"/>
              <w:spacing w:after="0" w:line="102" w:lineRule="exact"/>
              <w:rPr>
                <w:sz w:val="20"/>
                <w:szCs w:val="20"/>
                <w:color w:val="auto"/>
              </w:rPr>
            </w:pPr>
            <w:r>
              <w:rPr>
                <w:rFonts w:ascii="Times New Roman" w:cs="Times New Roman" w:eastAsia="Times New Roman" w:hAnsi="Times New Roman"/>
                <w:sz w:val="10"/>
                <w:szCs w:val="10"/>
                <w:color w:val="auto"/>
                <w:w w:val="99"/>
              </w:rPr>
              <w:t>(18,925)</w:t>
            </w:r>
          </w:p>
        </w:tc>
        <w:tc>
          <w:tcPr>
            <w:tcW w:w="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30, 2007</w:t>
            </w: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200"/>
              <w:spacing w:after="0" w:line="111" w:lineRule="exact"/>
              <w:rPr>
                <w:sz w:val="20"/>
                <w:szCs w:val="20"/>
                <w:color w:val="auto"/>
              </w:rPr>
            </w:pPr>
            <w:r>
              <w:rPr>
                <w:rFonts w:ascii="Times New Roman" w:cs="Times New Roman" w:eastAsia="Times New Roman" w:hAnsi="Times New Roman"/>
                <w:sz w:val="10"/>
                <w:szCs w:val="10"/>
                <w:color w:val="auto"/>
              </w:rPr>
              <w:t>Exercise of stock</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auto"/>
              </w:rPr>
              <w:t>options</w:t>
            </w:r>
          </w:p>
        </w:tc>
        <w:tc>
          <w:tcPr>
            <w:tcW w:w="1460" w:type="dxa"/>
            <w:vAlign w:val="bottom"/>
            <w:gridSpan w:val="2"/>
            <w:vMerge w:val="restart"/>
          </w:tcPr>
          <w:p>
            <w:pPr>
              <w:jc w:val="right"/>
              <w:ind w:right="106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continue"/>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1,443</w:t>
            </w:r>
          </w:p>
        </w:tc>
        <w:tc>
          <w:tcPr>
            <w:tcW w:w="60" w:type="dxa"/>
            <w:vAlign w:val="bottom"/>
          </w:tcPr>
          <w:p>
            <w:pPr>
              <w:spacing w:after="0"/>
              <w:rPr>
                <w:sz w:val="6"/>
                <w:szCs w:val="6"/>
                <w:color w:val="auto"/>
              </w:rPr>
            </w:pP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2,116</w:t>
            </w:r>
          </w:p>
        </w:tc>
        <w:tc>
          <w:tcPr>
            <w:tcW w:w="80" w:type="dxa"/>
            <w:vAlign w:val="bottom"/>
          </w:tcPr>
          <w:p>
            <w:pPr>
              <w:spacing w:after="0"/>
              <w:rPr>
                <w:sz w:val="6"/>
                <w:szCs w:val="6"/>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6"/>
                <w:szCs w:val="6"/>
                <w:color w:val="auto"/>
              </w:rPr>
            </w:pPr>
          </w:p>
        </w:tc>
        <w:tc>
          <w:tcPr>
            <w:tcW w:w="1720" w:type="dxa"/>
            <w:vAlign w:val="bottom"/>
            <w:vMerge w:val="restart"/>
          </w:tcPr>
          <w:p>
            <w:pPr>
              <w:jc w:val="right"/>
              <w:ind w:right="969"/>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spacing w:after="0"/>
              <w:rPr>
                <w:sz w:val="6"/>
                <w:szCs w:val="6"/>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2,117</w:t>
            </w: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0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100" w:type="dxa"/>
            <w:vAlign w:val="bottom"/>
            <w:shd w:val="clear" w:color="auto" w:fill="CCEEFF"/>
          </w:tcPr>
          <w:p>
            <w:pPr>
              <w:ind w:left="200"/>
              <w:spacing w:after="0" w:line="111" w:lineRule="exact"/>
              <w:rPr>
                <w:sz w:val="20"/>
                <w:szCs w:val="20"/>
                <w:color w:val="auto"/>
              </w:rPr>
            </w:pPr>
            <w:r>
              <w:rPr>
                <w:rFonts w:ascii="Times New Roman" w:cs="Times New Roman" w:eastAsia="Times New Roman" w:hAnsi="Times New Roman"/>
                <w:sz w:val="10"/>
                <w:szCs w:val="10"/>
                <w:color w:val="auto"/>
              </w:rPr>
              <w:t>Stock-based</w:t>
            </w:r>
          </w:p>
        </w:tc>
        <w:tc>
          <w:tcPr>
            <w:tcW w:w="1460" w:type="dxa"/>
            <w:vAlign w:val="bottom"/>
            <w:gridSpan w:val="2"/>
            <w:vMerge w:val="restart"/>
            <w:shd w:val="clear" w:color="auto" w:fill="CCEEFF"/>
          </w:tcPr>
          <w:p>
            <w:pPr>
              <w:jc w:val="right"/>
              <w:ind w:right="106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9"/>
                <w:szCs w:val="9"/>
                <w:color w:val="auto"/>
              </w:rPr>
            </w:pPr>
          </w:p>
        </w:tc>
        <w:tc>
          <w:tcPr>
            <w:tcW w:w="80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5,299</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969"/>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5,299</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compensation</w:t>
            </w:r>
          </w:p>
        </w:tc>
        <w:tc>
          <w:tcPr>
            <w:tcW w:w="14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2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280"/>
              <w:spacing w:after="0" w:line="111" w:lineRule="exact"/>
              <w:rPr>
                <w:sz w:val="20"/>
                <w:szCs w:val="20"/>
                <w:color w:val="auto"/>
              </w:rPr>
            </w:pPr>
            <w:r>
              <w:rPr>
                <w:rFonts w:ascii="Times New Roman" w:cs="Times New Roman" w:eastAsia="Times New Roman" w:hAnsi="Times New Roman"/>
                <w:sz w:val="10"/>
                <w:szCs w:val="10"/>
                <w:color w:val="auto"/>
              </w:rPr>
              <w:t>Net unrealized</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gain on</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investments—net</w:t>
            </w:r>
          </w:p>
        </w:tc>
        <w:tc>
          <w:tcPr>
            <w:tcW w:w="1460" w:type="dxa"/>
            <w:vAlign w:val="bottom"/>
            <w:gridSpan w:val="2"/>
            <w:vMerge w:val="restart"/>
          </w:tcPr>
          <w:p>
            <w:pPr>
              <w:jc w:val="right"/>
              <w:ind w:right="106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65</w:t>
            </w:r>
          </w:p>
        </w:tc>
        <w:tc>
          <w:tcPr>
            <w:tcW w:w="80" w:type="dxa"/>
            <w:vAlign w:val="bottom"/>
          </w:tcPr>
          <w:p>
            <w:pPr>
              <w:spacing w:after="0"/>
              <w:rPr>
                <w:sz w:val="9"/>
                <w:szCs w:val="9"/>
                <w:color w:val="auto"/>
              </w:rPr>
            </w:pPr>
          </w:p>
        </w:tc>
        <w:tc>
          <w:tcPr>
            <w:tcW w:w="1720" w:type="dxa"/>
            <w:vAlign w:val="bottom"/>
            <w:vMerge w:val="restart"/>
          </w:tcPr>
          <w:p>
            <w:pPr>
              <w:jc w:val="right"/>
              <w:ind w:right="969"/>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65</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65</w:t>
            </w:r>
          </w:p>
        </w:tc>
        <w:tc>
          <w:tcPr>
            <w:tcW w:w="0" w:type="dxa"/>
            <w:vAlign w:val="bottom"/>
          </w:tcPr>
          <w:p>
            <w:pPr>
              <w:spacing w:after="0"/>
              <w:rPr>
                <w:sz w:val="1"/>
                <w:szCs w:val="1"/>
                <w:color w:val="auto"/>
              </w:rPr>
            </w:pPr>
          </w:p>
        </w:tc>
      </w:tr>
      <w:tr>
        <w:trPr>
          <w:trHeight w:val="139"/>
        </w:trPr>
        <w:tc>
          <w:tcPr>
            <w:tcW w:w="11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of taxes</w:t>
            </w:r>
          </w:p>
        </w:tc>
        <w:tc>
          <w:tcPr>
            <w:tcW w:w="14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Net change in</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cumulative</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&amp;mda</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translation</w:t>
            </w:r>
          </w:p>
        </w:tc>
        <w:tc>
          <w:tcPr>
            <w:tcW w:w="1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8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969"/>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8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(1,148)</w:t>
            </w: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adjustments</w:t>
            </w:r>
          </w:p>
        </w:tc>
        <w:tc>
          <w:tcPr>
            <w:tcW w:w="14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sh;</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2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0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Net income</w:t>
            </w:r>
          </w:p>
        </w:tc>
        <w:tc>
          <w:tcPr>
            <w:tcW w:w="1460" w:type="dxa"/>
            <w:vAlign w:val="bottom"/>
            <w:gridSpan w:val="2"/>
          </w:tcPr>
          <w:p>
            <w:pPr>
              <w:jc w:val="right"/>
              <w:ind w:right="106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gridSpan w:val="2"/>
          </w:tcPr>
          <w:p>
            <w:pPr>
              <w:jc w:val="right"/>
              <w:ind w:right="969"/>
              <w:spacing w:after="0"/>
              <w:rPr>
                <w:sz w:val="20"/>
                <w:szCs w:val="20"/>
                <w:color w:val="auto"/>
              </w:rPr>
            </w:pPr>
            <w:r>
              <w:rPr>
                <w:rFonts w:ascii="Times New Roman" w:cs="Times New Roman" w:eastAsia="Times New Roman" w:hAnsi="Times New Roman"/>
                <w:sz w:val="10"/>
                <w:szCs w:val="10"/>
                <w:color w:val="auto"/>
              </w:rPr>
              <w:t>7,363</w:t>
            </w:r>
          </w:p>
        </w:tc>
        <w:tc>
          <w:tcPr>
            <w:tcW w:w="10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7,363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7,363</w:t>
            </w:r>
          </w:p>
        </w:tc>
        <w:tc>
          <w:tcPr>
            <w:tcW w:w="0" w:type="dxa"/>
            <w:vAlign w:val="bottom"/>
          </w:tcPr>
          <w:p>
            <w:pPr>
              <w:spacing w:after="0"/>
              <w:rPr>
                <w:sz w:val="1"/>
                <w:szCs w:val="1"/>
                <w:color w:val="auto"/>
              </w:rPr>
            </w:pPr>
          </w:p>
        </w:tc>
      </w:tr>
      <w:tr>
        <w:trPr>
          <w:trHeight w:val="148"/>
        </w:trPr>
        <w:tc>
          <w:tcPr>
            <w:tcW w:w="1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&lt; font style="font-</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Comprehensive</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family:inherit;font-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100" w:type="dxa"/>
            <w:vAlign w:val="bottom"/>
            <w:vMerge w:val="continue"/>
            <w:shd w:val="clear" w:color="auto" w:fill="CCEEFF"/>
          </w:tcPr>
          <w:p>
            <w:pPr>
              <w:spacing w:after="0"/>
              <w:rPr>
                <w:sz w:val="3"/>
                <w:szCs w:val="3"/>
                <w:color w:val="auto"/>
              </w:rPr>
            </w:pPr>
          </w:p>
        </w:tc>
        <w:tc>
          <w:tcPr>
            <w:tcW w:w="1460" w:type="dxa"/>
            <w:vAlign w:val="bottom"/>
            <w:gridSpan w:val="2"/>
            <w:vMerge w:val="restart"/>
            <w:shd w:val="clear" w:color="auto" w:fill="CCEEFF"/>
          </w:tcPr>
          <w:p>
            <w:pPr>
              <w:ind w:left="240"/>
              <w:spacing w:after="0" w:line="17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3"/>
                <w:szCs w:val="13"/>
                <w:color w:val="auto"/>
              </w:rPr>
              <w:t xml:space="preserve">  size:10pt;"&gt;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3"/>
                <w:szCs w:val="3"/>
                <w:color w:val="auto"/>
              </w:rPr>
            </w:pPr>
          </w:p>
        </w:tc>
        <w:tc>
          <w:tcPr>
            <w:tcW w:w="7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3"/>
                <w:szCs w:val="3"/>
                <w:color w:val="auto"/>
              </w:rPr>
            </w:pP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3"/>
                <w:szCs w:val="3"/>
                <w:color w:val="auto"/>
              </w:rPr>
            </w:pPr>
          </w:p>
        </w:tc>
        <w:tc>
          <w:tcPr>
            <w:tcW w:w="8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6,280</w:t>
            </w:r>
          </w:p>
        </w:tc>
        <w:tc>
          <w:tcPr>
            <w:tcW w:w="0" w:type="dxa"/>
            <w:vAlign w:val="bottom"/>
          </w:tcPr>
          <w:p>
            <w:pPr>
              <w:spacing w:after="0"/>
              <w:rPr>
                <w:sz w:val="1"/>
                <w:szCs w:val="1"/>
                <w:color w:val="auto"/>
              </w:rPr>
            </w:pPr>
          </w:p>
        </w:tc>
      </w:tr>
      <w:tr>
        <w:trPr>
          <w:trHeight w:val="174"/>
        </w:trPr>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income</w:t>
            </w:r>
          </w:p>
        </w:tc>
        <w:tc>
          <w:tcPr>
            <w:tcW w:w="146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100" w:type="dxa"/>
            <w:vAlign w:val="bottom"/>
            <w:tcBorders>
              <w:top w:val="single" w:sz="8" w:color="CCEEFF"/>
            </w:tcBorders>
          </w:tcPr>
          <w:p>
            <w:pPr>
              <w:ind w:left="20"/>
              <w:spacing w:after="0" w:line="60" w:lineRule="exact"/>
              <w:rPr>
                <w:sz w:val="20"/>
                <w:szCs w:val="20"/>
                <w:color w:val="auto"/>
              </w:rPr>
            </w:pPr>
            <w:r>
              <w:rPr>
                <w:rFonts w:ascii="Times New Roman" w:cs="Times New Roman" w:eastAsia="Times New Roman" w:hAnsi="Times New Roman"/>
                <w:sz w:val="6"/>
                <w:szCs w:val="6"/>
                <w:color w:val="auto"/>
              </w:rPr>
              <w:t>BALANCE—</w:t>
            </w:r>
          </w:p>
        </w:tc>
        <w:tc>
          <w:tcPr>
            <w:tcW w:w="4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0"/>
                <w:szCs w:val="10"/>
                <w:color w:val="auto"/>
              </w:rPr>
              <w:t>40,480</w:t>
            </w:r>
          </w:p>
        </w:tc>
        <w:tc>
          <w:tcPr>
            <w:tcW w:w="1060" w:type="dxa"/>
            <w:vAlign w:val="bottom"/>
            <w:tcBorders>
              <w:top w:val="single" w:sz="8" w:color="CCEEFF"/>
            </w:tcBorders>
          </w:tcPr>
          <w:p>
            <w:pPr>
              <w:spacing w:after="0"/>
              <w:rPr>
                <w:sz w:val="5"/>
                <w:szCs w:val="5"/>
                <w:color w:val="auto"/>
              </w:rPr>
            </w:pPr>
          </w:p>
        </w:tc>
        <w:tc>
          <w:tcPr>
            <w:tcW w:w="4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94,368</w:t>
            </w:r>
          </w:p>
        </w:tc>
        <w:tc>
          <w:tcPr>
            <w:tcW w:w="80" w:type="dxa"/>
            <w:vAlign w:val="bottom"/>
            <w:tcBorders>
              <w:top w:val="single" w:sz="8" w:color="CCEEFF"/>
            </w:tcBorders>
          </w:tcPr>
          <w:p>
            <w:pPr>
              <w:spacing w:after="0"/>
              <w:rPr>
                <w:sz w:val="5"/>
                <w:szCs w:val="5"/>
                <w:color w:val="auto"/>
              </w:rPr>
            </w:pP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20,720</w:t>
            </w:r>
          </w:p>
        </w:tc>
        <w:tc>
          <w:tcPr>
            <w:tcW w:w="60" w:type="dxa"/>
            <w:vAlign w:val="bottom"/>
            <w:tcBorders>
              <w:top w:val="single" w:sz="8" w:color="CCEEFF"/>
            </w:tcBorders>
          </w:tcPr>
          <w:p>
            <w:pPr>
              <w:spacing w:after="0"/>
              <w:rPr>
                <w:sz w:val="5"/>
                <w:szCs w:val="5"/>
                <w:color w:val="auto"/>
              </w:rPr>
            </w:pPr>
          </w:p>
        </w:tc>
        <w:tc>
          <w:tcPr>
            <w:tcW w:w="4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21</w:t>
            </w:r>
          </w:p>
        </w:tc>
        <w:tc>
          <w:tcPr>
            <w:tcW w:w="120" w:type="dxa"/>
            <w:vAlign w:val="bottom"/>
            <w:tcBorders>
              <w:top w:val="single" w:sz="8" w:color="CCEEFF"/>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CCEEFF"/>
            </w:tcBorders>
            <w:vMerge w:val="restart"/>
          </w:tcPr>
          <w:p>
            <w:pPr>
              <w:spacing w:after="0"/>
              <w:rPr>
                <w:sz w:val="5"/>
                <w:szCs w:val="5"/>
                <w:color w:val="auto"/>
              </w:rPr>
            </w:pPr>
          </w:p>
        </w:tc>
        <w:tc>
          <w:tcPr>
            <w:tcW w:w="46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vMerge w:val="restart"/>
          </w:tcPr>
          <w:p>
            <w:pPr>
              <w:spacing w:after="0"/>
              <w:rPr>
                <w:sz w:val="5"/>
                <w:szCs w:val="5"/>
                <w:color w:val="auto"/>
              </w:rPr>
            </w:pPr>
          </w:p>
        </w:tc>
        <w:tc>
          <w:tcPr>
            <w:tcW w:w="72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20,833</w:t>
            </w:r>
          </w:p>
        </w:tc>
        <w:tc>
          <w:tcPr>
            <w:tcW w:w="80" w:type="dxa"/>
            <w:vAlign w:val="bottom"/>
            <w:tcBorders>
              <w:top w:val="single" w:sz="8" w:color="CCEEFF"/>
            </w:tcBorders>
            <w:vMerge w:val="restart"/>
          </w:tcPr>
          <w:p>
            <w:pPr>
              <w:spacing w:after="0"/>
              <w:rPr>
                <w:sz w:val="5"/>
                <w:szCs w:val="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80" w:type="dxa"/>
            <w:vAlign w:val="bottom"/>
            <w:tcBorders>
              <w:top w:val="single" w:sz="8" w:color="CCEEFF"/>
            </w:tcBorders>
            <w:vMerge w:val="restart"/>
          </w:tcPr>
          <w:p>
            <w:pPr>
              <w:spacing w:after="0"/>
              <w:rPr>
                <w:sz w:val="5"/>
                <w:szCs w:val="5"/>
                <w:color w:val="auto"/>
              </w:rPr>
            </w:pPr>
          </w:p>
        </w:tc>
        <w:tc>
          <w:tcPr>
            <w:tcW w:w="1720" w:type="dxa"/>
            <w:vAlign w:val="bottom"/>
            <w:tcBorders>
              <w:top w:val="single" w:sz="8" w:color="auto"/>
            </w:tcBorders>
            <w:vMerge w:val="restart"/>
          </w:tcPr>
          <w:p>
            <w:pPr>
              <w:jc w:val="right"/>
              <w:ind w:right="929"/>
              <w:spacing w:after="0"/>
              <w:rPr>
                <w:sz w:val="20"/>
                <w:szCs w:val="20"/>
                <w:color w:val="auto"/>
              </w:rPr>
            </w:pPr>
            <w:r>
              <w:rPr>
                <w:rFonts w:ascii="Times New Roman" w:cs="Times New Roman" w:eastAsia="Times New Roman" w:hAnsi="Times New Roman"/>
                <w:sz w:val="10"/>
                <w:szCs w:val="10"/>
                <w:color w:val="auto"/>
              </w:rPr>
              <w:t>(120,151)</w:t>
            </w:r>
          </w:p>
        </w:tc>
        <w:tc>
          <w:tcPr>
            <w:tcW w:w="1040" w:type="dxa"/>
            <w:vAlign w:val="bottom"/>
            <w:tcBorders>
              <w:top w:val="single" w:sz="8" w:color="CCEEFF"/>
            </w:tcBorders>
          </w:tcPr>
          <w:p>
            <w:pPr>
              <w:spacing w:after="0"/>
              <w:rPr>
                <w:sz w:val="5"/>
                <w:szCs w:val="5"/>
                <w:color w:val="auto"/>
              </w:rPr>
            </w:pPr>
          </w:p>
        </w:tc>
        <w:tc>
          <w:tcPr>
            <w:tcW w:w="740" w:type="dxa"/>
            <w:vAlign w:val="bottom"/>
            <w:tcBorders>
              <w:top w:val="single" w:sz="8" w:color="auto"/>
            </w:tcBorders>
            <w:gridSpan w:val="2"/>
            <w:vMerge w:val="restart"/>
          </w:tcPr>
          <w:p>
            <w:pPr>
              <w:jc w:val="right"/>
              <w:ind w:right="40"/>
              <w:spacing w:after="0" w:line="225" w:lineRule="exact"/>
              <w:rPr>
                <w:sz w:val="20"/>
                <w:szCs w:val="20"/>
                <w:color w:val="auto"/>
              </w:rPr>
            </w:pPr>
            <w:r>
              <w:rPr>
                <w:rFonts w:ascii="Times New Roman" w:cs="Times New Roman" w:eastAsia="Times New Roman" w:hAnsi="Times New Roman"/>
                <w:sz w:val="10"/>
                <w:szCs w:val="10"/>
                <w:color w:val="auto"/>
              </w:rPr>
              <w:t>(5,229</w:t>
            </w:r>
            <w:r>
              <w:rPr>
                <w:rFonts w:ascii="Times New Roman" w:cs="Times New Roman" w:eastAsia="Times New Roman" w:hAnsi="Times New Roman"/>
                <w:sz w:val="20"/>
                <w:szCs w:val="20"/>
                <w:color w:val="auto"/>
                <w:vertAlign w:val="subscript"/>
              </w:rPr>
              <w:t>)</w:t>
            </w:r>
          </w:p>
        </w:tc>
        <w:tc>
          <w:tcPr>
            <w:tcW w:w="80" w:type="dxa"/>
            <w:vAlign w:val="bottom"/>
            <w:tcBorders>
              <w:top w:val="single" w:sz="8" w:color="CCEEFF"/>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December 28, 2008</w:t>
            </w:r>
          </w:p>
        </w:tc>
        <w:tc>
          <w:tcPr>
            <w:tcW w:w="4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329170" cy="323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23215"/>
                    </a:xfrm>
                    <a:prstGeom prst="rect">
                      <a:avLst/>
                    </a:prstGeom>
                    <a:noFill/>
                  </pic:spPr>
                </pic:pic>
              </a:graphicData>
            </a:graphic>
          </wp:anchor>
        </w:drawing>
      </w:r>
    </w:p>
    <w:p>
      <w:pPr>
        <w:sectPr>
          <w:pgSz w:w="11900" w:h="16838" w:orient="portrait"/>
          <w:cols w:equalWidth="0" w:num="1">
            <w:col w:w="11540"/>
          </w:cols>
          <w:pgMar w:left="220" w:top="124" w:right="1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Repurchase of</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convertible preferred</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(3,004)</w:t>
            </w:r>
          </w:p>
        </w:tc>
        <w:tc>
          <w:tcPr>
            <w:tcW w:w="10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(3,183)</w:t>
            </w:r>
          </w:p>
        </w:tc>
        <w:tc>
          <w:tcPr>
            <w:tcW w:w="80" w:type="dxa"/>
            <w:vAlign w:val="bottom"/>
          </w:tcPr>
          <w:p>
            <w:pPr>
              <w:spacing w:after="0"/>
              <w:rPr>
                <w:sz w:val="9"/>
                <w:szCs w:val="9"/>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shares</w:t>
            </w:r>
          </w:p>
        </w:tc>
        <w:tc>
          <w:tcPr>
            <w:tcW w:w="4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Repurchase of</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(704)</w:t>
            </w:r>
          </w:p>
        </w:tc>
        <w:tc>
          <w:tcPr>
            <w:tcW w:w="3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(2,995)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common shares</w:t>
            </w:r>
          </w:p>
        </w:tc>
        <w:tc>
          <w:tcPr>
            <w:tcW w:w="14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Convertible</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preferred shares</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converted to</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common shares in</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connection with</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(91,185)</w:t>
            </w:r>
          </w:p>
        </w:tc>
        <w:tc>
          <w:tcPr>
            <w:tcW w:w="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37,476</w:t>
            </w:r>
          </w:p>
        </w:tc>
        <w:tc>
          <w:tcPr>
            <w:tcW w:w="6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37</w:t>
            </w:r>
          </w:p>
        </w:tc>
        <w:tc>
          <w:tcPr>
            <w:tcW w:w="120" w:type="dxa"/>
            <w:vAlign w:val="bottom"/>
            <w:shd w:val="clear" w:color="auto" w:fill="CCEEFF"/>
          </w:tcPr>
          <w:p>
            <w:pPr>
              <w:spacing w:after="0"/>
              <w:rPr>
                <w:sz w:val="9"/>
                <w:szCs w:val="9"/>
                <w:color w:val="auto"/>
              </w:rPr>
            </w:pPr>
          </w:p>
        </w:tc>
        <w:tc>
          <w:tcPr>
            <w:tcW w:w="680" w:type="dxa"/>
            <w:vAlign w:val="bottom"/>
            <w:gridSpan w:val="3"/>
            <w:vMerge w:val="restart"/>
            <w:shd w:val="clear" w:color="auto" w:fill="CCEEFF"/>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initial public offering (37,476)</w:t>
            </w: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vMerge w:val="continue"/>
            <w:shd w:val="clear" w:color="auto" w:fill="CCEEFF"/>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200"/>
              <w:spacing w:after="0" w:line="111" w:lineRule="exact"/>
              <w:rPr>
                <w:sz w:val="20"/>
                <w:szCs w:val="20"/>
                <w:color w:val="auto"/>
              </w:rPr>
            </w:pPr>
            <w:r>
              <w:rPr>
                <w:rFonts w:ascii="Times New Roman" w:cs="Times New Roman" w:eastAsia="Times New Roman" w:hAnsi="Times New Roman"/>
                <w:sz w:val="10"/>
                <w:szCs w:val="10"/>
                <w:color w:val="auto"/>
              </w:rPr>
              <w:t>Proceeds from initial</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public offering, net</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issuance costs</w:t>
            </w:r>
          </w:p>
        </w:tc>
        <w:tc>
          <w:tcPr>
            <w:tcW w:w="146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7,657</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w:t>
            </w:r>
          </w:p>
        </w:tc>
        <w:tc>
          <w:tcPr>
            <w:tcW w:w="120" w:type="dxa"/>
            <w:vAlign w:val="bottom"/>
          </w:tcPr>
          <w:p>
            <w:pPr>
              <w:spacing w:after="0"/>
              <w:rPr>
                <w:sz w:val="12"/>
                <w:szCs w:val="12"/>
                <w:color w:val="auto"/>
              </w:rPr>
            </w:pPr>
          </w:p>
        </w:tc>
        <w:tc>
          <w:tcPr>
            <w:tcW w:w="680" w:type="dxa"/>
            <w:vAlign w:val="bottom"/>
            <w:gridSpan w:val="3"/>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Exercise of warrants</w:t>
            </w:r>
          </w:p>
        </w:tc>
        <w:tc>
          <w:tcPr>
            <w:tcW w:w="14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200"/>
              <w:spacing w:after="0" w:line="111" w:lineRule="exact"/>
              <w:rPr>
                <w:sz w:val="20"/>
                <w:szCs w:val="20"/>
                <w:color w:val="auto"/>
              </w:rPr>
            </w:pPr>
            <w:r>
              <w:rPr>
                <w:rFonts w:ascii="Times New Roman" w:cs="Times New Roman" w:eastAsia="Times New Roman" w:hAnsi="Times New Roman"/>
                <w:sz w:val="10"/>
                <w:szCs w:val="10"/>
                <w:color w:val="auto"/>
              </w:rPr>
              <w:t>Exercise of stock</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options</w:t>
            </w:r>
          </w:p>
        </w:tc>
        <w:tc>
          <w:tcPr>
            <w:tcW w:w="146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1,414</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2"/>
                <w:szCs w:val="12"/>
                <w:color w:val="auto"/>
              </w:rPr>
            </w:pPr>
          </w:p>
        </w:tc>
        <w:tc>
          <w:tcPr>
            <w:tcW w:w="680" w:type="dxa"/>
            <w:vAlign w:val="bottom"/>
            <w:gridSpan w:val="3"/>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Proceeds from</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issuance of common</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60" w:type="dxa"/>
            <w:vAlign w:val="bottom"/>
          </w:tcPr>
          <w:p>
            <w:pPr>
              <w:spacing w:after="0"/>
              <w:rPr>
                <w:sz w:val="9"/>
                <w:szCs w:val="9"/>
                <w:color w:val="auto"/>
              </w:rPr>
            </w:pP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stock</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auto"/>
              </w:rPr>
              <w:t>Warrants issued</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—&lt;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/font&gt;</w:t>
            </w: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Stock-based</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auto"/>
              </w:rPr>
              <w:t>compensation</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continue"/>
          </w:tcPr>
          <w:p>
            <w:pPr>
              <w:spacing w:after="0"/>
              <w:rPr>
                <w:sz w:val="6"/>
                <w:szCs w:val="6"/>
                <w:color w:val="auto"/>
              </w:rPr>
            </w:pP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10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Excess tax benefit</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from employee stock</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option plans</w:t>
            </w:r>
          </w:p>
        </w:tc>
        <w:tc>
          <w:tcPr>
            <w:tcW w:w="14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Net unrealized</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gain on</w:t>
            </w: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investments—net</w:t>
            </w:r>
          </w:p>
        </w:tc>
        <w:tc>
          <w:tcPr>
            <w:tcW w:w="1460" w:type="dxa"/>
            <w:vAlign w:val="bottom"/>
            <w:gridSpan w:val="2"/>
            <w:vMerge w:val="restart"/>
            <w:shd w:val="clear" w:color="auto" w:fill="CCEEFF"/>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shd w:val="clear" w:color="auto" w:fill="CCEEFF"/>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of taxes</w:t>
            </w:r>
          </w:p>
        </w:tc>
        <w:tc>
          <w:tcPr>
            <w:tcW w:w="14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680" w:type="dxa"/>
            <w:vAlign w:val="bottom"/>
            <w:gridSpan w:val="3"/>
            <w:vMerge w:val="continue"/>
            <w:shd w:val="clear" w:color="auto" w:fill="CCEEFF"/>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280"/>
              <w:spacing w:after="0" w:line="111" w:lineRule="exact"/>
              <w:rPr>
                <w:sz w:val="20"/>
                <w:szCs w:val="20"/>
                <w:color w:val="auto"/>
              </w:rPr>
            </w:pPr>
            <w:r>
              <w:rPr>
                <w:rFonts w:ascii="Times New Roman" w:cs="Times New Roman" w:eastAsia="Times New Roman" w:hAnsi="Times New Roman"/>
                <w:sz w:val="10"/>
                <w:szCs w:val="10"/>
                <w:color w:val="auto"/>
              </w:rPr>
              <w:t>Net change in</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cumulative</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00" w:type="dxa"/>
            <w:vAlign w:val="bottom"/>
            <w:vMerge w:val="restart"/>
          </w:tcPr>
          <w:p>
            <w:pPr>
              <w:ind w:left="280"/>
              <w:spacing w:after="0" w:line="108" w:lineRule="exact"/>
              <w:rPr>
                <w:sz w:val="20"/>
                <w:szCs w:val="20"/>
                <w:color w:val="auto"/>
              </w:rPr>
            </w:pPr>
            <w:r>
              <w:rPr>
                <w:rFonts w:ascii="Times New Roman" w:cs="Times New Roman" w:eastAsia="Times New Roman" w:hAnsi="Times New Roman"/>
                <w:sz w:val="10"/>
                <w:szCs w:val="10"/>
                <w:color w:val="auto"/>
              </w:rPr>
              <w:t>translation</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00" w:type="dxa"/>
            <w:vAlign w:val="bottom"/>
            <w:vMerge w:val="continue"/>
          </w:tcPr>
          <w:p>
            <w:pPr>
              <w:spacing w:after="0"/>
              <w:rPr>
                <w:sz w:val="3"/>
                <w:szCs w:val="3"/>
                <w:color w:val="auto"/>
              </w:rPr>
            </w:pP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adjustments</w:t>
            </w:r>
          </w:p>
        </w:tc>
        <w:tc>
          <w:tcPr>
            <w:tcW w:w="146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Net income</w:t>
            </w:r>
          </w:p>
        </w:tc>
        <w:tc>
          <w:tcPr>
            <w:tcW w:w="14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100" w:type="dxa"/>
            <w:vAlign w:val="bottom"/>
          </w:tcPr>
          <w:p>
            <w:pPr>
              <w:ind w:left="360"/>
              <w:spacing w:after="0" w:line="111" w:lineRule="exact"/>
              <w:rPr>
                <w:sz w:val="20"/>
                <w:szCs w:val="20"/>
                <w:color w:val="auto"/>
              </w:rPr>
            </w:pPr>
            <w:r>
              <w:rPr>
                <w:rFonts w:ascii="Times New Roman" w:cs="Times New Roman" w:eastAsia="Times New Roman" w:hAnsi="Times New Roman"/>
                <w:sz w:val="10"/>
                <w:szCs w:val="10"/>
                <w:color w:val="auto"/>
              </w:rPr>
              <w:t>Comprehensive</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income</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spacing w:after="0"/>
              <w:rPr>
                <w:sz w:val="6"/>
                <w:szCs w:val="6"/>
                <w:color w:val="auto"/>
              </w:rPr>
            </w:pPr>
          </w:p>
        </w:tc>
        <w:tc>
          <w:tcPr>
            <w:tcW w:w="42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spacing w:after="0"/>
              <w:rPr>
                <w:sz w:val="6"/>
                <w:szCs w:val="6"/>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100" w:type="dxa"/>
            <w:vAlign w:val="bottom"/>
            <w:vMerge w:val="continue"/>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10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BALANCE—December</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67,517</w:t>
            </w:r>
          </w:p>
        </w:tc>
        <w:tc>
          <w:tcPr>
            <w:tcW w:w="60" w:type="dxa"/>
            <w:vAlign w:val="bottom"/>
          </w:tcPr>
          <w:p>
            <w:pPr>
              <w:spacing w:after="0"/>
              <w:rPr>
                <w:sz w:val="8"/>
                <w:szCs w:val="8"/>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67</w:t>
            </w:r>
          </w:p>
        </w:tc>
        <w:tc>
          <w:tcPr>
            <w:tcW w:w="120" w:type="dxa"/>
            <w:vAlign w:val="bottom"/>
          </w:tcPr>
          <w:p>
            <w:pPr>
              <w:spacing w:after="0"/>
              <w:rPr>
                <w:sz w:val="8"/>
                <w:szCs w:val="8"/>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(704)</w:t>
            </w:r>
          </w:p>
        </w:tc>
        <w:tc>
          <w:tcPr>
            <w:tcW w:w="32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(2,995  )</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31, 2009</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Exercise of stock</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7,568</w:t>
            </w:r>
          </w:p>
        </w:tc>
        <w:tc>
          <w:tcPr>
            <w:tcW w:w="60" w:type="dxa"/>
            <w:vAlign w:val="bottom"/>
          </w:tcPr>
          <w:p>
            <w:pPr>
              <w:spacing w:after="0"/>
              <w:rPr>
                <w:sz w:val="10"/>
                <w:szCs w:val="10"/>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8</w:t>
            </w:r>
          </w:p>
        </w:tc>
        <w:tc>
          <w:tcPr>
            <w:tcW w:w="120" w:type="dxa"/>
            <w:vAlign w:val="bottom"/>
          </w:tcPr>
          <w:p>
            <w:pPr>
              <w:spacing w:after="0"/>
              <w:rPr>
                <w:sz w:val="10"/>
                <w:szCs w:val="10"/>
                <w:color w:val="auto"/>
              </w:rPr>
            </w:pP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options and warrants</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Stock-based</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compensation</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Excess tax benefit</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from employee stock</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option plans</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Net unrealized</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gain on</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investments - net</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1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of taxes</w:t>
            </w:r>
          </w:p>
        </w:tc>
        <w:tc>
          <w:tcPr>
            <w:tcW w:w="146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unrealized</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gain on derivatives</w:t>
            </w: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qualifying as cash</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flow hedges</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20"/>
                <w:szCs w:val="20"/>
                <w:color w:val="auto"/>
              </w:rPr>
            </w:pPr>
            <w:r>
              <w:rPr>
                <w:rFonts w:ascii="Times New Roman" w:cs="Times New Roman" w:eastAsia="Times New Roman" w:hAnsi="Times New Roman"/>
                <w:sz w:val="10"/>
                <w:szCs w:val="10"/>
                <w:color w:val="auto"/>
              </w:rPr>
              <w:t>Net change in cumulative</w:t>
            </w:r>
          </w:p>
        </w:tc>
        <w:tc>
          <w:tcPr>
            <w:tcW w:w="146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20"/>
                <w:szCs w:val="20"/>
                <w:color w:val="auto"/>
              </w:rPr>
            </w:pPr>
            <w:r>
              <w:rPr>
                <w:rFonts w:ascii="Times New Roman" w:cs="Times New Roman" w:eastAsia="Times New Roman" w:hAnsi="Times New Roman"/>
                <w:sz w:val="10"/>
                <w:szCs w:val="10"/>
                <w:color w:val="auto"/>
              </w:rPr>
              <w:t>translation adjustments</w:t>
            </w:r>
          </w:p>
        </w:tc>
        <w:tc>
          <w:tcPr>
            <w:tcW w:w="146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&amp;nbs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6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3"/>
                <w:szCs w:val="13"/>
                <w:color w:val="auto"/>
              </w:rPr>
              <w:t xml:space="preserve">  p;</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Comprehensive</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shd w:val="clear" w:color="auto" w:fill="CCEEFF"/>
          </w:tcPr>
          <w:p>
            <w:pPr>
              <w:spacing w:after="0"/>
              <w:rPr>
                <w:sz w:val="14"/>
                <w:szCs w:val="14"/>
                <w:color w:val="auto"/>
              </w:rPr>
            </w:pPr>
          </w:p>
        </w:tc>
        <w:tc>
          <w:tcPr>
            <w:tcW w:w="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vMerge w:val="restart"/>
            <w:shd w:val="clear" w:color="auto" w:fill="CCEEFF"/>
          </w:tcPr>
          <w:p>
            <w:pPr>
              <w:spacing w:after="0"/>
              <w:rPr>
                <w:sz w:val="14"/>
                <w:szCs w:val="14"/>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income</w:t>
            </w: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400" w:type="dxa"/>
            <w:vAlign w:val="bottom"/>
            <w:tcBorders>
              <w:bottom w:val="single" w:sz="8" w:color="auto"/>
            </w:tcBorders>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gridSpan w:val="2"/>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0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auto"/>
              </w:rPr>
              <w:t>BALANCE—December</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spacing w:after="0"/>
              <w:rPr>
                <w:sz w:val="7"/>
                <w:szCs w:val="7"/>
                <w:color w:val="auto"/>
              </w:rPr>
            </w:pPr>
          </w:p>
        </w:tc>
        <w:tc>
          <w:tcPr>
            <w:tcW w:w="42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vMerge w:val="restart"/>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75,085</w:t>
            </w:r>
          </w:p>
        </w:tc>
        <w:tc>
          <w:tcPr>
            <w:tcW w:w="60" w:type="dxa"/>
            <w:vAlign w:val="bottom"/>
          </w:tcPr>
          <w:p>
            <w:pPr>
              <w:spacing w:after="0"/>
              <w:rPr>
                <w:sz w:val="7"/>
                <w:szCs w:val="7"/>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   75</w:t>
            </w:r>
          </w:p>
        </w:tc>
        <w:tc>
          <w:tcPr>
            <w:tcW w:w="120" w:type="dxa"/>
            <w:vAlign w:val="bottom"/>
          </w:tcPr>
          <w:p>
            <w:pPr>
              <w:spacing w:after="0"/>
              <w:rPr>
                <w:sz w:val="7"/>
                <w:szCs w:val="7"/>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(704)</w:t>
            </w:r>
          </w:p>
        </w:tc>
        <w:tc>
          <w:tcPr>
            <w:tcW w:w="3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 (2,995)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9"/>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31, 2010</w:t>
            </w:r>
          </w:p>
        </w:tc>
        <w:tc>
          <w:tcPr>
            <w:tcW w:w="400" w:type="dxa"/>
            <w:vAlign w:val="bottom"/>
            <w:tcBorders>
              <w:bottom w:val="single" w:sz="8" w:color="auto"/>
            </w:tcBorders>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-3793490</wp:posOffset>
            </wp:positionV>
            <wp:extent cx="6595110" cy="229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5110" cy="2298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-1818640</wp:posOffset>
            </wp:positionV>
            <wp:extent cx="4371975"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161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-1427480</wp:posOffset>
            </wp:positionV>
            <wp:extent cx="3719830" cy="297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19830" cy="2978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-831215</wp:posOffset>
            </wp:positionV>
            <wp:extent cx="6123305" cy="161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3305" cy="16129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-173355</wp:posOffset>
            </wp:positionV>
            <wp:extent cx="2476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00"/>
        <w:spacing w:after="0"/>
        <w:rPr>
          <w:sz w:val="20"/>
          <w:szCs w:val="20"/>
          <w:color w:val="auto"/>
        </w:rPr>
      </w:pPr>
      <w:r>
        <w:rPr>
          <w:rFonts w:ascii="Times New Roman" w:cs="Times New Roman" w:eastAsia="Times New Roman" w:hAnsi="Times New Roman"/>
          <w:sz w:val="13"/>
          <w:szCs w:val="13"/>
          <w:color w:val="auto"/>
        </w:rPr>
        <w:t>&lt; font style="font-</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color w:val="auto"/>
        </w:rPr>
        <w:t>family:inherit;font-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size:10pt;"&gt;</w:t>
            </w: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(12,768)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(2,995)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91,148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87,380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87,388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1,875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1,875</w:t>
            </w: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2,695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2,696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725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7,461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7,461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1,574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1,574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24"/>
                <w:szCs w:val="24"/>
                <w:color w:val="auto"/>
              </w:rPr>
            </w:pPr>
          </w:p>
        </w:tc>
        <w:tc>
          <w:tcPr>
            <w:tcW w:w="36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450"/>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1,417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1,417</w:t>
            </w:r>
          </w:p>
        </w:tc>
        <w:tc>
          <w:tcPr>
            <w:tcW w:w="0" w:type="dxa"/>
            <w:vAlign w:val="bottom"/>
          </w:tcPr>
          <w:p>
            <w:pPr>
              <w:spacing w:after="0"/>
              <w:rPr>
                <w:sz w:val="1"/>
                <w:szCs w:val="1"/>
                <w:color w:val="auto"/>
              </w:rPr>
            </w:pPr>
          </w:p>
        </w:tc>
      </w:tr>
      <w:tr>
        <w:trPr>
          <w:trHeight w:val="200"/>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60,179</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60,179</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60,179</w:t>
            </w:r>
          </w:p>
        </w:tc>
        <w:tc>
          <w:tcPr>
            <w:tcW w:w="0" w:type="dxa"/>
            <w:vAlign w:val="bottom"/>
          </w:tcPr>
          <w:p>
            <w:pPr>
              <w:spacing w:after="0"/>
              <w:rPr>
                <w:sz w:val="1"/>
                <w:szCs w:val="1"/>
                <w:color w:val="auto"/>
              </w:rPr>
            </w:pPr>
          </w:p>
        </w:tc>
      </w:tr>
      <w:tr>
        <w:trPr>
          <w:trHeight w:val="24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61,563</w:t>
            </w:r>
          </w:p>
        </w:tc>
        <w:tc>
          <w:tcPr>
            <w:tcW w:w="0" w:type="dxa"/>
            <w:vAlign w:val="bottom"/>
          </w:tcPr>
          <w:p>
            <w:pPr>
              <w:spacing w:after="0"/>
              <w:rPr>
                <w:sz w:val="1"/>
                <w:szCs w:val="1"/>
                <w:color w:val="auto"/>
              </w:rPr>
            </w:pPr>
          </w:p>
        </w:tc>
      </w:tr>
      <w:tr>
        <w:trPr>
          <w:trHeight w:val="21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98"/>
              </w:rPr>
              <w:t>204,268</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rPr>
              <w:t>1,084</w:t>
            </w:r>
          </w:p>
        </w:tc>
        <w:tc>
          <w:tcPr>
            <w:tcW w:w="80" w:type="dxa"/>
            <w:vAlign w:val="bottom"/>
          </w:tcPr>
          <w:p>
            <w:pPr>
              <w:spacing w:after="0"/>
              <w:rPr>
                <w:sz w:val="18"/>
                <w:szCs w:val="18"/>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(59,972</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142,452</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29,102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29,110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9,315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9,315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9,235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9,235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color w:val="auto"/>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74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&amp;n bsp;</w:t>
            </w:r>
          </w:p>
        </w:tc>
        <w:tc>
          <w:tcPr>
            <w:tcW w:w="1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74</w:t>
            </w:r>
          </w:p>
        </w:tc>
        <w:tc>
          <w:tcPr>
            <w:tcW w:w="0" w:type="dxa"/>
            <w:vAlign w:val="bottom"/>
          </w:tcPr>
          <w:p>
            <w:pPr>
              <w:spacing w:after="0"/>
              <w:rPr>
                <w:sz w:val="1"/>
                <w:szCs w:val="1"/>
                <w:color w:val="auto"/>
              </w:rPr>
            </w:pPr>
          </w:p>
        </w:tc>
      </w:tr>
      <w:tr>
        <w:trPr>
          <w:trHeight w:val="25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925</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&lt; font style="font-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925</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family:inherit;font-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760" w:type="dxa"/>
            <w:vAlign w:val="bottom"/>
            <w:gridSpan w:val="3"/>
          </w:tcPr>
          <w:p>
            <w:pPr>
              <w:ind w:left="420"/>
              <w:spacing w:after="0"/>
              <w:rPr>
                <w:sz w:val="20"/>
                <w:szCs w:val="20"/>
                <w:color w:val="auto"/>
              </w:rPr>
            </w:pPr>
            <w:r>
              <w:rPr>
                <w:rFonts w:ascii="Times New Roman" w:cs="Times New Roman" w:eastAsia="Times New Roman" w:hAnsi="Times New Roman"/>
                <w:sz w:val="10"/>
                <w:szCs w:val="10"/>
                <w:color w:val="auto"/>
              </w:rPr>
              <w:t>41,245</w:t>
            </w:r>
            <w:r>
              <w:rPr>
                <w:rFonts w:ascii="Times New Roman" w:cs="Times New Roman" w:eastAsia="Times New Roman" w:hAnsi="Times New Roman"/>
                <w:sz w:val="13"/>
                <w:szCs w:val="13"/>
                <w:color w:val="auto"/>
              </w:rPr>
              <w:t>size:10pt;"&gt;</w:t>
            </w: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41,245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41,245</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42</w:t>
            </w:r>
          </w:p>
        </w:tc>
        <w:tc>
          <w:tcPr>
            <w:tcW w:w="0" w:type="dxa"/>
            <w:vAlign w:val="bottom"/>
          </w:tcPr>
          <w:p>
            <w:pPr>
              <w:spacing w:after="0"/>
              <w:rPr>
                <w:sz w:val="1"/>
                <w:szCs w:val="1"/>
                <w:color w:val="auto"/>
              </w:rPr>
            </w:pPr>
          </w:p>
        </w:tc>
      </w:tr>
      <w:tr>
        <w:trPr>
          <w:trHeight w:val="16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,342</w:t>
            </w:r>
          </w:p>
        </w:tc>
        <w:tc>
          <w:tcPr>
            <w:tcW w:w="0" w:type="dxa"/>
            <w:vAlign w:val="bottom"/>
          </w:tcPr>
          <w:p>
            <w:pPr>
              <w:spacing w:after="0"/>
              <w:rPr>
                <w:sz w:val="1"/>
                <w:szCs w:val="1"/>
                <w:color w:val="auto"/>
              </w:rPr>
            </w:pPr>
          </w:p>
        </w:tc>
      </w:tr>
      <w:tr>
        <w:trPr>
          <w:trHeight w:val="224"/>
        </w:trPr>
        <w:tc>
          <w:tcPr>
            <w:tcW w:w="4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98"/>
              </w:rPr>
              <w:t>251,920</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rPr>
              <w:t>2,181</w:t>
            </w:r>
          </w:p>
        </w:tc>
        <w:tc>
          <w:tcPr>
            <w:tcW w:w="80" w:type="dxa"/>
            <w:vAlign w:val="bottom"/>
          </w:tcPr>
          <w:p>
            <w:pPr>
              <w:spacing w:after="0"/>
              <w:rPr>
                <w:sz w:val="19"/>
                <w:szCs w:val="19"/>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$(18,727)</w:t>
            </w:r>
          </w:p>
        </w:tc>
        <w:tc>
          <w:tcPr>
            <w:tcW w:w="1040" w:type="dxa"/>
            <w:vAlign w:val="bottom"/>
          </w:tcPr>
          <w:p>
            <w:pPr>
              <w:spacing w:after="0"/>
              <w:rPr>
                <w:sz w:val="19"/>
                <w:szCs w:val="19"/>
                <w:color w:val="auto"/>
              </w:rPr>
            </w:pPr>
          </w:p>
        </w:tc>
        <w:tc>
          <w:tcPr>
            <w:tcW w:w="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232,454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-4744085</wp:posOffset>
            </wp:positionV>
            <wp:extent cx="4112260" cy="434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2260" cy="434975"/>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-4079240</wp:posOffset>
            </wp:positionV>
            <wp:extent cx="4129405"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9405" cy="12446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-3402330</wp:posOffset>
            </wp:positionV>
            <wp:extent cx="7329170" cy="161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1612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-3011170</wp:posOffset>
            </wp:positionV>
            <wp:extent cx="4112260" cy="297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2260" cy="29781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-2427605</wp:posOffset>
            </wp:positionV>
            <wp:extent cx="4608830" cy="124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08830" cy="12446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-372110</wp:posOffset>
            </wp:positionV>
            <wp:extent cx="4112260" cy="372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2260" cy="37274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-2141855</wp:posOffset>
            </wp:positionV>
            <wp:extent cx="7329170" cy="161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1612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5280" w:space="240"/>
            <w:col w:w="6020"/>
          </w:cols>
          <w:pgMar w:left="220" w:top="124" w:right="1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ectPr>
          <w:pgSz w:w="11900" w:h="16838" w:orient="portrait"/>
          <w:cols w:equalWidth="0" w:num="1">
            <w:col w:w="11540"/>
          </w:cols>
          <w:pgMar w:left="220" w:top="124" w:right="139" w:bottom="1440" w:gutter="0" w:footer="0" w:header="0"/>
          <w:type w:val="continuous"/>
        </w:sectPr>
      </w:pP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1540"/>
          </w:cols>
          <w:pgMar w:left="220" w:top="124" w:right="1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80"/>
        </w:trPr>
        <w:tc>
          <w:tcPr>
            <w:tcW w:w="67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w w:val="99"/>
              </w:rPr>
              <w:t>2010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2009</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2008</w:t>
            </w:r>
          </w:p>
        </w:tc>
        <w:tc>
          <w:tcPr>
            <w:tcW w:w="280" w:type="dxa"/>
            <w:vAlign w:val="bottom"/>
            <w:tcBorders>
              <w:bottom w:val="single" w:sz="8" w:color="auto"/>
            </w:tcBorders>
          </w:tcPr>
          <w:p>
            <w:pPr>
              <w:spacing w:after="0"/>
              <w:rPr>
                <w:sz w:val="15"/>
                <w:szCs w:val="15"/>
                <w:color w:val="auto"/>
              </w:rPr>
            </w:pPr>
          </w:p>
        </w:tc>
      </w:tr>
      <w:tr>
        <w:trPr>
          <w:trHeight w:val="19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FLOWS FROM OPERATING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41,245</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60,179</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7,363</w:t>
            </w:r>
          </w:p>
        </w:tc>
      </w:tr>
      <w:tr>
        <w:trPr>
          <w:trHeight w:val="20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1"/>
        </w:trPr>
        <w:tc>
          <w:tcPr>
            <w:tcW w:w="67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5,696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5,935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4,234</w:t>
            </w:r>
          </w:p>
        </w:tc>
      </w:tr>
      <w:tr>
        <w:trPr>
          <w:trHeight w:val="200"/>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Write-off of intangible assets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2,387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67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Gain on disposal of fixed assets</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6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18"/>
              <w:spacing w:after="0" w:line="148" w:lineRule="exact"/>
              <w:rPr>
                <w:sz w:val="20"/>
                <w:szCs w:val="20"/>
                <w:color w:val="auto"/>
              </w:rPr>
            </w:pPr>
            <w:r>
              <w:rPr>
                <w:rFonts w:ascii="Times New Roman" w:cs="Times New Roman" w:eastAsia="Times New Roman" w:hAnsi="Times New Roman"/>
                <w:sz w:val="13"/>
                <w:szCs w:val="13"/>
                <w:color w:val="auto"/>
              </w:rPr>
              <w:t>&lt;</w:t>
            </w:r>
          </w:p>
        </w:tc>
      </w:tr>
      <w:tr>
        <w:trPr>
          <w:trHeight w:val="169"/>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Amortization of investment premiums</w:t>
            </w:r>
          </w:p>
        </w:tc>
        <w:tc>
          <w:tcPr>
            <w:tcW w:w="7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7,349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836</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r>
              <w:rPr>
                <w:rFonts w:ascii="Times New Roman" w:cs="Times New Roman" w:eastAsia="Times New Roman" w:hAnsi="Times New Roman"/>
                <w:sz w:val="13"/>
                <w:szCs w:val="13"/>
                <w:color w:val="auto"/>
              </w:rPr>
              <w:t>/div&gt;</w:t>
            </w:r>
          </w:p>
        </w:tc>
      </w:tr>
      <w:tr>
        <w:trPr>
          <w:trHeight w:val="191"/>
        </w:trPr>
        <w:tc>
          <w:tcPr>
            <w:tcW w:w="67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Stock-based compensation</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9,315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7,461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5,299</w:t>
            </w:r>
          </w:p>
        </w:tc>
      </w:tr>
      <w:tr>
        <w:trPr>
          <w:trHeight w:val="200"/>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Excess tax benefit from employee stock o ption plans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(5,781)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(1,574)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67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Income tax benefit from release of valuation allowance</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(30,211)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200"/>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1"/>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Accounts receivable—net</w:t>
            </w:r>
          </w:p>
        </w:tc>
        <w:tc>
          <w:tcPr>
            <w:tcW w:w="7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(17,784)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(8,508)</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auto"/>
              </w:rPr>
              <w:t>(18,350)</w:t>
            </w:r>
          </w:p>
        </w:tc>
      </w:tr>
      <w:tr>
        <w:trPr>
          <w:trHeight w:val="200"/>
        </w:trPr>
        <w:tc>
          <w:tcPr>
            <w:tcW w:w="6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0"/>
                <w:szCs w:val="10"/>
                <w:color w:val="auto"/>
              </w:rPr>
              <w:t>Inventory</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(5,946)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(2,012)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98"/>
              <w:spacing w:after="0" w:line="200" w:lineRule="exact"/>
              <w:rPr>
                <w:sz w:val="20"/>
                <w:szCs w:val="20"/>
                <w:color w:val="auto"/>
              </w:rPr>
            </w:pPr>
            <w:r>
              <w:rPr>
                <w:rFonts w:ascii="Times New Roman" w:cs="Times New Roman" w:eastAsia="Times New Roman" w:hAnsi="Times New Roman"/>
                <w:sz w:val="10"/>
                <w:szCs w:val="10"/>
                <w:color w:val="auto"/>
              </w:rPr>
              <w:t>(189</w:t>
            </w:r>
            <w:r>
              <w:rPr>
                <w:rFonts w:ascii="Times New Roman" w:cs="Times New Roman" w:eastAsia="Times New Roman" w:hAnsi="Times New Roman"/>
                <w:sz w:val="20"/>
                <w:szCs w:val="20"/>
                <w:color w:val="auto"/>
                <w:vertAlign w:val="superscript"/>
              </w:rPr>
              <w:t>)</w:t>
            </w:r>
          </w:p>
        </w:tc>
      </w:tr>
      <w:tr>
        <w:trPr>
          <w:trHeight w:val="191"/>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Deferred tax assets</w:t>
            </w:r>
          </w:p>
        </w:tc>
        <w:tc>
          <w:tcPr>
            <w:tcW w:w="7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(4,278)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(9,578)</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205</w:t>
            </w:r>
          </w:p>
        </w:tc>
      </w:tr>
      <w:tr>
        <w:trPr>
          <w:trHeight w:val="200"/>
        </w:trPr>
        <w:tc>
          <w:tcPr>
            <w:tcW w:w="6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(3,849)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(190)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(214)</w:t>
            </w:r>
          </w:p>
        </w:tc>
      </w:tr>
      <w:tr>
        <w:trPr>
          <w:trHeight w:val="191"/>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Deferred cost of revenues</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364</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(1,063)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(1,231)</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0"/>
        </w:trPr>
        <w:tc>
          <w:tcPr>
            <w:tcW w:w="6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0"/>
                <w:szCs w:val="10"/>
                <w:color w:val="auto"/>
              </w:rPr>
              <w:t>Other assets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(419)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(80)</w:t>
            </w:r>
          </w:p>
        </w:tc>
      </w:tr>
      <w:tr>
        <w:trPr>
          <w:trHeight w:val="191"/>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Accounts payable</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2,437</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3,046</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auto"/>
              </w:rPr>
              <w:t>(1,864)</w:t>
            </w:r>
          </w:p>
        </w:tc>
      </w:tr>
      <w:tr>
        <w:trPr>
          <w:trHeight w:val="200"/>
        </w:trPr>
        <w:tc>
          <w:tcPr>
            <w:tcW w:w="6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0"/>
                <w:szCs w:val="10"/>
                <w:color w:val="auto"/>
              </w:rPr>
              <w:t>Accrued liabilities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2,363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2,157</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(780)</w:t>
            </w:r>
          </w:p>
        </w:tc>
      </w:tr>
      <w:tr>
        <w:trPr>
          <w:trHeight w:val="191"/>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Accrued payroll and compensation</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5,465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5,030</w:t>
            </w:r>
          </w:p>
        </w:tc>
      </w:tr>
      <w:tr>
        <w:trPr>
          <w:trHeight w:val="200"/>
        </w:trPr>
        <w:tc>
          <w:tcPr>
            <w:tcW w:w="6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0"/>
                <w:szCs w:val="10"/>
                <w:color w:val="auto"/>
              </w:rPr>
              <w:t>Deferred revenue</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50,701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30,313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40,363</w:t>
            </w:r>
          </w:p>
        </w:tc>
      </w:tr>
      <w:tr>
        <w:trPr>
          <w:trHeight w:val="163"/>
        </w:trPr>
        <w:tc>
          <w:tcPr>
            <w:tcW w:w="6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&amp;nbs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9"/>
        </w:trPr>
        <w:tc>
          <w:tcPr>
            <w:tcW w:w="672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Income taxes payable</w:t>
            </w:r>
          </w:p>
        </w:tc>
        <w:tc>
          <w:tcPr>
            <w:tcW w:w="7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16,017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2,582</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w:t>
            </w: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auto"/>
              </w:rPr>
              <w:t>(2,141)</w:t>
            </w:r>
          </w:p>
        </w:tc>
      </w:tr>
      <w:tr>
        <w:trPr>
          <w:trHeight w:val="176"/>
        </w:trPr>
        <w:tc>
          <w:tcPr>
            <w:tcW w:w="6720" w:type="dxa"/>
            <w:vAlign w:val="bottom"/>
            <w:tcBorders>
              <w:top w:val="single" w:sz="8" w:color="CCEEFF"/>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103,383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61,971</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37,686</w:t>
            </w:r>
          </w:p>
        </w:tc>
      </w:tr>
      <w:tr>
        <w:trPr>
          <w:trHeight w:val="181"/>
        </w:trPr>
        <w:tc>
          <w:tcPr>
            <w:tcW w:w="6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FLOWS FROM INVESTING ACTIVITIES:</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Purchase of investments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(416,376)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(137,231)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(80,588</w:t>
            </w:r>
          </w:p>
        </w:tc>
        <w:tc>
          <w:tcPr>
            <w:tcW w:w="2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w w:val="73"/>
              </w:rPr>
              <w:t>)</w:t>
            </w: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Maturities and sales of investments</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136,380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156,126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31,742</w:t>
            </w:r>
          </w:p>
        </w:tc>
      </w:tr>
      <w:tr>
        <w:trPr>
          <w:trHeight w:val="200"/>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(3,776)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(4,589)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(2,798)</w:t>
            </w: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Payments made in connection with asset acquisition, net</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(549)</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auto"/>
              </w:rPr>
              <w:t>(2,000)</w:t>
            </w:r>
          </w:p>
        </w:tc>
      </w:tr>
      <w:tr>
        <w:trPr>
          <w:trHeight w:val="186"/>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Change in restricted cash</w:t>
            </w:r>
          </w:p>
        </w:tc>
        <w:tc>
          <w:tcPr>
            <w:tcW w:w="7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(62)</w:t>
            </w:r>
          </w:p>
        </w:tc>
      </w:tr>
      <w:tr>
        <w:trPr>
          <w:trHeight w:val="180"/>
        </w:trPr>
        <w:tc>
          <w:tcPr>
            <w:tcW w:w="672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(283,710)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13,757</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98"/>
              <w:spacing w:after="0" w:line="181" w:lineRule="exact"/>
              <w:rPr>
                <w:sz w:val="20"/>
                <w:szCs w:val="20"/>
                <w:color w:val="auto"/>
              </w:rPr>
            </w:pPr>
            <w:r>
              <w:rPr>
                <w:rFonts w:ascii="Times New Roman" w:cs="Times New Roman" w:eastAsia="Times New Roman" w:hAnsi="Times New Roman"/>
                <w:sz w:val="10"/>
                <w:szCs w:val="10"/>
                <w:color w:val="auto"/>
              </w:rPr>
              <w:t>(53,706</w:t>
            </w:r>
            <w:r>
              <w:rPr>
                <w:rFonts w:ascii="Times New Roman" w:cs="Times New Roman" w:eastAsia="Times New Roman" w:hAnsi="Times New Roman"/>
                <w:sz w:val="20"/>
                <w:szCs w:val="20"/>
                <w:color w:val="auto"/>
                <w:vertAlign w:val="superscript"/>
              </w:rPr>
              <w:t>)</w:t>
            </w:r>
          </w:p>
        </w:tc>
      </w:tr>
      <w:tr>
        <w:trPr>
          <w:trHeight w:val="18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FLOWS FROM FINANCING ACTIVITIES:</w:t>
            </w: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Proceeds from exercise of stock options and warran ts</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29,110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3,978</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2,117</w:t>
            </w:r>
          </w:p>
        </w:tc>
      </w:tr>
      <w:tr>
        <w:trPr>
          <w:trHeight w:val="20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Proceeds from initial public offering</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&amp;mdash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91,565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Offering costs paid in connection with initial public offering</w:t>
            </w:r>
          </w:p>
        </w:tc>
        <w:tc>
          <w:tcPr>
            <w:tcW w:w="7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(872)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(3,305)</w:t>
            </w:r>
          </w:p>
        </w:tc>
        <w:tc>
          <w:tcPr>
            <w:tcW w:w="32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Repurchase of convertible preferred shares</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(12,768)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Repurchase of common shares</w:t>
            </w: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(2,995)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&amp; mdash;</w:t>
            </w:r>
          </w:p>
        </w:tc>
      </w:tr>
      <w:tr>
        <w:trPr>
          <w:trHeight w:val="190"/>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Excess tax benefit from employee stock option plans</w:t>
            </w:r>
          </w:p>
        </w:tc>
        <w:tc>
          <w:tcPr>
            <w:tcW w:w="7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5,781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1,574</w:t>
            </w: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6720" w:type="dxa"/>
            <w:vAlign w:val="bottom"/>
            <w:tcBorders>
              <w:bottom w:val="single" w:sz="8" w:color="CCEEFF"/>
            </w:tcBorders>
          </w:tcPr>
          <w:p>
            <w:pPr>
              <w:ind w:left="1360"/>
              <w:spacing w:after="0"/>
              <w:rPr>
                <w:sz w:val="20"/>
                <w:szCs w:val="20"/>
                <w:color w:val="auto"/>
              </w:rPr>
            </w:pPr>
            <w:r>
              <w:rPr>
                <w:rFonts w:ascii="Times New Roman" w:cs="Times New Roman" w:eastAsia="Times New Roman" w:hAnsi="Times New Roman"/>
                <w:sz w:val="10"/>
                <w:szCs w:val="10"/>
                <w:color w:val="auto"/>
              </w:rPr>
              <w:t>Net cash provided by financing activities</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34,019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78,049</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2,117</w:t>
            </w:r>
          </w:p>
        </w:tc>
      </w:tr>
      <w:tr>
        <w:trPr>
          <w:trHeight w:val="309"/>
        </w:trPr>
        <w:tc>
          <w:tcPr>
            <w:tcW w:w="6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&lt;</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17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EXCHANGE RATES ON CASH AND CASH EQUIVALENTS</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2,110</w:t>
            </w: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/td&gt;</w:t>
            </w: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0"/>
                <w:szCs w:val="10"/>
                <w:color w:val="auto"/>
              </w:rPr>
              <w:t>(937)</w:t>
            </w:r>
          </w:p>
        </w:tc>
      </w:tr>
      <w:tr>
        <w:trPr>
          <w:trHeight w:val="181"/>
        </w:trPr>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NET INCREASE (DECREASE) IN CASH AND CASH EQUIVALENTS</w:t>
            </w:r>
          </w:p>
        </w:tc>
        <w:tc>
          <w:tcPr>
            <w:tcW w:w="7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(145,599)</w:t>
            </w: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155,887</w:t>
            </w:r>
          </w:p>
        </w:tc>
        <w:tc>
          <w:tcPr>
            <w:tcW w:w="3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0"/>
                <w:szCs w:val="10"/>
                <w:color w:val="auto"/>
              </w:rPr>
              <w:t>(14,840)</w:t>
            </w:r>
          </w:p>
        </w:tc>
      </w:tr>
      <w:tr>
        <w:trPr>
          <w:trHeight w:val="19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AND CASH EQUIVALENTS—Beginning of period</w:t>
            </w:r>
          </w:p>
        </w:tc>
        <w:tc>
          <w:tcPr>
            <w:tcW w:w="7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212,458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56,571</w:t>
            </w: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71,411</w:t>
            </w:r>
          </w:p>
        </w:tc>
      </w:tr>
      <w:tr>
        <w:trPr>
          <w:trHeight w:val="165"/>
        </w:trPr>
        <w:tc>
          <w:tcPr>
            <w:tcW w:w="6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EQUIVALENTS—End of period</w:t>
            </w:r>
          </w:p>
        </w:tc>
        <w:tc>
          <w:tcPr>
            <w:tcW w:w="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66,859</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212,458</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56,571</w:t>
            </w:r>
          </w:p>
        </w:tc>
      </w:tr>
      <w:tr>
        <w:trPr>
          <w:trHeight w:val="19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SUPPLEMENTAL DISCLOSURES OF CASH FLOW INFORMATION:</w:t>
            </w: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r>
      <w:tr>
        <w:trPr>
          <w:trHeight w:val="176"/>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Cash paid for taxes</w:t>
            </w:r>
          </w:p>
        </w:tc>
        <w:tc>
          <w:tcPr>
            <w:tcW w:w="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2,483</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4,746</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3,615</w:t>
            </w:r>
          </w:p>
        </w:tc>
      </w:tr>
      <w:tr>
        <w:trPr>
          <w:trHeight w:val="19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NON-CASH INVESTING AND FINANCING ACTIVITIES:</w:t>
            </w: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r>
      <w:tr>
        <w:trPr>
          <w:trHeight w:val="176"/>
        </w:trPr>
        <w:tc>
          <w:tcPr>
            <w:tcW w:w="67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Purchase of property and equipment not yet paid</w:t>
            </w: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135</w:t>
            </w:r>
          </w:p>
        </w:tc>
        <w:tc>
          <w:tcPr>
            <w:tcW w:w="10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849</w:t>
            </w:r>
          </w:p>
        </w:tc>
        <w:tc>
          <w:tcPr>
            <w:tcW w:w="32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38"/>
              <w:spacing w:after="0"/>
              <w:rPr>
                <w:sz w:val="20"/>
                <w:szCs w:val="20"/>
                <w:color w:val="auto"/>
              </w:rPr>
            </w:pPr>
            <w:r>
              <w:rPr>
                <w:rFonts w:ascii="Times New Roman" w:cs="Times New Roman" w:eastAsia="Times New Roman" w:hAnsi="Times New Roman"/>
                <w:sz w:val="10"/>
                <w:szCs w:val="10"/>
                <w:color w:val="auto"/>
              </w:rPr>
              <w:t>67</w:t>
            </w:r>
          </w:p>
        </w:tc>
      </w:tr>
      <w:tr>
        <w:trPr>
          <w:trHeight w:val="176"/>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Accrued offering costs not yet paid</w:t>
            </w: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872</w:t>
            </w: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0"/>
                <w:szCs w:val="10"/>
                <w:color w:val="auto"/>
              </w:rPr>
              <w:t>—</w:t>
            </w:r>
          </w:p>
        </w:tc>
      </w:tr>
    </w:tbl>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11460"/>
          </w:cols>
          <w:pgMar w:left="220" w:top="124" w:right="2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179" w:lineRule="exact"/>
        <w:rPr>
          <w:sz w:val="20"/>
          <w:szCs w:val="20"/>
          <w:color w:val="auto"/>
        </w:rPr>
      </w:pPr>
    </w:p>
    <w:p>
      <w:pPr>
        <w:ind w:left="4160" w:hanging="256"/>
        <w:spacing w:after="0"/>
        <w:tabs>
          <w:tab w:leader="none" w:pos="416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163" w:lineRule="exact"/>
        <w:rPr>
          <w:sz w:val="20"/>
          <w:szCs w:val="20"/>
          <w:color w:val="auto"/>
        </w:rPr>
      </w:pPr>
    </w:p>
    <w:p>
      <w:pPr>
        <w:ind w:left="220" w:right="200" w:firstLine="454"/>
        <w:spacing w:after="0" w:line="262" w:lineRule="auto"/>
        <w:rPr>
          <w:sz w:val="20"/>
          <w:szCs w:val="20"/>
          <w:color w:val="auto"/>
        </w:rPr>
      </w:pPr>
      <w:r>
        <w:rPr>
          <w:rFonts w:ascii="Times New Roman" w:cs="Times New Roman" w:eastAsia="Times New Roman" w:hAnsi="Times New Roman"/>
          <w:sz w:val="13"/>
          <w:szCs w:val="13"/>
          <w:b w:val="1"/>
          <w:bCs w:val="1"/>
          <w:color w:val="auto"/>
        </w:rPr>
        <w:t>Business</w:t>
      </w:r>
      <w:r>
        <w:rPr>
          <w:rFonts w:ascii="Times New Roman" w:cs="Times New Roman" w:eastAsia="Times New Roman" w:hAnsi="Times New Roman"/>
          <w:sz w:val="13"/>
          <w:szCs w:val="13"/>
          <w:color w:val="auto"/>
        </w:rPr>
        <w:t>—Fortinet, Inc. (“Fortinet”) was incorporated in Delaware in November 2000 and is a leading provider of network security appliances and UTM network security solutions to enterprises, service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providers and government entities worldwide. Fortinet’s solutions are designed to integrate multiple levels of security protection, including firewall, virtual private networking, antivirus, intrusion prevention, web</w:t>
      </w:r>
    </w:p>
    <w:p>
      <w:pPr>
        <w:jc w:val="center"/>
        <w:spacing w:after="0"/>
        <w:rPr>
          <w:sz w:val="20"/>
          <w:szCs w:val="20"/>
          <w:color w:val="auto"/>
        </w:rPr>
      </w:pPr>
      <w:r>
        <w:rPr>
          <w:rFonts w:ascii="Times New Roman" w:cs="Times New Roman" w:eastAsia="Times New Roman" w:hAnsi="Times New Roman"/>
          <w:sz w:val="13"/>
          <w:szCs w:val="13"/>
          <w:color w:val="auto"/>
        </w:rPr>
        <w:t>filtering, antispam and WAN acceleration.</w:t>
      </w:r>
    </w:p>
    <w:p>
      <w:pPr>
        <w:spacing w:after="0" w:line="150" w:lineRule="exact"/>
        <w:rPr>
          <w:sz w:val="20"/>
          <w:szCs w:val="20"/>
          <w:color w:val="auto"/>
        </w:rPr>
      </w:pPr>
    </w:p>
    <w:p>
      <w:pPr>
        <w:ind w:right="40" w:firstLine="469"/>
        <w:spacing w:after="0" w:line="262" w:lineRule="auto"/>
        <w:rPr>
          <w:sz w:val="20"/>
          <w:szCs w:val="20"/>
          <w:color w:val="auto"/>
        </w:rPr>
      </w:pPr>
      <w:r>
        <w:rPr>
          <w:rFonts w:ascii="Times New Roman" w:cs="Times New Roman" w:eastAsia="Times New Roman" w:hAnsi="Times New Roman"/>
          <w:sz w:val="13"/>
          <w:szCs w:val="13"/>
          <w:b w:val="1"/>
          <w:bCs w:val="1"/>
          <w:color w:val="auto"/>
        </w:rPr>
        <w:t>Initial Public Offering</w:t>
      </w:r>
      <w:r>
        <w:rPr>
          <w:rFonts w:ascii="Times New Roman" w:cs="Times New Roman" w:eastAsia="Times New Roman" w:hAnsi="Times New Roman"/>
          <w:sz w:val="13"/>
          <w:szCs w:val="13"/>
          <w:color w:val="auto"/>
        </w:rPr>
        <w:t>—In November 2009, we completed our initial public offering, whereby 14,375,000 million shares of common stock were sold to the public at a price of $12.50 per share. We sold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7,656,683 shares of common stock and selling shareholders sold 6,718,317 common shares. We received $87.4 million in net proceeds, comprising of gross proceeds from shares issued by us in the initial public offering of $95.7 million plus an administrative fee reimbursement of $1.7 million, offset by underwriting discount of $6.7 million and total offering costs of $3.3 million. Upon the closing of the initial public offering, all sh ares of convertible preferred stock outstanding automatically converted into 37,476,035 shares of common stock.</w:t>
      </w:r>
    </w:p>
    <w:p>
      <w:pPr>
        <w:spacing w:after="0" w:line="130" w:lineRule="exact"/>
        <w:rPr>
          <w:sz w:val="20"/>
          <w:szCs w:val="20"/>
          <w:color w:val="auto"/>
        </w:rPr>
      </w:pPr>
    </w:p>
    <w:p>
      <w:pPr>
        <w:ind w:left="60" w:right="40" w:firstLine="615"/>
        <w:spacing w:after="0" w:line="258" w:lineRule="auto"/>
        <w:rPr>
          <w:sz w:val="20"/>
          <w:szCs w:val="20"/>
          <w:color w:val="auto"/>
        </w:rPr>
      </w:pPr>
      <w:r>
        <w:rPr>
          <w:rFonts w:ascii="Times New Roman" w:cs="Times New Roman" w:eastAsia="Times New Roman" w:hAnsi="Times New Roman"/>
          <w:sz w:val="13"/>
          <w:szCs w:val="13"/>
          <w:b w:val="1"/>
          <w:bCs w:val="1"/>
          <w:color w:val="auto"/>
        </w:rPr>
        <w:t>Basis of Presentation and Preparation</w:t>
      </w:r>
      <w:r>
        <w:rPr>
          <w:rFonts w:ascii="Times New Roman" w:cs="Times New Roman" w:eastAsia="Times New Roman" w:hAnsi="Times New Roman"/>
          <w:sz w:val="13"/>
          <w:szCs w:val="13"/>
          <w:color w:val="auto"/>
        </w:rPr>
        <w:t>—The consolidated financial statements include the accounts of Fortinet and its wholly owned subsidiaries (collectively, the “Company,” “we,” “us” or “our”).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intercompany transactions and balances have been eliminated in consolidation. Beginning 2005 fiscal year, we adopted a 52- to 53-week year ending on the Sunday closest to December 31 of each year. Commencing in the third quarter of fiscal 2009, we began operating and reporting financial results on a calendar quarter and year basis . Our 2009 fiscal year ended on December 31, 2009. Fiscal 2010 and 2009 were comprised of 365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days and 368 days, respectively.</w:t>
      </w:r>
    </w:p>
    <w:p>
      <w:pPr>
        <w:spacing w:after="0" w:line="150" w:lineRule="exact"/>
        <w:rPr>
          <w:sz w:val="20"/>
          <w:szCs w:val="20"/>
          <w:color w:val="auto"/>
        </w:rPr>
      </w:pPr>
    </w:p>
    <w:p>
      <w:pPr>
        <w:jc w:val="both"/>
        <w:ind w:firstLine="476"/>
        <w:spacing w:after="0" w:line="258" w:lineRule="auto"/>
        <w:rPr>
          <w:sz w:val="20"/>
          <w:szCs w:val="20"/>
          <w:color w:val="auto"/>
        </w:rPr>
      </w:pPr>
      <w:r>
        <w:rPr>
          <w:rFonts w:ascii="Times New Roman" w:cs="Times New Roman" w:eastAsia="Times New Roman" w:hAnsi="Times New Roman"/>
          <w:sz w:val="13"/>
          <w:szCs w:val="13"/>
          <w:b w:val="1"/>
          <w:bCs w:val="1"/>
          <w:color w:val="auto"/>
        </w:rPr>
        <w:t>Use of Estimates</w:t>
      </w:r>
      <w:r>
        <w:rPr>
          <w:rFonts w:ascii="Times New Roman" w:cs="Times New Roman" w:eastAsia="Times New Roman" w:hAnsi="Times New Roman"/>
          <w:sz w:val="13"/>
          <w:szCs w:val="13"/>
          <w:color w:val="auto"/>
        </w:rPr>
        <w:t>—The preparation of consolidated financial statements in conformity with accounting principles generally accepted in the United States of America requires management to make estimates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assumptions that affect the reported amounts of assets and liabilities at the date of the consolidated financial statements and the reported amounts of revenues and expenses during the reporting period. Such management estimates include implicit service periods for revenue recognition, litigation and settlement costs and other loss contingencies, sales returns and all owances, reserve for bad debt, inventory write-offs, reserve for warranty</w:t>
      </w:r>
    </w:p>
    <w:p>
      <w:pPr>
        <w:spacing w:after="0" w:line="1" w:lineRule="exact"/>
        <w:rPr>
          <w:sz w:val="20"/>
          <w:szCs w:val="20"/>
          <w:color w:val="auto"/>
        </w:rPr>
      </w:pPr>
    </w:p>
    <w:p>
      <w:pPr>
        <w:jc w:val="center"/>
        <w:ind w:left="240" w:right="120"/>
        <w:spacing w:after="0" w:line="262" w:lineRule="auto"/>
        <w:rPr>
          <w:sz w:val="20"/>
          <w:szCs w:val="20"/>
          <w:color w:val="auto"/>
        </w:rPr>
      </w:pPr>
      <w:r>
        <w:rPr>
          <w:rFonts w:ascii="Times New Roman" w:cs="Times New Roman" w:eastAsia="Times New Roman" w:hAnsi="Times New Roman"/>
          <w:sz w:val="13"/>
          <w:szCs w:val="13"/>
          <w:color w:val="auto"/>
        </w:rPr>
        <w:t>costs, valuation of deferred tax assets, and tangible and intangible assets. We base our estimates on historical experience and also on assumptions that we believe are reasonable. Actual results could differ from those estimates.</w:t>
      </w:r>
    </w:p>
    <w:p>
      <w:pPr>
        <w:spacing w:after="0" w:line="129" w:lineRule="exact"/>
        <w:rPr>
          <w:sz w:val="20"/>
          <w:szCs w:val="20"/>
          <w:color w:val="auto"/>
        </w:rPr>
      </w:pPr>
    </w:p>
    <w:p>
      <w:pPr>
        <w:ind w:left="280" w:right="140" w:firstLine="349"/>
        <w:spacing w:after="0" w:line="262" w:lineRule="auto"/>
        <w:rPr>
          <w:sz w:val="20"/>
          <w:szCs w:val="20"/>
          <w:color w:val="auto"/>
        </w:rPr>
      </w:pPr>
      <w:r>
        <w:rPr>
          <w:rFonts w:ascii="Times New Roman" w:cs="Times New Roman" w:eastAsia="Times New Roman" w:hAnsi="Times New Roman"/>
          <w:sz w:val="13"/>
          <w:szCs w:val="13"/>
          <w:b w:val="1"/>
          <w:bCs w:val="1"/>
          <w:color w:val="auto"/>
        </w:rPr>
        <w:t>Certain Significant Risks and Uncertainties</w:t>
      </w:r>
      <w:r>
        <w:rPr>
          <w:rFonts w:ascii="Times New Roman" w:cs="Times New Roman" w:eastAsia="Times New Roman" w:hAnsi="Times New Roman"/>
          <w:sz w:val="13"/>
          <w:szCs w:val="13"/>
          <w:color w:val="auto"/>
        </w:rPr>
        <w:t>—We are subject to certain risks and uncertainties that could have a material adverse effect on our future financial position or results of operations, such as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changes in level of demand for our products and services, seasonality, the timing of new product introductions, price and sales competition and our ability to adapt to changing ma rket conditions and</w:t>
      </w:r>
    </w:p>
    <w:p>
      <w:pPr>
        <w:jc w:val="center"/>
        <w:spacing w:after="0" w:line="254" w:lineRule="auto"/>
        <w:rPr>
          <w:sz w:val="20"/>
          <w:szCs w:val="20"/>
          <w:color w:val="auto"/>
        </w:rPr>
      </w:pPr>
      <w:r>
        <w:rPr>
          <w:rFonts w:ascii="Times New Roman" w:cs="Times New Roman" w:eastAsia="Times New Roman" w:hAnsi="Times New Roman"/>
          <w:sz w:val="13"/>
          <w:szCs w:val="13"/>
          <w:color w:val="auto"/>
        </w:rPr>
        <w:t>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9), product obsolescence, and our ability to attract and retain qualified employees.</w:t>
      </w:r>
    </w:p>
    <w:p>
      <w:pPr>
        <w:spacing w:after="0" w:line="138" w:lineRule="exact"/>
        <w:rPr>
          <w:sz w:val="20"/>
          <w:szCs w:val="20"/>
          <w:color w:val="auto"/>
        </w:rPr>
      </w:pPr>
    </w:p>
    <w:p>
      <w:pPr>
        <w:ind w:left="2960" w:right="180" w:hanging="2298"/>
        <w:spacing w:after="0" w:line="281" w:lineRule="auto"/>
        <w:rPr>
          <w:sz w:val="20"/>
          <w:szCs w:val="20"/>
          <w:color w:val="auto"/>
        </w:rPr>
      </w:pPr>
      <w:r>
        <w:rPr>
          <w:rFonts w:ascii="Times New Roman" w:cs="Times New Roman" w:eastAsia="Times New Roman" w:hAnsi="Times New Roman"/>
          <w:sz w:val="13"/>
          <w:szCs w:val="13"/>
          <w:color w:val="auto"/>
        </w:rPr>
        <w:t>We rely on sole suppliers and independent contract manufactu rers for certain of our components and one third-party logistics company for certain distribution of our products. The inability of any of these parties to fulfill our supply and logistics requirements could negatively impact our future operating results.</w:t>
      </w:r>
    </w:p>
    <w:p>
      <w:pPr>
        <w:spacing w:after="0" w:line="117" w:lineRule="exact"/>
        <w:rPr>
          <w:sz w:val="20"/>
          <w:szCs w:val="20"/>
          <w:color w:val="auto"/>
        </w:rPr>
      </w:pPr>
    </w:p>
    <w:p>
      <w:pPr>
        <w:ind w:left="20" w:right="20" w:firstLine="538"/>
        <w:spacing w:after="0" w:line="262" w:lineRule="auto"/>
        <w:rPr>
          <w:sz w:val="20"/>
          <w:szCs w:val="20"/>
          <w:color w:val="auto"/>
        </w:rPr>
      </w:pPr>
      <w:r>
        <w:rPr>
          <w:rFonts w:ascii="Times New Roman" w:cs="Times New Roman" w:eastAsia="Times New Roman" w:hAnsi="Times New Roman"/>
          <w:sz w:val="13"/>
          <w:szCs w:val="13"/>
          <w:b w:val="1"/>
          <w:bCs w:val="1"/>
          <w:color w:val="auto"/>
        </w:rPr>
        <w:t>Concentration of Credit Risk</w:t>
      </w:r>
      <w:r>
        <w:rPr>
          <w:rFonts w:ascii="Times New Roman" w:cs="Times New Roman" w:eastAsia="Times New Roman" w:hAnsi="Times New Roman"/>
          <w:sz w:val="13"/>
          <w:szCs w:val="13"/>
          <w:color w:val="auto"/>
        </w:rPr>
        <w:t>—Financial instruments that subject us to concentrations of credit risk consist primarily of cash, cash equivalents, short-term investments, and accounts receivable. We maintain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cash and cash equivalents in fixed income securities with major financial institutions, which our management assesses to be of high credit quality, in order to limit the exposure of each investment. Deposits held with</w:t>
      </w:r>
    </w:p>
    <w:p>
      <w:pPr>
        <w:jc w:val="center"/>
        <w:spacing w:after="0"/>
        <w:rPr>
          <w:sz w:val="20"/>
          <w:szCs w:val="20"/>
          <w:color w:val="auto"/>
        </w:rPr>
      </w:pPr>
      <w:r>
        <w:rPr>
          <w:rFonts w:ascii="Times New Roman" w:cs="Times New Roman" w:eastAsia="Times New Roman" w:hAnsi="Times New Roman"/>
          <w:sz w:val="13"/>
          <w:szCs w:val="13"/>
          <w:color w:val="auto"/>
        </w:rPr>
        <w:t>banks may exceed the amount of insurance provided on such deposits.</w:t>
      </w:r>
    </w:p>
    <w:p>
      <w:pPr>
        <w:spacing w:after="0" w:line="152" w:lineRule="exact"/>
        <w:rPr>
          <w:sz w:val="20"/>
          <w:szCs w:val="20"/>
          <w:color w:val="auto"/>
        </w:rPr>
      </w:pPr>
    </w:p>
    <w:p>
      <w:pPr>
        <w:ind w:left="1820" w:right="80" w:hanging="1262"/>
        <w:spacing w:after="0" w:line="281" w:lineRule="auto"/>
        <w:rPr>
          <w:sz w:val="20"/>
          <w:szCs w:val="20"/>
          <w:color w:val="auto"/>
        </w:rPr>
      </w:pPr>
      <w:r>
        <w:rPr>
          <w:rFonts w:ascii="Times New Roman" w:cs="Times New Roman" w:eastAsia="Times New Roman" w:hAnsi="Times New Roman"/>
          <w:sz w:val="13"/>
          <w:szCs w:val="13"/>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1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At December 31, 2010&lt; font style="font-family:inherit;font-size:10pt;"&gt;, no single distributor customer accounted for more than 10% of net accounts receivable. At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1460"/>
          </w:cols>
          <w:pgMar w:left="220" w:top="124" w:right="2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December 31, 2009, one distributor customer accounted for 15% of net accounts receivable.</w:t>
      </w:r>
    </w:p>
    <w:p>
      <w:pPr>
        <w:spacing w:after="0" w:line="163" w:lineRule="exact"/>
        <w:rPr>
          <w:sz w:val="20"/>
          <w:szCs w:val="20"/>
          <w:color w:val="auto"/>
        </w:rPr>
      </w:pPr>
    </w:p>
    <w:p>
      <w:pPr>
        <w:jc w:val="center"/>
        <w:ind w:left="700" w:right="100"/>
        <w:spacing w:after="0" w:line="281" w:lineRule="auto"/>
        <w:rPr>
          <w:sz w:val="20"/>
          <w:szCs w:val="20"/>
          <w:color w:val="auto"/>
        </w:rPr>
      </w:pPr>
      <w:r>
        <w:rPr>
          <w:rFonts w:ascii="Times New Roman" w:cs="Times New Roman" w:eastAsia="Times New Roman" w:hAnsi="Times New Roman"/>
          <w:sz w:val="13"/>
          <w:szCs w:val="13"/>
          <w:color w:val="auto"/>
        </w:rPr>
        <w:t>During fiscal 2010, no single distributor customer accounted for more than 10% of total net revenues. During fiscal 2009 and fiscal 2008, one distributor customer accounted for 12% of total net revenues for each fiscal year.</w:t>
      </w:r>
    </w:p>
    <w:p>
      <w:pPr>
        <w:spacing w:after="0" w:line="117" w:lineRule="exact"/>
        <w:rPr>
          <w:sz w:val="20"/>
          <w:szCs w:val="20"/>
          <w:color w:val="auto"/>
        </w:rPr>
      </w:pPr>
    </w:p>
    <w:p>
      <w:pPr>
        <w:ind w:left="220" w:right="20" w:firstLine="278"/>
        <w:spacing w:after="0" w:line="262" w:lineRule="auto"/>
        <w:rPr>
          <w:sz w:val="20"/>
          <w:szCs w:val="20"/>
          <w:color w:val="auto"/>
        </w:rPr>
      </w:pPr>
      <w:r>
        <w:rPr>
          <w:rFonts w:ascii="Times New Roman" w:cs="Times New Roman" w:eastAsia="Times New Roman" w:hAnsi="Times New Roman"/>
          <w:sz w:val="13"/>
          <w:szCs w:val="13"/>
          <w:b w:val="1"/>
          <w:bCs w:val="1"/>
          <w:color w:val="auto"/>
        </w:rPr>
        <w:t>Financial Instruments and Fair Value</w:t>
      </w:r>
      <w:r>
        <w:rPr>
          <w:rFonts w:ascii="Times New Roman" w:cs="Times New Roman" w:eastAsia="Times New Roman" w:hAnsi="Times New Roman"/>
          <w:sz w:val="13"/>
          <w:szCs w:val="13"/>
          <w:color w:val="auto"/>
        </w:rPr>
        <w:t>—We apply fair value accounting for all financial assets and liabilities and non-financial assets and liabilities that are recognized or disclosed at fair value in the financial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statements on a recurring basis. Due to their short-term nature, the carrying amounts reported in the consolidated financial statements approximate the fair value for accounts receivable, accounts payable, accrued</w:t>
      </w:r>
    </w:p>
    <w:p>
      <w:pPr>
        <w:jc w:val="center"/>
        <w:spacing w:after="0"/>
        <w:rPr>
          <w:sz w:val="20"/>
          <w:szCs w:val="20"/>
          <w:color w:val="auto"/>
        </w:rPr>
      </w:pPr>
      <w:r>
        <w:rPr>
          <w:rFonts w:ascii="Times New Roman" w:cs="Times New Roman" w:eastAsia="Times New Roman" w:hAnsi="Times New Roman"/>
          <w:sz w:val="13"/>
          <w:szCs w:val="13"/>
          <w:color w:val="auto"/>
        </w:rPr>
        <w:t>compensation, and other current liabilities.</w:t>
      </w:r>
    </w:p>
    <w:p>
      <w:pPr>
        <w:spacing w:after="0" w:line="150" w:lineRule="exact"/>
        <w:rPr>
          <w:sz w:val="20"/>
          <w:szCs w:val="20"/>
          <w:color w:val="auto"/>
        </w:rPr>
      </w:pPr>
    </w:p>
    <w:p>
      <w:pPr>
        <w:ind w:left="20" w:firstLine="568"/>
        <w:spacing w:after="0" w:line="262" w:lineRule="auto"/>
        <w:rPr>
          <w:sz w:val="20"/>
          <w:szCs w:val="20"/>
          <w:color w:val="auto"/>
        </w:rPr>
      </w:pPr>
      <w:r>
        <w:rPr>
          <w:rFonts w:ascii="Times New Roman" w:cs="Times New Roman" w:eastAsia="Times New Roman" w:hAnsi="Times New Roman"/>
          <w:sz w:val="13"/>
          <w:szCs w:val="13"/>
          <w:b w:val="1"/>
          <w:bCs w:val="1"/>
          <w:color w:val="auto"/>
        </w:rPr>
        <w:t>Comprehensive Income (Loss)</w:t>
      </w:r>
      <w:r>
        <w:rPr>
          <w:rFonts w:ascii="Times New Roman" w:cs="Times New Roman" w:eastAsia="Times New Roman" w:hAnsi="Times New Roman"/>
          <w:sz w:val="13"/>
          <w:szCs w:val="13"/>
          <w:color w:val="auto"/>
        </w:rPr>
        <w:t>—ASC 220 (formerly referred to as SFAS No. 130,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Reporting Comprehensive Income</w:t>
      </w:r>
      <w:r>
        <w:rPr>
          <w:rFonts w:ascii="Times New Roman" w:cs="Times New Roman" w:eastAsia="Times New Roman" w:hAnsi="Times New Roman"/>
          <w:sz w:val="13"/>
          <w:szCs w:val="13"/>
          <w:color w:val="auto"/>
        </w:rPr>
        <w:t>) establishes standards for the reporting and displaying of comprehensive income and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components. Comprehensive income includes certain changes in equity from non-owner sources that are excluded from net income. Specifically, cumulative foreign currency translation adjustments, unrealized gains and</w:t>
      </w:r>
    </w:p>
    <w:p>
      <w:pPr>
        <w:jc w:val="center"/>
        <w:spacing w:after="0"/>
        <w:rPr>
          <w:sz w:val="20"/>
          <w:szCs w:val="20"/>
          <w:color w:val="auto"/>
        </w:rPr>
      </w:pPr>
      <w:r>
        <w:rPr>
          <w:rFonts w:ascii="Times New Roman" w:cs="Times New Roman" w:eastAsia="Times New Roman" w:hAnsi="Times New Roman"/>
          <w:sz w:val="13"/>
          <w:szCs w:val="13"/>
          <w:color w:val="auto"/>
        </w:rPr>
        <w:t>losses on available-for-sale investments, and unrealized gains and losses on derivatives are included in comprehensive income in stockholders' equity.</w:t>
      </w:r>
    </w:p>
    <w:p>
      <w:pPr>
        <w:spacing w:after="0" w:line="150" w:lineRule="exact"/>
        <w:rPr>
          <w:sz w:val="20"/>
          <w:szCs w:val="20"/>
          <w:color w:val="auto"/>
        </w:rPr>
      </w:pPr>
    </w:p>
    <w:p>
      <w:pPr>
        <w:jc w:val="both"/>
        <w:ind w:firstLine="493"/>
        <w:spacing w:after="0" w:line="262" w:lineRule="auto"/>
        <w:rPr>
          <w:sz w:val="20"/>
          <w:szCs w:val="20"/>
          <w:color w:val="auto"/>
        </w:rPr>
      </w:pPr>
      <w:r>
        <w:rPr>
          <w:rFonts w:ascii="Times New Roman" w:cs="Times New Roman" w:eastAsia="Times New Roman" w:hAnsi="Times New Roman"/>
          <w:sz w:val="13"/>
          <w:szCs w:val="13"/>
          <w:b w:val="1"/>
          <w:bCs w:val="1"/>
          <w:color w:val="auto"/>
        </w:rPr>
        <w:t>Foreign Currency Translation</w:t>
      </w:r>
      <w:r>
        <w:rPr>
          <w:rFonts w:ascii="Times New Roman" w:cs="Times New Roman" w:eastAsia="Times New Roman" w:hAnsi="Times New Roman"/>
          <w:sz w:val="13"/>
          <w:szCs w:val="13"/>
          <w:color w:val="auto"/>
        </w:rPr>
        <w:t>—Assets and liabilities of foreign subsidiaries are translated into U.S. dollars using the exchange rates in effect at the balance sheet dates and revenue and expenses are translated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using average exchange rates during the period. The resulting foreign translation adjustments are recorded in accumulated other comprehensive income (loss). Foreign currency transaction gains (losses) of $(0.8) million,</w:t>
      </w:r>
    </w:p>
    <w:p>
      <w:pPr>
        <w:jc w:val="center"/>
        <w:spacing w:after="0"/>
        <w:rPr>
          <w:sz w:val="20"/>
          <w:szCs w:val="20"/>
          <w:color w:val="auto"/>
        </w:rPr>
      </w:pPr>
      <w:r>
        <w:rPr>
          <w:rFonts w:ascii="Times New Roman" w:cs="Times New Roman" w:eastAsia="Times New Roman" w:hAnsi="Times New Roman"/>
          <w:sz w:val="13"/>
          <w:szCs w:val="13"/>
          <w:color w:val="auto"/>
        </w:rPr>
        <w:t>$0.1 million and $1.4 million, are included in other income (expense), net for fiscal 2010, 2009 and 2008, respectively.</w:t>
      </w:r>
    </w:p>
    <w:p>
      <w:pPr>
        <w:spacing w:after="0" w:line="179" w:lineRule="exact"/>
        <w:rPr>
          <w:sz w:val="20"/>
          <w:szCs w:val="20"/>
          <w:color w:val="auto"/>
        </w:rPr>
      </w:pPr>
    </w:p>
    <w:p>
      <w:pPr>
        <w:ind w:left="140" w:right="60" w:firstLine="398"/>
        <w:spacing w:after="0" w:line="262" w:lineRule="auto"/>
        <w:rPr>
          <w:sz w:val="20"/>
          <w:szCs w:val="20"/>
          <w:color w:val="auto"/>
        </w:rPr>
      </w:pPr>
      <w:r>
        <w:rPr>
          <w:rFonts w:ascii="Times New Roman" w:cs="Times New Roman" w:eastAsia="Times New Roman" w:hAnsi="Times New Roman"/>
          <w:sz w:val="13"/>
          <w:szCs w:val="13"/>
          <w:b w:val="1"/>
          <w:bCs w:val="1"/>
          <w:color w:val="auto"/>
        </w:rPr>
        <w:t>Cash, Cash Equivalents and Available-for-sale Investments—We consider all highly liquid investments, purchased with original maturities of three months or less, to be cash equivalents. Cash and cash equivalents consist of cash on-hand, balances with banks, and highly liquid investments in money market funds, commercial paper, government securities, certificates of deposit, and corporate debt</w:t>
      </w: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p>
      <w:pPr>
        <w:spacing w:after="0" w:line="181" w:lineRule="exact"/>
        <w:rPr>
          <w:sz w:val="20"/>
          <w:szCs w:val="20"/>
          <w:color w:val="auto"/>
        </w:rPr>
      </w:pPr>
    </w:p>
    <w:p>
      <w:pPr>
        <w:ind w:firstLine="593"/>
        <w:spacing w:after="0" w:line="260" w:lineRule="auto"/>
        <w:rPr>
          <w:sz w:val="20"/>
          <w:szCs w:val="20"/>
          <w:color w:val="auto"/>
        </w:rPr>
      </w:pPr>
      <w:r>
        <w:rPr>
          <w:rFonts w:ascii="Times New Roman" w:cs="Times New Roman" w:eastAsia="Times New Roman" w:hAnsi="Times New Roman"/>
          <w:sz w:val="13"/>
          <w:szCs w:val="13"/>
          <w:color w:val="auto"/>
        </w:rPr>
        <w:t>We classify our investments as available-for-sale at the time of purchase since it is our intent that these investments are available for current operations, and include these investments on our balance sheet as either short-term or long-term inves tments depending on their maturity at the time of purchase. Investments with original maturities greater than three months that mature less than one year from the consolidated balance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sheet date are classified as short-term investments. Investments with maturities greater than one year from the consolidated balance sheet date are classified as long-term investments.</w:t>
      </w:r>
    </w:p>
    <w:p>
      <w:pPr>
        <w:spacing w:after="0" w:line="181" w:lineRule="exact"/>
        <w:rPr>
          <w:sz w:val="20"/>
          <w:szCs w:val="20"/>
          <w:color w:val="auto"/>
        </w:rPr>
      </w:pPr>
    </w:p>
    <w:p>
      <w:pPr>
        <w:ind w:firstLine="707"/>
        <w:spacing w:after="0" w:line="257" w:lineRule="auto"/>
        <w:rPr>
          <w:sz w:val="20"/>
          <w:szCs w:val="20"/>
          <w:color w:val="auto"/>
        </w:rPr>
      </w:pPr>
      <w:r>
        <w:rPr>
          <w:rFonts w:ascii="Times New Roman" w:cs="Times New Roman" w:eastAsia="Times New Roman" w:hAnsi="Times New Roman"/>
          <w:sz w:val="13"/>
          <w:szCs w:val="13"/>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 he duration and extent to which the fair value is less than cost, and our intent and ability to hold the investment. Once a decline in fair value is determined to be other-than-temporary, an impairment charge is recorded and a new cost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basis in the investment is established.</w:t>
      </w:r>
    </w:p>
    <w:p>
      <w:pPr>
        <w:spacing w:after="0" w:line="181" w:lineRule="exact"/>
        <w:rPr>
          <w:sz w:val="20"/>
          <w:szCs w:val="20"/>
          <w:color w:val="auto"/>
        </w:rPr>
      </w:pPr>
    </w:p>
    <w:p>
      <w:pPr>
        <w:ind w:left="160" w:right="140" w:firstLine="507"/>
        <w:spacing w:after="0" w:line="260" w:lineRule="auto"/>
        <w:rPr>
          <w:sz w:val="20"/>
          <w:szCs w:val="20"/>
          <w:color w:val="auto"/>
        </w:rPr>
      </w:pPr>
      <w:r>
        <w:rPr>
          <w:rFonts w:ascii="Times New Roman" w:cs="Times New Roman" w:eastAsia="Times New Roman" w:hAnsi="Times New Roman"/>
          <w:sz w:val="13"/>
          <w:szCs w:val="13"/>
          <w:color w:val="auto"/>
        </w:rPr>
        <w:t>For debt securities in an unrealized loss position which are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recognized in earnings. The non-credit loss component is recognized in accu mulated other comprehensive loss.</w:t>
      </w:r>
    </w:p>
    <w:p>
      <w:pPr>
        <w:spacing w:after="0" w:line="179" w:lineRule="exact"/>
        <w:rPr>
          <w:sz w:val="20"/>
          <w:szCs w:val="20"/>
          <w:color w:val="auto"/>
        </w:rPr>
      </w:pPr>
    </w:p>
    <w:p>
      <w:pPr>
        <w:ind w:left="20" w:firstLine="677"/>
        <w:spacing w:after="0" w:line="262" w:lineRule="auto"/>
        <w:rPr>
          <w:sz w:val="20"/>
          <w:szCs w:val="20"/>
          <w:color w:val="auto"/>
        </w:rPr>
      </w:pPr>
      <w:r>
        <w:rPr>
          <w:rFonts w:ascii="Times New Roman" w:cs="Times New Roman" w:eastAsia="Times New Roman" w:hAnsi="Times New Roman"/>
          <w:sz w:val="13"/>
          <w:szCs w:val="13"/>
          <w:b w:val="1"/>
          <w:bCs w:val="1"/>
          <w:color w:val="auto"/>
        </w:rPr>
        <w:t>Inventory</w:t>
      </w:r>
      <w:r>
        <w:rPr>
          <w:rFonts w:ascii="Times New Roman" w:cs="Times New Roman" w:eastAsia="Times New Roman" w:hAnsi="Times New Roman"/>
          <w:sz w:val="13"/>
          <w:szCs w:val="13"/>
          <w:color w:val="auto"/>
        </w:rPr>
        <w:t>—Inventory is recorded at the lower of cost (using the first-in, first-out method) or market, after we give appropriate consideration to obsolescence and inventory in excess of anticipated future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demand. In assessing the ultimate recoverability of inventory, we are required to make estimates regarding future customer demand, the timing of new product introductions, economic trends and market conditions. If the</w:t>
      </w:r>
    </w:p>
    <w:p>
      <w:pPr>
        <w:jc w:val="center"/>
        <w:spacing w:after="0"/>
        <w:rPr>
          <w:sz w:val="20"/>
          <w:szCs w:val="20"/>
          <w:color w:val="auto"/>
        </w:rPr>
      </w:pPr>
      <w:r>
        <w:rPr>
          <w:rFonts w:ascii="Times New Roman" w:cs="Times New Roman" w:eastAsia="Times New Roman" w:hAnsi="Times New Roman"/>
          <w:sz w:val="13"/>
          <w:szCs w:val="13"/>
          <w:color w:val="auto"/>
        </w:rPr>
        <w:t>actual product demand is significantly lower than forecasted, we could be required to record additional inventory write-downs, which could have an adverse impact on our gross margins and profitability.</w:t>
      </w:r>
    </w:p>
    <w:p>
      <w:pPr>
        <w:spacing w:after="0" w:line="179" w:lineRule="exact"/>
        <w:rPr>
          <w:sz w:val="20"/>
          <w:szCs w:val="20"/>
          <w:color w:val="auto"/>
        </w:rPr>
      </w:pPr>
    </w:p>
    <w:p>
      <w:pPr>
        <w:ind w:left="1580" w:right="100" w:hanging="1005"/>
        <w:spacing w:after="0" w:line="284" w:lineRule="auto"/>
        <w:rPr>
          <w:sz w:val="20"/>
          <w:szCs w:val="20"/>
          <w:color w:val="auto"/>
        </w:rPr>
      </w:pPr>
      <w:r>
        <w:rPr>
          <w:rFonts w:ascii="Times New Roman" w:cs="Times New Roman" w:eastAsia="Times New Roman" w:hAnsi="Times New Roman"/>
          <w:sz w:val="13"/>
          <w:szCs w:val="13"/>
          <w:b w:val="1"/>
          <w:bCs w:val="1"/>
          <w:color w:val="auto"/>
        </w:rPr>
        <w:t>Deferred Cost of Revenues</w:t>
      </w:r>
      <w:r>
        <w:rPr>
          <w:rFonts w:ascii="Times New Roman" w:cs="Times New Roman" w:eastAsia="Times New Roman" w:hAnsi="Times New Roman"/>
          <w:sz w:val="13"/>
          <w:szCs w:val="13"/>
          <w:color w:val="auto"/>
        </w:rPr>
        <w:t>—Deferred cost of revenues represent the unamortized cost of products associated with ratable products and services revenue, which is based upon the actual cost of the hardware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sold and is recognized over the service periods of the arrangements. Deferred cost of revenue associated with short-term deferred revenue is classified as short-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1460"/>
          </w:cols>
          <w:pgMar w:left="220" w:top="127" w:right="2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term and deferred cost of revenue associated with long-term deferred revenue is classified as long-term.</w:t>
      </w:r>
    </w:p>
    <w:p>
      <w:pPr>
        <w:spacing w:after="0" w:line="191" w:lineRule="exact"/>
        <w:rPr>
          <w:sz w:val="20"/>
          <w:szCs w:val="20"/>
          <w:color w:val="auto"/>
        </w:rPr>
      </w:pPr>
    </w:p>
    <w:p>
      <w:pPr>
        <w:ind w:left="20" w:right="20" w:firstLine="690"/>
        <w:spacing w:after="0" w:line="262" w:lineRule="auto"/>
        <w:rPr>
          <w:sz w:val="20"/>
          <w:szCs w:val="20"/>
          <w:color w:val="auto"/>
        </w:rPr>
      </w:pPr>
      <w:r>
        <w:rPr>
          <w:rFonts w:ascii="Times New Roman" w:cs="Times New Roman" w:eastAsia="Times New Roman" w:hAnsi="Times New Roman"/>
          <w:sz w:val="13"/>
          <w:szCs w:val="13"/>
          <w:b w:val="1"/>
          <w:bCs w:val="1"/>
          <w:color w:val="auto"/>
        </w:rPr>
        <w:t>Property and Equipment</w:t>
      </w:r>
      <w:r>
        <w:rPr>
          <w:rFonts w:ascii="Times New Roman" w:cs="Times New Roman" w:eastAsia="Times New Roman" w:hAnsi="Times New Roman"/>
          <w:sz w:val="13"/>
          <w:szCs w:val="13"/>
          <w:color w:val="auto"/>
        </w:rPr>
        <w:t>—Property and equipment are stated at cost. Depreciation is computed using the straight-line method over the estimated useful lives of the assets, generally one to three years.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Evaluation units are transferred from inventory at cost and are amortized over one year from the date of transfer. Leasehold improvements are amortized over the shorter of the estimated useful lives of the improvements</w:t>
      </w:r>
    </w:p>
    <w:p>
      <w:pPr>
        <w:jc w:val="center"/>
        <w:spacing w:after="0"/>
        <w:rPr>
          <w:sz w:val="20"/>
          <w:szCs w:val="20"/>
          <w:color w:val="auto"/>
        </w:rPr>
      </w:pPr>
      <w:r>
        <w:rPr>
          <w:rFonts w:ascii="Times New Roman" w:cs="Times New Roman" w:eastAsia="Times New Roman" w:hAnsi="Times New Roman"/>
          <w:sz w:val="13"/>
          <w:szCs w:val="13"/>
          <w:color w:val="auto"/>
        </w:rPr>
        <w:t>or the lease term.</w:t>
      </w:r>
    </w:p>
    <w:p>
      <w:pPr>
        <w:spacing w:after="0" w:line="179" w:lineRule="exact"/>
        <w:rPr>
          <w:sz w:val="20"/>
          <w:szCs w:val="20"/>
          <w:color w:val="auto"/>
        </w:rPr>
      </w:pPr>
    </w:p>
    <w:p>
      <w:pPr>
        <w:ind w:left="40" w:firstLine="438"/>
        <w:spacing w:after="0" w:line="262" w:lineRule="auto"/>
        <w:rPr>
          <w:sz w:val="20"/>
          <w:szCs w:val="20"/>
          <w:color w:val="auto"/>
        </w:rPr>
      </w:pPr>
      <w:r>
        <w:rPr>
          <w:rFonts w:ascii="Times New Roman" w:cs="Times New Roman" w:eastAsia="Times New Roman" w:hAnsi="Times New Roman"/>
          <w:sz w:val="13"/>
          <w:szCs w:val="13"/>
          <w:b w:val="1"/>
          <w:bCs w:val="1"/>
          <w:color w:val="auto"/>
        </w:rPr>
        <w:t>Impairment of Lo ng-Lived Assets</w:t>
      </w:r>
      <w:r>
        <w:rPr>
          <w:rFonts w:ascii="Times New Roman" w:cs="Times New Roman" w:eastAsia="Times New Roman" w:hAnsi="Times New Roman"/>
          <w:sz w:val="13"/>
          <w:szCs w:val="13"/>
          <w:color w:val="auto"/>
        </w:rPr>
        <w:t>—We evaluate events and changes in circumstances that could indicate carrying amounts of long-lived assets, including intangible assets, may not be recoverable. When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events or changes in circumstances occur, we assess the recoverability of long-lived assets by determining whether the carrying value of such assets will be recovered through undiscounted expected future cash flows. If</w:t>
      </w:r>
    </w:p>
    <w:p>
      <w:pPr>
        <w:jc w:val="center"/>
        <w:spacing w:after="0" w:line="262" w:lineRule="auto"/>
        <w:rPr>
          <w:sz w:val="20"/>
          <w:szCs w:val="20"/>
          <w:color w:val="auto"/>
        </w:rPr>
      </w:pPr>
      <w:r>
        <w:rPr>
          <w:rFonts w:ascii="Times New Roman" w:cs="Times New Roman" w:eastAsia="Times New Roman" w:hAnsi="Times New Roman"/>
          <w:sz w:val="13"/>
          <w:szCs w:val="13"/>
          <w:color w:val="auto"/>
        </w:rPr>
        <w:t>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Deferred Revenue</w:t>
      </w:r>
      <w:r>
        <w:rPr>
          <w:rFonts w:ascii="Times New Roman" w:cs="Times New Roman" w:eastAsia="Times New Roman" w:hAnsi="Times New Roman"/>
          <w:sz w:val="13"/>
          <w:szCs w:val="13"/>
          <w:color w:val="auto"/>
        </w:rPr>
        <w:t>—Deferred revenue consists of amounts that have been invoiced but that have not yet been recognized as revenue.</w:t>
      </w:r>
    </w:p>
    <w:p>
      <w:pPr>
        <w:spacing w:after="0" w:line="193" w:lineRule="exact"/>
        <w:rPr>
          <w:sz w:val="20"/>
          <w:szCs w:val="20"/>
          <w:color w:val="auto"/>
        </w:rPr>
      </w:pPr>
    </w:p>
    <w:p>
      <w:pPr>
        <w:ind w:left="100" w:firstLine="373"/>
        <w:spacing w:after="0" w:line="280" w:lineRule="auto"/>
        <w:rPr>
          <w:sz w:val="20"/>
          <w:szCs w:val="20"/>
          <w:color w:val="auto"/>
        </w:rPr>
      </w:pPr>
      <w:r>
        <w:rPr>
          <w:rFonts w:ascii="Times New Roman" w:cs="Times New Roman" w:eastAsia="Times New Roman" w:hAnsi="Times New Roman"/>
          <w:sz w:val="12"/>
          <w:szCs w:val="12"/>
          <w:b w:val="1"/>
          <w:bCs w:val="1"/>
          <w:color w:val="auto"/>
        </w:rPr>
        <w:t>Income Taxes</w:t>
      </w:r>
      <w:r>
        <w:rPr>
          <w:rFonts w:ascii="Times New Roman" w:cs="Times New Roman" w:eastAsia="Times New Roman" w:hAnsi="Times New Roman"/>
          <w:sz w:val="12"/>
          <w:szCs w:val="12"/>
          <w:color w:val="auto"/>
        </w:rPr>
        <w:t>—We record income taxes using the asset and liability method, which requires the recognition of deferred tax assets and liabilities for the expected future tax consequences of events that have been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recognized in our financial statements or tax returns. In estimating future tax consequences, generally all expected future events other than enactments or changes in the tax law or rates are considered. We assess the likelihood tha t some portion or all of our deferred tax assets will be recovered from future taxable income within the respective jurisdictions, and to the extent we believe that recovery does not meet the “more-likely-</w:t>
      </w:r>
    </w:p>
    <w:p>
      <w:pPr>
        <w:jc w:val="center"/>
        <w:spacing w:after="0" w:line="262" w:lineRule="auto"/>
        <w:rPr>
          <w:sz w:val="20"/>
          <w:szCs w:val="20"/>
          <w:color w:val="auto"/>
        </w:rPr>
      </w:pPr>
      <w:r>
        <w:rPr>
          <w:rFonts w:ascii="Times New Roman" w:cs="Times New Roman" w:eastAsia="Times New Roman" w:hAnsi="Times New Roman"/>
          <w:sz w:val="13"/>
          <w:szCs w:val="13"/>
          <w:color w:val="auto"/>
        </w:rPr>
        <w:t>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161" w:lineRule="exact"/>
        <w:rPr>
          <w:sz w:val="20"/>
          <w:szCs w:val="20"/>
          <w:color w:val="auto"/>
        </w:rPr>
      </w:pPr>
    </w:p>
    <w:p>
      <w:pPr>
        <w:ind w:left="180" w:right="60" w:firstLine="351"/>
        <w:spacing w:after="0" w:line="282" w:lineRule="auto"/>
        <w:rPr>
          <w:sz w:val="20"/>
          <w:szCs w:val="20"/>
          <w:color w:val="auto"/>
        </w:rPr>
      </w:pPr>
      <w:r>
        <w:rPr>
          <w:rFonts w:ascii="Times New Roman" w:cs="Times New Roman" w:eastAsia="Times New Roman" w:hAnsi="Times New Roman"/>
          <w:sz w:val="12"/>
          <w:szCs w:val="12"/>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w:t>
      </w:r>
    </w:p>
    <w:p>
      <w:pPr>
        <w:jc w:val="center"/>
        <w:spacing w:after="0"/>
        <w:rPr>
          <w:sz w:val="20"/>
          <w:szCs w:val="20"/>
          <w:color w:val="auto"/>
        </w:rPr>
      </w:pPr>
      <w:r>
        <w:rPr>
          <w:rFonts w:ascii="Times New Roman" w:cs="Times New Roman" w:eastAsia="Times New Roman" w:hAnsi="Times New Roman"/>
          <w:sz w:val="13"/>
          <w:szCs w:val="13"/>
          <w:color w:val="auto"/>
        </w:rPr>
        <w:t>period. Changes in facts and circumstances could result in material changes to the amounts recorded for such tax contingencies.</w:t>
      </w:r>
    </w:p>
    <w:p>
      <w:pPr>
        <w:spacing w:after="0" w:line="179" w:lineRule="exact"/>
        <w:rPr>
          <w:sz w:val="20"/>
          <w:szCs w:val="20"/>
          <w:color w:val="auto"/>
        </w:rPr>
      </w:pPr>
    </w:p>
    <w:p>
      <w:pPr>
        <w:ind w:left="60" w:right="40" w:firstLine="604"/>
        <w:spacing w:after="0" w:line="262" w:lineRule="auto"/>
        <w:rPr>
          <w:sz w:val="20"/>
          <w:szCs w:val="20"/>
          <w:color w:val="auto"/>
        </w:rPr>
      </w:pPr>
      <w:r>
        <w:rPr>
          <w:rFonts w:ascii="Times New Roman" w:cs="Times New Roman" w:eastAsia="Times New Roman" w:hAnsi="Times New Roman"/>
          <w:sz w:val="13"/>
          <w:szCs w:val="13"/>
          <w:b w:val="1"/>
          <w:bCs w:val="1"/>
          <w:color w:val="auto"/>
        </w:rPr>
        <w:t>Stock-Based Compensation</w:t>
      </w:r>
      <w:r>
        <w:rPr>
          <w:rFonts w:ascii="Times New Roman" w:cs="Times New Roman" w:eastAsia="Times New Roman" w:hAnsi="Times New Roman"/>
          <w:sz w:val="13"/>
          <w:szCs w:val="13"/>
          <w:color w:val="auto"/>
        </w:rPr>
        <w:t>—We apply ASC 718 (formerly referred to as SFAS No. 123R) to our stock option grants, which requires compensation expense related to share-based transactions,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employee stock options, to be measured and recognized in the financial statements based on fair value. Under ASC 718, the fair value of each option award is estimated on the grant date using the Black- Scholes option</w:t>
      </w:r>
    </w:p>
    <w:p>
      <w:pPr>
        <w:jc w:val="center"/>
        <w:spacing w:after="0"/>
        <w:rPr>
          <w:sz w:val="20"/>
          <w:szCs w:val="20"/>
          <w:color w:val="auto"/>
        </w:rPr>
      </w:pPr>
      <w:r>
        <w:rPr>
          <w:rFonts w:ascii="Times New Roman" w:cs="Times New Roman" w:eastAsia="Times New Roman" w:hAnsi="Times New Roman"/>
          <w:sz w:val="13"/>
          <w:szCs w:val="13"/>
          <w:color w:val="auto"/>
        </w:rPr>
        <w:t>pricing model.</w:t>
      </w:r>
    </w:p>
    <w:p>
      <w:pPr>
        <w:spacing w:after="0" w:line="179" w:lineRule="exact"/>
        <w:rPr>
          <w:sz w:val="20"/>
          <w:szCs w:val="20"/>
          <w:color w:val="auto"/>
        </w:rPr>
      </w:pPr>
    </w:p>
    <w:p>
      <w:pPr>
        <w:ind w:left="4760" w:right="180" w:hanging="4115"/>
        <w:spacing w:after="0" w:line="284" w:lineRule="auto"/>
        <w:rPr>
          <w:sz w:val="20"/>
          <w:szCs w:val="20"/>
          <w:color w:val="auto"/>
        </w:rPr>
      </w:pPr>
      <w:r>
        <w:rPr>
          <w:rFonts w:ascii="Times New Roman" w:cs="Times New Roman" w:eastAsia="Times New Roman" w:hAnsi="Times New Roman"/>
          <w:sz w:val="13"/>
          <w:szCs w:val="13"/>
          <w:b w:val="1"/>
          <w:bCs w:val="1"/>
          <w:color w:val="auto"/>
        </w:rPr>
        <w:t>Advertising Expense</w:t>
      </w:r>
      <w:r>
        <w:rPr>
          <w:rFonts w:ascii="Times New Roman" w:cs="Times New Roman" w:eastAsia="Times New Roman" w:hAnsi="Times New Roman"/>
          <w:sz w:val="13"/>
          <w:szCs w:val="13"/>
          <w:color w:val="auto"/>
        </w:rPr>
        <w:t>—Advertising costs are expensed when incurred and is included in operating expenses in the accompanying consolidated statements of operations. Our advertising expenses were not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significant for any periods presented.</w:t>
      </w:r>
    </w:p>
    <w:p>
      <w:pPr>
        <w:spacing w:after="0" w:line="1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Research and Development Costs</w:t>
      </w:r>
      <w:r>
        <w:rPr>
          <w:rFonts w:ascii="Times New Roman" w:cs="Times New Roman" w:eastAsia="Times New Roman" w:hAnsi="Times New Roman"/>
          <w:sz w:val="13"/>
          <w:szCs w:val="13"/>
          <w:color w:val="auto"/>
        </w:rPr>
        <w:t>—Research and development costs are expensed as incurred.</w:t>
      </w:r>
    </w:p>
    <w:p>
      <w:pPr>
        <w:spacing w:after="0" w:line="193" w:lineRule="exact"/>
        <w:rPr>
          <w:sz w:val="20"/>
          <w:szCs w:val="20"/>
          <w:color w:val="auto"/>
        </w:rPr>
      </w:pPr>
    </w:p>
    <w:p>
      <w:pPr>
        <w:jc w:val="center"/>
        <w:ind w:left="700" w:right="80"/>
        <w:spacing w:after="0" w:line="284" w:lineRule="auto"/>
        <w:rPr>
          <w:sz w:val="20"/>
          <w:szCs w:val="20"/>
          <w:color w:val="auto"/>
        </w:rPr>
      </w:pPr>
      <w:r>
        <w:rPr>
          <w:rFonts w:ascii="Times New Roman" w:cs="Times New Roman" w:eastAsia="Times New Roman" w:hAnsi="Times New Roman"/>
          <w:sz w:val="13"/>
          <w:szCs w:val="13"/>
          <w:b w:val="1"/>
          <w:bCs w:val="1"/>
          <w:color w:val="auto"/>
        </w:rPr>
        <w:t>Software Development Costs</w:t>
      </w:r>
      <w:r>
        <w:rPr>
          <w:rFonts w:ascii="Times New Roman" w:cs="Times New Roman" w:eastAsia="Times New Roman" w:hAnsi="Times New Roman"/>
          <w:sz w:val="13"/>
          <w:szCs w:val="13"/>
          <w:color w:val="auto"/>
        </w:rPr>
        <w:t>—The costs to develop software have not been capitalized as we believe our current software development process is essentially completed concurrent with the establishment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technological feasibility.</w:t>
      </w:r>
    </w:p>
    <w:p>
      <w:pPr>
        <w:spacing w:after="0" w:line="145" w:lineRule="exact"/>
        <w:rPr>
          <w:sz w:val="20"/>
          <w:szCs w:val="20"/>
          <w:color w:val="auto"/>
        </w:rPr>
      </w:pPr>
    </w:p>
    <w:p>
      <w:pPr>
        <w:ind w:left="20" w:right="20" w:firstLine="513"/>
        <w:spacing w:after="0" w:line="262" w:lineRule="auto"/>
        <w:rPr>
          <w:sz w:val="20"/>
          <w:szCs w:val="20"/>
          <w:color w:val="auto"/>
        </w:rPr>
      </w:pPr>
      <w:r>
        <w:rPr>
          <w:rFonts w:ascii="Times New Roman" w:cs="Times New Roman" w:eastAsia="Times New Roman" w:hAnsi="Times New Roman"/>
          <w:sz w:val="13"/>
          <w:szCs w:val="13"/>
          <w:b w:val="1"/>
          <w:bCs w:val="1"/>
          <w:color w:val="auto"/>
        </w:rPr>
        <w:t>Revenue Recognition</w:t>
      </w:r>
      <w:r>
        <w:rPr>
          <w:rFonts w:ascii="Times New Roman" w:cs="Times New Roman" w:eastAsia="Times New Roman" w:hAnsi="Times New Roman"/>
          <w:sz w:val="13"/>
          <w:szCs w:val="13"/>
          <w:color w:val="auto"/>
        </w:rPr>
        <w:t>—We derive revenue from sales of products, including appliances and software, and services, including subscription, support and other services. Our appliances include operating system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software that is integrated into the appliance hardware and is deemed essential to its functionality. As a result, we account for revenue in accordance with ASC 985-605 (formerly referred to as Statement of Position 97-2</w:t>
      </w:r>
    </w:p>
    <w:p>
      <w:pPr>
        <w:ind w:left="3780"/>
        <w:spacing w:after="0"/>
        <w:rPr>
          <w:sz w:val="20"/>
          <w:szCs w:val="20"/>
          <w:color w:val="auto"/>
        </w:rPr>
      </w:pPr>
      <w:r>
        <w:rPr>
          <w:rFonts w:ascii="Times New Roman" w:cs="Times New Roman" w:eastAsia="Times New Roman" w:hAnsi="Times New Roman"/>
          <w:sz w:val="13"/>
          <w:szCs w:val="13"/>
          <w:color w:val="auto"/>
        </w:rPr>
        <w:t xml:space="preserve">(SOP 97-2) </w:t>
      </w:r>
      <w:r>
        <w:rPr>
          <w:rFonts w:ascii="Times New Roman" w:cs="Times New Roman" w:eastAsia="Times New Roman" w:hAnsi="Times New Roman"/>
          <w:sz w:val="13"/>
          <w:szCs w:val="13"/>
          <w:i w:val="1"/>
          <w:iCs w:val="1"/>
          <w:color w:val="auto"/>
        </w:rPr>
        <w:t>Software Revenue Recognition</w:t>
      </w:r>
      <w:r>
        <w:rPr>
          <w:rFonts w:ascii="Times New Roman" w:cs="Times New Roman" w:eastAsia="Times New Roman" w:hAnsi="Times New Roman"/>
          <w:sz w:val="13"/>
          <w:szCs w:val="13"/>
          <w:color w:val="auto"/>
        </w:rPr>
        <w:t>), and all related interpretations.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 revenue can be recognized until all of the following criteria have been met:</w:t>
      </w:r>
    </w:p>
    <w:p>
      <w:pPr>
        <w:spacing w:after="0" w:line="212" w:lineRule="exact"/>
        <w:rPr>
          <w:sz w:val="20"/>
          <w:szCs w:val="20"/>
          <w:color w:val="auto"/>
        </w:rPr>
      </w:pPr>
    </w:p>
    <w:p>
      <w:pPr>
        <w:ind w:left="5660" w:right="2780" w:hanging="5192"/>
        <w:spacing w:after="0" w:line="595" w:lineRule="auto"/>
        <w:tabs>
          <w:tab w:leader="none" w:pos="92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Persuasive evidence of an arrangement exists. Binding contracts or purchase orders are generally used to determine the existence of an arrangement. 70</w:t>
      </w:r>
    </w:p>
    <w:p>
      <w:pPr>
        <w:sectPr>
          <w:pgSz w:w="11900" w:h="16838" w:orient="portrait"/>
          <w:cols w:equalWidth="0" w:num="1">
            <w:col w:w="11460"/>
          </w:cols>
          <w:pgMar w:left="220" w:top="127" w:right="2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200" w:lineRule="exact"/>
        <w:rPr>
          <w:sz w:val="20"/>
          <w:szCs w:val="20"/>
          <w:color w:val="auto"/>
        </w:rPr>
      </w:pPr>
    </w:p>
    <w:p>
      <w:pPr>
        <w:spacing w:after="0" w:line="353" w:lineRule="exact"/>
        <w:rPr>
          <w:sz w:val="20"/>
          <w:szCs w:val="20"/>
          <w:color w:val="auto"/>
        </w:rPr>
      </w:pPr>
    </w:p>
    <w:p>
      <w:pPr>
        <w:ind w:left="940" w:hanging="472"/>
        <w:spacing w:after="0"/>
        <w:tabs>
          <w:tab w:leader="none" w:pos="9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has occurred. Delivery occurs when we fulfill an order and title and risk of loss has been transferred or upon delivery of the service contract registration code.</w:t>
      </w:r>
    </w:p>
    <w:p>
      <w:pPr>
        <w:spacing w:after="0" w:line="192" w:lineRule="exact"/>
        <w:rPr>
          <w:rFonts w:ascii="Times New Roman" w:cs="Times New Roman" w:eastAsia="Times New Roman" w:hAnsi="Times New Roman"/>
          <w:sz w:val="13"/>
          <w:szCs w:val="13"/>
          <w:color w:val="auto"/>
        </w:rPr>
      </w:pPr>
    </w:p>
    <w:p>
      <w:pPr>
        <w:ind w:left="940" w:hanging="472"/>
        <w:spacing w:after="0" w:line="281" w:lineRule="auto"/>
        <w:tabs>
          <w:tab w:leader="none" w:pos="9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fee is fixed or determinable. We assess whether the fee is fixed or determinable based on the payment t 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8" w:lineRule="exact"/>
        <w:rPr>
          <w:rFonts w:ascii="Times New Roman" w:cs="Times New Roman" w:eastAsia="Times New Roman" w:hAnsi="Times New Roman"/>
          <w:sz w:val="13"/>
          <w:szCs w:val="13"/>
          <w:color w:val="auto"/>
        </w:rPr>
      </w:pPr>
    </w:p>
    <w:p>
      <w:pPr>
        <w:ind w:left="940" w:right="80" w:hanging="472"/>
        <w:spacing w:after="0" w:line="281" w:lineRule="auto"/>
        <w:tabs>
          <w:tab w:leader="none" w:pos="9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Collectability is probable. We assess collectability based primarily on creditworthiness as determined by credit checks and analysis, as well as payment history. Pa yment terms generally range from 30 to 90 days from invoice date.</w:t>
      </w:r>
    </w:p>
    <w:p>
      <w:pPr>
        <w:spacing w:after="0" w:line="14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For arrangements which include customer acceptance criteria, no revenue is recognized prior to acceptance. We recognize product revenue on sales to distributors that have no right of return and end-customers upon shipment of the appliance, once all other revenue recognition criteria have been met. We also make sales through distributors under agreements that allow for rights of returns.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commence our subscription and support services on the date the customer registers the appliance. The customer is then entitled to service for the stated contractual period beginning on the registration date.</w:t>
      </w:r>
    </w:p>
    <w:p>
      <w:pPr>
        <w:spacing w:after="0" w:line="193"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3"/>
          <w:szCs w:val="13"/>
          <w:color w:val="auto"/>
        </w:rPr>
        <w:t>We use the residual method to recognize revenue when an arrangement includes one or more elements to be delivered at a future date and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(typically due to a lack of VSOE on the subscription and support services for that specific arrangement), revenue for the entire arrangement is recognized ratably over the performance period of the undelivered elements. Revenue related to these arrangements is included in ratable product and services revenue in the accompanying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65" w:lineRule="exact"/>
        <w:rPr>
          <w:sz w:val="20"/>
          <w:szCs w:val="20"/>
          <w:color w:val="auto"/>
        </w:rPr>
      </w:pPr>
    </w:p>
    <w:p>
      <w:pPr>
        <w:jc w:val="both"/>
        <w:ind w:right="320" w:firstLine="469"/>
        <w:spacing w:after="0" w:line="266" w:lineRule="auto"/>
        <w:rPr>
          <w:sz w:val="20"/>
          <w:szCs w:val="20"/>
          <w:color w:val="auto"/>
        </w:rPr>
      </w:pPr>
      <w:r>
        <w:rPr>
          <w:rFonts w:ascii="Times New Roman" w:cs="Times New Roman" w:eastAsia="Times New Roman" w:hAnsi="Times New Roman"/>
          <w:sz w:val="13"/>
          <w:szCs w:val="13"/>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58" w:lineRule="exact"/>
        <w:rPr>
          <w:sz w:val="20"/>
          <w:szCs w:val="20"/>
          <w:color w:val="auto"/>
        </w:rPr>
      </w:pPr>
    </w:p>
    <w:p>
      <w:pPr>
        <w:ind w:left="100" w:firstLine="382"/>
        <w:spacing w:after="0" w:line="257" w:lineRule="auto"/>
        <w:rPr>
          <w:sz w:val="20"/>
          <w:szCs w:val="20"/>
          <w:color w:val="auto"/>
        </w:rPr>
      </w:pPr>
      <w:r>
        <w:rPr>
          <w:rFonts w:ascii="Times New Roman" w:cs="Times New Roman" w:eastAsia="Times New Roman" w:hAnsi="Times New Roman"/>
          <w:sz w:val="13"/>
          <w:szCs w:val="13"/>
          <w:color w:val="auto"/>
        </w:rPr>
        <w:t>Accounts Receivable—Trade accounts receivable are recorded at the invoiced amount, net of allowances for doubtful accounts and reserves for sales 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w:t>
      </w:r>
    </w:p>
    <w:p>
      <w:pPr>
        <w:spacing w:after="0" w:line="1"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3"/>
          <w:szCs w:val="13"/>
          <w:color w:val="auto"/>
        </w:rPr>
        <w:t>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59" w:lineRule="exact"/>
        <w:rPr>
          <w:sz w:val="20"/>
          <w:szCs w:val="20"/>
          <w:color w:val="auto"/>
        </w:rPr>
      </w:pPr>
    </w:p>
    <w:p>
      <w:pPr>
        <w:ind w:left="80" w:firstLine="413"/>
        <w:spacing w:after="0" w:line="262" w:lineRule="auto"/>
        <w:rPr>
          <w:sz w:val="20"/>
          <w:szCs w:val="20"/>
          <w:color w:val="auto"/>
        </w:rPr>
      </w:pPr>
      <w:r>
        <w:rPr>
          <w:rFonts w:ascii="Times New Roman" w:cs="Times New Roman" w:eastAsia="Times New Roman" w:hAnsi="Times New Roman"/>
          <w:sz w:val="13"/>
          <w:szCs w:val="13"/>
          <w:b w:val="1"/>
          <w:bCs w:val="1"/>
          <w:color w:val="auto"/>
        </w:rPr>
        <w:t>Warranties</w:t>
      </w:r>
      <w:r>
        <w:rPr>
          <w:rFonts w:ascii="Times New Roman" w:cs="Times New Roman" w:eastAsia="Times New Roman" w:hAnsi="Times New Roman"/>
          <w:sz w:val="13"/>
          <w:szCs w:val="13"/>
          <w:color w:val="auto"/>
        </w:rPr>
        <w:t>—We generally provide a one-year warranty on hardware products and a 90-day warranty on software. A provision for estimated future costs related to warranty activities is recorded as a component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cost of product revenues when the product revenues are recognized, based upon historical product failure rates and historical costs incurred in correcting product failures. In the event we change our warranty reserve</w:t>
      </w:r>
    </w:p>
    <w:p>
      <w:pPr>
        <w:jc w:val="center"/>
        <w:spacing w:after="0"/>
        <w:rPr>
          <w:sz w:val="20"/>
          <w:szCs w:val="20"/>
          <w:color w:val="auto"/>
        </w:rPr>
      </w:pPr>
      <w:r>
        <w:rPr>
          <w:rFonts w:ascii="Times New Roman" w:cs="Times New Roman" w:eastAsia="Times New Roman" w:hAnsi="Times New Roman"/>
          <w:sz w:val="13"/>
          <w:szCs w:val="13"/>
          <w:color w:val="auto"/>
        </w:rPr>
        <w:t>estimates, the resulting charge against future cost of sales or reversal of previously recorded charges may materially affect our gross margins and operating results.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11460"/>
          </w:cols>
          <w:pgMar w:left="220" w:top="127" w:right="2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 EMBER 28, 2008</w:t>
      </w:r>
    </w:p>
    <w:p>
      <w:pPr>
        <w:spacing w:after="0" w:line="36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color w:val="auto"/>
        </w:rPr>
        <w:t>Accrued warranty activities are summarized as follows ($ amounts in 000's):</w:t>
      </w:r>
    </w:p>
    <w:p>
      <w:pPr>
        <w:spacing w:after="0" w:line="26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24765</wp:posOffset>
            </wp:positionV>
            <wp:extent cx="31546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54680" cy="635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00" w:type="dxa"/>
            <w:vAlign w:val="bottom"/>
            <w:gridSpan w:val="2"/>
          </w:tcPr>
          <w:p>
            <w:pPr>
              <w:ind w:left="6800"/>
              <w:spacing w:after="0"/>
              <w:rPr>
                <w:sz w:val="20"/>
                <w:szCs w:val="20"/>
                <w:color w:val="auto"/>
              </w:rPr>
            </w:pPr>
            <w:r>
              <w:rPr>
                <w:rFonts w:ascii="Times New Roman" w:cs="Times New Roman" w:eastAsia="Times New Roman" w:hAnsi="Times New Roman"/>
                <w:sz w:val="12"/>
                <w:szCs w:val="12"/>
                <w:b w:val="1"/>
                <w:bCs w:val="1"/>
                <w:color w:val="auto"/>
              </w:rPr>
              <w:t>2010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right"/>
              <w:ind w:right="796"/>
              <w:spacing w:after="0"/>
              <w:rPr>
                <w:sz w:val="20"/>
                <w:szCs w:val="20"/>
                <w:color w:val="auto"/>
              </w:rPr>
            </w:pPr>
            <w:r>
              <w:rPr>
                <w:rFonts w:ascii="Times New Roman" w:cs="Times New Roman" w:eastAsia="Times New Roman" w:hAnsi="Times New Roman"/>
                <w:sz w:val="12"/>
                <w:szCs w:val="12"/>
                <w:b w:val="1"/>
                <w:bCs w:val="1"/>
                <w:color w:val="auto"/>
              </w:rPr>
              <w:t>2009</w:t>
            </w:r>
          </w:p>
        </w:tc>
        <w:tc>
          <w:tcPr>
            <w:tcW w:w="1520" w:type="dxa"/>
            <w:vAlign w:val="bottom"/>
            <w:gridSpan w:val="2"/>
          </w:tcPr>
          <w:p>
            <w:pPr>
              <w:jc w:val="right"/>
              <w:ind w:right="515"/>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25"/>
        </w:trPr>
        <w:tc>
          <w:tcPr>
            <w:tcW w:w="6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5"/>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warranty balance—beginning of the period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2,882</w:t>
            </w:r>
          </w:p>
        </w:tc>
        <w:tc>
          <w:tcPr>
            <w:tcW w:w="152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1,744</w:t>
            </w:r>
          </w:p>
        </w:tc>
      </w:tr>
      <w:tr>
        <w:trPr>
          <w:trHeight w:val="17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Warranty costs incur red</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(1,337)</w:t>
            </w:r>
          </w:p>
        </w:tc>
        <w:tc>
          <w:tcPr>
            <w:tcW w:w="100" w:type="dxa"/>
            <w:vAlign w:val="bottom"/>
          </w:tcPr>
          <w:p>
            <w:pPr>
              <w:spacing w:after="0"/>
              <w:rPr>
                <w:sz w:val="15"/>
                <w:szCs w:val="15"/>
                <w:color w:val="auto"/>
              </w:rPr>
            </w:pPr>
          </w:p>
        </w:tc>
        <w:tc>
          <w:tcPr>
            <w:tcW w:w="196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rPr>
              <w:t>(1,502)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(1,030)</w:t>
            </w:r>
          </w:p>
        </w:tc>
      </w:tr>
      <w:tr>
        <w:trPr>
          <w:trHeight w:val="21"/>
        </w:trPr>
        <w:tc>
          <w:tcPr>
            <w:tcW w:w="6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6"/>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warranty for the year</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1,169</w:t>
            </w:r>
          </w:p>
        </w:tc>
        <w:tc>
          <w:tcPr>
            <w:tcW w:w="120" w:type="dxa"/>
            <w:vAlign w:val="bottom"/>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2,252</w:t>
            </w:r>
          </w:p>
        </w:tc>
      </w:tr>
      <w:tr>
        <w:trPr>
          <w:trHeight w:val="17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Accruals related to changes in estimates</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5"/>
                <w:szCs w:val="15"/>
                <w:color w:val="auto"/>
              </w:rPr>
            </w:pPr>
          </w:p>
        </w:tc>
        <w:tc>
          <w:tcPr>
            <w:tcW w:w="196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rPr>
              <w:t>(292)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1"/>
        </w:trPr>
        <w:tc>
          <w:tcPr>
            <w:tcW w:w="6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33"/>
        </w:trPr>
        <w:tc>
          <w:tcPr>
            <w:tcW w:w="6220" w:type="dxa"/>
            <w:vAlign w:val="bottom"/>
            <w:shd w:val="clear" w:color="auto" w:fill="CCEEFF"/>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60" w:type="dxa"/>
            <w:vAlign w:val="bottom"/>
            <w:shd w:val="clear" w:color="auto" w:fill="CCEEFF"/>
          </w:tcPr>
          <w:p>
            <w:pPr>
              <w:ind w:left="1300"/>
              <w:spacing w:after="0" w:line="134" w:lineRule="exact"/>
              <w:rPr>
                <w:sz w:val="20"/>
                <w:szCs w:val="20"/>
                <w:color w:val="auto"/>
              </w:rPr>
            </w:pPr>
            <w:r>
              <w:rPr>
                <w:rFonts w:ascii="Times New Roman" w:cs="Times New Roman" w:eastAsia="Times New Roman" w:hAnsi="Times New Roman"/>
                <w:sz w:val="13"/>
                <w:szCs w:val="13"/>
                <w:color w:val="auto"/>
              </w:rPr>
              <w:t>&lt; div</w:t>
            </w: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37"/>
        </w:trPr>
        <w:tc>
          <w:tcPr>
            <w:tcW w:w="6220" w:type="dxa"/>
            <w:vAlign w:val="bottom"/>
            <w:shd w:val="clear" w:color="auto" w:fill="CCEEFF"/>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60" w:type="dxa"/>
            <w:vAlign w:val="bottom"/>
            <w:shd w:val="clear" w:color="auto" w:fill="CCEEFF"/>
          </w:tcPr>
          <w:p>
            <w:pPr>
              <w:ind w:left="1300"/>
              <w:spacing w:after="0" w:line="137" w:lineRule="exact"/>
              <w:rPr>
                <w:sz w:val="20"/>
                <w:szCs w:val="20"/>
                <w:color w:val="auto"/>
              </w:rPr>
            </w:pPr>
            <w:r>
              <w:rPr>
                <w:rFonts w:ascii="Times New Roman" w:cs="Times New Roman" w:eastAsia="Times New Roman" w:hAnsi="Times New Roman"/>
                <w:sz w:val="13"/>
                <w:szCs w:val="13"/>
                <w:color w:val="auto"/>
              </w:rPr>
              <w:t>style="text-</w:t>
            </w: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9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warranty balance—end of the period</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2,257align:left;"&gt;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2,882</w:t>
            </w:r>
          </w:p>
        </w:tc>
      </w:tr>
    </w:tbl>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3"/>
          <w:szCs w:val="13"/>
          <w:b w:val="1"/>
          <w:bCs w:val="1"/>
          <w:color w:val="auto"/>
        </w:rPr>
        <w:t>Foreign Currency Derivatives</w:t>
      </w:r>
      <w:r>
        <w:rPr>
          <w:rFonts w:ascii="Times New Roman" w:cs="Times New Roman" w:eastAsia="Times New Roman" w:hAnsi="Times New Roman"/>
          <w:sz w:val="13"/>
          <w:szCs w:val="13"/>
          <w:color w:val="auto"/>
        </w:rPr>
        <w:t>—Our sales contracts are primarily denominated in U.S. dollars and therefore substantially all of our revenue is not subject to foreign currency translation risk. However, a substantial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portion of our operating expenses incurred outside the U.S. are denominated in foreign currencies and are subject to fluctuations due to changes in foreign currency exchange rates, particularly changes in the CAD, EUR, GBP, and JPY. To help protect against significant fluctuations in value and the volatility of future cash flows caused by changes in currency exchange rates, we engage in foreign currency risk management activities to hedge balance sheet items denominated in EUR, GBP, and CAD, and occasionally to hedge future forecasted cash outflows denominated in EUR. We do not use these contracts for speculative or trading purposes. All of the de rivative instruments are with high quality financial institutions and we monitor the creditworthiness of these parties. These contracts typically have maturities between one and three months. We account for our hedges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We record changes in the fair value of forward exchange contracts related to balance sheet accounts as other income (expense), net in the consolidated statement of operations. Gains or losses resulting from settled forward exchange contracts related to future forecasted cash outflows are recorded in operating expenses in the consolidated statement of operations, in the same period the hedged item occurs. Gains or losses resulting from unsettled forward exchange contracts related to future forecasted cash outflows are recorded in other comprehensive income in the consolidated balance sheet.</w:t>
      </w:r>
    </w:p>
    <w:p>
      <w:pPr>
        <w:spacing w:after="0" w:line="169"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notional amount of forward exchange contracts to hedge cash flows associated with operating expenses and balance sheet accounts as of December 31, 2010 was (amounts in 000's):</w:t>
      </w:r>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Buy/Sell</w:t>
            </w: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0" w:type="dxa"/>
            <w:vAlign w:val="bottom"/>
          </w:tcPr>
          <w:p>
            <w:pPr>
              <w:spacing w:after="0"/>
              <w:rPr>
                <w:sz w:val="1"/>
                <w:szCs w:val="1"/>
                <w:color w:val="auto"/>
              </w:rPr>
            </w:pPr>
          </w:p>
        </w:tc>
      </w:tr>
      <w:tr>
        <w:trPr>
          <w:trHeight w:val="21"/>
        </w:trPr>
        <w:tc>
          <w:tcPr>
            <w:tcW w:w="5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 hedge operating cash outflows:</w:t>
            </w: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40" w:type="dxa"/>
            <w:vAlign w:val="bottom"/>
            <w:tcBorders>
              <w:top w:val="single" w:sz="8" w:color="auto"/>
            </w:tcBorders>
          </w:tcPr>
          <w:p>
            <w:pPr>
              <w:spacing w:after="0"/>
              <w:rPr>
                <w:sz w:val="2"/>
                <w:szCs w:val="2"/>
                <w:color w:val="auto"/>
              </w:rPr>
            </w:pPr>
          </w:p>
        </w:tc>
        <w:tc>
          <w:tcPr>
            <w:tcW w:w="6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Buy</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2,900</w:t>
            </w:r>
          </w:p>
        </w:tc>
        <w:tc>
          <w:tcPr>
            <w:tcW w:w="0" w:type="dxa"/>
            <w:vAlign w:val="bottom"/>
          </w:tcPr>
          <w:p>
            <w:pPr>
              <w:spacing w:after="0"/>
              <w:rPr>
                <w:sz w:val="1"/>
                <w:szCs w:val="1"/>
                <w:color w:val="auto"/>
              </w:rPr>
            </w:pPr>
          </w:p>
        </w:tc>
      </w:tr>
      <w:tr>
        <w:trPr>
          <w:trHeight w:val="215"/>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 hedge balance sheet accounts: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40" w:type="dxa"/>
            <w:vAlign w:val="bottom"/>
            <w:gridSpan w:val="2"/>
            <w:vMerge w:val="continue"/>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6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40" w:type="dxa"/>
            <w:vAlign w:val="bottom"/>
            <w:tcBorders>
              <w:top w:val="single" w:sz="8" w:color="auto"/>
            </w:tcBorders>
          </w:tcPr>
          <w:p>
            <w:pPr>
              <w:spacing w:after="0"/>
              <w:rPr>
                <w:sz w:val="2"/>
                <w:szCs w:val="2"/>
                <w:color w:val="auto"/>
              </w:rPr>
            </w:pPr>
          </w:p>
        </w:tc>
        <w:tc>
          <w:tcPr>
            <w:tcW w:w="6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EUR</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Buy</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5,012</w:t>
            </w:r>
          </w:p>
        </w:tc>
        <w:tc>
          <w:tcPr>
            <w:tcW w:w="0" w:type="dxa"/>
            <w:vAlign w:val="bottom"/>
          </w:tcPr>
          <w:p>
            <w:pPr>
              <w:spacing w:after="0"/>
              <w:rPr>
                <w:sz w:val="1"/>
                <w:szCs w:val="1"/>
                <w:color w:val="auto"/>
              </w:rPr>
            </w:pPr>
          </w:p>
        </w:tc>
      </w:tr>
      <w:tr>
        <w:trPr>
          <w:trHeight w:val="175"/>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GBP</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Buy</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1,074</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Buy</w:t>
            </w: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10,272</w:t>
            </w:r>
          </w:p>
        </w:tc>
        <w:tc>
          <w:tcPr>
            <w:tcW w:w="0" w:type="dxa"/>
            <w:vAlign w:val="bottom"/>
          </w:tcPr>
          <w:p>
            <w:pPr>
              <w:spacing w:after="0"/>
              <w:rPr>
                <w:sz w:val="1"/>
                <w:szCs w:val="1"/>
                <w:color w:val="auto"/>
              </w:rPr>
            </w:pPr>
          </w:p>
        </w:tc>
      </w:tr>
      <w:tr>
        <w:trPr>
          <w:trHeight w:val="21"/>
        </w:trPr>
        <w:tc>
          <w:tcPr>
            <w:tcW w:w="54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195" w:lineRule="exact"/>
        <w:rPr>
          <w:sz w:val="20"/>
          <w:szCs w:val="20"/>
          <w:color w:val="auto"/>
        </w:rPr>
      </w:pPr>
    </w:p>
    <w:p>
      <w:pPr>
        <w:jc w:val="center"/>
        <w:ind w:left="720"/>
        <w:spacing w:after="0" w:line="281" w:lineRule="auto"/>
        <w:rPr>
          <w:sz w:val="20"/>
          <w:szCs w:val="20"/>
          <w:color w:val="auto"/>
        </w:rPr>
      </w:pPr>
      <w:r>
        <w:rPr>
          <w:rFonts w:ascii="Times New Roman" w:cs="Times New Roman" w:eastAsia="Times New Roman" w:hAnsi="Times New Roman"/>
          <w:sz w:val="13"/>
          <w:szCs w:val="13"/>
          <w:color w:val="auto"/>
        </w:rPr>
        <w:t>In January 2010, the Financial Accounting Standards Board (FASB) issued revised guidance on disclosures related to fair value measurements. This guidance requires new disclosures about significant transfers in and out of Level 1 and Level 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11440"/>
          </w:cols>
          <w:pgMar w:left="220" w:top="127"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67" w:lineRule="exact"/>
        <w:rPr>
          <w:sz w:val="20"/>
          <w:szCs w:val="20"/>
          <w:color w:val="auto"/>
        </w:rPr>
      </w:pPr>
    </w:p>
    <w:p>
      <w:pPr>
        <w:jc w:val="center"/>
        <w:ind w:left="240" w:right="40"/>
        <w:spacing w:after="0" w:line="261" w:lineRule="auto"/>
        <w:rPr>
          <w:sz w:val="20"/>
          <w:szCs w:val="20"/>
          <w:color w:val="auto"/>
        </w:rPr>
      </w:pPr>
      <w:r>
        <w:rPr>
          <w:rFonts w:ascii="Times New Roman" w:cs="Times New Roman" w:eastAsia="Times New Roman" w:hAnsi="Times New Roman"/>
          <w:sz w:val="13"/>
          <w:szCs w:val="13"/>
          <w:color w:val="auto"/>
        </w:rPr>
        <w:t>and separate disclosures about purchases, sales, issuances, and settlements with respect to Level 3 measurements. The guidance also clarifies existing fair value disclosures about valuation techniques and inputs used to measure fair value. The new disclosures and clarifications of existing disclosures are effective for us beginning in the first quarter of 2010, except for the disclosures about purchases, sales, issuances, and settlements relating to Level 3 measurements, which will be effective for us in the first quarter of 2011. The adoption of the relevant disclosures related to transfers in and out of Level 1 and Level 2 in the quarter did not have a material impact on our financial statements and we do not expect the additional disclosures that are required beginning in the first quarter of fiscal 2011 to have a material impact on our financial statements.</w:t>
      </w:r>
    </w:p>
    <w:p>
      <w:pPr>
        <w:spacing w:after="0" w:line="159" w:lineRule="exact"/>
        <w:rPr>
          <w:sz w:val="20"/>
          <w:szCs w:val="20"/>
          <w:color w:val="auto"/>
        </w:rPr>
      </w:pPr>
    </w:p>
    <w:p>
      <w:pPr>
        <w:ind w:left="120" w:right="20" w:firstLine="395"/>
        <w:spacing w:after="0" w:line="262" w:lineRule="auto"/>
        <w:rPr>
          <w:sz w:val="20"/>
          <w:szCs w:val="20"/>
          <w:color w:val="auto"/>
        </w:rPr>
      </w:pPr>
      <w:r>
        <w:rPr>
          <w:rFonts w:ascii="Times New Roman" w:cs="Times New Roman" w:eastAsia="Times New Roman" w:hAnsi="Times New Roman"/>
          <w:sz w:val="13"/>
          <w:szCs w:val="13"/>
          <w:color w:val="auto"/>
        </w:rPr>
        <w:t xml:space="preserve">In September 2009, the EITF reached a consensus on ASC 605-25 (formerly referred to as EITF 08-1, </w:t>
      </w:r>
      <w:r>
        <w:rPr>
          <w:rFonts w:ascii="Times New Roman" w:cs="Times New Roman" w:eastAsia="Times New Roman" w:hAnsi="Times New Roman"/>
          <w:sz w:val="13"/>
          <w:szCs w:val="13"/>
          <w:i w:val="1"/>
          <w:iCs w:val="1"/>
          <w:color w:val="auto"/>
        </w:rPr>
        <w:t>Revenue Arrangements with Multiple Deliverables</w:t>
      </w:r>
      <w:r>
        <w:rPr>
          <w:rFonts w:ascii="Times New Roman" w:cs="Times New Roman" w:eastAsia="Times New Roman" w:hAnsi="Times New Roman"/>
          <w:sz w:val="13"/>
          <w:szCs w:val="13"/>
          <w:color w:val="auto"/>
        </w:rPr>
        <w:t>). ASC 605-25 eliminates the criterion for objective and reliable evidence of fair value for the undelivered products or services. Instead, revenue arrangements with multiple deliverables should be divided into separate units of accounting if the deliverables meet both of the</w:t>
      </w:r>
    </w:p>
    <w:p>
      <w:pPr>
        <w:jc w:val="center"/>
        <w:ind w:right="-39"/>
        <w:spacing w:after="0"/>
        <w:rPr>
          <w:sz w:val="20"/>
          <w:szCs w:val="20"/>
          <w:color w:val="auto"/>
        </w:rPr>
      </w:pPr>
      <w:r>
        <w:rPr>
          <w:rFonts w:ascii="Times New Roman" w:cs="Times New Roman" w:eastAsia="Times New Roman" w:hAnsi="Times New Roman"/>
          <w:sz w:val="13"/>
          <w:szCs w:val="13"/>
          <w:color w:val="auto"/>
        </w:rPr>
        <w:t>following criteria:</w:t>
      </w:r>
    </w:p>
    <w:p>
      <w:pPr>
        <w:spacing w:after="0" w:line="103" w:lineRule="exact"/>
        <w:rPr>
          <w:sz w:val="20"/>
          <w:szCs w:val="20"/>
          <w:color w:val="auto"/>
        </w:rPr>
      </w:pPr>
    </w:p>
    <w:p>
      <w:pPr>
        <w:ind w:left="960" w:hanging="492"/>
        <w:spacing w:after="0"/>
        <w:tabs>
          <w:tab w:leader="none" w:pos="9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delivered items have value to the customer on a standalone basis</w:t>
      </w:r>
    </w:p>
    <w:p>
      <w:pPr>
        <w:spacing w:after="0" w:line="202"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arrangement includes a general right of return relative to the delivered items, delivery or performance of the undelivered items is considered probable and substantially in the control of the vendor.</w:t>
      </w:r>
    </w:p>
    <w:p>
      <w:pPr>
        <w:spacing w:after="0" w:line="193" w:lineRule="exact"/>
        <w:rPr>
          <w:sz w:val="20"/>
          <w:szCs w:val="20"/>
          <w:color w:val="auto"/>
        </w:rPr>
      </w:pPr>
    </w:p>
    <w:p>
      <w:pPr>
        <w:ind w:left="40" w:firstLine="634"/>
        <w:spacing w:after="0" w:line="260" w:lineRule="auto"/>
        <w:rPr>
          <w:sz w:val="20"/>
          <w:szCs w:val="20"/>
          <w:color w:val="auto"/>
        </w:rPr>
      </w:pPr>
      <w:r>
        <w:rPr>
          <w:rFonts w:ascii="Times New Roman" w:cs="Times New Roman" w:eastAsia="Times New Roman" w:hAnsi="Times New Roman"/>
          <w:sz w:val="13"/>
          <w:szCs w:val="13"/>
          <w:color w:val="auto"/>
        </w:rPr>
        <w:t>ASC 605-25 eliminates the use of the residual method of allocation and requires, instead, that arrangement consideration be allocated, at the inception of the arrangement, to all deliverables based on their relative selling price (i.e., the relative selling price method). When applying the relative selling price method, a hierarchy is used for estimating the selling price for each of the deliverables. The hierarchy establishes that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the method for determining estimated selling price should be chosen in the following order of priority:</w:t>
      </w:r>
    </w:p>
    <w:p>
      <w:pPr>
        <w:spacing w:after="0" w:line="74" w:lineRule="exact"/>
        <w:rPr>
          <w:sz w:val="20"/>
          <w:szCs w:val="20"/>
          <w:color w:val="auto"/>
        </w:rPr>
      </w:pPr>
    </w:p>
    <w:p>
      <w:pPr>
        <w:ind w:left="940" w:hanging="472"/>
        <w:spacing w:after="0"/>
        <w:tabs>
          <w:tab w:leader="none" w:pos="9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VSOE of the selling price;</w:t>
      </w:r>
    </w:p>
    <w:p>
      <w:pPr>
        <w:spacing w:after="0" w:line="192"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evidence (TPE) of the selling price – prices of the vendor’s or any competitor’s largely interchangeable products or services, in standalone sales to similarly situated customers; and</w:t>
      </w:r>
    </w:p>
    <w:p>
      <w:pPr>
        <w:spacing w:after="0" w:line="192" w:lineRule="exact"/>
        <w:rPr>
          <w:rFonts w:ascii="Times New Roman" w:cs="Times New Roman" w:eastAsia="Times New Roman" w:hAnsi="Times New Roman"/>
          <w:sz w:val="13"/>
          <w:szCs w:val="13"/>
          <w:color w:val="auto"/>
        </w:rPr>
      </w:pPr>
    </w:p>
    <w:p>
      <w:pPr>
        <w:ind w:left="940" w:hanging="472"/>
        <w:spacing w:after="0"/>
        <w:tabs>
          <w:tab w:leader="none" w:pos="9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Best estimate of the selling price.</w:t>
      </w:r>
    </w:p>
    <w:p>
      <w:pPr>
        <w:spacing w:after="0" w:line="1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3"/>
          <w:szCs w:val="13"/>
          <w:color w:val="auto"/>
        </w:rPr>
        <w:t xml:space="preserve">In September 2009, the FASB reached a consensus on ASC 985-605 (formerly referred to as EITF 09-3, </w:t>
      </w:r>
      <w:r>
        <w:rPr>
          <w:rFonts w:ascii="Times New Roman" w:cs="Times New Roman" w:eastAsia="Times New Roman" w:hAnsi="Times New Roman"/>
          <w:sz w:val="13"/>
          <w:szCs w:val="13"/>
          <w:i w:val="1"/>
          <w:iCs w:val="1"/>
          <w:color w:val="auto"/>
        </w:rPr>
        <w:t>Certain</w:t>
      </w:r>
    </w:p>
    <w:p>
      <w:pPr>
        <w:spacing w:after="0" w:line="21" w:lineRule="exact"/>
        <w:rPr>
          <w:sz w:val="20"/>
          <w:szCs w:val="20"/>
          <w:color w:val="auto"/>
        </w:rPr>
      </w:pPr>
    </w:p>
    <w:p>
      <w:pPr>
        <w:jc w:val="center"/>
        <w:ind w:left="240" w:right="40"/>
        <w:spacing w:after="0" w:line="254" w:lineRule="auto"/>
        <w:rPr>
          <w:sz w:val="20"/>
          <w:szCs w:val="20"/>
          <w:color w:val="auto"/>
        </w:rPr>
      </w:pPr>
      <w:r>
        <w:rPr>
          <w:rFonts w:ascii="Times New Roman" w:cs="Times New Roman" w:eastAsia="Times New Roman" w:hAnsi="Times New Roman"/>
          <w:sz w:val="13"/>
          <w:szCs w:val="13"/>
          <w:i w:val="1"/>
          <w:iCs w:val="1"/>
          <w:color w:val="auto"/>
        </w:rPr>
        <w:t>Revenue Arrangements That Include Software Elements</w:t>
      </w:r>
      <w:r>
        <w:rPr>
          <w:rFonts w:ascii="Times New Roman" w:cs="Times New Roman" w:eastAsia="Times New Roman" w:hAnsi="Times New Roman"/>
          <w:sz w:val="13"/>
          <w:szCs w:val="13"/>
          <w:color w:val="auto"/>
        </w:rPr>
        <w:t>). Arrangements to sell joint hardware and software products where the software and non-software components function together to deliver the product's essential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functionality will no longer be scoped into software accounting rules, but will be subject to non-software multiple element accounting guidance (ASC 605-25). ASC 985-605 and ASC 605-25 provide a list of items to consider when de termining whether the software and non-software components function together to deliver a product's essential functionality. ASC 985-605 must be adopted for arrangements entered into beginning January 1, 2011, and may be early-adopted. We will adopt ASC 985-605 and ASC 605-25 in the first quarter of 2011, and are currently evaluating the impact of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1440"/>
          </w:cols>
          <w:pgMar w:left="220" w:top="127"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 FINANCIAL INSTRUMENTS AND FAIR VALUE</w:t>
      </w:r>
    </w:p>
    <w:p>
      <w:pPr>
        <w:spacing w:after="0" w:line="16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color w:val="auto"/>
        </w:rPr>
        <w:t>The following table summarizes our investments in available-for-sale securities ($ amounts in 000's):</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6"/>
              </w:rPr>
              <w:t>December 31, 2010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5"/>
        </w:trPr>
        <w:tc>
          <w:tcPr>
            <w:tcW w:w="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45"/>
        </w:trPr>
        <w:tc>
          <w:tcPr>
            <w:tcW w:w="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420" w:type="dxa"/>
            <w:vAlign w:val="bottom"/>
            <w:gridSpan w:val="2"/>
          </w:tcPr>
          <w:p>
            <w:pPr>
              <w:jc w:val="center"/>
              <w:ind w:left="717"/>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4"/>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Fair</w:t>
            </w:r>
          </w:p>
        </w:tc>
      </w:tr>
      <w:tr>
        <w:trPr>
          <w:trHeight w:val="153"/>
        </w:trPr>
        <w:tc>
          <w:tcPr>
            <w:tcW w:w="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420" w:type="dxa"/>
            <w:vAlign w:val="bottom"/>
            <w:gridSpan w:val="2"/>
          </w:tcPr>
          <w:p>
            <w:pPr>
              <w:jc w:val="center"/>
              <w:ind w:left="717"/>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Value</w:t>
            </w:r>
          </w:p>
        </w:tc>
      </w:tr>
      <w:tr>
        <w:trPr>
          <w:trHeight w:val="25"/>
        </w:trPr>
        <w:tc>
          <w:tcPr>
            <w:tcW w:w="4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65"/>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9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r>
      <w:tr>
        <w:trPr>
          <w:trHeight w:val="175"/>
        </w:trPr>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U.S. government and agency securities</w:t>
            </w:r>
          </w:p>
        </w:tc>
        <w:tc>
          <w:tcPr>
            <w:tcW w:w="228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auto"/>
              </w:rPr>
              <w:t>51,989</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51,943</w:t>
            </w:r>
          </w:p>
        </w:tc>
      </w:tr>
      <w:tr>
        <w:trPr>
          <w:trHeight w:val="21"/>
        </w:trPr>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2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2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213,237</w:t>
            </w:r>
          </w:p>
        </w:tc>
        <w:tc>
          <w:tcPr>
            <w:tcW w:w="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159</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213,396</w:t>
            </w:r>
          </w:p>
        </w:tc>
      </w:tr>
      <w:tr>
        <w:trPr>
          <w:trHeight w:val="175"/>
        </w:trPr>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Commercial paper</w:t>
            </w:r>
          </w:p>
        </w:tc>
        <w:tc>
          <w:tcPr>
            <w:tcW w:w="228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auto"/>
              </w:rPr>
              <w:t>38,914</w:t>
            </w:r>
          </w:p>
        </w:tc>
        <w:tc>
          <w:tcPr>
            <w:tcW w:w="6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38,919</w:t>
            </w:r>
          </w:p>
        </w:tc>
      </w:tr>
      <w:tr>
        <w:trPr>
          <w:trHeight w:val="21"/>
        </w:trPr>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2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Municipal bonds</w:t>
            </w:r>
          </w:p>
        </w:tc>
        <w:tc>
          <w:tcPr>
            <w:tcW w:w="2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11,069</w:t>
            </w:r>
          </w:p>
        </w:tc>
        <w:tc>
          <w:tcPr>
            <w:tcW w:w="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11</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11,080</w:t>
            </w:r>
          </w:p>
        </w:tc>
      </w:tr>
      <w:tr>
        <w:trPr>
          <w:trHeight w:val="144"/>
        </w:trPr>
        <w:tc>
          <w:tcPr>
            <w:tcW w:w="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gridSpan w:val="4"/>
          </w:tcPr>
          <w:p>
            <w:pPr>
              <w:ind w:left="200"/>
              <w:spacing w:after="0" w:line="144" w:lineRule="exact"/>
              <w:rPr>
                <w:sz w:val="20"/>
                <w:szCs w:val="20"/>
                <w:color w:val="auto"/>
              </w:rPr>
            </w:pPr>
            <w:r>
              <w:rPr>
                <w:rFonts w:ascii="Times New Roman" w:cs="Times New Roman" w:eastAsia="Times New Roman" w:hAnsi="Times New Roman"/>
                <w:sz w:val="13"/>
                <w:szCs w:val="13"/>
                <w:color w:val="auto"/>
              </w:rPr>
              <w:t>&lt; font style="font-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7"/>
        </w:trPr>
        <w:tc>
          <w:tcPr>
            <w:tcW w:w="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4"/>
          </w:tcPr>
          <w:p>
            <w:pPr>
              <w:ind w:left="200"/>
              <w:spacing w:after="0" w:line="137" w:lineRule="exact"/>
              <w:rPr>
                <w:sz w:val="20"/>
                <w:szCs w:val="20"/>
                <w:color w:val="auto"/>
              </w:rPr>
            </w:pPr>
            <w:r>
              <w:rPr>
                <w:rFonts w:ascii="Times New Roman" w:cs="Times New Roman" w:eastAsia="Times New Roman" w:hAnsi="Times New Roman"/>
                <w:sz w:val="13"/>
                <w:szCs w:val="13"/>
                <w:color w:val="auto"/>
              </w:rPr>
              <w:t>family:inherit;font-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88"/>
        </w:trPr>
        <w:tc>
          <w:tcPr>
            <w:tcW w:w="2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Term deposits</w:t>
            </w:r>
          </w:p>
        </w:tc>
        <w:tc>
          <w:tcPr>
            <w:tcW w:w="9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5,263</w:t>
            </w: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—size:10pt;"&gt;</w:t>
            </w:r>
          </w:p>
        </w:tc>
        <w:tc>
          <w:tcPr>
            <w:tcW w:w="3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5,263</w:t>
            </w:r>
          </w:p>
        </w:tc>
      </w:tr>
      <w:tr>
        <w:trPr>
          <w:trHeight w:val="195"/>
        </w:trPr>
        <w:tc>
          <w:tcPr>
            <w:tcW w:w="480" w:type="dxa"/>
            <w:vAlign w:val="bottom"/>
            <w:shd w:val="clear" w:color="auto" w:fill="CCEEFF"/>
          </w:tcPr>
          <w:p>
            <w:pPr>
              <w:spacing w:after="0"/>
              <w:rPr>
                <w:sz w:val="16"/>
                <w:szCs w:val="16"/>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available-for-sale securities</w:t>
            </w:r>
          </w:p>
        </w:tc>
        <w:tc>
          <w:tcPr>
            <w:tcW w:w="2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320,472</w:t>
            </w:r>
          </w:p>
        </w:tc>
        <w:tc>
          <w:tcPr>
            <w:tcW w:w="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175</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320,601</w:t>
            </w:r>
          </w:p>
        </w:tc>
      </w:tr>
      <w:tr>
        <w:trPr>
          <w:trHeight w:val="357"/>
        </w:trPr>
        <w:tc>
          <w:tcPr>
            <w:tcW w:w="48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6"/>
              </w:rPr>
              <w:t>December 31, 2009</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5"/>
        </w:trPr>
        <w:tc>
          <w:tcPr>
            <w:tcW w:w="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45"/>
        </w:trPr>
        <w:tc>
          <w:tcPr>
            <w:tcW w:w="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Amortized</w:t>
            </w:r>
          </w:p>
        </w:tc>
        <w:tc>
          <w:tcPr>
            <w:tcW w:w="1420" w:type="dxa"/>
            <w:vAlign w:val="bottom"/>
            <w:gridSpan w:val="2"/>
          </w:tcPr>
          <w:p>
            <w:pPr>
              <w:jc w:val="center"/>
              <w:ind w:left="717"/>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4"/>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Fair</w:t>
            </w:r>
          </w:p>
        </w:tc>
      </w:tr>
      <w:tr>
        <w:trPr>
          <w:trHeight w:val="153"/>
        </w:trPr>
        <w:tc>
          <w:tcPr>
            <w:tcW w:w="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420" w:type="dxa"/>
            <w:vAlign w:val="bottom"/>
            <w:gridSpan w:val="2"/>
          </w:tcPr>
          <w:p>
            <w:pPr>
              <w:jc w:val="center"/>
              <w:ind w:left="717"/>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Value</w:t>
            </w:r>
          </w:p>
        </w:tc>
      </w:tr>
      <w:tr>
        <w:trPr>
          <w:trHeight w:val="25"/>
        </w:trPr>
        <w:tc>
          <w:tcPr>
            <w:tcW w:w="4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65"/>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9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r>
      <w:tr>
        <w:trPr>
          <w:trHeight w:val="175"/>
        </w:trPr>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U.S. government and agency securities</w:t>
            </w:r>
          </w:p>
        </w:tc>
        <w:tc>
          <w:tcPr>
            <w:tcW w:w="228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auto"/>
              </w:rPr>
              <w:t>2,000</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1,998</w:t>
            </w:r>
          </w:p>
        </w:tc>
      </w:tr>
      <w:tr>
        <w:trPr>
          <w:trHeight w:val="21"/>
        </w:trPr>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2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2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27,279</w:t>
            </w:r>
          </w:p>
        </w:tc>
        <w:tc>
          <w:tcPr>
            <w:tcW w:w="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44</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27,323</w:t>
            </w:r>
          </w:p>
        </w:tc>
      </w:tr>
      <w:tr>
        <w:trPr>
          <w:trHeight w:val="175"/>
        </w:trPr>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Commercial paper</w:t>
            </w:r>
          </w:p>
        </w:tc>
        <w:tc>
          <w:tcPr>
            <w:tcW w:w="228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auto"/>
              </w:rPr>
              <w:t>3,983</w:t>
            </w:r>
          </w:p>
        </w:tc>
        <w:tc>
          <w:tcPr>
            <w:tcW w:w="6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3,983</w:t>
            </w:r>
          </w:p>
        </w:tc>
      </w:tr>
      <w:tr>
        <w:trPr>
          <w:trHeight w:val="21"/>
        </w:trPr>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3"/>
        </w:trPr>
        <w:tc>
          <w:tcPr>
            <w:tcW w:w="4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&lt;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89"/>
        </w:trPr>
        <w:tc>
          <w:tcPr>
            <w:tcW w:w="2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Municipal bonds</w:t>
            </w: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14,561</w:t>
            </w: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/div&gt;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14,55 2</w:t>
            </w:r>
          </w:p>
        </w:tc>
      </w:tr>
      <w:tr>
        <w:trPr>
          <w:trHeight w:val="205"/>
        </w:trPr>
        <w:tc>
          <w:tcPr>
            <w:tcW w:w="48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available-for-sale securities</w:t>
            </w:r>
          </w:p>
        </w:tc>
        <w:tc>
          <w:tcPr>
            <w:tcW w:w="9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47,823</w:t>
            </w:r>
          </w:p>
        </w:tc>
        <w:tc>
          <w:tcPr>
            <w:tcW w:w="60" w:type="dxa"/>
            <w:vAlign w:val="bottom"/>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44</w:t>
            </w:r>
          </w:p>
        </w:tc>
        <w:tc>
          <w:tcPr>
            <w:tcW w:w="78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47,856</w:t>
            </w:r>
          </w:p>
        </w:tc>
      </w:tr>
      <w:tr>
        <w:trPr>
          <w:trHeight w:val="302"/>
        </w:trPr>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40" w:type="dxa"/>
            <w:vAlign w:val="bottom"/>
            <w:gridSpan w:val="8"/>
          </w:tcPr>
          <w:p>
            <w:pPr>
              <w:jc w:val="right"/>
              <w:ind w:right="500"/>
              <w:spacing w:after="0"/>
              <w:rPr>
                <w:sz w:val="20"/>
                <w:szCs w:val="20"/>
                <w:color w:val="auto"/>
              </w:rPr>
            </w:pPr>
            <w:r>
              <w:rPr>
                <w:rFonts w:ascii="Times New Roman" w:cs="Times New Roman" w:eastAsia="Times New Roman" w:hAnsi="Times New Roman"/>
                <w:sz w:val="13"/>
                <w:szCs w:val="13"/>
                <w:color w:val="auto"/>
              </w:rPr>
              <w:t>The contractual maturities of our investments are as follows ($ amounts in 000's):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1"/>
        </w:trPr>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24"/>
                <w:szCs w:val="24"/>
                <w:color w:val="auto"/>
              </w:rPr>
            </w:pPr>
          </w:p>
        </w:tc>
        <w:tc>
          <w:tcPr>
            <w:tcW w:w="1280" w:type="dxa"/>
            <w:vAlign w:val="bottom"/>
            <w:gridSpan w:val="3"/>
          </w:tcPr>
          <w:p>
            <w:pPr>
              <w:jc w:val="center"/>
              <w:ind w:left="417"/>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3"/>
        </w:trPr>
        <w:tc>
          <w:tcPr>
            <w:tcW w:w="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center"/>
              <w:ind w:left="198"/>
              <w:spacing w:after="0"/>
              <w:rPr>
                <w:sz w:val="20"/>
                <w:szCs w:val="20"/>
                <w:color w:val="auto"/>
              </w:rPr>
            </w:pPr>
            <w:r>
              <w:rPr>
                <w:rFonts w:ascii="Times New Roman" w:cs="Times New Roman" w:eastAsia="Times New Roman" w:hAnsi="Times New Roman"/>
                <w:sz w:val="12"/>
                <w:szCs w:val="12"/>
                <w:b w:val="1"/>
                <w:bCs w:val="1"/>
                <w:color w:val="auto"/>
                <w:w w:val="99"/>
              </w:rPr>
              <w:t>2010</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2009</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5"/>
        </w:trPr>
        <w:tc>
          <w:tcPr>
            <w:tcW w:w="480" w:type="dxa"/>
            <w:vAlign w:val="bottom"/>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165"/>
        </w:trPr>
        <w:tc>
          <w:tcPr>
            <w:tcW w:w="480" w:type="dxa"/>
            <w:vAlign w:val="bottom"/>
          </w:tcPr>
          <w:p>
            <w:pPr>
              <w:spacing w:after="0"/>
              <w:rPr>
                <w:sz w:val="14"/>
                <w:szCs w:val="14"/>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9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246,651</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47,856</w:t>
            </w:r>
          </w:p>
        </w:tc>
        <w:tc>
          <w:tcPr>
            <w:tcW w:w="480" w:type="dxa"/>
            <w:vAlign w:val="bottom"/>
          </w:tcPr>
          <w:p>
            <w:pPr>
              <w:spacing w:after="0"/>
              <w:rPr>
                <w:sz w:val="14"/>
                <w:szCs w:val="14"/>
                <w:color w:val="auto"/>
              </w:rPr>
            </w:pPr>
          </w:p>
        </w:tc>
      </w:tr>
      <w:tr>
        <w:trPr>
          <w:trHeight w:val="175"/>
        </w:trPr>
        <w:tc>
          <w:tcPr>
            <w:tcW w:w="4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w:t>
            </w: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73,950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480" w:type="dxa"/>
            <w:vAlign w:val="bottom"/>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320,601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47,856</w:t>
            </w:r>
          </w:p>
        </w:tc>
        <w:tc>
          <w:tcPr>
            <w:tcW w:w="480" w:type="dxa"/>
            <w:vAlign w:val="bottom"/>
          </w:tcPr>
          <w:p>
            <w:pPr>
              <w:spacing w:after="0"/>
              <w:rPr>
                <w:sz w:val="16"/>
                <w:szCs w:val="16"/>
                <w:color w:val="auto"/>
              </w:rPr>
            </w:pPr>
          </w:p>
        </w:tc>
      </w:tr>
    </w:tbl>
    <w:p>
      <w:pPr>
        <w:spacing w:after="0" w:line="144" w:lineRule="exact"/>
        <w:rPr>
          <w:sz w:val="20"/>
          <w:szCs w:val="20"/>
          <w:color w:val="auto"/>
        </w:rPr>
      </w:pPr>
    </w:p>
    <w:p>
      <w:pPr>
        <w:ind w:left="2180" w:hanging="1683"/>
        <w:spacing w:after="0" w:line="281" w:lineRule="auto"/>
        <w:rPr>
          <w:sz w:val="20"/>
          <w:szCs w:val="20"/>
          <w:color w:val="auto"/>
        </w:rPr>
      </w:pPr>
      <w:r>
        <w:rPr>
          <w:rFonts w:ascii="Times New Roman" w:cs="Times New Roman" w:eastAsia="Times New Roman" w:hAnsi="Times New Roman"/>
          <w:sz w:val="13"/>
          <w:szCs w:val="13"/>
          <w:color w:val="auto"/>
        </w:rPr>
        <w:t>Available-for-sale securities are reported at fair value, with unrealized gains and losses, net of tax, included as a separate component of stockholders’ equity (deficit) and in total comprehensive income. Realized gains and losses on available-for-sale securities are included in other income (expense), net in our consolidated statements of operations.</w:t>
      </w:r>
    </w:p>
    <w:p>
      <w:pPr>
        <w:spacing w:after="0" w:line="1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Realized gains and losses from the sale of available-for-sale securities were not significant in any period presented.</w:t>
      </w:r>
    </w:p>
    <w:p>
      <w:pPr>
        <w:spacing w:after="0" w:line="142" w:lineRule="exact"/>
        <w:rPr>
          <w:sz w:val="20"/>
          <w:szCs w:val="20"/>
          <w:color w:val="auto"/>
        </w:rPr>
      </w:pPr>
    </w:p>
    <w:p>
      <w:pPr>
        <w:jc w:val="center"/>
        <w:ind w:left="720" w:right="200"/>
        <w:spacing w:after="0" w:line="284" w:lineRule="auto"/>
        <w:rPr>
          <w:sz w:val="20"/>
          <w:szCs w:val="20"/>
          <w:color w:val="auto"/>
        </w:rPr>
      </w:pPr>
      <w:r>
        <w:rPr>
          <w:rFonts w:ascii="Times New Roman" w:cs="Times New Roman" w:eastAsia="Times New Roman" w:hAnsi="Times New Roman"/>
          <w:sz w:val="13"/>
          <w:szCs w:val="13"/>
          <w:b w:val="1"/>
          <w:bCs w:val="1"/>
          <w:color w:val="auto"/>
        </w:rPr>
        <w:t>Fair Value Accounting</w:t>
      </w:r>
      <w:r>
        <w:rPr>
          <w:rFonts w:ascii="Times New Roman" w:cs="Times New Roman" w:eastAsia="Times New Roman" w:hAnsi="Times New Roman"/>
          <w:sz w:val="13"/>
          <w:szCs w:val="13"/>
          <w:color w:val="auto"/>
        </w:rPr>
        <w:t>—We apply ASC 820 which establishes a valuation hierarchy for disclosure of the inputs to fair value measurement. This hierarchy prioritizes the inputs into three broad levels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follows:</w:t>
      </w:r>
    </w:p>
    <w:p>
      <w:pPr>
        <w:spacing w:after="0" w:line="1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Level 1—Inputs are unadjusted quoted prices in active markets for identical assets or liabilities.</w:t>
      </w:r>
    </w:p>
    <w:p>
      <w:pPr>
        <w:spacing w:after="0" w:line="163" w:lineRule="exact"/>
        <w:rPr>
          <w:sz w:val="20"/>
          <w:szCs w:val="20"/>
          <w:color w:val="auto"/>
        </w:rPr>
      </w:pPr>
    </w:p>
    <w:p>
      <w:pPr>
        <w:ind w:left="4780" w:right="220" w:hanging="4063"/>
        <w:spacing w:after="0" w:line="281" w:lineRule="auto"/>
        <w:rPr>
          <w:sz w:val="20"/>
          <w:szCs w:val="20"/>
          <w:color w:val="auto"/>
        </w:rPr>
      </w:pPr>
      <w:r>
        <w:rPr>
          <w:rFonts w:ascii="Times New Roman" w:cs="Times New Roman" w:eastAsia="Times New Roman" w:hAnsi="Times New Roman"/>
          <w:sz w:val="13"/>
          <w:szCs w:val="13"/>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Level 3—Inputs are unobservable inputs based on our own assumptions used to measure assets and liabilities at fair value. The inputs require significant management judgment or estimation.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11440"/>
          </w:cols>
          <w:pgMar w:left="220" w:top="127"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38" w:lineRule="exact"/>
        <w:rPr>
          <w:sz w:val="20"/>
          <w:szCs w:val="20"/>
          <w:color w:val="auto"/>
        </w:rPr>
      </w:pPr>
    </w:p>
    <w:p>
      <w:pPr>
        <w:ind w:left="100" w:right="60" w:firstLine="432"/>
        <w:spacing w:after="0" w:line="260" w:lineRule="auto"/>
        <w:rPr>
          <w:sz w:val="20"/>
          <w:szCs w:val="20"/>
          <w:color w:val="auto"/>
        </w:rPr>
      </w:pPr>
      <w:r>
        <w:rPr>
          <w:rFonts w:ascii="Times New Roman" w:cs="Times New Roman" w:eastAsia="Times New Roman" w:hAnsi="Times New Roman"/>
          <w:sz w:val="13"/>
          <w:szCs w:val="13"/>
          <w:color w:val="auto"/>
        </w:rPr>
        <w:t>The valuation techniques we use to measure the fair value of money market funds were derived f rom quoted prices in active markets for identical assets or liabilities. The valuation techniques used to measure the fair value of all other financial instruments, all of which have counterparties with high credit ratings, were valued based on quoted market prices or model driven valuations using significant inputs derived from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corroborated by observable market data.</w:t>
      </w:r>
    </w:p>
    <w:p>
      <w:pPr>
        <w:spacing w:after="0" w:line="1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We classify investments within Level 1 if quoted prices are available in active markets.</w:t>
      </w:r>
    </w:p>
    <w:p>
      <w:pPr>
        <w:spacing w:after="0" w:line="163" w:lineRule="exact"/>
        <w:rPr>
          <w:sz w:val="20"/>
          <w:szCs w:val="20"/>
          <w:color w:val="auto"/>
        </w:rPr>
      </w:pPr>
    </w:p>
    <w:p>
      <w:pPr>
        <w:ind w:left="1020" w:right="80" w:hanging="479"/>
        <w:spacing w:after="0" w:line="281" w:lineRule="auto"/>
        <w:rPr>
          <w:sz w:val="20"/>
          <w:szCs w:val="20"/>
          <w:color w:val="auto"/>
        </w:rPr>
      </w:pPr>
      <w:r>
        <w:rPr>
          <w:rFonts w:ascii="Times New Roman" w:cs="Times New Roman" w:eastAsia="Times New Roman" w:hAnsi="Times New Roman"/>
          <w:sz w:val="13"/>
          <w:szCs w:val="13"/>
          <w:color w:val="auto"/>
        </w:rPr>
        <w:t>We classify items in Level 2 if the investments are valued using quoted pric es for identical assets in markets that are not active, using quoted prices for similar assets in an active market, or using model-based valuation techniques for which all significant assumptions are observable in the market or can be corroborated by observable market data for substantially the full term of the assets.</w:t>
      </w:r>
    </w:p>
    <w:p>
      <w:pPr>
        <w:spacing w:after="0" w:line="11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The following table presents the fair value of our financial assets as of December 31, 2010 and December 31, 2009 using the ASC 820 input categories: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December 31, 2010</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December 31, 2009</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100"/>
              <w:spacing w:after="0" w:line="97" w:lineRule="exact"/>
              <w:rPr>
                <w:sz w:val="20"/>
                <w:szCs w:val="20"/>
                <w:color w:val="auto"/>
              </w:rPr>
            </w:pPr>
            <w:r>
              <w:rPr>
                <w:rFonts w:ascii="Times New Roman" w:cs="Times New Roman" w:eastAsia="Times New Roman" w:hAnsi="Times New Roman"/>
                <w:sz w:val="9"/>
                <w:szCs w:val="9"/>
                <w:b w:val="1"/>
                <w:bCs w:val="1"/>
                <w:color w:val="auto"/>
              </w:rPr>
              <w:t>Quoted</w:t>
            </w: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&lt; div style="font-</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size:7pt;text-</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align:center;font-</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Quoted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size:7pt;"&gt;</w:t>
            </w:r>
            <w:r>
              <w:rPr>
                <w:rFonts w:ascii="Times New Roman" w:cs="Times New Roman" w:eastAsia="Times New Roman" w:hAnsi="Times New Roman"/>
                <w:sz w:val="9"/>
                <w:szCs w:val="9"/>
                <w:b w:val="1"/>
                <w:bCs w:val="1"/>
                <w:color w:val="auto"/>
              </w:rPr>
              <w:t>Prices in</w:t>
            </w: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80" w:type="dxa"/>
            <w:vAlign w:val="bottom"/>
            <w:gridSpan w:val="3"/>
          </w:tcPr>
          <w:p>
            <w:pPr>
              <w:jc w:val="center"/>
              <w:ind w:right="140"/>
              <w:spacing w:after="0" w:line="98"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9"/>
                <w:szCs w:val="9"/>
                <w:b w:val="1"/>
                <w:bCs w:val="1"/>
                <w:color w:val="auto"/>
                <w:w w:val="96"/>
              </w:rPr>
              <w:t>Prices in</w:t>
            </w:r>
          </w:p>
        </w:tc>
        <w:tc>
          <w:tcPr>
            <w:tcW w:w="112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9"/>
                <w:szCs w:val="9"/>
                <w:b w:val="1"/>
                <w:bCs w:val="1"/>
                <w:color w:val="auto"/>
              </w:rPr>
              <w:t>Active</w:t>
            </w:r>
          </w:p>
        </w:tc>
        <w:tc>
          <w:tcPr>
            <w:tcW w:w="1280" w:type="dxa"/>
            <w:vAlign w:val="bottom"/>
            <w:gridSpan w:val="3"/>
          </w:tcPr>
          <w:p>
            <w:pPr>
              <w:jc w:val="center"/>
              <w:ind w:right="140"/>
              <w:spacing w:after="0" w:line="98"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9"/>
                <w:szCs w:val="9"/>
                <w:b w:val="1"/>
                <w:bCs w:val="1"/>
                <w:color w:val="auto"/>
                <w:w w:val="97"/>
              </w:rPr>
              <w:t>Active</w:t>
            </w:r>
          </w:p>
        </w:tc>
        <w:tc>
          <w:tcPr>
            <w:tcW w:w="112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Other</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rPr>
              <w:t>Aggregate</w:t>
            </w:r>
          </w:p>
        </w:tc>
        <w:tc>
          <w:tcPr>
            <w:tcW w:w="100" w:type="dxa"/>
            <w:vAlign w:val="bottom"/>
          </w:tcPr>
          <w:p>
            <w:pPr>
              <w:spacing w:after="0"/>
              <w:rPr>
                <w:sz w:val="9"/>
                <w:szCs w:val="9"/>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Markets For</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Observable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Aggregate</w:t>
            </w:r>
          </w:p>
        </w:tc>
        <w:tc>
          <w:tcPr>
            <w:tcW w:w="120" w:type="dxa"/>
            <w:vAlign w:val="bottom"/>
          </w:tcPr>
          <w:p>
            <w:pPr>
              <w:spacing w:after="0"/>
              <w:rPr>
                <w:sz w:val="9"/>
                <w:szCs w:val="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Markets For</w:t>
            </w:r>
          </w:p>
        </w:tc>
        <w:tc>
          <w:tcPr>
            <w:tcW w:w="11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Observable</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11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100" w:type="dxa"/>
            <w:vAlign w:val="bottom"/>
          </w:tcPr>
          <w:p>
            <w:pPr>
              <w:spacing w:after="0"/>
              <w:rPr>
                <w:sz w:val="8"/>
                <w:szCs w:val="8"/>
                <w:color w:val="auto"/>
              </w:rPr>
            </w:pPr>
          </w:p>
        </w:tc>
        <w:tc>
          <w:tcPr>
            <w:tcW w:w="128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9"/>
                <w:szCs w:val="9"/>
                <w:b w:val="1"/>
                <w:bCs w:val="1"/>
                <w:color w:val="auto"/>
                <w:w w:val="99"/>
              </w:rPr>
              <w:t>Identical</w:t>
            </w:r>
          </w:p>
        </w:tc>
        <w:tc>
          <w:tcPr>
            <w:tcW w:w="1280" w:type="dxa"/>
            <w:vAlign w:val="bottom"/>
            <w:gridSpan w:val="3"/>
          </w:tcPr>
          <w:p>
            <w:pPr>
              <w:jc w:val="center"/>
              <w:ind w:right="140"/>
              <w:spacing w:after="0" w:line="95" w:lineRule="exact"/>
              <w:rPr>
                <w:sz w:val="20"/>
                <w:szCs w:val="20"/>
                <w:color w:val="auto"/>
              </w:rPr>
            </w:pPr>
            <w:r>
              <w:rPr>
                <w:rFonts w:ascii="Times New Roman" w:cs="Times New Roman" w:eastAsia="Times New Roman" w:hAnsi="Times New Roman"/>
                <w:sz w:val="9"/>
                <w:szCs w:val="9"/>
                <w:b w:val="1"/>
                <w:bCs w:val="1"/>
                <w:color w:val="auto"/>
                <w:w w:val="99"/>
              </w:rPr>
              <w:t>Remaining</w:t>
            </w: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Fair</w:t>
            </w:r>
          </w:p>
        </w:tc>
        <w:tc>
          <w:tcPr>
            <w:tcW w:w="120" w:type="dxa"/>
            <w:vAlign w:val="bottom"/>
          </w:tcPr>
          <w:p>
            <w:pPr>
              <w:spacing w:after="0"/>
              <w:rPr>
                <w:sz w:val="8"/>
                <w:szCs w:val="8"/>
                <w:color w:val="auto"/>
              </w:rPr>
            </w:pPr>
          </w:p>
        </w:tc>
        <w:tc>
          <w:tcPr>
            <w:tcW w:w="1240" w:type="dxa"/>
            <w:vAlign w:val="bottom"/>
            <w:gridSpan w:val="2"/>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rPr>
              <w:t>Identical</w:t>
            </w:r>
          </w:p>
        </w:tc>
        <w:tc>
          <w:tcPr>
            <w:tcW w:w="112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Remaining</w:t>
            </w:r>
          </w:p>
        </w:tc>
        <w:tc>
          <w:tcPr>
            <w:tcW w:w="0" w:type="dxa"/>
            <w:vAlign w:val="bottom"/>
          </w:tcPr>
          <w:p>
            <w:pPr>
              <w:spacing w:after="0"/>
              <w:rPr>
                <w:sz w:val="1"/>
                <w:szCs w:val="1"/>
                <w:color w:val="auto"/>
              </w:rPr>
            </w:pPr>
          </w:p>
        </w:tc>
      </w:tr>
      <w:tr>
        <w:trPr>
          <w:trHeight w:val="120"/>
        </w:trPr>
        <w:tc>
          <w:tcPr>
            <w:tcW w:w="4020" w:type="dxa"/>
            <w:vAlign w:val="bottom"/>
          </w:tcPr>
          <w:p>
            <w:pPr>
              <w:spacing w:after="0"/>
              <w:rPr>
                <w:sz w:val="10"/>
                <w:szCs w:val="10"/>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10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Assets</w:t>
            </w:r>
          </w:p>
        </w:tc>
        <w:tc>
          <w:tcPr>
            <w:tcW w:w="120" w:type="dxa"/>
            <w:vAlign w:val="bottom"/>
          </w:tcPr>
          <w:p>
            <w:pPr>
              <w:spacing w:after="0"/>
              <w:rPr>
                <w:sz w:val="10"/>
                <w:szCs w:val="10"/>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Inputs</w:t>
            </w:r>
          </w:p>
        </w:tc>
        <w:tc>
          <w:tcPr>
            <w:tcW w:w="12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1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Assets</w:t>
            </w:r>
          </w:p>
        </w:tc>
        <w:tc>
          <w:tcPr>
            <w:tcW w:w="1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Inputs</w:t>
            </w: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U.S. government and agency securities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51,943</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51,943</w:t>
            </w:r>
          </w:p>
        </w:tc>
        <w:tc>
          <w:tcPr>
            <w:tcW w:w="12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1,998</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213,396</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213,396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27,323</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27,323</w:t>
            </w: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 paper</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52,415</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52,415</w:t>
            </w:r>
          </w:p>
        </w:tc>
        <w:tc>
          <w:tcPr>
            <w:tcW w:w="12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3,983</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auto"/>
              </w:rPr>
              <w:t>3,983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Municipal bonds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11,080</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14,552</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14,552</w:t>
            </w: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Term deposits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5,263</w:t>
            </w:r>
          </w:p>
        </w:tc>
        <w:tc>
          <w:tcPr>
            <w:tcW w:w="12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auto"/>
              </w:rPr>
              <w:t>5,263</w:t>
            </w:r>
          </w:p>
        </w:tc>
        <w:tc>
          <w:tcPr>
            <w:tcW w:w="12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Money market funds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7,078</w:t>
            </w:r>
          </w:p>
        </w:tc>
        <w:tc>
          <w:tcPr>
            <w:tcW w:w="1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7,078</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179,444</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179,444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Foreign currency contracts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341,249</w:t>
            </w:r>
          </w:p>
        </w:tc>
        <w:tc>
          <w:tcPr>
            <w:tcW w:w="12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12,341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328,908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227,300</w:t>
            </w:r>
          </w:p>
        </w:tc>
        <w:tc>
          <w:tcPr>
            <w:tcW w:w="1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179,444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47,856</w:t>
            </w: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Reported as:</w:t>
            </w: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equivalents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20,574</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179,444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Short-term investments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246,651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47,856</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Long-term investments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73,950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3"/>
                <w:szCs w:val="13"/>
                <w:color w:val="auto"/>
                <w:w w:val="99"/>
              </w:rPr>
              <w:t>341,249</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227,300</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3"/>
          <w:szCs w:val="13"/>
          <w:color w:val="auto"/>
        </w:rPr>
        <w:t>Subsequent to the issuance of the 2009 consolidated financial statements, we determined that $41,875 of securities should be classified as Level 2 investments (rather than Level 1 corporate debt investments as originally classified) as such investments are not actively traded. Accordingly, we have corrected the classification of corporate debt securities from Level 1 to Level 2 in the table of fair value measurements as of December 31, 2009. In addition, we also identified that municipal bonds were previously included within corporate debt securities as of December 31, 2009. We have corrected the presentation by including municipal bonds as a separate category of investments in the fair value table.</w:t>
      </w:r>
    </w:p>
    <w:p>
      <w:pPr>
        <w:spacing w:after="0" w:line="1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did not hold financial assets or liabilities which were recorded at fair value using inputs in the Level 3 category as of December 31, 2010 and December 31, 2009.</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11460"/>
          </w:cols>
          <w:pgMar w:left="220" w:top="127" w:right="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3. INVENTORY</w:t>
      </w:r>
    </w:p>
    <w:p>
      <w:pPr>
        <w:spacing w:after="0" w:line="1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Inventory consisted of the following ($ amounts in 000's):</w:t>
      </w: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47"/>
        </w:trPr>
        <w:tc>
          <w:tcPr>
            <w:tcW w:w="5660" w:type="dxa"/>
            <w:vAlign w:val="bottom"/>
          </w:tcPr>
          <w:p>
            <w:pPr>
              <w:spacing w:after="0"/>
              <w:rPr>
                <w:sz w:val="12"/>
                <w:szCs w:val="12"/>
                <w:color w:val="auto"/>
              </w:rPr>
            </w:pPr>
          </w:p>
        </w:tc>
        <w:tc>
          <w:tcPr>
            <w:tcW w:w="1380" w:type="dxa"/>
            <w:vAlign w:val="bottom"/>
          </w:tcPr>
          <w:p>
            <w:pPr>
              <w:jc w:val="center"/>
              <w:ind w:left="481"/>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jc w:val="right"/>
              <w:ind w:right="577"/>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3"/>
        </w:trPr>
        <w:tc>
          <w:tcPr>
            <w:tcW w:w="7040" w:type="dxa"/>
            <w:vAlign w:val="bottom"/>
            <w:gridSpan w:val="2"/>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2010</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ind w:right="797"/>
              <w:spacing w:after="0"/>
              <w:rPr>
                <w:sz w:val="20"/>
                <w:szCs w:val="20"/>
                <w:color w:val="auto"/>
              </w:rPr>
            </w:pPr>
            <w:r>
              <w:rPr>
                <w:rFonts w:ascii="Times New Roman" w:cs="Times New Roman" w:eastAsia="Times New Roman" w:hAnsi="Times New Roman"/>
                <w:sz w:val="12"/>
                <w:szCs w:val="12"/>
                <w:b w:val="1"/>
                <w:bCs w:val="1"/>
                <w:color w:val="auto"/>
              </w:rPr>
              <w:t>2009</w:t>
            </w:r>
          </w:p>
        </w:tc>
      </w:tr>
      <w:tr>
        <w:trPr>
          <w:trHeight w:val="25"/>
        </w:trPr>
        <w:tc>
          <w:tcPr>
            <w:tcW w:w="5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65"/>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w:t>
            </w: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2,593</w:t>
            </w:r>
          </w:p>
        </w:tc>
        <w:tc>
          <w:tcPr>
            <w:tcW w:w="8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1 ,904</w:t>
            </w:r>
          </w:p>
        </w:tc>
      </w:tr>
      <w:tr>
        <w:trPr>
          <w:trHeight w:val="17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Finished goods</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10,924</w:t>
            </w:r>
          </w:p>
        </w:tc>
        <w:tc>
          <w:tcPr>
            <w:tcW w:w="80" w:type="dxa"/>
            <w:vAlign w:val="bottom"/>
          </w:tcPr>
          <w:p>
            <w:pPr>
              <w:spacing w:after="0"/>
              <w:rPr>
                <w:sz w:val="15"/>
                <w:szCs w:val="15"/>
                <w:color w:val="auto"/>
              </w:rPr>
            </w:pPr>
          </w:p>
        </w:tc>
        <w:tc>
          <w:tcPr>
            <w:tcW w:w="1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8,745</w:t>
            </w:r>
          </w:p>
        </w:tc>
      </w:tr>
      <w:tr>
        <w:trPr>
          <w:trHeight w:val="21"/>
        </w:trPr>
        <w:tc>
          <w:tcPr>
            <w:tcW w:w="56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0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13,517</w:t>
            </w: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10,649</w:t>
            </w:r>
          </w:p>
        </w:tc>
      </w:tr>
      <w:tr>
        <w:trPr>
          <w:trHeight w:val="649"/>
        </w:trPr>
        <w:tc>
          <w:tcPr>
            <w:tcW w:w="5660" w:type="dxa"/>
            <w:vAlign w:val="bottom"/>
            <w:tcBorders>
              <w:top w:val="single" w:sz="8" w:color="CCEEFF"/>
            </w:tcBorders>
          </w:tcPr>
          <w:p>
            <w:pPr>
              <w:jc w:val="right"/>
              <w:ind w:right="736"/>
              <w:spacing w:after="0"/>
              <w:rPr>
                <w:sz w:val="20"/>
                <w:szCs w:val="20"/>
                <w:color w:val="auto"/>
              </w:rPr>
            </w:pPr>
            <w:r>
              <w:rPr>
                <w:rFonts w:ascii="Times New Roman" w:cs="Times New Roman" w:eastAsia="Times New Roman" w:hAnsi="Times New Roman"/>
                <w:sz w:val="13"/>
                <w:szCs w:val="13"/>
                <w:color w:val="auto"/>
              </w:rPr>
              <w:t>76</w:t>
            </w:r>
          </w:p>
        </w:tc>
        <w:tc>
          <w:tcPr>
            <w:tcW w:w="1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r>
    </w:tbl>
    <w:p>
      <w:pPr>
        <w:sectPr>
          <w:pgSz w:w="11900" w:h="16838" w:orient="portrait"/>
          <w:cols w:equalWidth="0" w:num="1">
            <w:col w:w="10540"/>
          </w:cols>
          <w:pgMar w:left="220" w:top="127" w:right="11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4. PROPERTY AND EQUIPMENT—Net</w:t>
      </w:r>
    </w:p>
    <w:p>
      <w:pPr>
        <w:spacing w:after="0" w:line="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color w:val="auto"/>
        </w:rPr>
        <w:t>Property and equipment consisted of the following ($ amounts in 000's):</w:t>
      </w: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47"/>
        </w:trPr>
        <w:tc>
          <w:tcPr>
            <w:tcW w:w="5660" w:type="dxa"/>
            <w:vAlign w:val="bottom"/>
          </w:tcPr>
          <w:p>
            <w:pPr>
              <w:spacing w:after="0"/>
              <w:rPr>
                <w:sz w:val="12"/>
                <w:szCs w:val="12"/>
                <w:color w:val="auto"/>
              </w:rPr>
            </w:pPr>
          </w:p>
        </w:tc>
        <w:tc>
          <w:tcPr>
            <w:tcW w:w="136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3"/>
        </w:trPr>
        <w:tc>
          <w:tcPr>
            <w:tcW w:w="7020" w:type="dxa"/>
            <w:vAlign w:val="bottom"/>
            <w:gridSpan w:val="2"/>
          </w:tcPr>
          <w:p>
            <w:pPr>
              <w:ind w:left="6520"/>
              <w:spacing w:after="0"/>
              <w:rPr>
                <w:sz w:val="20"/>
                <w:szCs w:val="20"/>
                <w:color w:val="auto"/>
              </w:rPr>
            </w:pPr>
            <w:r>
              <w:rPr>
                <w:rFonts w:ascii="Times New Roman" w:cs="Times New Roman" w:eastAsia="Times New Roman" w:hAnsi="Times New Roman"/>
                <w:sz w:val="12"/>
                <w:szCs w:val="12"/>
                <w:b w:val="1"/>
                <w:bCs w:val="1"/>
                <w:color w:val="auto"/>
              </w:rPr>
              <w:t>2010</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ind w:right="796"/>
              <w:spacing w:after="0"/>
              <w:rPr>
                <w:sz w:val="20"/>
                <w:szCs w:val="20"/>
                <w:color w:val="auto"/>
              </w:rPr>
            </w:pPr>
            <w:r>
              <w:rPr>
                <w:rFonts w:ascii="Times New Roman" w:cs="Times New Roman" w:eastAsia="Times New Roman" w:hAnsi="Times New Roman"/>
                <w:sz w:val="12"/>
                <w:szCs w:val="12"/>
                <w:b w:val="1"/>
                <w:bCs w:val="1"/>
                <w:color w:val="auto"/>
              </w:rPr>
              <w:t>2009</w:t>
            </w:r>
          </w:p>
        </w:tc>
      </w:tr>
      <w:tr>
        <w:trPr>
          <w:trHeight w:val="25"/>
        </w:trPr>
        <w:tc>
          <w:tcPr>
            <w:tcW w:w="5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16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Evaluation units</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10,607</w:t>
            </w:r>
          </w:p>
        </w:tc>
        <w:tc>
          <w:tcPr>
            <w:tcW w:w="8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8,449</w:t>
            </w:r>
          </w:p>
        </w:tc>
      </w:tr>
      <w:tr>
        <w:trPr>
          <w:trHeight w:val="17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Computer equipment and software</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9,561</w:t>
            </w:r>
          </w:p>
        </w:tc>
        <w:tc>
          <w:tcPr>
            <w:tcW w:w="80" w:type="dxa"/>
            <w:vAlign w:val="bottom"/>
          </w:tcPr>
          <w:p>
            <w:pPr>
              <w:spacing w:after="0"/>
              <w:rPr>
                <w:sz w:val="15"/>
                <w:szCs w:val="15"/>
                <w:color w:val="auto"/>
              </w:rPr>
            </w:pPr>
          </w:p>
        </w:tc>
        <w:tc>
          <w:tcPr>
            <w:tcW w:w="1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8,827</w:t>
            </w:r>
          </w:p>
        </w:tc>
      </w:tr>
      <w:tr>
        <w:trPr>
          <w:trHeight w:val="21"/>
        </w:trPr>
        <w:tc>
          <w:tcPr>
            <w:tcW w:w="5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1,087</w:t>
            </w:r>
          </w:p>
        </w:tc>
        <w:tc>
          <w:tcPr>
            <w:tcW w:w="8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1,191</w:t>
            </w:r>
          </w:p>
        </w:tc>
      </w:tr>
      <w:tr>
        <w:trPr>
          <w:trHeight w:val="17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Leasehold improvements and tooling</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4,548</w:t>
            </w:r>
          </w:p>
        </w:tc>
        <w:tc>
          <w:tcPr>
            <w:tcW w:w="80" w:type="dxa"/>
            <w:vAlign w:val="bottom"/>
          </w:tcPr>
          <w:p>
            <w:pPr>
              <w:spacing w:after="0"/>
              <w:rPr>
                <w:sz w:val="15"/>
                <w:szCs w:val="15"/>
                <w:color w:val="auto"/>
              </w:rPr>
            </w:pPr>
          </w:p>
        </w:tc>
        <w:tc>
          <w:tcPr>
            <w:tcW w:w="1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4,134</w:t>
            </w:r>
          </w:p>
        </w:tc>
      </w:tr>
      <w:tr>
        <w:trPr>
          <w:trHeight w:val="21"/>
        </w:trPr>
        <w:tc>
          <w:tcPr>
            <w:tcW w:w="56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65"/>
        </w:trPr>
        <w:tc>
          <w:tcPr>
            <w:tcW w:w="70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property and equipment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25,803</w:t>
            </w:r>
          </w:p>
        </w:tc>
        <w:tc>
          <w:tcPr>
            <w:tcW w:w="8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22,601</w:t>
            </w:r>
          </w:p>
        </w:tc>
      </w:tr>
      <w:tr>
        <w:trPr>
          <w:trHeight w:val="195"/>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(18,747)</w:t>
            </w:r>
          </w:p>
        </w:tc>
        <w:tc>
          <w:tcPr>
            <w:tcW w:w="8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(16,214)</w:t>
            </w:r>
          </w:p>
        </w:tc>
      </w:tr>
      <w:tr>
        <w:trPr>
          <w:trHeight w:val="19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equipment—net</w:t>
            </w:r>
          </w:p>
        </w:tc>
        <w:tc>
          <w:tcPr>
            <w:tcW w:w="13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7,056</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6,387</w:t>
            </w:r>
          </w:p>
        </w:tc>
      </w:tr>
    </w:tbl>
    <w:p>
      <w:pPr>
        <w:spacing w:after="0" w:line="1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color w:val="auto"/>
        </w:rPr>
        <w:t>Depreciation expense was $5.7 million, $5.0 million and $4.3 million in 2010, 2009 and 2008, respectively.</w:t>
      </w:r>
    </w:p>
    <w:p>
      <w:pPr>
        <w:spacing w:after="0" w:line="3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10540"/>
          </w:cols>
          <w:pgMar w:left="220" w:top="127" w:right="11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 ACQUISITIONS</w:t>
      </w:r>
    </w:p>
    <w:p>
      <w:pPr>
        <w:spacing w:after="0" w:line="165" w:lineRule="exact"/>
        <w:rPr>
          <w:sz w:val="20"/>
          <w:szCs w:val="20"/>
          <w:color w:val="auto"/>
        </w:rPr>
      </w:pPr>
    </w:p>
    <w:p>
      <w:pPr>
        <w:ind w:left="100" w:firstLine="365"/>
        <w:spacing w:after="0" w:line="257" w:lineRule="auto"/>
        <w:rPr>
          <w:sz w:val="20"/>
          <w:szCs w:val="20"/>
          <w:color w:val="auto"/>
        </w:rPr>
      </w:pPr>
      <w:r>
        <w:rPr>
          <w:rFonts w:ascii="Times New Roman" w:cs="Times New Roman" w:eastAsia="Times New Roman" w:hAnsi="Times New Roman"/>
          <w:sz w:val="13"/>
          <w:szCs w:val="13"/>
          <w:color w:val="auto"/>
        </w:rPr>
        <w:t>On June 10, 2008, we completed the acquisition of certain technology assets of IPLocks, Inc. (IPLocks), a privately-held company that provides database security and compliance solutions, for a cash payment of $1.0 million. The total purchase of t he transaction was allocated to IPLocks’ tangible and identifiable intangible assets acquired and liabilities assumed based on their estimated fair market values as of the acquisition date. The purchase price allocation resulted in purchased net tangible assets of approximately $153,000 and purchased identifiable intangible assets of approximately $847,000. Identifiable intangible assets consist of</w:t>
      </w:r>
    </w:p>
    <w:p>
      <w:pPr>
        <w:spacing w:after="0" w:line="1" w:lineRule="exact"/>
        <w:rPr>
          <w:sz w:val="20"/>
          <w:szCs w:val="20"/>
          <w:color w:val="auto"/>
        </w:rPr>
      </w:pPr>
    </w:p>
    <w:p>
      <w:pPr>
        <w:jc w:val="center"/>
        <w:ind w:left="240"/>
        <w:spacing w:after="0" w:line="254" w:lineRule="auto"/>
        <w:rPr>
          <w:sz w:val="20"/>
          <w:szCs w:val="20"/>
          <w:color w:val="auto"/>
        </w:rPr>
      </w:pPr>
      <w:r>
        <w:rPr>
          <w:rFonts w:ascii="Times New Roman" w:cs="Times New Roman" w:eastAsia="Times New Roman" w:hAnsi="Times New Roman"/>
          <w:sz w:val="13"/>
          <w:szCs w:val="13"/>
          <w:color w:val="auto"/>
        </w:rPr>
        <w:t>purchased software and technology. The fair value assigned to identifiable intangible assets acquired is determined using the income approach, which discounts expected future cash flows to present value using estimates and assumptions determined by us. Purchased identifiable intangible assets are amortized on a straight-line basis over three years. In the third quarter of 2009, we performed an impairment analysis and determined that the purchased technology assets were impaired. As a result, we wrote off the remaining net book value of $444,000 associated with these assets. The write-off is included in cost of product revenue in our consolidated statements of operations for fiscal 2009.</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 INTANGIBLE ASSETS</w:t>
      </w:r>
    </w:p>
    <w:p>
      <w:pPr>
        <w:spacing w:after="0" w:line="165" w:lineRule="exact"/>
        <w:rPr>
          <w:sz w:val="20"/>
          <w:szCs w:val="20"/>
          <w:color w:val="auto"/>
        </w:rPr>
      </w:pPr>
    </w:p>
    <w:p>
      <w:pPr>
        <w:ind w:left="160" w:firstLine="313"/>
        <w:spacing w:after="0" w:line="260" w:lineRule="auto"/>
        <w:rPr>
          <w:sz w:val="20"/>
          <w:szCs w:val="20"/>
          <w:color w:val="auto"/>
        </w:rPr>
      </w:pPr>
      <w:r>
        <w:rPr>
          <w:rFonts w:ascii="Times New Roman" w:cs="Times New Roman" w:eastAsia="Times New Roman" w:hAnsi="Times New Roman"/>
          <w:sz w:val="13"/>
          <w:szCs w:val="13"/>
          <w:color w:val="auto"/>
        </w:rPr>
        <w:t>On July 7, 2009, we acquired certain technology and fixed assets for $0.9 million in cash. We allocated $428,000 to tangible assets and $472,000 to purchased technology assets. The purchased technology assets were being amortized on a straight-line basis over the estimated life of the technology. In the fourth quarter of 2009, we performed an impairment analysis and determined that t he purchased technology assets were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impaired. As a result, we wrote off the remaining net book value of $185,000 associated with these assets. The write-off is included in cost of product revenue in our consolidated statements of operations for fiscal 2009.</w:t>
      </w:r>
    </w:p>
    <w:p>
      <w:pPr>
        <w:spacing w:after="0" w:line="152" w:lineRule="exact"/>
        <w:rPr>
          <w:sz w:val="20"/>
          <w:szCs w:val="20"/>
          <w:color w:val="auto"/>
        </w:rPr>
      </w:pPr>
    </w:p>
    <w:p>
      <w:pPr>
        <w:ind w:left="220" w:right="40" w:firstLine="296"/>
        <w:spacing w:after="0" w:line="257" w:lineRule="auto"/>
        <w:rPr>
          <w:sz w:val="20"/>
          <w:szCs w:val="20"/>
          <w:color w:val="auto"/>
        </w:rPr>
      </w:pPr>
      <w:r>
        <w:rPr>
          <w:rFonts w:ascii="Times New Roman" w:cs="Times New Roman" w:eastAsia="Times New Roman" w:hAnsi="Times New Roman"/>
          <w:sz w:val="13"/>
          <w:szCs w:val="13"/>
          <w:color w:val="auto"/>
        </w:rPr>
        <w:t>On October 23, 2008, we acquired certain technology assets for a warrant to purchase 120,000 shares of our common stock at an exercise price of $7.47 per share. The warrant expires on October 23, 2011, and was only exercisable subsequent to the closing of an initial public offering of securities by us. Upon the completion of our initial public offering in November 2009, we recognized the fair value of this warrant as consideration for the purchase of the acquired technology. We alloc ated the entire purchase price of $723,000 to the purchased technology assets. In the fourth quarter of fiscal 2009, we performed an impairment</w:t>
      </w:r>
    </w:p>
    <w:p>
      <w:pPr>
        <w:spacing w:after="0" w:line="1"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3"/>
          <w:szCs w:val="13"/>
          <w:color w:val="auto"/>
        </w:rPr>
        <w:t>analysis and determined that the purchased technology assets were impaired. As a result, we wrote off the net book value of $723,000 associated with these assets. The write-off is included in cost of product revenue in our consolidated statements of operations for fiscal 2009. The warrant remained outstanding as of December 31, 2009. The warrant was exercised during the fourth quarter of 2010.</w:t>
      </w:r>
    </w:p>
    <w:p>
      <w:pPr>
        <w:spacing w:after="0" w:line="131" w:lineRule="exact"/>
        <w:rPr>
          <w:sz w:val="20"/>
          <w:szCs w:val="20"/>
          <w:color w:val="auto"/>
        </w:rPr>
      </w:pPr>
    </w:p>
    <w:p>
      <w:pPr>
        <w:ind w:left="60" w:firstLine="429"/>
        <w:spacing w:after="0" w:line="260" w:lineRule="auto"/>
        <w:rPr>
          <w:sz w:val="20"/>
          <w:szCs w:val="20"/>
          <w:color w:val="auto"/>
        </w:rPr>
      </w:pPr>
      <w:r>
        <w:rPr>
          <w:rFonts w:ascii="Times New Roman" w:cs="Times New Roman" w:eastAsia="Times New Roman" w:hAnsi="Times New Roman"/>
          <w:sz w:val="13"/>
          <w:szCs w:val="13"/>
          <w:color w:val="auto"/>
        </w:rPr>
        <w:t>On September 22, 2008, we acquired certain technology and fixed assets for a cash payment of $1.0 million and the issuance of a warrant to purchase 150,000 shares of our common stock at an exercise price o f $7.47 per share. The warrant expires on September 22, 2011 and was only exercisable subsequent to the closing of an initial public offering of securities by us. We allocated $119,000 to the tangible assets and $881,000</w:t>
      </w:r>
    </w:p>
    <w:p>
      <w:pPr>
        <w:spacing w:after="0" w:line="1"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3"/>
          <w:szCs w:val="13"/>
          <w:color w:val="auto"/>
        </w:rPr>
        <w:t>to the purchased technology assets. The purchased technology assets were being amortized on a straight-line basis over the estimated life of three years. In the second quarter of 2009, we performed an impairment analysis and determined that the purchased technology assets were impaired. As a result, we wrote off the remaining net book value of $280,000 associated with these assets, net of escrow reimbursement received of $351,000. The write-off is included in cost of product revenue in our consolidated statements of operation for fiscal 2009. Upon the completion of our initial public offering in November 2009, we recognized the fair value of this warrant of $755,000 as additional expense in cost of product revenue. The warrant was exercised i n connection with our initial public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 INCOME PER SHARE</w:t>
      </w:r>
    </w:p>
    <w:p>
      <w:pPr>
        <w:spacing w:after="0" w:line="165" w:lineRule="exact"/>
        <w:rPr>
          <w:sz w:val="20"/>
          <w:szCs w:val="20"/>
          <w:color w:val="auto"/>
        </w:rPr>
      </w:pPr>
    </w:p>
    <w:p>
      <w:pPr>
        <w:ind w:left="60" w:right="60" w:firstLine="498"/>
        <w:spacing w:after="0" w:line="260" w:lineRule="auto"/>
        <w:rPr>
          <w:sz w:val="20"/>
          <w:szCs w:val="20"/>
          <w:color w:val="auto"/>
        </w:rPr>
      </w:pPr>
      <w:r>
        <w:rPr>
          <w:rFonts w:ascii="Times New Roman" w:cs="Times New Roman" w:eastAsia="Times New Roman" w:hAnsi="Times New Roman"/>
          <w:sz w:val="13"/>
          <w:szCs w:val="13"/>
          <w:color w:val="auto"/>
        </w:rPr>
        <w:t>Basic net income per share is computed by dividing net income attributable to common stockholders by the weighted-average number of common shares outstanding during the period. Diluted net income per share is computed by dividing net income attributable to common stockholders by the weighted-average number of common shares outstanding, plus the dilutive effects of convertible preferred stock on an if-converted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basis plus the dilutive eff ects of stock options.</w:t>
      </w:r>
    </w:p>
    <w:p>
      <w:pPr>
        <w:spacing w:after="0" w:line="152" w:lineRule="exact"/>
        <w:rPr>
          <w:sz w:val="20"/>
          <w:szCs w:val="20"/>
          <w:color w:val="auto"/>
        </w:rPr>
      </w:pPr>
    </w:p>
    <w:p>
      <w:pPr>
        <w:ind w:left="80" w:right="80" w:firstLine="473"/>
        <w:spacing w:after="0" w:line="260" w:lineRule="auto"/>
        <w:rPr>
          <w:sz w:val="20"/>
          <w:szCs w:val="20"/>
          <w:color w:val="auto"/>
        </w:rPr>
      </w:pPr>
      <w:r>
        <w:rPr>
          <w:rFonts w:ascii="Times New Roman" w:cs="Times New Roman" w:eastAsia="Times New Roman" w:hAnsi="Times New Roman"/>
          <w:sz w:val="13"/>
          <w:szCs w:val="13"/>
          <w:color w:val="auto"/>
        </w:rPr>
        <w:t>Net income per share information for fiscal 2009 gives effect to the repurchase of convertible preferred shares (Note 10). The excess of the fair value of the consideration paid for such preferred stock over the carrying value of the preferred stock represents a return to the preferred stockholders and is treated in a manner similar to the treatment of dividends paid to the holders of preferred stock in the computation of earnings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per share. As a result, the premium paid is subtracted from net income attributable to common stockholders in determining earnings per share.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731012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120"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200" w:lineRule="exact"/>
        <w:rPr>
          <w:sz w:val="20"/>
          <w:szCs w:val="20"/>
          <w:color w:val="auto"/>
        </w:rPr>
      </w:pPr>
    </w:p>
    <w:p>
      <w:pPr>
        <w:spacing w:after="0" w:line="323" w:lineRule="exact"/>
        <w:rPr>
          <w:sz w:val="20"/>
          <w:szCs w:val="20"/>
          <w:color w:val="auto"/>
        </w:rPr>
      </w:pPr>
    </w:p>
    <w:p>
      <w:pPr>
        <w:jc w:val="both"/>
        <w:ind w:left="20" w:right="20" w:firstLine="489"/>
        <w:spacing w:after="0" w:line="260" w:lineRule="auto"/>
        <w:rPr>
          <w:sz w:val="20"/>
          <w:szCs w:val="20"/>
          <w:color w:val="auto"/>
        </w:rPr>
      </w:pPr>
      <w:r>
        <w:rPr>
          <w:rFonts w:ascii="Times New Roman" w:cs="Times New Roman" w:eastAsia="Times New Roman" w:hAnsi="Times New Roman"/>
          <w:sz w:val="13"/>
          <w:szCs w:val="13"/>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Series A, B, C,</w:t>
      </w:r>
    </w:p>
    <w:p>
      <w:pPr>
        <w:spacing w:after="0" w:line="1"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3"/>
          <w:szCs w:val="13"/>
          <w:color w:val="auto"/>
        </w:rPr>
        <w:t>D, and E, respectively, payable prior and in preference to holders of common stock. After the payment of such dividends, convertible preferred shares were further entitled to receive a proportionate amount of any dividends paid on common stock on an if-converted basis. As a result of such dividend rights, the convertible preferred shares are considered to be participating secu rities. Under the two-class method of computing earnings per share, net income attributable to common stockholders is computed by an adjustment to subtract from net income the portion of current year earnings that the preferred stockholders would have been entitled to receive pursuant to their dividend rights had all of the year’s earnings been distributed. No such adjustment to earnings is made during periods with a net loss, as the holders of the convertible preferred shares had no obligation to fund losses.</w:t>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A reconciliation of the numerator and denominator used in the calculation of basic and diluted net income per share follows ($ and share amounts in 000's, except per share amounts):</w:t>
      </w: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
        </w:trPr>
        <w:tc>
          <w:tcPr>
            <w:tcW w:w="6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161"/>
        </w:trPr>
        <w:tc>
          <w:tcPr>
            <w:tcW w:w="6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2009</w:t>
            </w:r>
          </w:p>
        </w:tc>
        <w:tc>
          <w:tcPr>
            <w:tcW w:w="780" w:type="dxa"/>
            <w:vAlign w:val="bottom"/>
          </w:tcPr>
          <w:p>
            <w:pPr>
              <w:spacing w:after="0"/>
              <w:rPr>
                <w:sz w:val="13"/>
                <w:szCs w:val="13"/>
                <w:color w:val="auto"/>
              </w:rPr>
            </w:pPr>
          </w:p>
        </w:tc>
        <w:tc>
          <w:tcPr>
            <w:tcW w:w="1460" w:type="dxa"/>
            <w:vAlign w:val="bottom"/>
            <w:gridSpan w:val="2"/>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25"/>
        </w:trPr>
        <w:tc>
          <w:tcPr>
            <w:tcW w:w="6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spacing w:after="0"/>
              <w:rPr>
                <w:sz w:val="15"/>
                <w:szCs w:val="15"/>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41,245</w:t>
            </w:r>
          </w:p>
        </w:tc>
        <w:tc>
          <w:tcPr>
            <w:tcW w:w="100" w:type="dxa"/>
            <w:vAlign w:val="bottom"/>
          </w:tcPr>
          <w:p>
            <w:pPr>
              <w:spacing w:after="0"/>
              <w:rPr>
                <w:sz w:val="15"/>
                <w:szCs w:val="15"/>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60,179</w:t>
            </w:r>
          </w:p>
        </w:tc>
        <w:tc>
          <w:tcPr>
            <w:tcW w:w="14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7,363</w:t>
            </w:r>
          </w:p>
        </w:tc>
      </w:tr>
      <w:tr>
        <w:trPr>
          <w:trHeight w:val="21"/>
        </w:trPr>
        <w:tc>
          <w:tcPr>
            <w:tcW w:w="6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6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&lt; div</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56"/>
        </w:trPr>
        <w:tc>
          <w:tcPr>
            <w:tcW w:w="6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style="text-</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56"/>
        </w:trPr>
        <w:tc>
          <w:tcPr>
            <w:tcW w:w="6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align:left;font-</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Premium paid on repurchase of convertible pre ferred shares</w:t>
            </w:r>
          </w:p>
        </w:tc>
        <w:tc>
          <w:tcPr>
            <w:tcW w:w="8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(9,266size:10pt;"&gt;)</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8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(6,910)</w:t>
            </w:r>
          </w:p>
        </w:tc>
      </w:tr>
      <w:tr>
        <w:trPr>
          <w:trHeight w:val="21"/>
        </w:trPr>
        <w:tc>
          <w:tcPr>
            <w:tcW w:w="6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stockholders-basic</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41,245</w:t>
            </w:r>
          </w:p>
        </w:tc>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50,913</w:t>
            </w:r>
          </w:p>
        </w:tc>
        <w:tc>
          <w:tcPr>
            <w:tcW w:w="14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453</w:t>
            </w:r>
          </w:p>
        </w:tc>
      </w:tr>
      <w:tr>
        <w:trPr>
          <w:trHeight w:val="195"/>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Undistributed earnings reallocated to common stock</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90</w:t>
            </w:r>
          </w:p>
        </w:tc>
      </w:tr>
      <w:tr>
        <w:trPr>
          <w:trHeight w:val="20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stockholders-diluted</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41,245</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50,913</w:t>
            </w:r>
          </w:p>
        </w:tc>
        <w:tc>
          <w:tcPr>
            <w:tcW w:w="1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543</w:t>
            </w:r>
          </w:p>
        </w:tc>
      </w:tr>
      <w:tr>
        <w:trPr>
          <w:trHeight w:val="404"/>
        </w:trPr>
        <w:tc>
          <w:tcPr>
            <w:tcW w:w="6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1"/>
        </w:trPr>
        <w:tc>
          <w:tcPr>
            <w:tcW w:w="6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shares:</w:t>
            </w:r>
          </w:p>
        </w:tc>
        <w:tc>
          <w:tcPr>
            <w:tcW w:w="840" w:type="dxa"/>
            <w:vAlign w:val="bottom"/>
            <w:tcBorders>
              <w:bottom w:val="single" w:sz="8" w:color="CCEEFF"/>
            </w:tcBorders>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&amp; nbsp;</w:t>
            </w: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rPr>
              <w:t>&amp;nbs p;</w:t>
            </w:r>
          </w:p>
        </w:tc>
      </w:tr>
      <w:tr>
        <w:trPr>
          <w:trHeight w:val="205"/>
        </w:trPr>
        <w:tc>
          <w:tcPr>
            <w:tcW w:w="6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Weighted-average common shares outstanding-basic</w:t>
            </w:r>
          </w:p>
        </w:tc>
        <w:tc>
          <w:tcPr>
            <w:tcW w:w="840" w:type="dxa"/>
            <w:vAlign w:val="bottom"/>
          </w:tcPr>
          <w:p>
            <w:pPr>
              <w:spacing w:after="0"/>
              <w:rPr>
                <w:sz w:val="17"/>
                <w:szCs w:val="17"/>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70,363</w:t>
            </w:r>
          </w:p>
        </w:tc>
        <w:tc>
          <w:tcPr>
            <w:tcW w:w="100" w:type="dxa"/>
            <w:vAlign w:val="bottom"/>
          </w:tcPr>
          <w:p>
            <w:pPr>
              <w:spacing w:after="0"/>
              <w:rPr>
                <w:sz w:val="17"/>
                <w:szCs w:val="17"/>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26,334</w:t>
            </w:r>
          </w:p>
        </w:tc>
        <w:tc>
          <w:tcPr>
            <w:tcW w:w="14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20,017</w:t>
            </w:r>
          </w:p>
        </w:tc>
      </w:tr>
      <w:tr>
        <w:trPr>
          <w:trHeight w:val="17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shares:</w:t>
            </w: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75"/>
        </w:trPr>
        <w:tc>
          <w:tcPr>
            <w:tcW w:w="6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Weighted-average common shares outstanding-basic</w:t>
            </w:r>
          </w:p>
        </w:tc>
        <w:tc>
          <w:tcPr>
            <w:tcW w:w="840" w:type="dxa"/>
            <w:vAlign w:val="bottom"/>
          </w:tcPr>
          <w:p>
            <w:pPr>
              <w:spacing w:after="0"/>
              <w:rPr>
                <w:sz w:val="15"/>
                <w:szCs w:val="15"/>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70,363</w:t>
            </w:r>
          </w:p>
        </w:tc>
        <w:tc>
          <w:tcPr>
            <w:tcW w:w="100" w:type="dxa"/>
            <w:vAlign w:val="bottom"/>
          </w:tcPr>
          <w:p>
            <w:pPr>
              <w:spacing w:after="0"/>
              <w:rPr>
                <w:sz w:val="15"/>
                <w:szCs w:val="15"/>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26,334</w:t>
            </w:r>
          </w:p>
        </w:tc>
        <w:tc>
          <w:tcPr>
            <w:tcW w:w="14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20,017</w:t>
            </w:r>
          </w:p>
        </w:tc>
      </w:tr>
      <w:tr>
        <w:trPr>
          <w:trHeight w:val="21"/>
        </w:trPr>
        <w:tc>
          <w:tcPr>
            <w:tcW w:w="6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Effect of potentially dilutive securities: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75"/>
        </w:trPr>
        <w:tc>
          <w:tcPr>
            <w:tcW w:w="61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Employee stock options</w:t>
            </w:r>
          </w:p>
        </w:tc>
        <w:tc>
          <w:tcPr>
            <w:tcW w:w="840" w:type="dxa"/>
            <w:vAlign w:val="bottom"/>
          </w:tcPr>
          <w:p>
            <w:pPr>
              <w:spacing w:after="0"/>
              <w:rPr>
                <w:sz w:val="15"/>
                <w:szCs w:val="15"/>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7,762</w:t>
            </w:r>
          </w:p>
        </w:tc>
        <w:tc>
          <w:tcPr>
            <w:tcW w:w="100" w:type="dxa"/>
            <w:vAlign w:val="bottom"/>
          </w:tcPr>
          <w:p>
            <w:pPr>
              <w:spacing w:after="0"/>
              <w:rPr>
                <w:sz w:val="15"/>
                <w:szCs w:val="15"/>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5,871</w:t>
            </w:r>
          </w:p>
        </w:tc>
        <w:tc>
          <w:tcPr>
            <w:tcW w:w="146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6,613</w:t>
            </w:r>
          </w:p>
        </w:tc>
      </w:tr>
      <w:tr>
        <w:trPr>
          <w:trHeight w:val="21"/>
        </w:trPr>
        <w:tc>
          <w:tcPr>
            <w:tcW w:w="6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76"/>
        </w:trPr>
        <w:tc>
          <w:tcPr>
            <w:tcW w:w="6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Warrants to purchase common stock</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7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w:t>
            </w:r>
          </w:p>
        </w:tc>
      </w:tr>
      <w:tr>
        <w:trPr>
          <w:trHeight w:val="175"/>
        </w:trPr>
        <w:tc>
          <w:tcPr>
            <w:tcW w:w="61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8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32,995</w:t>
            </w:r>
          </w:p>
        </w:tc>
        <w:tc>
          <w:tcPr>
            <w:tcW w:w="100" w:type="dxa"/>
            <w:vAlign w:val="bottom"/>
          </w:tcPr>
          <w:p>
            <w:pPr>
              <w:spacing w:after="0"/>
              <w:rPr>
                <w:sz w:val="15"/>
                <w:szCs w:val="15"/>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6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used to compute diluted net income per share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78,203</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65,219</w:t>
            </w:r>
          </w:p>
        </w:tc>
        <w:tc>
          <w:tcPr>
            <w:tcW w:w="1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26,642</w:t>
            </w:r>
          </w:p>
        </w:tc>
      </w:tr>
      <w:tr>
        <w:trPr>
          <w:trHeight w:val="170"/>
        </w:trPr>
        <w:tc>
          <w:tcPr>
            <w:tcW w:w="6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common stockholders:</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1"/>
        </w:trPr>
        <w:tc>
          <w:tcPr>
            <w:tcW w:w="6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15"/>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0.02</w:t>
            </w:r>
          </w:p>
        </w:tc>
      </w:tr>
      <w:tr>
        <w:trPr>
          <w:trHeight w:val="195"/>
        </w:trPr>
        <w:tc>
          <w:tcPr>
            <w:tcW w:w="6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8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0.53</w:t>
            </w:r>
          </w:p>
        </w:tc>
        <w:tc>
          <w:tcPr>
            <w:tcW w:w="10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0.02</w:t>
            </w:r>
          </w:p>
        </w:tc>
      </w:tr>
    </w:tbl>
    <w:p>
      <w:pPr>
        <w:spacing w:after="0" w:line="17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color w:val="auto"/>
        </w:rPr>
        <w:t>Net income has been allocated to th e common and preferred stock based on their respective rights to share in dividends.</w:t>
      </w:r>
    </w:p>
    <w:p>
      <w:pPr>
        <w:sectPr>
          <w:pgSz w:w="11900" w:h="16838" w:orient="portrait"/>
          <w:cols w:equalWidth="0" w:num="1">
            <w:col w:w="11460"/>
          </w:cols>
          <w:pgMar w:left="220" w:top="127" w:right="219" w:bottom="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11460"/>
          </w:cols>
          <w:pgMar w:left="220" w:top="127" w:right="219"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 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67" w:lineRule="exact"/>
        <w:rPr>
          <w:sz w:val="20"/>
          <w:szCs w:val="20"/>
          <w:color w:val="auto"/>
        </w:rPr>
      </w:pPr>
    </w:p>
    <w:p>
      <w:pPr>
        <w:jc w:val="center"/>
        <w:ind w:left="700" w:right="100"/>
        <w:spacing w:after="0" w:line="281" w:lineRule="auto"/>
        <w:rPr>
          <w:sz w:val="20"/>
          <w:szCs w:val="20"/>
          <w:color w:val="auto"/>
        </w:rPr>
      </w:pPr>
      <w:r>
        <w:rPr>
          <w:rFonts w:ascii="Times New Roman" w:cs="Times New Roman" w:eastAsia="Times New Roman" w:hAnsi="Times New Roman"/>
          <w:sz w:val="13"/>
          <w:szCs w:val="13"/>
          <w:color w:val="auto"/>
        </w:rPr>
        <w:t>The following outstanding options were excluded from the computation of diluted net income per common share applicable to common stockholders for the periods presented, as their effect would have been antidilutive (in 000's):</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4"/>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0" w:type="dxa"/>
            <w:vAlign w:val="bottom"/>
            <w:gridSpan w:val="3"/>
          </w:tcPr>
          <w:p>
            <w:pPr>
              <w:jc w:val="right"/>
              <w:ind w:right="401"/>
              <w:spacing w:after="0"/>
              <w:rPr>
                <w:sz w:val="20"/>
                <w:szCs w:val="20"/>
                <w:color w:val="auto"/>
              </w:rPr>
            </w:pPr>
            <w:r>
              <w:rPr>
                <w:rFonts w:ascii="Times New Roman" w:cs="Times New Roman" w:eastAsia="Times New Roman" w:hAnsi="Times New Roman"/>
                <w:sz w:val="12"/>
                <w:szCs w:val="12"/>
                <w:b w:val="1"/>
                <w:bCs w:val="1"/>
                <w:color w:val="auto"/>
              </w:rPr>
              <w:t>2010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63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617"/>
              <w:spacing w:after="0"/>
              <w:rPr>
                <w:sz w:val="20"/>
                <w:szCs w:val="20"/>
                <w:color w:val="auto"/>
              </w:rPr>
            </w:pPr>
            <w:r>
              <w:rPr>
                <w:rFonts w:ascii="Times New Roman" w:cs="Times New Roman" w:eastAsia="Times New Roman" w:hAnsi="Times New Roman"/>
                <w:sz w:val="12"/>
                <w:szCs w:val="12"/>
                <w:b w:val="1"/>
                <w:bCs w:val="1"/>
                <w:color w:val="auto"/>
              </w:rPr>
              <w:t>2008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5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 to purchase common stock</w:t>
            </w:r>
          </w:p>
        </w:tc>
        <w:tc>
          <w:tcPr>
            <w:tcW w:w="3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4,584</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5,010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380" w:type="dxa"/>
            <w:vAlign w:val="bottom"/>
            <w:gridSpan w:val="7"/>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9"/>
              </w:rPr>
              <w:t>8. DEFERRED REVENUES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380" w:type="dxa"/>
            <w:vAlign w:val="bottom"/>
            <w:gridSpan w:val="7"/>
          </w:tcPr>
          <w:p>
            <w:pPr>
              <w:ind w:left="380"/>
              <w:spacing w:after="0"/>
              <w:rPr>
                <w:sz w:val="20"/>
                <w:szCs w:val="20"/>
                <w:color w:val="auto"/>
              </w:rPr>
            </w:pPr>
            <w:r>
              <w:rPr>
                <w:rFonts w:ascii="Times New Roman" w:cs="Times New Roman" w:eastAsia="Times New Roman" w:hAnsi="Times New Roman"/>
                <w:sz w:val="13"/>
                <w:szCs w:val="13"/>
                <w:color w:val="auto"/>
              </w:rPr>
              <w:t>Deferred revenues consisted of the following ($ amounts in 000's):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500" w:type="dxa"/>
            <w:vAlign w:val="bottom"/>
          </w:tcPr>
          <w:p>
            <w:pPr>
              <w:spacing w:after="0"/>
              <w:rPr>
                <w:sz w:val="24"/>
                <w:szCs w:val="24"/>
                <w:color w:val="auto"/>
              </w:rPr>
            </w:pPr>
          </w:p>
        </w:tc>
        <w:tc>
          <w:tcPr>
            <w:tcW w:w="6340" w:type="dxa"/>
            <w:vAlign w:val="bottom"/>
            <w:gridSpan w:val="8"/>
          </w:tcPr>
          <w:p>
            <w:pPr>
              <w:jc w:val="center"/>
              <w:ind w:left="1295"/>
              <w:spacing w:after="0"/>
              <w:rPr>
                <w:sz w:val="20"/>
                <w:szCs w:val="20"/>
                <w:color w:val="auto"/>
              </w:rPr>
            </w:pPr>
            <w:r>
              <w:rPr>
                <w:rFonts w:ascii="Times New Roman" w:cs="Times New Roman" w:eastAsia="Times New Roman" w:hAnsi="Times New Roman"/>
                <w:sz w:val="13"/>
                <w:szCs w:val="13"/>
                <w:color w:val="auto"/>
              </w:rPr>
              <w:t>&lt; td style="vertical-align:bottom;padding-left:2px;padding-top:2px;padding-bottom:2px;"&gt;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219,022</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38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0" w:type="dxa"/>
            <w:vAlign w:val="bottom"/>
            <w:gridSpan w:val="3"/>
          </w:tcPr>
          <w:p>
            <w:pPr>
              <w:jc w:val="right"/>
              <w:ind w:right="681"/>
              <w:spacing w:after="0"/>
              <w:rPr>
                <w:sz w:val="20"/>
                <w:szCs w:val="20"/>
                <w:color w:val="auto"/>
              </w:rPr>
            </w:pPr>
            <w:r>
              <w:rPr>
                <w:rFonts w:ascii="Times New Roman" w:cs="Times New Roman" w:eastAsia="Times New Roman" w:hAnsi="Times New Roman"/>
                <w:sz w:val="12"/>
                <w:szCs w:val="12"/>
                <w:b w:val="1"/>
                <w:bCs w:val="1"/>
                <w:color w:val="auto"/>
              </w:rPr>
              <w:t>2010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500" w:type="dxa"/>
            <w:vAlign w:val="bottom"/>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w:t>
            </w:r>
          </w:p>
        </w:tc>
        <w:tc>
          <w:tcPr>
            <w:tcW w:w="36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4,466</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40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168,314</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500" w:type="dxa"/>
            <w:vAlign w:val="bottom"/>
          </w:tcPr>
          <w:p>
            <w:pPr>
              <w:spacing w:after="0"/>
              <w:rPr>
                <w:sz w:val="16"/>
                <w:szCs w:val="16"/>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Ratable products and services</w:t>
            </w:r>
          </w:p>
        </w:tc>
        <w:tc>
          <w:tcPr>
            <w:tcW w:w="1880" w:type="dxa"/>
            <w:vAlign w:val="bottom"/>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29,143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29,475</w:t>
            </w:r>
          </w:p>
        </w:tc>
        <w:tc>
          <w:tcPr>
            <w:tcW w:w="80" w:type="dxa"/>
            <w:vAlign w:val="bottom"/>
            <w:tcBorders>
              <w:bottom w:val="single" w:sz="8" w:color="auto"/>
            </w:tcBorders>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revenues</w:t>
            </w:r>
          </w:p>
        </w:tc>
        <w:tc>
          <w:tcPr>
            <w:tcW w:w="360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color w:val="auto"/>
              </w:rPr>
              <w:t>252,631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201,930</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Reported As:</w:t>
            </w: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Short-term</w:t>
            </w:r>
          </w:p>
        </w:tc>
        <w:tc>
          <w:tcPr>
            <w:tcW w:w="360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color w:val="auto"/>
              </w:rPr>
              <w:t>169,648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140,537</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Long-term</w:t>
            </w:r>
          </w:p>
        </w:tc>
        <w:tc>
          <w:tcPr>
            <w:tcW w:w="18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82,983</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61,393</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revenues</w:t>
            </w:r>
          </w:p>
        </w:tc>
        <w:tc>
          <w:tcPr>
            <w:tcW w:w="1880" w:type="dxa"/>
            <w:vAlign w:val="bottom"/>
          </w:tcPr>
          <w:p>
            <w:pPr>
              <w:spacing w:after="0"/>
              <w:rPr>
                <w:sz w:val="16"/>
                <w:szCs w:val="16"/>
                <w:color w:val="auto"/>
              </w:rPr>
            </w:pPr>
          </w:p>
        </w:tc>
        <w:tc>
          <w:tcPr>
            <w:tcW w:w="1720" w:type="dxa"/>
            <w:vAlign w:val="bottom"/>
            <w:tcBorders>
              <w:top w:val="single" w:sz="8" w:color="auto"/>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252,631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201,930</w:t>
            </w:r>
          </w:p>
        </w:tc>
        <w:tc>
          <w:tcPr>
            <w:tcW w:w="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9. COMMITMENTS AND CONTINGENCIES</w:t>
      </w:r>
    </w:p>
    <w:p>
      <w:pPr>
        <w:spacing w:after="0" w:line="193" w:lineRule="exact"/>
        <w:rPr>
          <w:sz w:val="20"/>
          <w:szCs w:val="20"/>
          <w:color w:val="auto"/>
        </w:rPr>
      </w:pPr>
    </w:p>
    <w:p>
      <w:pPr>
        <w:ind w:left="2440" w:right="100" w:hanging="1876"/>
        <w:spacing w:after="0" w:line="284" w:lineRule="auto"/>
        <w:rPr>
          <w:sz w:val="20"/>
          <w:szCs w:val="20"/>
          <w:color w:val="auto"/>
        </w:rPr>
      </w:pPr>
      <w:r>
        <w:rPr>
          <w:rFonts w:ascii="Times New Roman" w:cs="Times New Roman" w:eastAsia="Times New Roman" w:hAnsi="Times New Roman"/>
          <w:sz w:val="13"/>
          <w:szCs w:val="13"/>
          <w:b w:val="1"/>
          <w:bCs w:val="1"/>
          <w:color w:val="auto"/>
        </w:rPr>
        <w:t>Leases and Minimum Royalties</w:t>
      </w:r>
      <w:r>
        <w:rPr>
          <w:rFonts w:ascii="Times New Roman" w:cs="Times New Roman" w:eastAsia="Times New Roman" w:hAnsi="Times New Roman"/>
          <w:sz w:val="13"/>
          <w:szCs w:val="13"/>
          <w:color w:val="auto"/>
        </w:rPr>
        <w:t>—We lease our facilities under various noncancelable operating leases, which expire through the year 2015. Rent expense was $7.0 million, $6.1 million and $4.9 million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fiscal 2010, 2009 and 2008, respectively. Rent expense is recognized using the straight-line method over the term of the lease.</w:t>
      </w:r>
    </w:p>
    <w:p>
      <w:pPr>
        <w:spacing w:after="0" w:line="147" w:lineRule="exact"/>
        <w:rPr>
          <w:sz w:val="20"/>
          <w:szCs w:val="20"/>
          <w:color w:val="auto"/>
        </w:rPr>
      </w:pPr>
    </w:p>
    <w:p>
      <w:pPr>
        <w:ind w:left="1260" w:right="80" w:hanging="698"/>
        <w:spacing w:after="0" w:line="281" w:lineRule="auto"/>
        <w:rPr>
          <w:sz w:val="20"/>
          <w:szCs w:val="20"/>
          <w:color w:val="auto"/>
        </w:rPr>
      </w:pPr>
      <w:r>
        <w:rPr>
          <w:rFonts w:ascii="Times New Roman" w:cs="Times New Roman" w:eastAsia="Times New Roman" w:hAnsi="Times New Roman"/>
          <w:sz w:val="13"/>
          <w:szCs w:val="13"/>
          <w:color w:val="auto"/>
        </w:rPr>
        <w:t>We entered into a Settlement and Patent License Agreement with Trend Micro in January 2006 (see "Litigation" below). The aggregate future noncancelable minimum rental payments on operating leases and minimum royalties payable if we continued paying under the Trend Micro Settlement and License Agreement as of December 31, 2010 are as follows ($ amounts in 000's):</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147"/>
        </w:trPr>
        <w:tc>
          <w:tcPr>
            <w:tcW w:w="4100" w:type="dxa"/>
            <w:vAlign w:val="bottom"/>
          </w:tcPr>
          <w:p>
            <w:pPr>
              <w:spacing w:after="0"/>
              <w:rPr>
                <w:sz w:val="12"/>
                <w:szCs w:val="12"/>
                <w:color w:val="auto"/>
              </w:rPr>
            </w:pPr>
          </w:p>
        </w:tc>
        <w:tc>
          <w:tcPr>
            <w:tcW w:w="1220" w:type="dxa"/>
            <w:vAlign w:val="bottom"/>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w w:val="93"/>
              </w:rPr>
              <w:t>Rental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restart"/>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 xml:space="preserve">Royalty </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77"/>
        </w:trPr>
        <w:tc>
          <w:tcPr>
            <w:tcW w:w="4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w w:val="96"/>
              </w:rPr>
              <w:t>Payment</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Years:</w:t>
            </w:r>
          </w:p>
        </w:tc>
        <w:tc>
          <w:tcPr>
            <w:tcW w:w="1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jc w:val="right"/>
              <w:ind w:right="3435"/>
              <w:spacing w:after="0"/>
              <w:rPr>
                <w:sz w:val="20"/>
                <w:szCs w:val="20"/>
                <w:color w:val="auto"/>
              </w:rPr>
            </w:pPr>
            <w:r>
              <w:rPr>
                <w:rFonts w:ascii="Times New Roman" w:cs="Times New Roman" w:eastAsia="Times New Roman" w:hAnsi="Times New Roman"/>
                <w:sz w:val="13"/>
                <w:szCs w:val="13"/>
                <w:color w:val="auto"/>
              </w:rPr>
              <w:t>2011</w:t>
            </w:r>
          </w:p>
        </w:tc>
        <w:tc>
          <w:tcPr>
            <w:tcW w:w="1220" w:type="dxa"/>
            <w:vAlign w:val="bottom"/>
          </w:tcPr>
          <w:p>
            <w:pPr>
              <w:spacing w:after="0"/>
              <w:rPr>
                <w:sz w:val="15"/>
                <w:szCs w:val="15"/>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7,493</w:t>
            </w:r>
          </w:p>
        </w:tc>
        <w:tc>
          <w:tcPr>
            <w:tcW w:w="80" w:type="dxa"/>
            <w:vAlign w:val="bottom"/>
          </w:tcPr>
          <w:p>
            <w:pPr>
              <w:spacing w:after="0"/>
              <w:rPr>
                <w:sz w:val="15"/>
                <w:szCs w:val="15"/>
                <w:color w:val="auto"/>
              </w:rPr>
            </w:pP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tcPr>
          <w:p>
            <w:pPr>
              <w:jc w:val="right"/>
              <w:ind w:right="3775"/>
              <w:spacing w:after="0"/>
              <w:rPr>
                <w:sz w:val="20"/>
                <w:szCs w:val="20"/>
                <w:color w:val="auto"/>
              </w:rPr>
            </w:pPr>
            <w:r>
              <w:rPr>
                <w:rFonts w:ascii="Times New Roman" w:cs="Times New Roman" w:eastAsia="Times New Roman" w:hAnsi="Times New Roman"/>
                <w:sz w:val="13"/>
                <w:szCs w:val="13"/>
                <w:color w:val="auto"/>
                <w:w w:val="92"/>
              </w:rPr>
              <w:t>2012</w:t>
            </w:r>
          </w:p>
        </w:tc>
        <w:tc>
          <w:tcPr>
            <w:tcW w:w="1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5,337</w:t>
            </w:r>
          </w:p>
        </w:tc>
        <w:tc>
          <w:tcPr>
            <w:tcW w:w="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1396"/>
              <w:spacing w:after="0"/>
              <w:rPr>
                <w:sz w:val="20"/>
                <w:szCs w:val="20"/>
                <w:color w:val="auto"/>
              </w:rPr>
            </w:pPr>
            <w:r>
              <w:rPr>
                <w:rFonts w:ascii="Times New Roman" w:cs="Times New Roman" w:eastAsia="Times New Roman" w:hAnsi="Times New Roman"/>
                <w:sz w:val="13"/>
                <w:szCs w:val="13"/>
                <w:color w:val="auto"/>
                <w:w w:val="95"/>
              </w:rPr>
              <w:t>1,000</w:t>
            </w:r>
          </w:p>
        </w:tc>
        <w:tc>
          <w:tcPr>
            <w:tcW w:w="0" w:type="dxa"/>
            <w:vAlign w:val="bottom"/>
          </w:tcPr>
          <w:p>
            <w:pPr>
              <w:spacing w:after="0"/>
              <w:rPr>
                <w:sz w:val="1"/>
                <w:szCs w:val="1"/>
                <w:color w:val="auto"/>
              </w:rPr>
            </w:pPr>
          </w:p>
        </w:tc>
      </w:tr>
      <w:tr>
        <w:trPr>
          <w:trHeight w:val="175"/>
        </w:trPr>
        <w:tc>
          <w:tcPr>
            <w:tcW w:w="4100" w:type="dxa"/>
            <w:vAlign w:val="bottom"/>
          </w:tcPr>
          <w:p>
            <w:pPr>
              <w:jc w:val="right"/>
              <w:ind w:right="3415"/>
              <w:spacing w:after="0"/>
              <w:rPr>
                <w:sz w:val="20"/>
                <w:szCs w:val="20"/>
                <w:color w:val="auto"/>
              </w:rPr>
            </w:pPr>
            <w:r>
              <w:rPr>
                <w:rFonts w:ascii="Times New Roman" w:cs="Times New Roman" w:eastAsia="Times New Roman" w:hAnsi="Times New Roman"/>
                <w:sz w:val="13"/>
                <w:szCs w:val="13"/>
                <w:color w:val="auto"/>
              </w:rPr>
              <w:t>2013</w:t>
            </w:r>
          </w:p>
        </w:tc>
        <w:tc>
          <w:tcPr>
            <w:tcW w:w="1220" w:type="dxa"/>
            <w:vAlign w:val="bottom"/>
          </w:tcPr>
          <w:p>
            <w:pPr>
              <w:spacing w:after="0"/>
              <w:rPr>
                <w:sz w:val="15"/>
                <w:szCs w:val="15"/>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4,031</w:t>
            </w:r>
          </w:p>
        </w:tc>
        <w:tc>
          <w:tcPr>
            <w:tcW w:w="80" w:type="dxa"/>
            <w:vAlign w:val="bottom"/>
          </w:tcPr>
          <w:p>
            <w:pPr>
              <w:spacing w:after="0"/>
              <w:rPr>
                <w:sz w:val="15"/>
                <w:szCs w:val="15"/>
                <w:color w:val="auto"/>
              </w:rPr>
            </w:pP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tcBorders>
              <w:bottom w:val="single" w:sz="8" w:color="CCEEFF"/>
            </w:tcBorders>
            <w:shd w:val="clear" w:color="auto" w:fill="CCEEFF"/>
          </w:tcPr>
          <w:p>
            <w:pPr>
              <w:jc w:val="right"/>
              <w:ind w:right="3415"/>
              <w:spacing w:after="0"/>
              <w:rPr>
                <w:sz w:val="20"/>
                <w:szCs w:val="20"/>
                <w:color w:val="auto"/>
              </w:rPr>
            </w:pPr>
            <w:r>
              <w:rPr>
                <w:rFonts w:ascii="Times New Roman" w:cs="Times New Roman" w:eastAsia="Times New Roman" w:hAnsi="Times New Roman"/>
                <w:sz w:val="13"/>
                <w:szCs w:val="13"/>
                <w:color w:val="auto"/>
              </w:rPr>
              <w:t>2014</w:t>
            </w:r>
          </w:p>
        </w:tc>
        <w:tc>
          <w:tcPr>
            <w:tcW w:w="1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2,268</w:t>
            </w:r>
          </w:p>
        </w:tc>
        <w:tc>
          <w:tcPr>
            <w:tcW w:w="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5"/>
        </w:trPr>
        <w:tc>
          <w:tcPr>
            <w:tcW w:w="4100" w:type="dxa"/>
            <w:vAlign w:val="bottom"/>
          </w:tcPr>
          <w:p>
            <w:pPr>
              <w:jc w:val="right"/>
              <w:ind w:right="3415"/>
              <w:spacing w:after="0"/>
              <w:rPr>
                <w:sz w:val="20"/>
                <w:szCs w:val="20"/>
                <w:color w:val="auto"/>
              </w:rPr>
            </w:pPr>
            <w:r>
              <w:rPr>
                <w:rFonts w:ascii="Times New Roman" w:cs="Times New Roman" w:eastAsia="Times New Roman" w:hAnsi="Times New Roman"/>
                <w:sz w:val="13"/>
                <w:szCs w:val="13"/>
                <w:color w:val="auto"/>
              </w:rPr>
              <w:t>2015</w:t>
            </w:r>
          </w:p>
        </w:tc>
        <w:tc>
          <w:tcPr>
            <w:tcW w:w="122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5"/>
              </w:rPr>
              <w:t>1,309</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1"/>
        </w:trPr>
        <w:tc>
          <w:tcPr>
            <w:tcW w:w="4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20,438</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right="20" w:hanging="48"/>
        <w:spacing w:after="0" w:line="257" w:lineRule="auto"/>
        <w:tabs>
          <w:tab w:leader="none" w:pos="180"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minimum royalties claimed by Trend Micro pursuant to the January 2006 settlement and license agreement between Trend Micro and Fortinet, which are subject to dispute (see "Litigation" below). The settlement and license agreement provides for additional quarterly royalty payments, not expected to exceed 1% of our total revenue each quarter, through 2015. We have accrued a total payment including interest of $4.3 million as of December 31, 2010, related to amounts under the settlement and license agreement with Trend</w:t>
      </w:r>
    </w:p>
    <w:p>
      <w:pPr>
        <w:jc w:val="center"/>
        <w:spacing w:after="0"/>
        <w:rPr>
          <w:sz w:val="20"/>
          <w:szCs w:val="20"/>
          <w:color w:val="auto"/>
        </w:rPr>
      </w:pPr>
      <w:r>
        <w:rPr>
          <w:rFonts w:ascii="Times New Roman" w:cs="Times New Roman" w:eastAsia="Times New Roman" w:hAnsi="Times New Roman"/>
          <w:sz w:val="10"/>
          <w:szCs w:val="10"/>
          <w:color w:val="auto"/>
        </w:rPr>
        <w:t>Micro which have not been paid pursuant to the dispute.</w:t>
      </w:r>
    </w:p>
    <w:p>
      <w:pPr>
        <w:spacing w:after="0" w:line="178" w:lineRule="exact"/>
        <w:rPr>
          <w:sz w:val="20"/>
          <w:szCs w:val="20"/>
          <w:color w:val="auto"/>
        </w:rPr>
      </w:pPr>
    </w:p>
    <w:p>
      <w:pPr>
        <w:ind w:left="60" w:right="60" w:firstLine="466"/>
        <w:spacing w:after="0" w:line="262" w:lineRule="auto"/>
        <w:rPr>
          <w:sz w:val="20"/>
          <w:szCs w:val="20"/>
          <w:color w:val="auto"/>
        </w:rPr>
      </w:pPr>
      <w:r>
        <w:rPr>
          <w:rFonts w:ascii="Times New Roman" w:cs="Times New Roman" w:eastAsia="Times New Roman" w:hAnsi="Times New Roman"/>
          <w:sz w:val="13"/>
          <w:szCs w:val="13"/>
          <w:b w:val="1"/>
          <w:bCs w:val="1"/>
          <w:color w:val="auto"/>
        </w:rPr>
        <w:t>Contract Manufacturer Commitments</w:t>
      </w:r>
      <w:r>
        <w:rPr>
          <w:rFonts w:ascii="Times New Roman" w:cs="Times New Roman" w:eastAsia="Times New Roman" w:hAnsi="Times New Roman"/>
          <w:sz w:val="13"/>
          <w:szCs w:val="13"/>
          <w:color w:val="auto"/>
        </w:rPr>
        <w:t>—Our independent contract manufacturers procure components and build our products based on our forecasts. These forecasts are based on estimates of future demand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our products, which are in turn based on historical trends and an analysis from our sales and marketing organizations, adjusted for overall market conditions. In order to reduce manufacturing lead times and plan for</w:t>
      </w:r>
    </w:p>
    <w:p>
      <w:pPr>
        <w:jc w:val="center"/>
        <w:spacing w:after="0"/>
        <w:rPr>
          <w:sz w:val="20"/>
          <w:szCs w:val="20"/>
          <w:color w:val="auto"/>
        </w:rPr>
      </w:pPr>
      <w:r>
        <w:rPr>
          <w:rFonts w:ascii="Times New Roman" w:cs="Times New Roman" w:eastAsia="Times New Roman" w:hAnsi="Times New Roman"/>
          <w:sz w:val="13"/>
          <w:szCs w:val="13"/>
          <w:color w:val="auto"/>
        </w:rPr>
        <w:t>adequate component suppl y, we may issue purchase orders to some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11460"/>
          </w:cols>
          <w:pgMar w:left="220" w:top="127" w:right="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YEARS ENDED DECEMBER 31, 2010, DECEMBER 31, 2009 AND DECEMBER 28, 2008</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our independent contract manufacturers which may not be cancelable. As of December 31, 2010, we had $18.6 million of open purchase orders with our independent contract manufacturers that may not be cancelable.</w:t>
      </w:r>
    </w:p>
    <w:p>
      <w:pPr>
        <w:spacing w:after="0" w:line="142" w:lineRule="exact"/>
        <w:rPr>
          <w:sz w:val="20"/>
          <w:szCs w:val="20"/>
          <w:color w:val="auto"/>
        </w:rPr>
      </w:pPr>
    </w:p>
    <w:p>
      <w:pPr>
        <w:ind w:left="20" w:firstLine="641"/>
        <w:spacing w:after="0" w:line="254" w:lineRule="auto"/>
        <w:rPr>
          <w:sz w:val="20"/>
          <w:szCs w:val="20"/>
          <w:color w:val="auto"/>
        </w:rPr>
      </w:pPr>
      <w:r>
        <w:rPr>
          <w:rFonts w:ascii="Times New Roman" w:cs="Times New Roman" w:eastAsia="Times New Roman" w:hAnsi="Times New Roman"/>
          <w:sz w:val="13"/>
          <w:szCs w:val="13"/>
          <w:b w:val="1"/>
          <w:bCs w:val="1"/>
          <w:color w:val="auto"/>
        </w:rPr>
        <w:t>Litigation</w:t>
      </w:r>
      <w:r>
        <w:rPr>
          <w:rFonts w:ascii="Times New Roman" w:cs="Times New Roman" w:eastAsia="Times New Roman" w:hAnsi="Times New Roman"/>
          <w:sz w:val="13"/>
          <w:szCs w:val="13"/>
          <w:color w:val="auto"/>
        </w:rPr>
        <w:t>—In August 2009, Trend Micro Incorporated (“Trend Micro”) filed a complaint against us in the Superior Court of the State of California for Santa Clara County alleging breach of contract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seeking a declaratory judgment that we are obligated to make certain royalty payments to Trend Micro pursuant to a settlement and license agreement entered into in January 2006. We maintain that the patents that are the basis for the royalty payments are invalid and consequently that we have no contractual obligation to pay the royalties,. We filed an action in the Northern District of California that is stayed pending the resolution of the state court action. We have continued to accrue expense based on the quarterly royalties provided for in the settlement and license agreement. In January 2011, in response to petitions for re-examination we filed with the U.S. Patent and Trademark Office (“PTO”), the PTO issued an initial office action that the Trend Micro patents allegedly forming the basis for the royalty payments are invalid. In January 2011, we filed a motion to stay the state court case pending final resolution at the PTO. Our motion to stay is currently pending. We cannot currently predict the outcome of this dispute nor determine the amount or a reasonable range of potential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loss, if any.</w:t>
      </w:r>
    </w:p>
    <w:p>
      <w:pPr>
        <w:spacing w:after="0" w:line="181"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3"/>
          <w:szCs w:val="13"/>
          <w:color w:val="auto"/>
        </w:rPr>
        <w:t>In January 2009, we filed a complaint against Palo Alto Networks, Inc. (“PAN”) in the United States District Court for the Northern District of California alleging, among other claims, patent infringement. In November 2010, we filed a second complaint against PAN in the United States District Court for the Northern District of California alleging infringement of three additional patents. On January 20, 2011, we entered into a settlement and patent license agreement with PAN pursuant to which we agreed to license certain asserted patents and certain related patents in return for an up-front payment by PAN and ongoing quarterly payments over three years. The parties also agreed upon a three year covenant not to sue for patent related claims.</w:t>
      </w:r>
    </w:p>
    <w:p>
      <w:pPr>
        <w:spacing w:after="0" w:line="161"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3"/>
          <w:szCs w:val="13"/>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In June 2010, the Court granted our motion to stay pending the outcome of reexamination proceedings on both asserted patents. There is a related action that was dismissed by the Court, and that dismissal has been appealed by ESR to the Federal Circuit. We cannot currently predict the outcome of this dispute nor determine the amount or a reasonable range of potential loss, if any.</w:t>
      </w:r>
    </w:p>
    <w:p>
      <w:pPr>
        <w:spacing w:after="0" w:line="161" w:lineRule="exact"/>
        <w:rPr>
          <w:sz w:val="20"/>
          <w:szCs w:val="20"/>
          <w:color w:val="auto"/>
        </w:rPr>
      </w:pPr>
    </w:p>
    <w:p>
      <w:pPr>
        <w:ind w:right="420" w:firstLine="469"/>
        <w:spacing w:after="0" w:line="281" w:lineRule="auto"/>
        <w:rPr>
          <w:sz w:val="20"/>
          <w:szCs w:val="20"/>
          <w:color w:val="auto"/>
        </w:rPr>
      </w:pPr>
      <w:r>
        <w:rPr>
          <w:rFonts w:ascii="Times New Roman" w:cs="Times New Roman" w:eastAsia="Times New Roman" w:hAnsi="Times New Roman"/>
          <w:sz w:val="13"/>
          <w:szCs w:val="13"/>
          <w:color w:val="auto"/>
        </w:rPr>
        <w:t>In July 2010, Network Protection Sciences, LLC, a non-practicing entity, filed a complaint in the United States District Court for the Eastern District of Texas alleging patent infringement by us and other defendants. Currently the case is in the early stages. We cannot currently predict the outcome of this dispute nor determine the amount or a reasonable range of potential loss, if any.</w:t>
      </w:r>
    </w:p>
    <w:p>
      <w:pPr>
        <w:spacing w:after="0" w:line="11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In September 2010, WordCheck Tech, LLC ("WordCheck"), a non-practicing entity, filed a complaint in the United States District Court for the Eastern District of Texas alleging patent infringement by us and numerous other defendants. In January 2011, we entered a settlement and license agreement with WordCheck pursuant to which WordCheck dismissed the litigation against us in return for an immaterial payment by us to WordCheck.</w:t>
      </w:r>
    </w:p>
    <w:p>
      <w:pPr>
        <w:spacing w:after="0" w:line="129"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3"/>
          <w:szCs w:val="13"/>
          <w:color w:val="auto"/>
        </w:rPr>
        <w:t>In April 2010, an individual, a former stockholder of Fortinet, filed a class action la 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We cannot currently predict the outcome of this dispute nor determine the amount or a reasonable range of potential loss, if any.</w:t>
      </w:r>
    </w:p>
    <w:p>
      <w:pPr>
        <w:spacing w:after="0" w:line="132"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 addition to the above matters, we are subject to other litigation in the ordinary course of business. The results of legal proceedings cannot be predicted wi th certainty. If we do not prevail in any of these legal matters, our operating results may be materially affected. At this time, we are unable to estimate the financial impact these actions will likely have on us.</w:t>
      </w:r>
    </w:p>
    <w:p>
      <w:pPr>
        <w:spacing w:after="0" w:line="117" w:lineRule="exact"/>
        <w:rPr>
          <w:sz w:val="20"/>
          <w:szCs w:val="20"/>
          <w:color w:val="auto"/>
        </w:rPr>
      </w:pPr>
    </w:p>
    <w:p>
      <w:pPr>
        <w:ind w:right="40" w:firstLine="469"/>
        <w:spacing w:after="0" w:line="262" w:lineRule="auto"/>
        <w:rPr>
          <w:sz w:val="20"/>
          <w:szCs w:val="20"/>
          <w:color w:val="auto"/>
        </w:rPr>
      </w:pPr>
      <w:r>
        <w:rPr>
          <w:rFonts w:ascii="Times New Roman" w:cs="Times New Roman" w:eastAsia="Times New Roman" w:hAnsi="Times New Roman"/>
          <w:sz w:val="13"/>
          <w:szCs w:val="13"/>
          <w:b w:val="1"/>
          <w:bCs w:val="1"/>
          <w:color w:val="auto"/>
        </w:rPr>
        <w:t>Indemnification</w:t>
      </w:r>
      <w:r>
        <w:rPr>
          <w:rFonts w:ascii="Times New Roman" w:cs="Times New Roman" w:eastAsia="Times New Roman" w:hAnsi="Times New Roman"/>
          <w:sz w:val="13"/>
          <w:szCs w:val="13"/>
          <w:color w:val="auto"/>
        </w:rPr>
        <w:t>—Under the indemnification provisions of our standard sales contracts, we agree to defend our customers against third-party claims asserting infringement of certain intellectual property rights,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11460"/>
          </w:cols>
          <w:pgMar w:left="220" w:top="127" w:right="219"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10. STOCKHOLDERS’ EQUITY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Common Shares Reserved for Issuance</w:t>
      </w:r>
      <w:r>
        <w:rPr>
          <w:rFonts w:ascii="Times New Roman" w:cs="Times New Roman" w:eastAsia="Times New Roman" w:hAnsi="Times New Roman"/>
          <w:sz w:val="13"/>
          <w:szCs w:val="13"/>
          <w:color w:val="auto"/>
        </w:rPr>
        <w:t>—At December 31, 201 0, we had reserved shares of common stock for issuance as follows (in 000's):</w:t>
      </w:r>
    </w:p>
    <w:p>
      <w:pPr>
        <w:spacing w:after="0" w:line="276" w:lineRule="exact"/>
        <w:rPr>
          <w:sz w:val="20"/>
          <w:szCs w:val="20"/>
          <w:color w:val="auto"/>
        </w:rPr>
      </w:pPr>
    </w:p>
    <w:tbl>
      <w:tblPr>
        <w:tblLayout w:type="fixed"/>
        <w:tblInd w:w="1360" w:type="dxa"/>
        <w:tblCellMar>
          <w:top w:w="0" w:type="dxa"/>
          <w:left w:w="0" w:type="dxa"/>
          <w:bottom w:w="0" w:type="dxa"/>
          <w:right w:w="0" w:type="dxa"/>
        </w:tblCellMar>
      </w:tblPr>
      <w:tr>
        <w:trPr>
          <w:trHeight w:val="196"/>
        </w:trPr>
        <w:tc>
          <w:tcPr>
            <w:tcW w:w="5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Reserved under stock option plans</w:t>
            </w:r>
          </w:p>
        </w:tc>
        <w:tc>
          <w:tcPr>
            <w:tcW w:w="36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18,790</w:t>
            </w:r>
          </w:p>
        </w:tc>
      </w:tr>
    </w:tbl>
    <w:p>
      <w:pPr>
        <w:spacing w:after="0" w:line="142"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—In conjunction with an agreement to purchase certain technology assets (Note 6), we issued a warrant to purchase 120,000 shares of our common stock at an exercise price of $7.47 per share.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warrant was exercised during the fourth quarter of 2010.</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Convertible Preferred Stock—In connection with the initial public offering, our authorized and outstanding convertible preferred stock was converted into common stock as of December 31, 2009.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and outstanding convertible preferred stock was as follows as of December 28, 2008 ($ and share amounts in 000's):</w:t>
      </w: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Authorized</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3"/>
        </w:trPr>
        <w:tc>
          <w:tcPr>
            <w:tcW w:w="3160" w:type="dxa"/>
            <w:vAlign w:val="bottom"/>
          </w:tcPr>
          <w:p>
            <w:pPr>
              <w:spacing w:after="0"/>
              <w:rPr>
                <w:sz w:val="13"/>
                <w:szCs w:val="13"/>
                <w:color w:val="auto"/>
              </w:rPr>
            </w:pP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20" w:type="dxa"/>
            <w:vAlign w:val="bottom"/>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25"/>
        </w:trPr>
        <w:tc>
          <w:tcPr>
            <w:tcW w:w="31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65"/>
        </w:trPr>
        <w:tc>
          <w:tcPr>
            <w:tcW w:w="3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Series A</w:t>
            </w:r>
          </w:p>
        </w:tc>
        <w:tc>
          <w:tcPr>
            <w:tcW w:w="22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4,000</w:t>
            </w:r>
          </w:p>
        </w:tc>
        <w:tc>
          <w:tcPr>
            <w:tcW w:w="54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500" w:type="dxa"/>
            <w:vAlign w:val="bottom"/>
          </w:tcPr>
          <w:p>
            <w:pPr>
              <w:spacing w:after="0"/>
              <w:rPr>
                <w:sz w:val="14"/>
                <w:szCs w:val="14"/>
                <w:color w:val="auto"/>
              </w:rPr>
            </w:pPr>
          </w:p>
        </w:tc>
        <w:tc>
          <w:tcPr>
            <w:tcW w:w="2780" w:type="dxa"/>
            <w:vAlign w:val="bottom"/>
            <w:tcBorders>
              <w:bottom w:val="single" w:sz="8" w:color="CCEEFF"/>
            </w:tcBorders>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3"/>
                <w:szCs w:val="13"/>
                <w:color w:val="auto"/>
              </w:rPr>
              <w:t>900</w:t>
            </w:r>
          </w:p>
        </w:tc>
      </w:tr>
      <w:tr>
        <w:trPr>
          <w:trHeight w:val="175"/>
        </w:trPr>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Series B</w:t>
            </w:r>
          </w:p>
        </w:tc>
        <w:tc>
          <w:tcPr>
            <w:tcW w:w="22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5,000</w:t>
            </w:r>
          </w:p>
        </w:tc>
        <w:tc>
          <w:tcPr>
            <w:tcW w:w="5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3280" w:type="dxa"/>
            <w:vAlign w:val="bottom"/>
            <w:gridSpan w:val="3"/>
          </w:tcPr>
          <w:p>
            <w:pPr>
              <w:jc w:val="right"/>
              <w:ind w:right="438"/>
              <w:spacing w:after="0"/>
              <w:rPr>
                <w:sz w:val="20"/>
                <w:szCs w:val="20"/>
                <w:color w:val="auto"/>
              </w:rPr>
            </w:pPr>
            <w:r>
              <w:rPr>
                <w:rFonts w:ascii="Times New Roman" w:cs="Times New Roman" w:eastAsia="Times New Roman" w:hAnsi="Times New Roman"/>
                <w:sz w:val="13"/>
                <w:szCs w:val="13"/>
                <w:color w:val="auto"/>
              </w:rPr>
              <w:t>2,794</w:t>
            </w:r>
          </w:p>
        </w:tc>
      </w:tr>
      <w:tr>
        <w:trPr>
          <w:trHeight w:val="21"/>
        </w:trPr>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76"/>
        </w:trPr>
        <w:tc>
          <w:tcPr>
            <w:tcW w:w="3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Series C</w:t>
            </w:r>
          </w:p>
        </w:tc>
        <w:tc>
          <w:tcPr>
            <w:tcW w:w="22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6,000</w:t>
            </w:r>
          </w:p>
        </w:tc>
        <w:tc>
          <w:tcPr>
            <w:tcW w:w="5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3280" w:type="dxa"/>
            <w:vAlign w:val="bottom"/>
            <w:tcBorders>
              <w:bottom w:val="single" w:sz="8" w:color="CCEEFF"/>
            </w:tcBorders>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3"/>
                <w:szCs w:val="13"/>
                <w:color w:val="auto"/>
              </w:rPr>
              <w:t>8,689</w:t>
            </w:r>
          </w:p>
        </w:tc>
      </w:tr>
      <w:tr>
        <w:trPr>
          <w:trHeight w:val="175"/>
        </w:trPr>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Series D</w:t>
            </w:r>
          </w:p>
        </w:tc>
        <w:tc>
          <w:tcPr>
            <w:tcW w:w="22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15,000</w:t>
            </w:r>
          </w:p>
        </w:tc>
        <w:tc>
          <w:tcPr>
            <w:tcW w:w="5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3280" w:type="dxa"/>
            <w:vAlign w:val="bottom"/>
            <w:gridSpan w:val="3"/>
          </w:tcPr>
          <w:p>
            <w:pPr>
              <w:jc w:val="right"/>
              <w:ind w:right="438"/>
              <w:spacing w:after="0"/>
              <w:rPr>
                <w:sz w:val="20"/>
                <w:szCs w:val="20"/>
                <w:color w:val="auto"/>
              </w:rPr>
            </w:pPr>
            <w:r>
              <w:rPr>
                <w:rFonts w:ascii="Times New Roman" w:cs="Times New Roman" w:eastAsia="Times New Roman" w:hAnsi="Times New Roman"/>
                <w:sz w:val="13"/>
                <w:szCs w:val="13"/>
                <w:color w:val="auto"/>
              </w:rPr>
              <w:t>28,663</w:t>
            </w:r>
          </w:p>
        </w:tc>
      </w:tr>
      <w:tr>
        <w:trPr>
          <w:trHeight w:val="21"/>
        </w:trPr>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3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Series E</w:t>
            </w:r>
          </w:p>
        </w:tc>
        <w:tc>
          <w:tcPr>
            <w:tcW w:w="22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10,500</w:t>
            </w:r>
          </w:p>
        </w:tc>
        <w:tc>
          <w:tcPr>
            <w:tcW w:w="5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w:t>
            </w:r>
          </w:p>
        </w:tc>
        <w:tc>
          <w:tcPr>
            <w:tcW w:w="3280" w:type="dxa"/>
            <w:vAlign w:val="bottom"/>
            <w:tcBorders>
              <w:bottom w:val="single" w:sz="8" w:color="CCEEFF"/>
            </w:tcBorders>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3"/>
                <w:szCs w:val="13"/>
                <w:color w:val="auto"/>
              </w:rPr>
              <w:t>53,322</w:t>
            </w:r>
          </w:p>
        </w:tc>
      </w:tr>
      <w:tr>
        <w:trPr>
          <w:trHeight w:val="195"/>
        </w:trPr>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w:t>
            </w:r>
          </w:p>
        </w:tc>
        <w:tc>
          <w:tcPr>
            <w:tcW w:w="22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40,500</w:t>
            </w:r>
          </w:p>
        </w:tc>
        <w:tc>
          <w:tcPr>
            <w:tcW w:w="540" w:type="dxa"/>
            <w:vAlign w:val="bottom"/>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40,480</w:t>
            </w:r>
          </w:p>
        </w:tc>
        <w:tc>
          <w:tcPr>
            <w:tcW w:w="500" w:type="dxa"/>
            <w:vAlign w:val="bottom"/>
            <w:tcBorders>
              <w:top w:val="single" w:sz="8" w:color="auto"/>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color w:val="auto"/>
              </w:rPr>
              <w:t>94,368</w:t>
            </w:r>
          </w:p>
        </w:tc>
      </w:tr>
    </w:tbl>
    <w:p>
      <w:pPr>
        <w:spacing w:after="0" w:line="142" w:lineRule="exact"/>
        <w:rPr>
          <w:sz w:val="20"/>
          <w:szCs w:val="20"/>
          <w:color w:val="auto"/>
        </w:rPr>
      </w:pPr>
    </w:p>
    <w:p>
      <w:pPr>
        <w:ind w:right="80" w:firstLine="469"/>
        <w:spacing w:after="0" w:line="267" w:lineRule="auto"/>
        <w:rPr>
          <w:sz w:val="20"/>
          <w:szCs w:val="20"/>
          <w:color w:val="auto"/>
        </w:rPr>
      </w:pPr>
      <w:r>
        <w:rPr>
          <w:rFonts w:ascii="Times New Roman" w:cs="Times New Roman" w:eastAsia="Times New Roman" w:hAnsi="Times New Roman"/>
          <w:sz w:val="13"/>
          <w:szCs w:val="13"/>
          <w:b w:val="1"/>
          <w:bCs w:val="1"/>
          <w:color w:val="auto"/>
        </w:rPr>
        <w:t>Stock Repurchase</w:t>
      </w:r>
      <w:r>
        <w:rPr>
          <w:rFonts w:ascii="Times New Roman" w:cs="Times New Roman" w:eastAsia="Times New Roman" w:hAnsi="Times New Roman"/>
          <w:sz w:val="13"/>
          <w:szCs w:val="13"/>
          <w:color w:val="auto"/>
        </w:rPr>
        <w:t>—While we were a privately-held company, during the first six months of fiscal 2009, our Board of Directors approved a stock repurchase authorization. This repurchase authorization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allowed us to repurchase up to $20.0 million of our convertible preferred and common stock at $4.25 per share through June 17, 2009. This repurchase authorization expressly excluded our board members and senior management. We repurchased 704,632 shares of common stock and 3,004,165 shares of convertible preferred stock for a total consideration of $15.7 million.</w:t>
      </w:r>
    </w:p>
    <w:p>
      <w:pPr>
        <w:spacing w:after="0" w:line="2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11320"/>
          </w:cols>
          <w:pgMar w:left="220" w:top="127" w:right="359"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YEARS ENDED DECEMBER 31, 2010, DECEMBER 31, 2009 AND DECEMBER 28, 2008</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11. STOCK PLANS</w:t>
      </w:r>
    </w:p>
    <w:p>
      <w:pPr>
        <w:spacing w:after="0" w:line="163" w:lineRule="exact"/>
        <w:rPr>
          <w:sz w:val="20"/>
          <w:szCs w:val="20"/>
          <w:color w:val="auto"/>
        </w:rPr>
      </w:pPr>
    </w:p>
    <w:p>
      <w:pPr>
        <w:ind w:right="100" w:firstLine="469"/>
        <w:spacing w:after="0" w:line="262" w:lineRule="auto"/>
        <w:rPr>
          <w:sz w:val="20"/>
          <w:szCs w:val="20"/>
          <w:color w:val="auto"/>
        </w:rPr>
      </w:pPr>
      <w:r>
        <w:rPr>
          <w:rFonts w:ascii="Times New Roman" w:cs="Times New Roman" w:eastAsia="Times New Roman" w:hAnsi="Times New Roman"/>
          <w:sz w:val="13"/>
          <w:szCs w:val="13"/>
          <w:b w:val="1"/>
          <w:bCs w:val="1"/>
          <w:color w:val="auto"/>
        </w:rPr>
        <w:t>2000 Stock Plan</w:t>
      </w:r>
      <w:r>
        <w:rPr>
          <w:rFonts w:ascii="Times New Roman" w:cs="Times New Roman" w:eastAsia="Times New Roman" w:hAnsi="Times New Roman"/>
          <w:sz w:val="13"/>
          <w:szCs w:val="13"/>
          <w:color w:val="auto"/>
        </w:rPr>
        <w:t>—During 2000, we adopted the 2000 Stock Option Plan (the Plan), which includes both incentive and non-statutory stock options. Under the Plan, we may grant options to purchase up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21,500,000 shares of common stock to employees, directors and other service providers at prices not less than the fair market value at date o 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30" w:lineRule="exact"/>
        <w:rPr>
          <w:sz w:val="20"/>
          <w:szCs w:val="20"/>
          <w:color w:val="auto"/>
        </w:rPr>
      </w:pPr>
    </w:p>
    <w:p>
      <w:pPr>
        <w:ind w:firstLine="469"/>
        <w:spacing w:after="0" w:line="262" w:lineRule="auto"/>
        <w:rPr>
          <w:sz w:val="20"/>
          <w:szCs w:val="20"/>
          <w:color w:val="auto"/>
        </w:rPr>
      </w:pPr>
      <w:r>
        <w:rPr>
          <w:rFonts w:ascii="Times New Roman" w:cs="Times New Roman" w:eastAsia="Times New Roman" w:hAnsi="Times New Roman"/>
          <w:sz w:val="13"/>
          <w:szCs w:val="13"/>
          <w:b w:val="1"/>
          <w:bCs w:val="1"/>
          <w:color w:val="auto"/>
        </w:rPr>
        <w:t>2008 Stock Plan</w:t>
      </w:r>
      <w:r>
        <w:rPr>
          <w:rFonts w:ascii="Times New Roman" w:cs="Times New Roman" w:eastAsia="Times New Roman" w:hAnsi="Times New Roman"/>
          <w:sz w:val="13"/>
          <w:szCs w:val="13"/>
          <w:color w:val="auto"/>
        </w:rPr>
        <w:t>—On January 28, 2008, our Board of Directors approved the 2008 Stock Plan (the 2008 Plan) and French Sub-Plan, which includes both incentive and non-statutory stock options.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maximum aggregate number of shares which may be subject to options an 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32"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3"/>
          <w:szCs w:val="13"/>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 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30"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3"/>
          <w:szCs w:val="13"/>
          <w:b w:val="1"/>
          <w:bCs w:val="1"/>
          <w:color w:val="auto"/>
        </w:rPr>
        <w:t>2009 Equity Incentive Plan</w:t>
      </w:r>
      <w:r>
        <w:rPr>
          <w:rFonts w:ascii="Times New Roman" w:cs="Times New Roman" w:eastAsia="Times New Roman" w:hAnsi="Times New Roman"/>
          <w:sz w:val="13"/>
          <w:szCs w:val="13"/>
          <w:color w:val="auto"/>
        </w:rPr>
        <w:t>—On November 17, 2009, our Board of Directors approved the 2009 Equity Incentive Plan (the 2009 Plan) and French Sub-Plan, which includes awards of stock options, stock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appreciation rights, restricted stock, restricted stock units, and performance units or performance shares. The maximum aggregate number of shares that may be issued under the Plan is 9,000,000 shares, plus any shares subject to stock options or similar awards granted under the 2008 Stock Plan and the Amended and Restated 2000 Stock Plan that expire or otherwise terminate without having been exercised in full and shares issued pursuant to awards granted under the 2008 Stock Plan and the Amended and Restated 2000 Stock Plan that are forfeited to or repurchased by the Company, with the maximum number of shares to be added to the Plan pursuant to such terminations, forfeitures and repurchases not to exceed 21,000,000 shares. The shares may be authorized, but unissued or reacquired common stock. The number of shares av ailable for issuance under the 2009 Plan will be increased on the first day of each fiscal year beginning with the 2011 fiscal year, in an amount equal to the lesser of (i) 7,000,000 shares, (ii) five percent (5%) of the outstanding shares on the last day of the immediately preceding fiscal year, or (iii) such number of shares determined by the Board.</w:t>
      </w:r>
    </w:p>
    <w:p>
      <w:pPr>
        <w:spacing w:after="0" w:line="138"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 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33" w:lineRule="exact"/>
        <w:rPr>
          <w:sz w:val="20"/>
          <w:szCs w:val="20"/>
          <w:color w:val="auto"/>
        </w:rPr>
      </w:pPr>
    </w:p>
    <w:p>
      <w:pPr>
        <w:ind w:right="40" w:firstLine="469"/>
        <w:spacing w:after="0" w:line="267" w:lineRule="auto"/>
        <w:rPr>
          <w:sz w:val="20"/>
          <w:szCs w:val="20"/>
          <w:color w:val="auto"/>
        </w:rPr>
      </w:pPr>
      <w:r>
        <w:rPr>
          <w:rFonts w:ascii="Times New Roman" w:cs="Times New Roman" w:eastAsia="Times New Roman" w:hAnsi="Times New Roman"/>
          <w:sz w:val="13"/>
          <w:szCs w:val="13"/>
          <w:b w:val="1"/>
          <w:bCs w:val="1"/>
          <w:color w:val="auto"/>
        </w:rPr>
        <w:t>Stock-based compensation under ASC 718</w:t>
      </w:r>
      <w:r>
        <w:rPr>
          <w:rFonts w:ascii="Times New Roman" w:cs="Times New Roman" w:eastAsia="Times New Roman" w:hAnsi="Times New Roman"/>
          <w:sz w:val="13"/>
          <w:szCs w:val="13"/>
          <w:color w:val="auto"/>
        </w:rPr>
        <w:t>—Stock-based compensation is accounted for in accordance to ASC 718, which requires compensation costs related to share-based transactions, including employee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Valuation method</w:t>
      </w:r>
      <w:r>
        <w:rPr>
          <w:rFonts w:ascii="Times New Roman" w:cs="Times New Roman" w:eastAsia="Times New Roman" w:hAnsi="Times New Roman"/>
          <w:sz w:val="13"/>
          <w:szCs w:val="13"/>
          <w:color w:val="auto"/>
        </w:rPr>
        <w:t>—We estimate the fair value of stock options granted using the Black-Scholes valuation model.</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Expected Term</w:t>
      </w:r>
      <w:r>
        <w:rPr>
          <w:rFonts w:ascii="Times New Roman" w:cs="Times New Roman" w:eastAsia="Times New Roman" w:hAnsi="Times New Roman"/>
          <w:sz w:val="13"/>
          <w:szCs w:val="13"/>
          <w:color w:val="auto"/>
        </w:rPr>
        <w:t>—The expected term represents the period that our stock-based awards are expected to be outstanding.</w:t>
      </w:r>
    </w:p>
    <w:p>
      <w:pPr>
        <w:spacing w:after="0" w:line="1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11460"/>
          </w:cols>
          <w:pgMar w:left="220" w:top="127" w:right="219"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8" w:lineRule="exact"/>
        <w:rPr>
          <w:sz w:val="20"/>
          <w:szCs w:val="20"/>
          <w:color w:val="auto"/>
        </w:rPr>
      </w:pPr>
    </w:p>
    <w:p>
      <w:pPr>
        <w:ind w:right="80" w:firstLine="469"/>
        <w:spacing w:after="0" w:line="281" w:lineRule="auto"/>
        <w:rPr>
          <w:sz w:val="20"/>
          <w:szCs w:val="20"/>
          <w:color w:val="auto"/>
        </w:rPr>
      </w:pPr>
      <w:r>
        <w:rPr>
          <w:rFonts w:ascii="Times New Roman" w:cs="Times New Roman" w:eastAsia="Times New Roman" w:hAnsi="Times New Roman"/>
          <w:sz w:val="13"/>
          <w:szCs w:val="13"/>
          <w:color w:val="auto"/>
        </w:rPr>
        <w:t>As we do not have sufficient historical experience for determining the expected term of the stock option awards granted, we have based our expected term on the simplified method available under ASC 718-10 (formerly referred to as Staff Accounting Bulletin 110).</w:t>
      </w:r>
    </w:p>
    <w:p>
      <w:pPr>
        <w:spacing w:after="0" w:line="117" w:lineRule="exact"/>
        <w:rPr>
          <w:sz w:val="20"/>
          <w:szCs w:val="20"/>
          <w:color w:val="auto"/>
        </w:rPr>
      </w:pPr>
    </w:p>
    <w:p>
      <w:pPr>
        <w:ind w:firstLine="469"/>
        <w:spacing w:after="0" w:line="284" w:lineRule="auto"/>
        <w:rPr>
          <w:sz w:val="20"/>
          <w:szCs w:val="20"/>
          <w:color w:val="auto"/>
        </w:rPr>
      </w:pPr>
      <w:r>
        <w:rPr>
          <w:rFonts w:ascii="Times New Roman" w:cs="Times New Roman" w:eastAsia="Times New Roman" w:hAnsi="Times New Roman"/>
          <w:sz w:val="13"/>
          <w:szCs w:val="13"/>
          <w:i w:val="1"/>
          <w:iCs w:val="1"/>
          <w:color w:val="auto"/>
        </w:rPr>
        <w:t>Expected Volatility</w:t>
      </w:r>
      <w:r>
        <w:rPr>
          <w:rFonts w:ascii="Times New Roman" w:cs="Times New Roman" w:eastAsia="Times New Roman" w:hAnsi="Times New Roman"/>
          <w:sz w:val="13"/>
          <w:szCs w:val="13"/>
          <w:color w:val="auto"/>
        </w:rPr>
        <w:t>—The computation of expected volatility for the periods presented includes the historical and implied stock volatility of comparable companies from a representative peer group selected based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industry and market capitalization data and to a lesser extent, our weighted historical volatility following our IPO in November 2009.</w:t>
      </w:r>
    </w:p>
    <w:p>
      <w:pPr>
        <w:spacing w:after="0" w:line="116" w:lineRule="exact"/>
        <w:rPr>
          <w:sz w:val="20"/>
          <w:szCs w:val="20"/>
          <w:color w:val="auto"/>
        </w:rPr>
      </w:pPr>
    </w:p>
    <w:p>
      <w:pPr>
        <w:ind w:right="20" w:firstLine="469"/>
        <w:spacing w:after="0" w:line="262" w:lineRule="auto"/>
        <w:rPr>
          <w:sz w:val="20"/>
          <w:szCs w:val="20"/>
          <w:color w:val="auto"/>
        </w:rPr>
      </w:pPr>
      <w:r>
        <w:rPr>
          <w:rFonts w:ascii="Times New Roman" w:cs="Times New Roman" w:eastAsia="Times New Roman" w:hAnsi="Times New Roman"/>
          <w:sz w:val="13"/>
          <w:szCs w:val="13"/>
          <w:i w:val="1"/>
          <w:iCs w:val="1"/>
          <w:color w:val="auto"/>
        </w:rPr>
        <w:t>Fair Value of Common Stock</w:t>
      </w:r>
      <w:r>
        <w:rPr>
          <w:rFonts w:ascii="Times New Roman" w:cs="Times New Roman" w:eastAsia="Times New Roman" w:hAnsi="Times New Roman"/>
          <w:sz w:val="13"/>
          <w:szCs w:val="13"/>
          <w:color w:val="auto"/>
        </w:rPr>
        <w:t>—The fair value of the shares of common stock that underlie the stock options we have granted has historically been determined by our board of directors. Because there has been no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public m arket for our common stock, prior to our initial public offering in November 2009, our board has determined the fair value of our common stock at the time of grant of the option by considering a number of objective and subjective factors, our sales of preferred stock to unrelated third parties, our operating and financial performance, the lack of liquidity of our capital stock and trends in the broader network security and computer networking market.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Risk-Free Interest Rate</w:t>
      </w:r>
      <w:r>
        <w:rPr>
          <w:rFonts w:ascii="Times New Roman" w:cs="Times New Roman" w:eastAsia="Times New Roman" w:hAnsi="Times New Roman"/>
          <w:sz w:val="13"/>
          <w:szCs w:val="13"/>
          <w:color w:val="auto"/>
        </w:rPr>
        <w:t>—We base the risk-free interest rate used in the Black-Scholes valuation model on the implied yield available on U.S. Treasury zero-coupon issues with an equivalent remaining term.</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Expected Dividend</w:t>
      </w:r>
      <w:r>
        <w:rPr>
          <w:rFonts w:ascii="Times New Roman" w:cs="Times New Roman" w:eastAsia="Times New Roman" w:hAnsi="Times New Roman"/>
          <w:sz w:val="13"/>
          <w:szCs w:val="13"/>
          <w:color w:val="auto"/>
        </w:rPr>
        <w:t>—The expected dividend weighted-average assumption is based on our current expectations about our anticipated dividend policy.</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summarizes the weighted-average assumptions relating to our stock options as follows: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0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rPr>
              <w:t>&lt; font style="font-family:inherit;font-</w:t>
            </w: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700" w:type="dxa"/>
            <w:vAlign w:val="bottom"/>
            <w:vMerge w:val="continue"/>
          </w:tcPr>
          <w:p>
            <w:pPr>
              <w:spacing w:after="0"/>
              <w:rPr>
                <w:sz w:val="11"/>
                <w:szCs w:val="11"/>
                <w:color w:val="auto"/>
              </w:rPr>
            </w:pPr>
          </w:p>
        </w:tc>
        <w:tc>
          <w:tcPr>
            <w:tcW w:w="1640" w:type="dxa"/>
            <w:vAlign w:val="bottom"/>
            <w:vMerge w:val="restart"/>
          </w:tcPr>
          <w:p>
            <w:pPr>
              <w:jc w:val="right"/>
              <w:ind w:right="416"/>
              <w:spacing w:after="0"/>
              <w:rPr>
                <w:sz w:val="20"/>
                <w:szCs w:val="20"/>
                <w:color w:val="auto"/>
              </w:rPr>
            </w:pPr>
            <w:r>
              <w:rPr>
                <w:rFonts w:ascii="Times New Roman" w:cs="Times New Roman" w:eastAsia="Times New Roman" w:hAnsi="Times New Roman"/>
                <w:sz w:val="12"/>
                <w:szCs w:val="12"/>
                <w:b w:val="1"/>
                <w:bCs w:val="1"/>
                <w:color w:val="auto"/>
              </w:rPr>
              <w:t>2010</w:t>
            </w:r>
          </w:p>
        </w:tc>
        <w:tc>
          <w:tcPr>
            <w:tcW w:w="1560" w:type="dxa"/>
            <w:vAlign w:val="bottom"/>
          </w:tcPr>
          <w:p>
            <w:pPr>
              <w:spacing w:after="0"/>
              <w:rPr>
                <w:sz w:val="11"/>
                <w:szCs w:val="11"/>
                <w:color w:val="auto"/>
              </w:rPr>
            </w:pPr>
          </w:p>
        </w:tc>
        <w:tc>
          <w:tcPr>
            <w:tcW w:w="1680" w:type="dxa"/>
            <w:vAlign w:val="bottom"/>
            <w:vMerge w:val="restart"/>
          </w:tcPr>
          <w:p>
            <w:pPr>
              <w:jc w:val="right"/>
              <w:ind w:right="437"/>
              <w:spacing w:after="0"/>
              <w:rPr>
                <w:sz w:val="20"/>
                <w:szCs w:val="20"/>
                <w:color w:val="auto"/>
              </w:rPr>
            </w:pPr>
            <w:r>
              <w:rPr>
                <w:rFonts w:ascii="Times New Roman" w:cs="Times New Roman" w:eastAsia="Times New Roman" w:hAnsi="Times New Roman"/>
                <w:sz w:val="12"/>
                <w:szCs w:val="12"/>
                <w:b w:val="1"/>
                <w:bCs w:val="1"/>
                <w:color w:val="auto"/>
              </w:rPr>
              <w:t>2009</w:t>
            </w:r>
          </w:p>
        </w:tc>
        <w:tc>
          <w:tcPr>
            <w:tcW w:w="560" w:type="dxa"/>
            <w:vAlign w:val="bottom"/>
          </w:tcPr>
          <w:p>
            <w:pPr>
              <w:spacing w:after="0"/>
              <w:rPr>
                <w:sz w:val="11"/>
                <w:szCs w:val="11"/>
                <w:color w:val="auto"/>
              </w:rPr>
            </w:pPr>
          </w:p>
        </w:tc>
        <w:tc>
          <w:tcPr>
            <w:tcW w:w="1620" w:type="dxa"/>
            <w:vAlign w:val="bottom"/>
            <w:vMerge w:val="restart"/>
          </w:tcPr>
          <w:p>
            <w:pPr>
              <w:jc w:val="right"/>
              <w:ind w:right="396"/>
              <w:spacing w:after="0"/>
              <w:rPr>
                <w:sz w:val="20"/>
                <w:szCs w:val="20"/>
                <w:color w:val="auto"/>
              </w:rPr>
            </w:pPr>
            <w:r>
              <w:rPr>
                <w:rFonts w:ascii="Times New Roman" w:cs="Times New Roman" w:eastAsia="Times New Roman" w:hAnsi="Times New Roman"/>
                <w:sz w:val="12"/>
                <w:szCs w:val="12"/>
                <w:b w:val="1"/>
                <w:bCs w:val="1"/>
                <w:color w:val="auto"/>
              </w:rPr>
              <w:t>2008</w:t>
            </w: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size:9pt;"&gt;</w:t>
            </w:r>
          </w:p>
        </w:tc>
        <w:tc>
          <w:tcPr>
            <w:tcW w:w="164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Expected term in years</w:t>
            </w:r>
          </w:p>
        </w:tc>
        <w:tc>
          <w:tcPr>
            <w:tcW w:w="164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4.6</w:t>
            </w:r>
          </w:p>
        </w:tc>
        <w:tc>
          <w:tcPr>
            <w:tcW w:w="156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3"/>
                <w:szCs w:val="13"/>
                <w:color w:val="auto"/>
              </w:rPr>
              <w:t>4.5 – 4.6</w:t>
            </w:r>
          </w:p>
        </w:tc>
        <w:tc>
          <w:tcPr>
            <w:tcW w:w="16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4.5 – 4.6</w:t>
            </w:r>
          </w:p>
        </w:tc>
        <w:tc>
          <w:tcPr>
            <w:tcW w:w="0" w:type="dxa"/>
            <w:vAlign w:val="bottom"/>
          </w:tcPr>
          <w:p>
            <w:pPr>
              <w:spacing w:after="0"/>
              <w:rPr>
                <w:sz w:val="1"/>
                <w:szCs w:val="1"/>
                <w:color w:val="auto"/>
              </w:rPr>
            </w:pPr>
          </w:p>
        </w:tc>
      </w:tr>
      <w:tr>
        <w:trPr>
          <w:trHeight w:val="175"/>
        </w:trPr>
        <w:tc>
          <w:tcPr>
            <w:tcW w:w="27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Volatility (%)</w:t>
            </w:r>
          </w:p>
        </w:tc>
        <w:tc>
          <w:tcPr>
            <w:tcW w:w="3200" w:type="dxa"/>
            <w:vAlign w:val="bottom"/>
            <w:gridSpan w:val="2"/>
          </w:tcPr>
          <w:p>
            <w:pPr>
              <w:jc w:val="right"/>
              <w:ind w:right="2080"/>
              <w:spacing w:after="0"/>
              <w:rPr>
                <w:sz w:val="20"/>
                <w:szCs w:val="20"/>
                <w:color w:val="auto"/>
              </w:rPr>
            </w:pPr>
            <w:r>
              <w:rPr>
                <w:rFonts w:ascii="Times New Roman" w:cs="Times New Roman" w:eastAsia="Times New Roman" w:hAnsi="Times New Roman"/>
                <w:sz w:val="13"/>
                <w:szCs w:val="13"/>
                <w:color w:val="auto"/>
              </w:rPr>
              <w:t>38 – 43</w:t>
            </w:r>
          </w:p>
        </w:tc>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3"/>
                <w:szCs w:val="13"/>
                <w:color w:val="auto"/>
              </w:rPr>
              <w:t>43 – 52</w:t>
            </w:r>
          </w:p>
        </w:tc>
        <w:tc>
          <w:tcPr>
            <w:tcW w:w="16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44 – 47</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Risk-free interest rate (%)</w:t>
            </w:r>
          </w:p>
        </w:tc>
        <w:tc>
          <w:tcPr>
            <w:tcW w:w="3200" w:type="dxa"/>
            <w:vAlign w:val="bottom"/>
            <w:tcBorders>
              <w:bottom w:val="single" w:sz="8" w:color="CCEEFF"/>
            </w:tcBorders>
            <w:gridSpan w:val="2"/>
            <w:shd w:val="clear" w:color="auto" w:fill="CCEEFF"/>
          </w:tcPr>
          <w:p>
            <w:pPr>
              <w:jc w:val="right"/>
              <w:ind w:right="2080"/>
              <w:spacing w:after="0"/>
              <w:rPr>
                <w:sz w:val="20"/>
                <w:szCs w:val="20"/>
                <w:color w:val="auto"/>
              </w:rPr>
            </w:pPr>
            <w:r>
              <w:rPr>
                <w:rFonts w:ascii="Times New Roman" w:cs="Times New Roman" w:eastAsia="Times New Roman" w:hAnsi="Times New Roman"/>
                <w:sz w:val="13"/>
                <w:szCs w:val="13"/>
                <w:color w:val="auto"/>
              </w:rPr>
              <w:t>1.1 – 2.4</w:t>
            </w:r>
          </w:p>
        </w:tc>
        <w:tc>
          <w:tcPr>
            <w:tcW w:w="2240" w:type="dxa"/>
            <w:vAlign w:val="bottom"/>
            <w:tcBorders>
              <w:bottom w:val="single" w:sz="8" w:color="CCEEFF"/>
            </w:tcBorders>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3"/>
                <w:szCs w:val="13"/>
                <w:color w:val="auto"/>
              </w:rPr>
              <w:t>1.3 – 2.3</w:t>
            </w:r>
          </w:p>
        </w:tc>
        <w:tc>
          <w:tcPr>
            <w:tcW w:w="16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2.3 – 3.3</w:t>
            </w:r>
          </w:p>
        </w:tc>
        <w:tc>
          <w:tcPr>
            <w:tcW w:w="0" w:type="dxa"/>
            <w:vAlign w:val="bottom"/>
          </w:tcPr>
          <w:p>
            <w:pPr>
              <w:spacing w:after="0"/>
              <w:rPr>
                <w:sz w:val="1"/>
                <w:szCs w:val="1"/>
                <w:color w:val="auto"/>
              </w:rPr>
            </w:pPr>
          </w:p>
        </w:tc>
      </w:tr>
      <w:tr>
        <w:trPr>
          <w:trHeight w:val="175"/>
        </w:trPr>
        <w:tc>
          <w:tcPr>
            <w:tcW w:w="27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Dividend rate (%)</w:t>
            </w:r>
          </w:p>
        </w:tc>
        <w:tc>
          <w:tcPr>
            <w:tcW w:w="3200" w:type="dxa"/>
            <w:vAlign w:val="bottom"/>
            <w:gridSpan w:val="2"/>
          </w:tcPr>
          <w:p>
            <w:pPr>
              <w:jc w:val="right"/>
              <w:ind w:right="2080"/>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Stock-based compensation expense is included in costs and expenses as follows ($ amounts in 000's):</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24765</wp:posOffset>
            </wp:positionV>
            <wp:extent cx="447738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77385" cy="6350"/>
                    </a:xfrm>
                    <a:prstGeom prst="rect">
                      <a:avLst/>
                    </a:prstGeom>
                    <a:noFill/>
                  </pic:spPr>
                </pic:pic>
              </a:graphicData>
            </a:graphic>
          </wp:anchor>
        </w:drawing>
      </w:r>
    </w:p>
    <w:p>
      <w:pPr>
        <w:spacing w:after="0" w:line="36" w:lineRule="exact"/>
        <w:rPr>
          <w:sz w:val="20"/>
          <w:szCs w:val="20"/>
          <w:color w:val="auto"/>
        </w:rPr>
      </w:pPr>
    </w:p>
    <w:p>
      <w:pPr>
        <w:ind w:left="5200" w:right="4740" w:firstLine="475"/>
        <w:spacing w:after="0" w:line="282" w:lineRule="auto"/>
        <w:tabs>
          <w:tab w:leader="none" w:pos="577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 style="overflow:hidden;font-</w:t>
      </w:r>
    </w:p>
    <w:tbl>
      <w:tblPr>
        <w:tblLayout w:type="fixed"/>
        <w:tblInd w:w="860" w:type="dxa"/>
        <w:tblCellMar>
          <w:top w:w="0" w:type="dxa"/>
          <w:left w:w="0" w:type="dxa"/>
          <w:bottom w:w="0" w:type="dxa"/>
          <w:right w:w="0" w:type="dxa"/>
        </w:tblCellMar>
      </w:tblPr>
      <w:tr>
        <w:trPr>
          <w:trHeight w:val="173"/>
        </w:trPr>
        <w:tc>
          <w:tcPr>
            <w:tcW w:w="27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2"/>
                <w:szCs w:val="12"/>
                <w:b w:val="1"/>
                <w:bCs w:val="1"/>
                <w:color w:val="auto"/>
              </w:rPr>
              <w:t>2010</w:t>
            </w:r>
          </w:p>
        </w:tc>
        <w:tc>
          <w:tcPr>
            <w:tcW w:w="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size:10pt;"&gt;</w:t>
            </w:r>
          </w:p>
        </w:tc>
        <w:tc>
          <w:tcPr>
            <w:tcW w:w="8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2009</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170"/>
        </w:trPr>
        <w:tc>
          <w:tcPr>
            <w:tcW w:w="2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Cost of product revenue</w:t>
            </w:r>
          </w:p>
        </w:tc>
        <w:tc>
          <w:tcPr>
            <w:tcW w:w="164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101</w:t>
            </w:r>
          </w:p>
        </w:tc>
        <w:tc>
          <w:tcPr>
            <w:tcW w:w="68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rPr>
              <w:t>102</w:t>
            </w:r>
          </w:p>
        </w:tc>
        <w:tc>
          <w:tcPr>
            <w:tcW w:w="2340" w:type="dxa"/>
            <w:vAlign w:val="bottom"/>
            <w:tcBorders>
              <w:bottom w:val="single" w:sz="8" w:color="CCEEFF"/>
            </w:tcBorders>
            <w:gridSpan w:val="3"/>
            <w:shd w:val="clear" w:color="auto" w:fill="CCEEFF"/>
          </w:tcPr>
          <w:p>
            <w:pPr>
              <w:jc w:val="right"/>
              <w:ind w:right="458"/>
              <w:spacing w:after="0"/>
              <w:rPr>
                <w:sz w:val="20"/>
                <w:szCs w:val="20"/>
                <w:color w:val="auto"/>
              </w:rPr>
            </w:pPr>
            <w:r>
              <w:rPr>
                <w:rFonts w:ascii="Times New Roman" w:cs="Times New Roman" w:eastAsia="Times New Roman" w:hAnsi="Times New Roman"/>
                <w:sz w:val="13"/>
                <w:szCs w:val="13"/>
                <w:color w:val="auto"/>
              </w:rPr>
              <w:t>67</w:t>
            </w:r>
          </w:p>
        </w:tc>
      </w:tr>
      <w:tr>
        <w:trPr>
          <w:trHeight w:val="124"/>
        </w:trPr>
        <w:tc>
          <w:tcPr>
            <w:tcW w:w="2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&lt;</w:t>
            </w:r>
          </w:p>
        </w:tc>
        <w:tc>
          <w:tcPr>
            <w:tcW w:w="56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88"/>
        </w:trPr>
        <w:tc>
          <w:tcPr>
            <w:tcW w:w="27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Cost of services revenue</w:t>
            </w:r>
          </w:p>
        </w:tc>
        <w:tc>
          <w:tcPr>
            <w:tcW w:w="164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929</w:t>
            </w: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658/font&gt;</w:t>
            </w:r>
          </w:p>
        </w:tc>
        <w:tc>
          <w:tcPr>
            <w:tcW w:w="2340" w:type="dxa"/>
            <w:vAlign w:val="bottom"/>
            <w:gridSpan w:val="3"/>
          </w:tcPr>
          <w:p>
            <w:pPr>
              <w:jc w:val="right"/>
              <w:ind w:right="458"/>
              <w:spacing w:after="0"/>
              <w:rPr>
                <w:sz w:val="20"/>
                <w:szCs w:val="20"/>
                <w:color w:val="auto"/>
              </w:rPr>
            </w:pPr>
            <w:r>
              <w:rPr>
                <w:rFonts w:ascii="Times New Roman" w:cs="Times New Roman" w:eastAsia="Times New Roman" w:hAnsi="Times New Roman"/>
                <w:sz w:val="13"/>
                <w:szCs w:val="13"/>
                <w:color w:val="auto"/>
              </w:rPr>
              <w:t>400</w:t>
            </w:r>
          </w:p>
        </w:tc>
      </w:tr>
      <w:tr>
        <w:trPr>
          <w:trHeight w:val="176"/>
        </w:trPr>
        <w:tc>
          <w:tcPr>
            <w:tcW w:w="2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4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2,339</w:t>
            </w:r>
          </w:p>
        </w:tc>
        <w:tc>
          <w:tcPr>
            <w:tcW w:w="68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2"/>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1,963</w:t>
            </w:r>
          </w:p>
        </w:tc>
        <w:tc>
          <w:tcPr>
            <w:tcW w:w="2340" w:type="dxa"/>
            <w:vAlign w:val="bottom"/>
            <w:tcBorders>
              <w:bottom w:val="single" w:sz="8" w:color="CCEEFF"/>
            </w:tcBorders>
            <w:gridSpan w:val="3"/>
            <w:shd w:val="clear" w:color="auto" w:fill="CCEEFF"/>
          </w:tcPr>
          <w:p>
            <w:pPr>
              <w:jc w:val="right"/>
              <w:ind w:right="458"/>
              <w:spacing w:after="0"/>
              <w:rPr>
                <w:sz w:val="20"/>
                <w:szCs w:val="20"/>
                <w:color w:val="auto"/>
              </w:rPr>
            </w:pPr>
            <w:r>
              <w:rPr>
                <w:rFonts w:ascii="Times New Roman" w:cs="Times New Roman" w:eastAsia="Times New Roman" w:hAnsi="Times New Roman"/>
                <w:sz w:val="13"/>
                <w:szCs w:val="13"/>
                <w:color w:val="auto"/>
              </w:rPr>
              <w:t>1,049</w:t>
            </w:r>
          </w:p>
        </w:tc>
      </w:tr>
      <w:tr>
        <w:trPr>
          <w:trHeight w:val="175"/>
        </w:trPr>
        <w:tc>
          <w:tcPr>
            <w:tcW w:w="27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Sales and marketing</w:t>
            </w:r>
          </w:p>
        </w:tc>
        <w:tc>
          <w:tcPr>
            <w:tcW w:w="164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3,810</w:t>
            </w:r>
          </w:p>
        </w:tc>
        <w:tc>
          <w:tcPr>
            <w:tcW w:w="680" w:type="dxa"/>
            <w:vAlign w:val="bottom"/>
          </w:tcPr>
          <w:p>
            <w:pPr>
              <w:spacing w:after="0"/>
              <w:rPr>
                <w:sz w:val="15"/>
                <w:szCs w:val="15"/>
                <w:color w:val="auto"/>
              </w:rPr>
            </w:pPr>
          </w:p>
        </w:tc>
        <w:tc>
          <w:tcPr>
            <w:tcW w:w="240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color w:val="auto"/>
              </w:rPr>
              <w:t>3,020</w:t>
            </w:r>
          </w:p>
        </w:tc>
        <w:tc>
          <w:tcPr>
            <w:tcW w:w="2340" w:type="dxa"/>
            <w:vAlign w:val="bottom"/>
            <w:gridSpan w:val="3"/>
          </w:tcPr>
          <w:p>
            <w:pPr>
              <w:jc w:val="right"/>
              <w:ind w:right="458"/>
              <w:spacing w:after="0"/>
              <w:rPr>
                <w:sz w:val="20"/>
                <w:szCs w:val="20"/>
                <w:color w:val="auto"/>
              </w:rPr>
            </w:pPr>
            <w:r>
              <w:rPr>
                <w:rFonts w:ascii="Times New Roman" w:cs="Times New Roman" w:eastAsia="Times New Roman" w:hAnsi="Times New Roman"/>
                <w:sz w:val="13"/>
                <w:szCs w:val="13"/>
                <w:color w:val="auto"/>
              </w:rPr>
              <w:t>2,512</w:t>
            </w:r>
          </w:p>
        </w:tc>
      </w:tr>
      <w:tr>
        <w:trPr>
          <w:trHeight w:val="21"/>
        </w:trPr>
        <w:tc>
          <w:tcPr>
            <w:tcW w:w="2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4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2,136</w:t>
            </w:r>
          </w:p>
        </w:tc>
        <w:tc>
          <w:tcPr>
            <w:tcW w:w="68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2"/>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1,718</w:t>
            </w:r>
          </w:p>
        </w:tc>
        <w:tc>
          <w:tcPr>
            <w:tcW w:w="2340" w:type="dxa"/>
            <w:vAlign w:val="bottom"/>
            <w:tcBorders>
              <w:bottom w:val="single" w:sz="8" w:color="CCEEFF"/>
            </w:tcBorders>
            <w:gridSpan w:val="3"/>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rPr>
              <w:t>1,271</w:t>
            </w:r>
          </w:p>
        </w:tc>
      </w:tr>
      <w:tr>
        <w:trPr>
          <w:trHeight w:val="195"/>
        </w:trPr>
        <w:tc>
          <w:tcPr>
            <w:tcW w:w="27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Total stock-based compensation</w:t>
            </w:r>
          </w:p>
        </w:tc>
        <w:tc>
          <w:tcPr>
            <w:tcW w:w="1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9,315</w:t>
            </w: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7,461</w:t>
            </w: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rPr>
              <w:t>5,299</w:t>
            </w:r>
          </w:p>
        </w:tc>
      </w:tr>
      <w:tr>
        <w:trPr>
          <w:trHeight w:val="468"/>
        </w:trPr>
        <w:tc>
          <w:tcPr>
            <w:tcW w:w="2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jc w:val="right"/>
              <w:ind w:right="655"/>
              <w:spacing w:after="0"/>
              <w:rPr>
                <w:sz w:val="20"/>
                <w:szCs w:val="20"/>
                <w:color w:val="auto"/>
              </w:rPr>
            </w:pPr>
            <w:r>
              <w:rPr>
                <w:rFonts w:ascii="Times New Roman" w:cs="Times New Roman" w:eastAsia="Times New Roman" w:hAnsi="Times New Roman"/>
                <w:sz w:val="13"/>
                <w:szCs w:val="13"/>
                <w:color w:val="auto"/>
              </w:rPr>
              <w:t>84</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 summary of the option activity under our stock plans and changes during the reporting periods are presented below (in 000's,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gridSpan w:val="3"/>
          </w:tcPr>
          <w:p>
            <w:pPr>
              <w:ind w:left="560"/>
              <w:spacing w:after="0"/>
              <w:rPr>
                <w:sz w:val="20"/>
                <w:szCs w:val="20"/>
                <w:color w:val="auto"/>
              </w:rPr>
            </w:pPr>
            <w:r>
              <w:rPr>
                <w:rFonts w:ascii="Times New Roman" w:cs="Times New Roman" w:eastAsia="Times New Roman" w:hAnsi="Times New Roman"/>
                <w:sz w:val="12"/>
                <w:szCs w:val="12"/>
                <w:b w:val="1"/>
                <w:bCs w:val="1"/>
                <w:color w:val="auto"/>
              </w:rPr>
              <w:t>Options Outstanding</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240" w:type="dxa"/>
            <w:vAlign w:val="bottom"/>
          </w:tcPr>
          <w:p>
            <w:pPr>
              <w:jc w:val="center"/>
              <w:ind w:left="536"/>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Remaining</w:t>
            </w:r>
          </w:p>
        </w:tc>
        <w:tc>
          <w:tcPr>
            <w:tcW w:w="1420" w:type="dxa"/>
            <w:vAlign w:val="bottom"/>
          </w:tcPr>
          <w:p>
            <w:pPr>
              <w:jc w:val="center"/>
              <w:ind w:left="399"/>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240" w:type="dxa"/>
            <w:vAlign w:val="bottom"/>
          </w:tcPr>
          <w:p>
            <w:pPr>
              <w:jc w:val="center"/>
              <w:ind w:left="536"/>
              <w:spacing w:after="0"/>
              <w:rPr>
                <w:sz w:val="20"/>
                <w:szCs w:val="20"/>
                <w:color w:val="auto"/>
              </w:rPr>
            </w:pPr>
            <w:r>
              <w:rPr>
                <w:rFonts w:ascii="Times New Roman" w:cs="Times New Roman" w:eastAsia="Times New Roman" w:hAnsi="Times New Roman"/>
                <w:sz w:val="12"/>
                <w:szCs w:val="12"/>
                <w:b w:val="1"/>
                <w:bCs w:val="1"/>
                <w:color w:val="auto"/>
                <w:w w:val="98"/>
              </w:rPr>
              <w:t>Available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Contractual</w:t>
            </w:r>
          </w:p>
        </w:tc>
        <w:tc>
          <w:tcPr>
            <w:tcW w:w="1420" w:type="dxa"/>
            <w:vAlign w:val="bottom"/>
          </w:tcPr>
          <w:p>
            <w:pPr>
              <w:jc w:val="center"/>
              <w:ind w:left="399"/>
              <w:spacing w:after="0"/>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240" w:type="dxa"/>
            <w:vAlign w:val="bottom"/>
          </w:tcPr>
          <w:p>
            <w:pPr>
              <w:jc w:val="center"/>
              <w:ind w:left="536"/>
              <w:spacing w:after="0"/>
              <w:rPr>
                <w:sz w:val="20"/>
                <w:szCs w:val="20"/>
                <w:color w:val="auto"/>
              </w:rPr>
            </w:pPr>
            <w:r>
              <w:rPr>
                <w:rFonts w:ascii="Times New Roman" w:cs="Times New Roman" w:eastAsia="Times New Roman" w:hAnsi="Times New Roman"/>
                <w:sz w:val="12"/>
                <w:szCs w:val="12"/>
                <w:b w:val="1"/>
                <w:bCs w:val="1"/>
                <w:color w:val="auto"/>
                <w:w w:val="96"/>
              </w:rPr>
              <w:t>for Grant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2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Price ($)</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Life (Years)</w:t>
            </w:r>
          </w:p>
        </w:tc>
        <w:tc>
          <w:tcPr>
            <w:tcW w:w="1420" w:type="dxa"/>
            <w:vAlign w:val="bottom"/>
          </w:tcPr>
          <w:p>
            <w:pPr>
              <w:jc w:val="center"/>
              <w:ind w:left="399"/>
              <w:spacing w:after="0"/>
              <w:rPr>
                <w:sz w:val="20"/>
                <w:szCs w:val="20"/>
                <w:color w:val="auto"/>
              </w:rPr>
            </w:pPr>
            <w:r>
              <w:rPr>
                <w:rFonts w:ascii="Times New Roman" w:cs="Times New Roman" w:eastAsia="Times New Roman" w:hAnsi="Times New Roman"/>
                <w:sz w:val="12"/>
                <w:szCs w:val="12"/>
                <w:b w:val="1"/>
                <w:bCs w:val="1"/>
                <w:color w:val="auto"/>
                <w:w w:val="93"/>
              </w:rPr>
              <w:t>Value ($)</w:t>
            </w:r>
          </w:p>
        </w:tc>
        <w:tc>
          <w:tcPr>
            <w:tcW w:w="0" w:type="dxa"/>
            <w:vAlign w:val="bottom"/>
          </w:tcPr>
          <w:p>
            <w:pPr>
              <w:spacing w:after="0"/>
              <w:rPr>
                <w:sz w:val="1"/>
                <w:szCs w:val="1"/>
                <w:color w:val="auto"/>
              </w:rPr>
            </w:pPr>
          </w:p>
        </w:tc>
      </w:tr>
      <w:tr>
        <w:trPr>
          <w:trHeight w:val="25"/>
        </w:trPr>
        <w:tc>
          <w:tcPr>
            <w:tcW w:w="1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600" w:type="dxa"/>
            <w:vAlign w:val="bottom"/>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rPr>
              <w:t>Balance—</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30, 2007 (9,111</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were vested at a</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exercise</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price of $1.46 per share)</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4,645</w:t>
            </w: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12,580</w:t>
            </w:r>
          </w:p>
        </w:tc>
        <w:tc>
          <w:tcPr>
            <w:tcW w:w="14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1.86</w:t>
            </w:r>
          </w:p>
        </w:tc>
        <w:tc>
          <w:tcPr>
            <w:tcW w:w="5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Additional</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shares authorized</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gridSpan w:val="4"/>
          </w:tcPr>
          <w:p>
            <w:pPr>
              <w:jc w:val="right"/>
              <w:ind w:right="18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(weighted-average fair</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value of $2.46 per</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(7,232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7,232</w:t>
            </w:r>
          </w:p>
        </w:tc>
        <w:tc>
          <w:tcPr>
            <w:tcW w:w="1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3"/>
                <w:szCs w:val="13"/>
                <w:color w:val="auto"/>
                <w:w w:val="87"/>
              </w:rPr>
              <w:t>7.47</w:t>
            </w:r>
          </w:p>
        </w:tc>
        <w:tc>
          <w:tcPr>
            <w:tcW w:w="1020" w:type="dxa"/>
            <w:vAlign w:val="bottom"/>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Forfeited</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2,635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(2,635</w:t>
            </w:r>
          </w:p>
        </w:tc>
        <w:tc>
          <w:tcPr>
            <w:tcW w:w="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76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color w:val="auto"/>
              </w:rPr>
              <w:t>3.95</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Exercised</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(aggregate intrinsic</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value of $7,119)</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(1,444</w:t>
            </w:r>
          </w:p>
        </w:tc>
        <w:tc>
          <w:tcPr>
            <w:tcW w:w="14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1.47</w:t>
            </w: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auto"/>
              </w:rPr>
              <w:t>Balance—</w:t>
            </w: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28, 2008 (9,125</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were vested at a</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exercise</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price of $2.26 per share)</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5,048</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15,733</w:t>
            </w:r>
          </w:p>
        </w:tc>
        <w:tc>
          <w:tcPr>
            <w:tcW w:w="140" w:type="dxa"/>
            <w:vAlign w:val="bottom"/>
          </w:tcPr>
          <w:p>
            <w:pPr>
              <w:spacing w:after="0"/>
              <w:rPr>
                <w:sz w:val="14"/>
                <w:szCs w:val="14"/>
                <w:color w:val="auto"/>
              </w:rPr>
            </w:pPr>
          </w:p>
        </w:tc>
        <w:tc>
          <w:tcPr>
            <w:tcW w:w="276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color w:val="auto"/>
              </w:rPr>
              <w:t>4.12</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Additional</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shares authorized</w:t>
            </w:r>
          </w:p>
        </w:tc>
        <w:tc>
          <w:tcPr>
            <w:tcW w:w="124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6,887</w:t>
            </w: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CCEEFF"/>
            </w:tcBorders>
            <w:gridSpan w:val="4"/>
            <w:shd w:val="clear" w:color="auto" w:fill="CCEEFF"/>
          </w:tcPr>
          <w:p>
            <w:pPr>
              <w:jc w:val="right"/>
              <w:ind w:right="18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(weighted-average fair</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3"/>
            <w:vMerge w:val="restart"/>
          </w:tcPr>
          <w:p>
            <w:pPr>
              <w:jc w:val="right"/>
              <w:ind w:right="956"/>
              <w:spacing w:after="0"/>
              <w:rPr>
                <w:sz w:val="20"/>
                <w:szCs w:val="20"/>
                <w:color w:val="auto"/>
              </w:rPr>
            </w:pPr>
            <w:r>
              <w:rPr>
                <w:rFonts w:ascii="Times New Roman" w:cs="Times New Roman" w:eastAsia="Times New Roman" w:hAnsi="Times New Roman"/>
                <w:sz w:val="13"/>
                <w:szCs w:val="13"/>
                <w:color w:val="auto"/>
              </w:rPr>
              <w:t>7.99</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value of $2.86 per</w:t>
            </w: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6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(4,203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4,203</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Forfeited</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1,317</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760" w:type="dxa"/>
            <w:vAlign w:val="bottom"/>
            <w:tcBorders>
              <w:bottom w:val="single" w:sz="8" w:color="CCEEFF"/>
            </w:tcBorders>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6.71</w:t>
            </w: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820"/>
              <w:spacing w:after="0" w:line="144" w:lineRule="exact"/>
              <w:rPr>
                <w:sz w:val="20"/>
                <w:szCs w:val="20"/>
                <w:color w:val="auto"/>
              </w:rPr>
            </w:pPr>
            <w:r>
              <w:rPr>
                <w:rFonts w:ascii="Times New Roman" w:cs="Times New Roman" w:eastAsia="Times New Roman" w:hAnsi="Times New Roman"/>
                <w:sz w:val="13"/>
                <w:szCs w:val="13"/>
                <w:color w:val="auto"/>
              </w:rPr>
              <w:t>Exercised</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gridSpan w:val="3"/>
          </w:tcPr>
          <w:p>
            <w:pPr>
              <w:ind w:left="480"/>
              <w:spacing w:after="0" w:line="144" w:lineRule="exact"/>
              <w:rPr>
                <w:sz w:val="20"/>
                <w:szCs w:val="20"/>
                <w:color w:val="auto"/>
              </w:rPr>
            </w:pPr>
            <w:r>
              <w:rPr>
                <w:rFonts w:ascii="Times New Roman" w:cs="Times New Roman" w:eastAsia="Times New Roman" w:hAnsi="Times New Roman"/>
                <w:sz w:val="13"/>
                <w:szCs w:val="13"/>
                <w:color w:val="auto"/>
              </w:rPr>
              <w:t>&lt; font</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(aggregate intrinsic</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style="font-</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value of $10,490)</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family:inherit;font-</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tcPr>
          <w:p>
            <w:pPr>
              <w:spacing w:after="0"/>
              <w:rPr>
                <w:sz w:val="15"/>
                <w:szCs w:val="15"/>
                <w:color w:val="auto"/>
              </w:rPr>
            </w:pPr>
          </w:p>
        </w:tc>
        <w:tc>
          <w:tcPr>
            <w:tcW w:w="3020" w:type="dxa"/>
            <w:vAlign w:val="bottom"/>
            <w:tcBorders>
              <w:bottom w:val="single" w:sz="8" w:color="CCEEFF"/>
            </w:tcBorders>
            <w:gridSpan w:val="4"/>
          </w:tcPr>
          <w:p>
            <w:pPr>
              <w:ind w:left="960"/>
              <w:spacing w:after="0"/>
              <w:rPr>
                <w:sz w:val="20"/>
                <w:szCs w:val="20"/>
                <w:color w:val="auto"/>
              </w:rPr>
            </w:pPr>
            <w:r>
              <w:rPr>
                <w:rFonts w:ascii="Times New Roman" w:cs="Times New Roman" w:eastAsia="Times New Roman" w:hAnsi="Times New Roman"/>
                <w:sz w:val="13"/>
                <w:szCs w:val="13"/>
                <w:color w:val="auto"/>
              </w:rPr>
              <w:t>1.91size:10pt;"&gt;</w:t>
            </w:r>
          </w:p>
        </w:tc>
        <w:tc>
          <w:tcPr>
            <w:tcW w:w="9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480"/>
              <w:spacing w:after="0" w:line="144" w:lineRule="exact"/>
              <w:rPr>
                <w:sz w:val="20"/>
                <w:szCs w:val="20"/>
                <w:color w:val="auto"/>
              </w:rPr>
            </w:pPr>
            <w:r>
              <w:rPr>
                <w:rFonts w:ascii="Times New Roman" w:cs="Times New Roman" w:eastAsia="Times New Roman" w:hAnsi="Times New Roman"/>
                <w:sz w:val="13"/>
                <w:szCs w:val="13"/>
                <w:color w:val="auto"/>
              </w:rPr>
              <w:t>Balance—</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2009 (10,252</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were vested at a</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exercise</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price of $3.32 per share)</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9,049</w:t>
            </w: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89"/>
              </w:rPr>
              <w:t>17,205</w:t>
            </w:r>
          </w:p>
        </w:tc>
        <w:tc>
          <w:tcPr>
            <w:tcW w:w="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5.05</w:t>
            </w:r>
          </w:p>
        </w:tc>
        <w:tc>
          <w:tcPr>
            <w:tcW w:w="5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(weighted-average fair</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value of $7.18 per</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(2,416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2,416</w:t>
            </w:r>
          </w:p>
        </w:tc>
        <w:tc>
          <w:tcPr>
            <w:tcW w:w="140" w:type="dxa"/>
            <w:vAlign w:val="bottom"/>
          </w:tcPr>
          <w:p>
            <w:pPr>
              <w:spacing w:after="0"/>
              <w:rPr>
                <w:sz w:val="16"/>
                <w:szCs w:val="16"/>
                <w:color w:val="auto"/>
              </w:rPr>
            </w:pPr>
          </w:p>
        </w:tc>
        <w:tc>
          <w:tcPr>
            <w:tcW w:w="276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color w:val="auto"/>
              </w:rPr>
              <w:t>19.40</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Forfeited</w:t>
            </w:r>
          </w:p>
        </w:tc>
        <w:tc>
          <w:tcPr>
            <w:tcW w:w="12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912</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760" w:type="dxa"/>
            <w:vAlign w:val="bottom"/>
            <w:tcBorders>
              <w:bottom w:val="single" w:sz="8" w:color="CCEEFF"/>
            </w:tcBorders>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11.11</w:t>
            </w: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Exercised</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(aggregate intrinsic value of</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$117,934)</w:t>
            </w: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(7,464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76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color w:val="auto"/>
              </w:rPr>
              <w:t>3.89</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1600" w:type="dxa"/>
            <w:vAlign w:val="bottom"/>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rPr>
              <w:t>Balance—</w:t>
            </w:r>
          </w:p>
        </w:tc>
        <w:tc>
          <w:tcPr>
            <w:tcW w:w="1240" w:type="dxa"/>
            <w:vAlign w:val="bottom"/>
            <w:vMerge w:val="restart"/>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7,54 5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11,245</w:t>
            </w:r>
          </w:p>
        </w:tc>
        <w:tc>
          <w:tcPr>
            <w:tcW w:w="14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2010</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Borders>
              <w:bottom w:val="single" w:sz="8" w:color="CCEEFF"/>
            </w:tcBorders>
            <w:gridSpan w:val="2"/>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8.42</w:t>
            </w: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00" w:type="dxa"/>
            <w:vAlign w:val="bottom"/>
          </w:tcPr>
          <w:p>
            <w:pPr>
              <w:ind w:left="480"/>
              <w:spacing w:after="0" w:line="139" w:lineRule="exact"/>
              <w:rPr>
                <w:sz w:val="20"/>
                <w:szCs w:val="20"/>
                <w:color w:val="auto"/>
              </w:rPr>
            </w:pPr>
            <w:r>
              <w:rPr>
                <w:rFonts w:ascii="Times New Roman" w:cs="Times New Roman" w:eastAsia="Times New Roman" w:hAnsi="Times New Roman"/>
                <w:sz w:val="13"/>
                <w:szCs w:val="13"/>
                <w:color w:val="auto"/>
              </w:rPr>
              <w:t>Options vested and</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to vest—</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2010</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10,952</w:t>
            </w:r>
          </w:p>
        </w:tc>
        <w:tc>
          <w:tcPr>
            <w:tcW w:w="140" w:type="dxa"/>
            <w:vAlign w:val="bottom"/>
          </w:tcPr>
          <w:p>
            <w:pPr>
              <w:spacing w:after="0"/>
              <w:rPr>
                <w:sz w:val="14"/>
                <w:szCs w:val="14"/>
                <w:color w:val="auto"/>
              </w:rPr>
            </w:pPr>
          </w:p>
        </w:tc>
        <w:tc>
          <w:tcPr>
            <w:tcW w:w="276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color w:val="auto"/>
              </w:rPr>
              <w:t>8.26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3"/>
                <w:szCs w:val="13"/>
                <w:color w:val="auto"/>
              </w:rPr>
              <w:t>4.77</w:t>
            </w:r>
          </w:p>
        </w:tc>
        <w:tc>
          <w:tcPr>
            <w:tcW w:w="560" w:type="dxa"/>
            <w:vAlign w:val="bottom"/>
          </w:tcPr>
          <w:p>
            <w:pPr>
              <w:spacing w:after="0"/>
              <w:rPr>
                <w:sz w:val="14"/>
                <w:szCs w:val="14"/>
                <w:color w:val="auto"/>
              </w:rPr>
            </w:pPr>
          </w:p>
        </w:tc>
        <w:tc>
          <w:tcPr>
            <w:tcW w:w="1420" w:type="dxa"/>
            <w:vAlign w:val="bottom"/>
          </w:tcPr>
          <w:p>
            <w:pPr>
              <w:jc w:val="right"/>
              <w:ind w:right="439"/>
              <w:spacing w:after="0"/>
              <w:rPr>
                <w:sz w:val="20"/>
                <w:szCs w:val="20"/>
                <w:color w:val="auto"/>
              </w:rPr>
            </w:pPr>
            <w:r>
              <w:rPr>
                <w:rFonts w:ascii="Times New Roman" w:cs="Times New Roman" w:eastAsia="Times New Roman" w:hAnsi="Times New Roman"/>
                <w:sz w:val="13"/>
                <w:szCs w:val="13"/>
                <w:color w:val="auto"/>
              </w:rPr>
              <w:t>263,855</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Options exercisable</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2010</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6,006</w:t>
            </w:r>
          </w:p>
        </w:tc>
        <w:tc>
          <w:tcPr>
            <w:tcW w:w="14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rPr>
              <w:t>4.79</w:t>
            </w: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4.16</w:t>
            </w:r>
          </w:p>
        </w:tc>
        <w:tc>
          <w:tcPr>
            <w:tcW w:w="5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165,530</w:t>
            </w:r>
          </w:p>
        </w:tc>
        <w:tc>
          <w:tcPr>
            <w:tcW w:w="0" w:type="dxa"/>
            <w:vAlign w:val="bottom"/>
          </w:tcPr>
          <w:p>
            <w:pPr>
              <w:spacing w:after="0"/>
              <w:rPr>
                <w:sz w:val="1"/>
                <w:szCs w:val="1"/>
                <w:color w:val="auto"/>
              </w:rPr>
            </w:pPr>
          </w:p>
        </w:tc>
      </w:tr>
      <w:tr>
        <w:trPr>
          <w:trHeight w:val="21"/>
        </w:trPr>
        <w:tc>
          <w:tcPr>
            <w:tcW w:w="16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0" w:firstLine="469"/>
        <w:spacing w:after="0" w:line="281" w:lineRule="auto"/>
        <w:rPr>
          <w:sz w:val="20"/>
          <w:szCs w:val="20"/>
          <w:color w:val="auto"/>
        </w:rPr>
      </w:pPr>
      <w:r>
        <w:rPr>
          <w:rFonts w:ascii="Times New Roman" w:cs="Times New Roman" w:eastAsia="Times New Roman" w:hAnsi="Times New Roman"/>
          <w:sz w:val="13"/>
          <w:szCs w:val="13"/>
          <w:color w:val="auto"/>
        </w:rPr>
        <w:t>At December 31, 2010, total compensation cost related to unvested stock-based awards granted to employees under our stock plans but not yet recognized was $25.8 million, net of estimated forfeitures. This cost is expected to be amortized on a straight-line basis over a weighted-average period of 2.40 years. Future option grants will increase the amount of compensation expense to be recorded in these periods.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total fair value of awards vested under our stock plans was $8.5 million, $5.5 million and $3.8 million for fiscal 2010, 2009 and 2008, respectively.</w:t>
      </w: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11460"/>
          </w:cols>
          <w:pgMar w:left="220" w:top="127" w:right="219"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 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Additional information regarding options outstanding as of December 31, 2010,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Options Outstanding</w:t>
            </w:r>
          </w:p>
        </w:tc>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0" w:type="dxa"/>
            <w:vAlign w:val="bottom"/>
            <w:gridSpan w:val="2"/>
          </w:tcPr>
          <w:p>
            <w:pPr>
              <w:jc w:val="right"/>
              <w:ind w:right="919"/>
              <w:spacing w:after="0"/>
              <w:rPr>
                <w:sz w:val="20"/>
                <w:szCs w:val="20"/>
                <w:color w:val="auto"/>
              </w:rPr>
            </w:pPr>
            <w:r>
              <w:rPr>
                <w:rFonts w:ascii="Times New Roman" w:cs="Times New Roman" w:eastAsia="Times New Roman" w:hAnsi="Times New Roman"/>
                <w:sz w:val="12"/>
                <w:szCs w:val="12"/>
                <w:b w:val="1"/>
                <w:bCs w:val="1"/>
                <w:color w:val="auto"/>
                <w:w w:val="97"/>
              </w:rPr>
              <w:t>Options Exercisable</w:t>
            </w:r>
          </w:p>
        </w:tc>
        <w:tc>
          <w:tcPr>
            <w:tcW w:w="0" w:type="dxa"/>
            <w:vAlign w:val="bottom"/>
          </w:tcPr>
          <w:p>
            <w:pPr>
              <w:spacing w:after="0"/>
              <w:rPr>
                <w:sz w:val="1"/>
                <w:szCs w:val="1"/>
                <w:color w:val="auto"/>
              </w:rPr>
            </w:pPr>
          </w:p>
        </w:tc>
      </w:tr>
      <w:tr>
        <w:trPr>
          <w:trHeight w:val="25"/>
        </w:trPr>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60" w:type="dxa"/>
            <w:vAlign w:val="bottom"/>
            <w:gridSpan w:val="2"/>
          </w:tcPr>
          <w:p>
            <w:pPr>
              <w:ind w:left="68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jc w:val="center"/>
              <w:ind w:left="419"/>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Remaining</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jc w:val="center"/>
              <w:ind w:left="419"/>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0" w:type="dxa"/>
            <w:vAlign w:val="bottom"/>
          </w:tcPr>
          <w:p>
            <w:pPr>
              <w:spacing w:after="0"/>
              <w:rPr>
                <w:sz w:val="1"/>
                <w:szCs w:val="1"/>
                <w:color w:val="auto"/>
              </w:rPr>
            </w:pPr>
          </w:p>
        </w:tc>
      </w:tr>
      <w:tr>
        <w:trPr>
          <w:trHeight w:val="147"/>
        </w:trPr>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Exercise Prices</w:t>
            </w:r>
          </w:p>
        </w:tc>
        <w:tc>
          <w:tcPr>
            <w:tcW w:w="1520" w:type="dxa"/>
            <w:vAlign w:val="bottom"/>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54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Contractual</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1480" w:type="dxa"/>
            <w:vAlign w:val="bottom"/>
          </w:tcPr>
          <w:p>
            <w:pPr>
              <w:jc w:val="right"/>
              <w:ind w:right="236"/>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560" w:type="dxa"/>
            <w:vAlign w:val="bottom"/>
          </w:tcPr>
          <w:p>
            <w:pPr>
              <w:spacing w:after="0"/>
              <w:rPr>
                <w:sz w:val="12"/>
                <w:szCs w:val="12"/>
                <w:color w:val="auto"/>
              </w:rPr>
            </w:pPr>
          </w:p>
        </w:tc>
        <w:tc>
          <w:tcPr>
            <w:tcW w:w="1440" w:type="dxa"/>
            <w:vAlign w:val="bottom"/>
          </w:tcPr>
          <w:p>
            <w:pPr>
              <w:jc w:val="center"/>
              <w:ind w:left="399"/>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0" w:type="dxa"/>
            <w:vAlign w:val="bottom"/>
          </w:tcPr>
          <w:p>
            <w:pPr>
              <w:spacing w:after="0"/>
              <w:rPr>
                <w:sz w:val="1"/>
                <w:szCs w:val="1"/>
                <w:color w:val="auto"/>
              </w:rPr>
            </w:pPr>
          </w:p>
        </w:tc>
      </w:tr>
      <w:tr>
        <w:trPr>
          <w:trHeight w:val="153"/>
        </w:trPr>
        <w:tc>
          <w:tcPr>
            <w:tcW w:w="900" w:type="dxa"/>
            <w:vAlign w:val="bottom"/>
          </w:tcPr>
          <w:p>
            <w:pPr>
              <w:jc w:val="right"/>
              <w:ind w:right="67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Pr>
          <w:p>
            <w:pPr>
              <w:spacing w:after="0"/>
              <w:rPr>
                <w:sz w:val="13"/>
                <w:szCs w:val="13"/>
                <w:color w:val="auto"/>
              </w:rPr>
            </w:pPr>
          </w:p>
        </w:tc>
        <w:tc>
          <w:tcPr>
            <w:tcW w:w="152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540" w:type="dxa"/>
            <w:vAlign w:val="bottom"/>
          </w:tcPr>
          <w:p>
            <w:pPr>
              <w:spacing w:after="0"/>
              <w:rPr>
                <w:sz w:val="13"/>
                <w:szCs w:val="13"/>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Life (Years)</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Price ($)</w:t>
            </w: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560" w:type="dxa"/>
            <w:vAlign w:val="bottom"/>
          </w:tcPr>
          <w:p>
            <w:pPr>
              <w:spacing w:after="0"/>
              <w:rPr>
                <w:sz w:val="13"/>
                <w:szCs w:val="13"/>
                <w:color w:val="auto"/>
              </w:rPr>
            </w:pPr>
          </w:p>
        </w:tc>
        <w:tc>
          <w:tcPr>
            <w:tcW w:w="1440" w:type="dxa"/>
            <w:vAlign w:val="bottom"/>
          </w:tcPr>
          <w:p>
            <w:pPr>
              <w:jc w:val="center"/>
              <w:ind w:left="399"/>
              <w:spacing w:after="0"/>
              <w:rPr>
                <w:sz w:val="20"/>
                <w:szCs w:val="20"/>
                <w:color w:val="auto"/>
              </w:rPr>
            </w:pPr>
            <w:r>
              <w:rPr>
                <w:rFonts w:ascii="Times New Roman" w:cs="Times New Roman" w:eastAsia="Times New Roman" w:hAnsi="Times New Roman"/>
                <w:sz w:val="12"/>
                <w:szCs w:val="12"/>
                <w:b w:val="1"/>
                <w:bCs w:val="1"/>
                <w:color w:val="auto"/>
                <w:w w:val="96"/>
              </w:rPr>
              <w:t>Price ($)</w:t>
            </w:r>
          </w:p>
        </w:tc>
        <w:tc>
          <w:tcPr>
            <w:tcW w:w="0" w:type="dxa"/>
            <w:vAlign w:val="bottom"/>
          </w:tcPr>
          <w:p>
            <w:pPr>
              <w:spacing w:after="0"/>
              <w:rPr>
                <w:sz w:val="1"/>
                <w:szCs w:val="1"/>
                <w:color w:val="auto"/>
              </w:rPr>
            </w:pPr>
          </w:p>
        </w:tc>
      </w:tr>
      <w:tr>
        <w:trPr>
          <w:trHeight w:val="25"/>
        </w:trPr>
        <w:tc>
          <w:tcPr>
            <w:tcW w:w="19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0.05–</w:t>
            </w:r>
          </w:p>
        </w:tc>
        <w:tc>
          <w:tcPr>
            <w:tcW w:w="10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6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2,175</w:t>
            </w:r>
          </w:p>
        </w:tc>
        <w:tc>
          <w:tcPr>
            <w:tcW w:w="19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3.45</w:t>
            </w:r>
          </w:p>
        </w:tc>
        <w:tc>
          <w:tcPr>
            <w:tcW w:w="5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1.33</w:t>
            </w:r>
          </w:p>
        </w:tc>
        <w:tc>
          <w:tcPr>
            <w:tcW w:w="5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2,175</w:t>
            </w:r>
          </w:p>
        </w:tc>
        <w:tc>
          <w:tcPr>
            <w:tcW w:w="20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63"/>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2.15–</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7.44</w:t>
            </w: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775</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5.21</w:t>
            </w:r>
          </w:p>
        </w:tc>
        <w:tc>
          <w:tcPr>
            <w:tcW w:w="56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3.33</w:t>
            </w:r>
          </w:p>
        </w:tc>
        <w:tc>
          <w:tcPr>
            <w:tcW w:w="540" w:type="dxa"/>
            <w:vAlign w:val="bottom"/>
          </w:tcPr>
          <w:p>
            <w:pPr>
              <w:spacing w:after="0"/>
              <w:rPr>
                <w:sz w:val="14"/>
                <w:szCs w:val="14"/>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662</w:t>
            </w:r>
          </w:p>
        </w:tc>
        <w:tc>
          <w:tcPr>
            <w:tcW w:w="2000" w:type="dxa"/>
            <w:vAlign w:val="bottom"/>
            <w:gridSpan w:val="2"/>
          </w:tcPr>
          <w:p>
            <w:pPr>
              <w:jc w:val="right"/>
              <w:ind w:right="439"/>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7.47</w:t>
            </w:r>
          </w:p>
        </w:tc>
        <w:tc>
          <w:tcPr>
            <w:tcW w:w="15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5,538</w:t>
            </w:r>
          </w:p>
        </w:tc>
        <w:tc>
          <w:tcPr>
            <w:tcW w:w="1940" w:type="dxa"/>
            <w:vAlign w:val="bottom"/>
            <w:tcBorders>
              <w:bottom w:val="single" w:sz="8" w:color="CCEEFF"/>
            </w:tcBorders>
            <w:gridSpan w:val="2"/>
            <w:shd w:val="clear" w:color="auto" w:fill="CCEEFF"/>
          </w:tcPr>
          <w:p>
            <w:pPr>
              <w:jc w:val="right"/>
              <w:ind w:right="621"/>
              <w:spacing w:after="0"/>
              <w:rPr>
                <w:sz w:val="20"/>
                <w:szCs w:val="20"/>
                <w:color w:val="auto"/>
              </w:rPr>
            </w:pPr>
            <w:r>
              <w:rPr>
                <w:rFonts w:ascii="Times New Roman" w:cs="Times New Roman" w:eastAsia="Times New Roman" w:hAnsi="Times New Roman"/>
                <w:sz w:val="13"/>
                <w:szCs w:val="13"/>
                <w:color w:val="auto"/>
              </w:rPr>
              <w:t>4.58</w:t>
            </w:r>
          </w:p>
        </w:tc>
        <w:tc>
          <w:tcPr>
            <w:tcW w:w="5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7.47</w:t>
            </w:r>
          </w:p>
        </w:tc>
        <w:tc>
          <w:tcPr>
            <w:tcW w:w="5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3,012</w:t>
            </w:r>
          </w:p>
        </w:tc>
        <w:tc>
          <w:tcPr>
            <w:tcW w:w="20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63"/>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7.68–</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12.5</w:t>
            </w: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566</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5.53</w:t>
            </w:r>
          </w:p>
        </w:tc>
        <w:tc>
          <w:tcPr>
            <w:tcW w:w="56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9.56</w:t>
            </w:r>
          </w:p>
        </w:tc>
        <w:tc>
          <w:tcPr>
            <w:tcW w:w="540" w:type="dxa"/>
            <w:vAlign w:val="bottom"/>
          </w:tcPr>
          <w:p>
            <w:pPr>
              <w:spacing w:after="0"/>
              <w:rPr>
                <w:sz w:val="14"/>
                <w:szCs w:val="14"/>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132</w:t>
            </w:r>
          </w:p>
        </w:tc>
        <w:tc>
          <w:tcPr>
            <w:tcW w:w="2000" w:type="dxa"/>
            <w:vAlign w:val="bottom"/>
            <w:gridSpan w:val="2"/>
          </w:tcPr>
          <w:p>
            <w:pPr>
              <w:jc w:val="right"/>
              <w:ind w:right="439"/>
              <w:spacing w:after="0"/>
              <w:rPr>
                <w:sz w:val="20"/>
                <w:szCs w:val="20"/>
                <w:color w:val="auto"/>
              </w:rPr>
            </w:pPr>
            <w:r>
              <w:rPr>
                <w:rFonts w:ascii="Times New Roman" w:cs="Times New Roman" w:eastAsia="Times New Roman" w:hAnsi="Times New Roman"/>
                <w:sz w:val="13"/>
                <w:szCs w:val="13"/>
                <w:color w:val="auto"/>
              </w:rPr>
              <w:t>9.26</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16.86</w:t>
            </w:r>
          </w:p>
        </w:tc>
        <w:tc>
          <w:tcPr>
            <w:tcW w:w="15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1,193</w:t>
            </w:r>
          </w:p>
        </w:tc>
        <w:tc>
          <w:tcPr>
            <w:tcW w:w="194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6.11</w:t>
            </w:r>
          </w:p>
        </w:tc>
        <w:tc>
          <w:tcPr>
            <w:tcW w:w="5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16.86</w:t>
            </w:r>
          </w:p>
        </w:tc>
        <w:tc>
          <w:tcPr>
            <w:tcW w:w="5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18</w:t>
            </w:r>
          </w:p>
        </w:tc>
        <w:tc>
          <w:tcPr>
            <w:tcW w:w="20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16.86</w:t>
            </w:r>
          </w:p>
        </w:tc>
        <w:tc>
          <w:tcPr>
            <w:tcW w:w="0" w:type="dxa"/>
            <w:vAlign w:val="bottom"/>
          </w:tcPr>
          <w:p>
            <w:pPr>
              <w:spacing w:after="0"/>
              <w:rPr>
                <w:sz w:val="1"/>
                <w:szCs w:val="1"/>
                <w:color w:val="auto"/>
              </w:rPr>
            </w:pPr>
          </w:p>
        </w:tc>
      </w:tr>
      <w:tr>
        <w:trPr>
          <w:trHeight w:val="175"/>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17.17</w:t>
            </w: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189</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6.36</w:t>
            </w:r>
          </w:p>
        </w:tc>
        <w:tc>
          <w:tcPr>
            <w:tcW w:w="560" w:type="dxa"/>
            <w:vAlign w:val="bottom"/>
          </w:tcPr>
          <w:p>
            <w:pPr>
              <w:spacing w:after="0"/>
              <w:rPr>
                <w:sz w:val="15"/>
                <w:szCs w:val="15"/>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17.17</w:t>
            </w:r>
          </w:p>
        </w:tc>
        <w:tc>
          <w:tcPr>
            <w:tcW w:w="540" w:type="dxa"/>
            <w:vAlign w:val="bottom"/>
          </w:tcPr>
          <w:p>
            <w:pPr>
              <w:spacing w:after="0"/>
              <w:rPr>
                <w:sz w:val="15"/>
                <w:szCs w:val="15"/>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0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452</w:t>
            </w:r>
          </w:p>
        </w:tc>
        <w:tc>
          <w:tcPr>
            <w:tcW w:w="19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6.59</w:t>
            </w:r>
          </w:p>
        </w:tc>
        <w:tc>
          <w:tcPr>
            <w:tcW w:w="5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17.98</w:t>
            </w:r>
          </w:p>
        </w:tc>
        <w:tc>
          <w:tcPr>
            <w:tcW w:w="5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7</w:t>
            </w:r>
          </w:p>
        </w:tc>
        <w:tc>
          <w:tcPr>
            <w:tcW w:w="20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17.98</w:t>
            </w: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&amp;mda</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30.56</w:t>
            </w: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357</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6.84</w:t>
            </w:r>
          </w:p>
        </w:tc>
        <w:tc>
          <w:tcPr>
            <w:tcW w:w="56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30.56</w:t>
            </w:r>
          </w:p>
        </w:tc>
        <w:tc>
          <w:tcPr>
            <w:tcW w:w="540" w:type="dxa"/>
            <w:vAlign w:val="bottom"/>
          </w:tcPr>
          <w:p>
            <w:pPr>
              <w:spacing w:after="0"/>
              <w:rPr>
                <w:sz w:val="14"/>
                <w:szCs w:val="14"/>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sh;</w:t>
            </w:r>
          </w:p>
        </w:tc>
        <w:tc>
          <w:tcPr>
            <w:tcW w:w="560" w:type="dxa"/>
            <w:vAlign w:val="bottom"/>
          </w:tcPr>
          <w:p>
            <w:pPr>
              <w:spacing w:after="0"/>
              <w:rPr>
                <w:sz w:val="14"/>
                <w:szCs w:val="14"/>
                <w:color w:val="auto"/>
              </w:rPr>
            </w:pP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1960" w:type="dxa"/>
            <w:vAlign w:val="bottom"/>
            <w:tcBorders>
              <w:bottom w:val="single" w:sz="8" w:color="CCEEFF"/>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1960" w:type="dxa"/>
            <w:vAlign w:val="bottom"/>
            <w:gridSpan w:val="2"/>
            <w:shd w:val="clear" w:color="auto" w:fill="CCEEFF"/>
          </w:tcPr>
          <w:p>
            <w:pPr>
              <w:jc w:val="right"/>
              <w:ind w:right="1060"/>
              <w:spacing w:after="0" w:line="143" w:lineRule="exact"/>
              <w:rPr>
                <w:sz w:val="20"/>
                <w:szCs w:val="20"/>
                <w:color w:val="auto"/>
              </w:rPr>
            </w:pPr>
            <w:r>
              <w:rPr>
                <w:rFonts w:ascii="Times New Roman" w:cs="Times New Roman" w:eastAsia="Times New Roman" w:hAnsi="Times New Roman"/>
                <w:sz w:val="13"/>
                <w:szCs w:val="13"/>
                <w:color w:val="auto"/>
              </w:rPr>
              <w:t>0.05–</w:t>
            </w:r>
          </w:p>
        </w:tc>
        <w:tc>
          <w:tcPr>
            <w:tcW w:w="1520" w:type="dxa"/>
            <w:vAlign w:val="bottom"/>
            <w:vMerge w:val="restart"/>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11,245</w:t>
            </w:r>
          </w:p>
        </w:tc>
        <w:tc>
          <w:tcPr>
            <w:tcW w:w="5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6,006</w:t>
            </w:r>
          </w:p>
        </w:tc>
        <w:tc>
          <w:tcPr>
            <w:tcW w:w="5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30.56</w:t>
            </w: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4.80</w:t>
            </w:r>
          </w:p>
        </w:tc>
        <w:tc>
          <w:tcPr>
            <w:tcW w:w="5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8.42</w:t>
            </w:r>
          </w:p>
        </w:tc>
        <w:tc>
          <w:tcPr>
            <w:tcW w:w="5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80" w:firstLine="469"/>
        <w:spacing w:after="0" w:line="262" w:lineRule="auto"/>
        <w:rPr>
          <w:sz w:val="20"/>
          <w:szCs w:val="20"/>
          <w:color w:val="auto"/>
        </w:rPr>
      </w:pPr>
      <w:r>
        <w:rPr>
          <w:rFonts w:ascii="Times New Roman" w:cs="Times New Roman" w:eastAsia="Times New Roman" w:hAnsi="Times New Roman"/>
          <w:sz w:val="13"/>
          <w:szCs w:val="13"/>
          <w:b w:val="1"/>
          <w:bCs w:val="1"/>
          <w:color w:val="auto"/>
        </w:rPr>
        <w:t>Non-employees</w:t>
      </w:r>
      <w:r>
        <w:rPr>
          <w:rFonts w:ascii="Times New Roman" w:cs="Times New Roman" w:eastAsia="Times New Roman" w:hAnsi="Times New Roman"/>
          <w:sz w:val="13"/>
          <w:szCs w:val="13"/>
          <w:color w:val="auto"/>
        </w:rPr>
        <w:t>—During fiscal 2010, 2009 and 2008, we issued to non-employees in exchange for services, options to purchase 11,030, 13,000 and 29,000 shares of common stock, respectively, at a range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exercise prices from $7.47 to $30.56 per share. These options vest over periods of up to 48 months, and in accordance with ASC 505-50 (formerly referred to as Emerging Issues Task Force Issue No. 96-18, </w:t>
      </w:r>
      <w:r>
        <w:rPr>
          <w:rFonts w:ascii="Times New Roman" w:cs="Times New Roman" w:eastAsia="Times New Roman" w:hAnsi="Times New Roman"/>
          <w:sz w:val="13"/>
          <w:szCs w:val="13"/>
          <w:i w:val="1"/>
          <w:iCs w:val="1"/>
          <w:color w:val="auto"/>
        </w:rPr>
        <w:t>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for Equity Instruments that are Issued to Other Than Employees for Acquiring, or in Conjunction with Selling Goods or Services</w:t>
      </w:r>
      <w:r>
        <w:rPr>
          <w:rFonts w:ascii="Times New Roman" w:cs="Times New Roman" w:eastAsia="Times New Roman" w:hAnsi="Times New Roman"/>
          <w:sz w:val="13"/>
          <w:szCs w:val="13"/>
          <w:color w:val="auto"/>
        </w:rPr>
        <w:t>), we accounted for these optio ns as variable awards. The options were valued using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Black-Scholes option pricing model with the following weighted-average assumptions:</w:t>
      </w:r>
    </w:p>
    <w:p>
      <w:pPr>
        <w:spacing w:after="0" w:line="231" w:lineRule="exact"/>
        <w:rPr>
          <w:sz w:val="20"/>
          <w:szCs w:val="20"/>
          <w:color w:val="auto"/>
        </w:rPr>
      </w:pPr>
    </w:p>
    <w:tbl>
      <w:tblPr>
        <w:tblLayout w:type="fixed"/>
        <w:tblInd w:w="600" w:type="dxa"/>
        <w:tblCellMar>
          <w:top w:w="0" w:type="dxa"/>
          <w:left w:w="0" w:type="dxa"/>
          <w:bottom w:w="0" w:type="dxa"/>
          <w:right w:w="0" w:type="dxa"/>
        </w:tblCellMar>
      </w:tblPr>
      <w:tr>
        <w:trPr>
          <w:trHeight w:val="153"/>
        </w:trPr>
        <w:tc>
          <w:tcPr>
            <w:tcW w:w="4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720" w:type="dxa"/>
            <w:vAlign w:val="bottom"/>
          </w:tcPr>
          <w:p>
            <w:pPr>
              <w:spacing w:after="0"/>
              <w:rPr>
                <w:sz w:val="13"/>
                <w:szCs w:val="13"/>
                <w:color w:val="auto"/>
              </w:rPr>
            </w:pPr>
          </w:p>
        </w:tc>
      </w:tr>
      <w:tr>
        <w:trPr>
          <w:trHeight w:val="25"/>
        </w:trPr>
        <w:tc>
          <w:tcPr>
            <w:tcW w:w="4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1"/>
        </w:trPr>
        <w:tc>
          <w:tcPr>
            <w:tcW w:w="4000" w:type="dxa"/>
            <w:vAlign w:val="bottom"/>
          </w:tcPr>
          <w:p>
            <w:pPr>
              <w:spacing w:after="0"/>
              <w:rPr>
                <w:sz w:val="13"/>
                <w:szCs w:val="13"/>
                <w:color w:val="auto"/>
              </w:rPr>
            </w:pPr>
          </w:p>
        </w:tc>
        <w:tc>
          <w:tcPr>
            <w:tcW w:w="1720" w:type="dxa"/>
            <w:vAlign w:val="bottom"/>
          </w:tcPr>
          <w:p>
            <w:pPr>
              <w:jc w:val="right"/>
              <w:ind w:right="436"/>
              <w:spacing w:after="0"/>
              <w:rPr>
                <w:sz w:val="20"/>
                <w:szCs w:val="20"/>
                <w:color w:val="auto"/>
              </w:rPr>
            </w:pPr>
            <w:r>
              <w:rPr>
                <w:rFonts w:ascii="Times New Roman" w:cs="Times New Roman" w:eastAsia="Times New Roman" w:hAnsi="Times New Roman"/>
                <w:sz w:val="12"/>
                <w:szCs w:val="12"/>
                <w:b w:val="1"/>
                <w:bCs w:val="1"/>
                <w:color w:val="auto"/>
              </w:rPr>
              <w:t>2010</w:t>
            </w:r>
          </w:p>
        </w:tc>
        <w:tc>
          <w:tcPr>
            <w:tcW w:w="560" w:type="dxa"/>
            <w:vAlign w:val="bottom"/>
          </w:tcPr>
          <w:p>
            <w:pPr>
              <w:spacing w:after="0"/>
              <w:rPr>
                <w:sz w:val="13"/>
                <w:szCs w:val="13"/>
                <w:color w:val="auto"/>
              </w:rPr>
            </w:pPr>
          </w:p>
        </w:tc>
        <w:tc>
          <w:tcPr>
            <w:tcW w:w="1720" w:type="dxa"/>
            <w:vAlign w:val="bottom"/>
          </w:tcPr>
          <w:p>
            <w:pPr>
              <w:jc w:val="right"/>
              <w:ind w:right="457"/>
              <w:spacing w:after="0"/>
              <w:rPr>
                <w:sz w:val="20"/>
                <w:szCs w:val="20"/>
                <w:color w:val="auto"/>
              </w:rPr>
            </w:pPr>
            <w:r>
              <w:rPr>
                <w:rFonts w:ascii="Times New Roman" w:cs="Times New Roman" w:eastAsia="Times New Roman" w:hAnsi="Times New Roman"/>
                <w:sz w:val="12"/>
                <w:szCs w:val="12"/>
                <w:b w:val="1"/>
                <w:bCs w:val="1"/>
                <w:color w:val="auto"/>
              </w:rPr>
              <w:t>2009</w:t>
            </w:r>
          </w:p>
        </w:tc>
        <w:tc>
          <w:tcPr>
            <w:tcW w:w="540" w:type="dxa"/>
            <w:vAlign w:val="bottom"/>
          </w:tcPr>
          <w:p>
            <w:pPr>
              <w:spacing w:after="0"/>
              <w:rPr>
                <w:sz w:val="13"/>
                <w:szCs w:val="13"/>
                <w:color w:val="auto"/>
              </w:rPr>
            </w:pPr>
          </w:p>
        </w:tc>
        <w:tc>
          <w:tcPr>
            <w:tcW w:w="1720" w:type="dxa"/>
            <w:vAlign w:val="bottom"/>
          </w:tcPr>
          <w:p>
            <w:pPr>
              <w:jc w:val="right"/>
              <w:ind w:right="436"/>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25"/>
        </w:trPr>
        <w:tc>
          <w:tcPr>
            <w:tcW w:w="4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5"/>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Expected term, in years</w:t>
            </w:r>
          </w:p>
        </w:tc>
        <w:tc>
          <w:tcPr>
            <w:tcW w:w="2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4.4 – 6.8</w:t>
            </w:r>
          </w:p>
        </w:tc>
        <w:tc>
          <w:tcPr>
            <w:tcW w:w="22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5.2 – 7.5</w:t>
            </w:r>
          </w:p>
        </w:tc>
        <w:tc>
          <w:tcPr>
            <w:tcW w:w="172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6.0 – 8.5</w:t>
            </w:r>
          </w:p>
        </w:tc>
      </w:tr>
      <w:tr>
        <w:trPr>
          <w:trHeight w:val="175"/>
        </w:trPr>
        <w:tc>
          <w:tcPr>
            <w:tcW w:w="4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Volatility (%)</w:t>
            </w:r>
          </w:p>
        </w:tc>
        <w:tc>
          <w:tcPr>
            <w:tcW w:w="22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38 – 43</w:t>
            </w:r>
          </w:p>
        </w:tc>
        <w:tc>
          <w:tcPr>
            <w:tcW w:w="22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43 – 52</w:t>
            </w:r>
          </w:p>
        </w:tc>
        <w:tc>
          <w:tcPr>
            <w:tcW w:w="172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44 – 51</w:t>
            </w:r>
          </w:p>
        </w:tc>
      </w:tr>
      <w:tr>
        <w:trPr>
          <w:trHeight w:val="21"/>
        </w:trPr>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Risk-free interest rate (%)</w:t>
            </w:r>
          </w:p>
        </w:tc>
        <w:tc>
          <w:tcPr>
            <w:tcW w:w="2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1.1 – 2.4</w:t>
            </w:r>
          </w:p>
        </w:tc>
        <w:tc>
          <w:tcPr>
            <w:tcW w:w="22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1.3 – 2.3</w:t>
            </w:r>
          </w:p>
        </w:tc>
        <w:tc>
          <w:tcPr>
            <w:tcW w:w="172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2.3 – 3.6</w:t>
            </w:r>
          </w:p>
        </w:tc>
      </w:tr>
      <w:tr>
        <w:trPr>
          <w:trHeight w:val="175"/>
        </w:trPr>
        <w:tc>
          <w:tcPr>
            <w:tcW w:w="4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Dividend yield (%)</w:t>
            </w:r>
          </w:p>
        </w:tc>
        <w:tc>
          <w:tcPr>
            <w:tcW w:w="228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w:t>
            </w:r>
          </w:p>
        </w:tc>
        <w:tc>
          <w:tcPr>
            <w:tcW w:w="2260" w:type="dxa"/>
            <w:vAlign w:val="bottom"/>
            <w:gridSpan w:val="2"/>
          </w:tcPr>
          <w:p>
            <w:pPr>
              <w:jc w:val="right"/>
              <w:ind w:right="106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r>
    </w:tbl>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12. INCOME TAXES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pre-tax book income for the periods ended is as follows ($ amounts in 000's):</w:t>
      </w:r>
    </w:p>
    <w:p>
      <w:pPr>
        <w:spacing w:after="0" w:line="279" w:lineRule="exact"/>
        <w:rPr>
          <w:sz w:val="20"/>
          <w:szCs w:val="20"/>
          <w:color w:val="auto"/>
        </w:rPr>
      </w:pPr>
    </w:p>
    <w:tbl>
      <w:tblPr>
        <w:tblLayout w:type="fixed"/>
        <w:tblInd w:w="2660" w:type="dxa"/>
        <w:tblCellMar>
          <w:top w:w="0" w:type="dxa"/>
          <w:left w:w="0" w:type="dxa"/>
          <w:bottom w:w="0" w:type="dxa"/>
          <w:right w:w="0" w:type="dxa"/>
        </w:tblCellMar>
      </w:tblPr>
      <w:tr>
        <w:trPr>
          <w:trHeight w:val="156"/>
        </w:trPr>
        <w:tc>
          <w:tcPr>
            <w:tcW w:w="1020" w:type="dxa"/>
            <w:vAlign w:val="bottom"/>
          </w:tcPr>
          <w:p>
            <w:pPr>
              <w:spacing w:after="0"/>
              <w:rPr>
                <w:sz w:val="13"/>
                <w:szCs w:val="13"/>
                <w:color w:val="auto"/>
              </w:rPr>
            </w:pPr>
          </w:p>
        </w:tc>
        <w:tc>
          <w:tcPr>
            <w:tcW w:w="190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90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28,</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2010</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2009</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Domestic</w:t>
            </w:r>
          </w:p>
        </w:tc>
        <w:tc>
          <w:tcPr>
            <w:tcW w:w="13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50,556</w:t>
            </w:r>
          </w:p>
        </w:tc>
        <w:tc>
          <w:tcPr>
            <w:tcW w:w="5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22,667</w:t>
            </w: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Foreign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5,785</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9,316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80"/>
              <w:spacing w:after="0" w:line="143" w:lineRule="exact"/>
              <w:rPr>
                <w:sz w:val="20"/>
                <w:szCs w:val="20"/>
                <w:color w:val="auto"/>
              </w:rPr>
            </w:pPr>
            <w:r>
              <w:rPr>
                <w:rFonts w:ascii="Times New Roman" w:cs="Times New Roman" w:eastAsia="Times New Roman" w:hAnsi="Times New Roman"/>
                <w:sz w:val="13"/>
                <w:szCs w:val="13"/>
                <w:color w:val="auto"/>
              </w:rPr>
              <w:t>Total</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Pre-Tax Book</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27,513</w:t>
            </w:r>
          </w:p>
        </w:tc>
        <w:tc>
          <w:tcPr>
            <w:tcW w:w="5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9,251</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56,341</w:t>
            </w:r>
          </w:p>
        </w:tc>
        <w:tc>
          <w:tcPr>
            <w:tcW w:w="54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68"/>
        </w:trPr>
        <w:tc>
          <w:tcPr>
            <w:tcW w:w="10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color w:val="auto"/>
              </w:rPr>
              <w:t>86</w:t>
            </w:r>
          </w:p>
        </w:tc>
        <w:tc>
          <w:tcPr>
            <w:tcW w:w="5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 ECEMBER 31, 2009 AND DECEMBER 28, 2008</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provision for income taxes for the periods ended is as follows ($ amounts in 000's):</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47"/>
        </w:trPr>
        <w:tc>
          <w:tcPr>
            <w:tcW w:w="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December 28,</w:t>
            </w:r>
          </w:p>
        </w:tc>
        <w:tc>
          <w:tcPr>
            <w:tcW w:w="10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2010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3"/>
          </w:tcPr>
          <w:p>
            <w:pPr>
              <w:ind w:left="1300"/>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14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5"/>
        </w:trPr>
        <w:tc>
          <w:tcPr>
            <w:tcW w:w="140" w:type="dxa"/>
            <w:vAlign w:val="bottom"/>
          </w:tcPr>
          <w:p>
            <w:pPr>
              <w:spacing w:after="0"/>
              <w:rPr>
                <w:sz w:val="14"/>
                <w:szCs w:val="14"/>
                <w:color w:val="auto"/>
              </w:rPr>
            </w:pPr>
          </w:p>
        </w:tc>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Current:</w:t>
            </w:r>
          </w:p>
        </w:tc>
        <w:tc>
          <w:tcPr>
            <w:tcW w:w="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75"/>
        </w:trPr>
        <w:tc>
          <w:tcPr>
            <w:tcW w:w="140" w:type="dxa"/>
            <w:vAlign w:val="bottom"/>
          </w:tcPr>
          <w:p>
            <w:pPr>
              <w:spacing w:after="0"/>
              <w:rPr>
                <w:sz w:val="15"/>
                <w:szCs w:val="15"/>
                <w:color w:val="auto"/>
              </w:rPr>
            </w:pPr>
          </w:p>
        </w:tc>
        <w:tc>
          <w:tcPr>
            <w:tcW w:w="39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Federal</w:t>
            </w:r>
          </w:p>
        </w:tc>
        <w:tc>
          <w:tcPr>
            <w:tcW w:w="1600" w:type="dxa"/>
            <w:vAlign w:val="bottom"/>
            <w:gridSpan w:val="2"/>
          </w:tcPr>
          <w:p>
            <w:pPr>
              <w:jc w:val="right"/>
              <w:ind w:right="338"/>
              <w:spacing w:after="0"/>
              <w:rPr>
                <w:sz w:val="20"/>
                <w:szCs w:val="20"/>
                <w:color w:val="auto"/>
              </w:rPr>
            </w:pPr>
            <w:r>
              <w:rPr>
                <w:rFonts w:ascii="Times New Roman" w:cs="Times New Roman" w:eastAsia="Times New Roman" w:hAnsi="Times New Roman"/>
                <w:sz w:val="13"/>
                <w:szCs w:val="13"/>
                <w:color w:val="auto"/>
              </w:rPr>
              <w:t>10,633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4,882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State</w:t>
            </w:r>
          </w:p>
        </w:tc>
        <w:tc>
          <w:tcPr>
            <w:tcW w:w="160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1,003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140" w:type="dxa"/>
            <w:vAlign w:val="bottom"/>
          </w:tcPr>
          <w:p>
            <w:pPr>
              <w:spacing w:after="0"/>
              <w:rPr>
                <w:sz w:val="15"/>
                <w:szCs w:val="15"/>
                <w:color w:val="auto"/>
              </w:rPr>
            </w:pPr>
          </w:p>
        </w:tc>
        <w:tc>
          <w:tcPr>
            <w:tcW w:w="39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Foreign</w:t>
            </w:r>
          </w:p>
        </w:tc>
        <w:tc>
          <w:tcPr>
            <w:tcW w:w="1600" w:type="dxa"/>
            <w:vAlign w:val="bottom"/>
            <w:gridSpan w:val="2"/>
          </w:tcPr>
          <w:p>
            <w:pPr>
              <w:jc w:val="right"/>
              <w:ind w:right="758"/>
              <w:spacing w:after="0"/>
              <w:rPr>
                <w:sz w:val="20"/>
                <w:szCs w:val="20"/>
                <w:color w:val="auto"/>
              </w:rPr>
            </w:pPr>
            <w:r>
              <w:rPr>
                <w:rFonts w:ascii="Times New Roman" w:cs="Times New Roman" w:eastAsia="Times New Roman" w:hAnsi="Times New Roman"/>
                <w:sz w:val="13"/>
                <w:szCs w:val="13"/>
                <w:color w:val="auto"/>
              </w:rPr>
              <w:t>9,298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1,173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14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5"/>
        </w:trPr>
        <w:tc>
          <w:tcPr>
            <w:tcW w:w="140" w:type="dxa"/>
            <w:vAlign w:val="bottom"/>
          </w:tcPr>
          <w:p>
            <w:pPr>
              <w:spacing w:after="0"/>
              <w:rPr>
                <w:sz w:val="16"/>
                <w:szCs w:val="16"/>
                <w:color w:val="auto"/>
              </w:rPr>
            </w:pPr>
          </w:p>
        </w:tc>
        <w:tc>
          <w:tcPr>
            <w:tcW w:w="39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Total current</w:t>
            </w:r>
          </w:p>
        </w:tc>
        <w:tc>
          <w:tcPr>
            <w:tcW w:w="160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19,849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7,058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1,678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65"/>
        </w:trPr>
        <w:tc>
          <w:tcPr>
            <w:tcW w:w="140" w:type="dxa"/>
            <w:vAlign w:val="bottom"/>
          </w:tcPr>
          <w:p>
            <w:pPr>
              <w:spacing w:after="0"/>
              <w:rPr>
                <w:sz w:val="14"/>
                <w:szCs w:val="14"/>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w:t>
            </w:r>
          </w:p>
        </w:tc>
        <w:tc>
          <w:tcPr>
            <w:tcW w:w="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Federal</w:t>
            </w:r>
          </w:p>
        </w:tc>
        <w:tc>
          <w:tcPr>
            <w:tcW w:w="160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(4,119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(35,331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140" w:type="dxa"/>
            <w:vAlign w:val="bottom"/>
          </w:tcPr>
          <w:p>
            <w:pPr>
              <w:spacing w:after="0"/>
              <w:rPr>
                <w:sz w:val="15"/>
                <w:szCs w:val="15"/>
                <w:color w:val="auto"/>
              </w:rPr>
            </w:pPr>
          </w:p>
        </w:tc>
        <w:tc>
          <w:tcPr>
            <w:tcW w:w="39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State</w:t>
            </w:r>
          </w:p>
        </w:tc>
        <w:tc>
          <w:tcPr>
            <w:tcW w:w="1600" w:type="dxa"/>
            <w:vAlign w:val="bottom"/>
            <w:gridSpan w:val="2"/>
          </w:tcPr>
          <w:p>
            <w:pPr>
              <w:jc w:val="right"/>
              <w:ind w:right="338"/>
              <w:spacing w:after="0"/>
              <w:rPr>
                <w:sz w:val="20"/>
                <w:szCs w:val="20"/>
                <w:color w:val="auto"/>
              </w:rPr>
            </w:pPr>
            <w:r>
              <w:rPr>
                <w:rFonts w:ascii="Times New Roman" w:cs="Times New Roman" w:eastAsia="Times New Roman" w:hAnsi="Times New Roman"/>
                <w:sz w:val="13"/>
                <w:szCs w:val="13"/>
                <w:color w:val="auto"/>
              </w:rPr>
              <w:t>(626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(3,850</w:t>
            </w:r>
          </w:p>
        </w:tc>
        <w:tc>
          <w:tcPr>
            <w:tcW w:w="24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Foreign</w:t>
            </w:r>
          </w:p>
        </w:tc>
        <w:tc>
          <w:tcPr>
            <w:tcW w:w="160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(543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5"/>
        </w:trPr>
        <w:tc>
          <w:tcPr>
            <w:tcW w:w="140" w:type="dxa"/>
            <w:vAlign w:val="bottom"/>
          </w:tcPr>
          <w:p>
            <w:pPr>
              <w:spacing w:after="0"/>
              <w:rPr>
                <w:sz w:val="14"/>
                <w:szCs w:val="14"/>
                <w:color w:val="auto"/>
              </w:rPr>
            </w:pPr>
          </w:p>
        </w:tc>
        <w:tc>
          <w:tcPr>
            <w:tcW w:w="392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Total deferred</w:t>
            </w:r>
          </w:p>
        </w:tc>
        <w:tc>
          <w:tcPr>
            <w:tcW w:w="1600" w:type="dxa"/>
            <w:vAlign w:val="bottom"/>
            <w:tcBorders>
              <w:top w:val="single" w:sz="8" w:color="auto"/>
            </w:tcBorders>
            <w:gridSpan w:val="2"/>
          </w:tcPr>
          <w:p>
            <w:pPr>
              <w:jc w:val="right"/>
              <w:ind w:right="338"/>
              <w:spacing w:after="0"/>
              <w:rPr>
                <w:sz w:val="20"/>
                <w:szCs w:val="20"/>
                <w:color w:val="auto"/>
              </w:rPr>
            </w:pPr>
            <w:r>
              <w:rPr>
                <w:rFonts w:ascii="Times New Roman" w:cs="Times New Roman" w:eastAsia="Times New Roman" w:hAnsi="Times New Roman"/>
                <w:sz w:val="13"/>
                <w:szCs w:val="13"/>
                <w:color w:val="auto"/>
              </w:rPr>
              <w:t>(4,753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(39,724</w:t>
            </w:r>
          </w:p>
        </w:tc>
        <w:tc>
          <w:tcPr>
            <w:tcW w:w="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1620" w:type="dxa"/>
            <w:vAlign w:val="bottom"/>
            <w:tcBorders>
              <w:top w:val="single" w:sz="8" w:color="auto"/>
            </w:tcBorders>
            <w:gridSpan w:val="2"/>
          </w:tcPr>
          <w:p>
            <w:pPr>
              <w:jc w:val="right"/>
              <w:ind w:right="377"/>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top w:val="single" w:sz="8" w:color="auto"/>
            </w:tcBorders>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600" w:type="dxa"/>
            <w:vAlign w:val="bottom"/>
            <w:tcBorders>
              <w:bottom w:val="single" w:sz="8" w:color="auto"/>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3"/>
                <w:szCs w:val="13"/>
                <w:color w:val="auto"/>
              </w:rPr>
              <w:t>15,096</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(32,666</w:t>
            </w:r>
          </w:p>
        </w:tc>
        <w:tc>
          <w:tcPr>
            <w:tcW w:w="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1,888</w:t>
            </w:r>
          </w:p>
        </w:tc>
        <w:tc>
          <w:tcPr>
            <w:tcW w:w="100" w:type="dxa"/>
            <w:vAlign w:val="bottom"/>
            <w:tcBorders>
              <w:bottom w:val="single" w:sz="8" w:color="auto"/>
            </w:tcBorders>
            <w:shd w:val="clear" w:color="auto" w:fill="CCEEFF"/>
          </w:tcPr>
          <w:p>
            <w:pPr>
              <w:spacing w:after="0"/>
              <w:rPr>
                <w:sz w:val="17"/>
                <w:szCs w:val="17"/>
                <w:color w:val="auto"/>
              </w:rPr>
            </w:pPr>
          </w:p>
        </w:tc>
      </w:tr>
      <w:tr>
        <w:trPr>
          <w:trHeight w:val="282"/>
        </w:trPr>
        <w:tc>
          <w:tcPr>
            <w:tcW w:w="7820" w:type="dxa"/>
            <w:vAlign w:val="bottom"/>
            <w:gridSpan w:val="10"/>
          </w:tcPr>
          <w:p>
            <w:pPr>
              <w:jc w:val="right"/>
              <w:ind w:right="100"/>
              <w:spacing w:after="0"/>
              <w:rPr>
                <w:sz w:val="20"/>
                <w:szCs w:val="20"/>
                <w:color w:val="auto"/>
              </w:rPr>
            </w:pPr>
            <w:r>
              <w:rPr>
                <w:rFonts w:ascii="Times New Roman" w:cs="Times New Roman" w:eastAsia="Times New Roman" w:hAnsi="Times New Roman"/>
                <w:sz w:val="13"/>
                <w:szCs w:val="13"/>
                <w:color w:val="auto"/>
              </w:rPr>
              <w:t>The provision for income taxes differs from the amount computed by applying the statutory federal income tax rate as follows ($ amounts in 000's):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4"/>
        </w:trPr>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tcPr>
          <w:p>
            <w:pPr>
              <w:ind w:left="7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w w:val="97"/>
              </w:rPr>
              <w:t>December 28,</w:t>
            </w:r>
          </w:p>
        </w:tc>
        <w:tc>
          <w:tcPr>
            <w:tcW w:w="100" w:type="dxa"/>
            <w:vAlign w:val="bottom"/>
          </w:tcPr>
          <w:p>
            <w:pPr>
              <w:spacing w:after="0"/>
              <w:rPr>
                <w:sz w:val="22"/>
                <w:szCs w:val="22"/>
                <w:color w:val="auto"/>
              </w:rPr>
            </w:pPr>
          </w:p>
        </w:tc>
      </w:tr>
      <w:tr>
        <w:trPr>
          <w:trHeight w:val="153"/>
        </w:trPr>
        <w:tc>
          <w:tcPr>
            <w:tcW w:w="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2010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tcPr>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2009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3"/>
          </w:tcPr>
          <w:p>
            <w:pPr>
              <w:ind w:left="1480"/>
              <w:spacing w:after="0"/>
              <w:rPr>
                <w:sz w:val="20"/>
                <w:szCs w:val="20"/>
                <w:color w:val="auto"/>
              </w:rPr>
            </w:pPr>
            <w:r>
              <w:rPr>
                <w:rFonts w:ascii="Times New Roman" w:cs="Times New Roman" w:eastAsia="Times New Roman" w:hAnsi="Times New Roman"/>
                <w:sz w:val="12"/>
                <w:szCs w:val="12"/>
                <w:b w:val="1"/>
                <w:bCs w:val="1"/>
                <w:color w:val="auto"/>
              </w:rPr>
              <w:t>2008</w:t>
            </w:r>
          </w:p>
        </w:tc>
        <w:tc>
          <w:tcPr>
            <w:tcW w:w="100" w:type="dxa"/>
            <w:vAlign w:val="bottom"/>
          </w:tcPr>
          <w:p>
            <w:pPr>
              <w:spacing w:after="0"/>
              <w:rPr>
                <w:sz w:val="13"/>
                <w:szCs w:val="13"/>
                <w:color w:val="auto"/>
              </w:rPr>
            </w:pPr>
          </w:p>
        </w:tc>
      </w:tr>
      <w:tr>
        <w:trPr>
          <w:trHeight w:val="25"/>
        </w:trPr>
        <w:tc>
          <w:tcPr>
            <w:tcW w:w="14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5"/>
        </w:trPr>
        <w:tc>
          <w:tcPr>
            <w:tcW w:w="140" w:type="dxa"/>
            <w:vAlign w:val="bottom"/>
          </w:tcPr>
          <w:p>
            <w:pPr>
              <w:spacing w:after="0"/>
              <w:rPr>
                <w:sz w:val="14"/>
                <w:szCs w:val="14"/>
                <w:color w:val="auto"/>
              </w:rPr>
            </w:pPr>
          </w:p>
        </w:tc>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Tax at federal statutory tax rate</w:t>
            </w:r>
          </w:p>
        </w:tc>
        <w:tc>
          <w:tcPr>
            <w:tcW w:w="160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19,719</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9,629</w:t>
            </w: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3,237</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5"/>
        </w:trPr>
        <w:tc>
          <w:tcPr>
            <w:tcW w:w="140" w:type="dxa"/>
            <w:vAlign w:val="bottom"/>
          </w:tcPr>
          <w:p>
            <w:pPr>
              <w:spacing w:after="0"/>
              <w:rPr>
                <w:sz w:val="15"/>
                <w:szCs w:val="15"/>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0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(2,308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rPr>
              <w:t>1,311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color w:val="auto"/>
              </w:rPr>
              <w:t>1,049</w:t>
            </w:r>
          </w:p>
        </w:tc>
        <w:tc>
          <w:tcPr>
            <w:tcW w:w="10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State taxes—net of federal benefit</w:t>
            </w:r>
          </w:p>
        </w:tc>
        <w:tc>
          <w:tcPr>
            <w:tcW w:w="160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(1,098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821</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5"/>
        </w:trPr>
        <w:tc>
          <w:tcPr>
            <w:tcW w:w="140" w:type="dxa"/>
            <w:vAlign w:val="bottom"/>
          </w:tcPr>
          <w:p>
            <w:pPr>
              <w:spacing w:after="0"/>
              <w:rPr>
                <w:sz w:val="15"/>
                <w:szCs w:val="15"/>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Research and development credit</w:t>
            </w:r>
          </w:p>
        </w:tc>
        <w:tc>
          <w:tcPr>
            <w:tcW w:w="160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(948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rPr>
              <w:t>(356</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5"/>
                <w:szCs w:val="15"/>
                <w:color w:val="auto"/>
              </w:rPr>
            </w:pPr>
          </w:p>
        </w:tc>
        <w:tc>
          <w:tcPr>
            <w:tcW w:w="218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Foreign income taxed at different rates</w:t>
            </w:r>
          </w:p>
        </w:tc>
        <w:tc>
          <w:tcPr>
            <w:tcW w:w="160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(1,066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(1,064</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(3,047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40" w:type="dxa"/>
            <w:vAlign w:val="bottom"/>
          </w:tcPr>
          <w:p>
            <w:pPr>
              <w:spacing w:after="0"/>
              <w:rPr>
                <w:sz w:val="15"/>
                <w:szCs w:val="15"/>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Other</w:t>
            </w:r>
          </w:p>
        </w:tc>
        <w:tc>
          <w:tcPr>
            <w:tcW w:w="160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797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rPr>
              <w:t>1,202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377"/>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(44,209</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gridSpan w:val="3"/>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140" w:type="dxa"/>
            <w:vAlign w:val="bottom"/>
          </w:tcPr>
          <w:p>
            <w:pPr>
              <w:spacing w:after="0"/>
              <w:rPr>
                <w:sz w:val="16"/>
                <w:szCs w:val="16"/>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provision for income taxes</w:t>
            </w:r>
          </w:p>
        </w:tc>
        <w:tc>
          <w:tcPr>
            <w:tcW w:w="60" w:type="dxa"/>
            <w:vAlign w:val="bottom"/>
          </w:tcPr>
          <w:p>
            <w:pPr>
              <w:spacing w:after="0"/>
              <w:rPr>
                <w:sz w:val="16"/>
                <w:szCs w:val="16"/>
                <w:color w:val="auto"/>
              </w:rPr>
            </w:pPr>
          </w:p>
        </w:tc>
        <w:tc>
          <w:tcPr>
            <w:tcW w:w="15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15,096</w:t>
            </w: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color w:val="auto"/>
              </w:rPr>
              <w:t>(32,666</w:t>
            </w: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12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1,888</w:t>
            </w:r>
          </w:p>
        </w:tc>
        <w:tc>
          <w:tcPr>
            <w:tcW w:w="100" w:type="dxa"/>
            <w:vAlign w:val="bottom"/>
            <w:tcBorders>
              <w:top w:val="single" w:sz="8" w:color="auto"/>
              <w:bottom w:val="single" w:sz="8" w:color="auto"/>
            </w:tcBorders>
          </w:tcPr>
          <w:p>
            <w:pPr>
              <w:spacing w:after="0"/>
              <w:rPr>
                <w:sz w:val="16"/>
                <w:szCs w:val="16"/>
                <w:color w:val="auto"/>
              </w:rPr>
            </w:pPr>
          </w:p>
        </w:tc>
      </w:tr>
    </w:tbl>
    <w:p>
      <w:pPr>
        <w:spacing w:after="0" w:line="144"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Significant permanent differences arise from the portion of stock-based compensation expense that is not expected to generate a tax deduction, such as stock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 fected. Due to this, our income taxes payable have been reduced by the tax benefits from employee stock plan awards. The income tax benefits for fiscal 2010 and 2009 associated with dispositions from employee stock transactions of $9.3 million and $1.3 million, respectively, were recognized as additional paid-in capital. Amounts prior to fiscal 2009 were not material.</w:t>
      </w:r>
    </w:p>
    <w:p>
      <w:pPr>
        <w:spacing w:after="0" w:line="116"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As of December 31, 2010, we did not recognize deferred tax assets relating to excess tax benefits for stock-based compensation deductions of $9.5 million, of which $5.5 million related to net operating losses and $4.0 million related to tax credits. Unrecognized deferred tax benefits will be accounted for as a credit to additional paid-in-capital when realized through a reduction in income taxe s payable.</w:t>
      </w:r>
    </w:p>
    <w:p>
      <w:pPr>
        <w:spacing w:after="0" w:line="2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11360"/>
          </w:cols>
          <w:pgMar w:left="220" w:top="127" w:right="319"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tax effects of temporary differences that give rise to significant portions of the deferred tax assets as of each of the years ended are presented below ($ amount in 000's):</w:t>
      </w:r>
    </w:p>
    <w:p>
      <w:pPr>
        <w:spacing w:after="0" w:line="263"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4600" w:type="dxa"/>
            <w:vAlign w:val="bottom"/>
          </w:tcPr>
          <w:p>
            <w:pPr>
              <w:spacing w:after="0"/>
              <w:rPr>
                <w:sz w:val="12"/>
                <w:szCs w:val="12"/>
                <w:color w:val="auto"/>
              </w:rPr>
            </w:pPr>
          </w:p>
        </w:tc>
        <w:tc>
          <w:tcPr>
            <w:tcW w:w="242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4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3"/>
        </w:trPr>
        <w:tc>
          <w:tcPr>
            <w:tcW w:w="4600" w:type="dxa"/>
            <w:vAlign w:val="bottom"/>
          </w:tcPr>
          <w:p>
            <w:pPr>
              <w:spacing w:after="0"/>
              <w:rPr>
                <w:sz w:val="13"/>
                <w:szCs w:val="13"/>
                <w:color w:val="auto"/>
              </w:rPr>
            </w:pPr>
          </w:p>
        </w:tc>
        <w:tc>
          <w:tcPr>
            <w:tcW w:w="136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2010</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2009</w:t>
            </w:r>
          </w:p>
        </w:tc>
      </w:tr>
      <w:tr>
        <w:trPr>
          <w:trHeight w:val="25"/>
        </w:trPr>
        <w:tc>
          <w:tcPr>
            <w:tcW w:w="4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5"/>
        </w:trPr>
        <w:tc>
          <w:tcPr>
            <w:tcW w:w="4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Deferred tax assets:</w:t>
            </w:r>
          </w:p>
        </w:tc>
        <w:tc>
          <w:tcPr>
            <w:tcW w:w="13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r>
      <w:tr>
        <w:trPr>
          <w:trHeight w:val="175"/>
        </w:trPr>
        <w:tc>
          <w:tcPr>
            <w:tcW w:w="4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Net operating loss carryforward</w:t>
            </w: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1,920</w:t>
            </w:r>
          </w:p>
        </w:tc>
        <w:tc>
          <w:tcPr>
            <w:tcW w:w="560" w:type="dxa"/>
            <w:vAlign w:val="bottom"/>
          </w:tcPr>
          <w:p>
            <w:pPr>
              <w:spacing w:after="0"/>
              <w:rPr>
                <w:sz w:val="15"/>
                <w:szCs w:val="15"/>
                <w:color w:val="auto"/>
              </w:rPr>
            </w:pPr>
          </w:p>
        </w:tc>
        <w:tc>
          <w:tcPr>
            <w:tcW w:w="184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3,144</w:t>
            </w:r>
          </w:p>
        </w:tc>
      </w:tr>
      <w:tr>
        <w:trPr>
          <w:trHeight w:val="21"/>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Deferred revenue</w:t>
            </w:r>
          </w:p>
        </w:tc>
        <w:tc>
          <w:tcPr>
            <w:tcW w:w="18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25,173</w:t>
            </w:r>
          </w:p>
        </w:tc>
        <w:tc>
          <w:tcPr>
            <w:tcW w:w="5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21,915</w:t>
            </w:r>
          </w:p>
        </w:tc>
      </w:tr>
      <w:tr>
        <w:trPr>
          <w:trHeight w:val="175"/>
        </w:trPr>
        <w:tc>
          <w:tcPr>
            <w:tcW w:w="4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Nondeductible reserves and accruals</w:t>
            </w: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1 0,990</w:t>
            </w:r>
          </w:p>
        </w:tc>
        <w:tc>
          <w:tcPr>
            <w:tcW w:w="560" w:type="dxa"/>
            <w:vAlign w:val="bottom"/>
          </w:tcPr>
          <w:p>
            <w:pPr>
              <w:spacing w:after="0"/>
              <w:rPr>
                <w:sz w:val="15"/>
                <w:szCs w:val="15"/>
                <w:color w:val="auto"/>
              </w:rPr>
            </w:pPr>
          </w:p>
        </w:tc>
        <w:tc>
          <w:tcPr>
            <w:tcW w:w="184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9,607</w:t>
            </w:r>
          </w:p>
        </w:tc>
      </w:tr>
      <w:tr>
        <w:trPr>
          <w:trHeight w:val="21"/>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2,029</w:t>
            </w:r>
          </w:p>
        </w:tc>
        <w:tc>
          <w:tcPr>
            <w:tcW w:w="5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1,412</w:t>
            </w:r>
          </w:p>
        </w:tc>
      </w:tr>
      <w:tr>
        <w:trPr>
          <w:trHeight w:val="175"/>
        </w:trPr>
        <w:tc>
          <w:tcPr>
            <w:tcW w:w="4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General business credit carryforward</w:t>
            </w: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1,243</w:t>
            </w:r>
          </w:p>
        </w:tc>
        <w:tc>
          <w:tcPr>
            <w:tcW w:w="560" w:type="dxa"/>
            <w:vAlign w:val="bottom"/>
          </w:tcPr>
          <w:p>
            <w:pPr>
              <w:spacing w:after="0"/>
              <w:rPr>
                <w:sz w:val="15"/>
                <w:szCs w:val="15"/>
                <w:color w:val="auto"/>
              </w:rPr>
            </w:pPr>
          </w:p>
        </w:tc>
        <w:tc>
          <w:tcPr>
            <w:tcW w:w="184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1 ,574</w:t>
            </w:r>
          </w:p>
        </w:tc>
      </w:tr>
      <w:tr>
        <w:trPr>
          <w:trHeight w:val="21"/>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6"/>
        </w:trPr>
        <w:tc>
          <w:tcPr>
            <w:tcW w:w="46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8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4,225</w:t>
            </w:r>
          </w:p>
        </w:tc>
        <w:tc>
          <w:tcPr>
            <w:tcW w:w="5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3,655</w:t>
            </w:r>
          </w:p>
        </w:tc>
      </w:tr>
      <w:tr>
        <w:trPr>
          <w:trHeight w:val="175"/>
        </w:trPr>
        <w:tc>
          <w:tcPr>
            <w:tcW w:w="46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21</w:t>
            </w:r>
          </w:p>
        </w:tc>
        <w:tc>
          <w:tcPr>
            <w:tcW w:w="560" w:type="dxa"/>
            <w:vAlign w:val="bottom"/>
          </w:tcPr>
          <w:p>
            <w:pPr>
              <w:spacing w:after="0"/>
              <w:rPr>
                <w:sz w:val="15"/>
                <w:szCs w:val="15"/>
                <w:color w:val="auto"/>
              </w:rPr>
            </w:pPr>
          </w:p>
        </w:tc>
        <w:tc>
          <w:tcPr>
            <w:tcW w:w="184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16</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5"/>
        </w:trPr>
        <w:tc>
          <w:tcPr>
            <w:tcW w:w="4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45,601</w:t>
            </w:r>
          </w:p>
        </w:tc>
        <w:tc>
          <w:tcPr>
            <w:tcW w:w="5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41,323</w:t>
            </w:r>
          </w:p>
        </w:tc>
      </w:tr>
    </w:tbl>
    <w:p>
      <w:pPr>
        <w:spacing w:after="0" w:line="144"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3"/>
          <w:szCs w:val="13"/>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Management concluded that it is more likely than not that we would be able to realize the benefit of our deferred tax assets in the future.</w:t>
      </w:r>
    </w:p>
    <w:p>
      <w:pPr>
        <w:spacing w:after="0" w:line="129"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3"/>
          <w:szCs w:val="13"/>
          <w:color w:val="auto"/>
        </w:rPr>
        <w:t>As of December 31, 2010, we had federal and state net operating loss carryforwards of approximately $15.1 million and $37.5 million, respectively. The federal and state net operating loss carryforwards begin to expire in the year 2031 and 2012, respectively. The Internal Revenue Service imposes significant restrictions on the utilization of net operating loss tax credit carryforwards. Our ability to use our net operating loss carryforwards to offset any future taxable income may be subject to limitations if equity transactions occur that would result in a change of ownership. As of December 31, 2010, we have tax credit carryforwards available to offset our future federal and state taxes of approximately $1.7 million and $2.1 million, respectively. The federal tax credits begin to expire in 2027. The state credits carry forward indefinitely.</w:t>
      </w:r>
    </w:p>
    <w:p>
      <w:pPr>
        <w:spacing w:after="0" w:line="132"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3"/>
          <w:szCs w:val="13"/>
          <w:color w:val="auto"/>
        </w:rPr>
        <w:t>The Company's policy with respect to its undistributed foreign subsidiaries' earnings is to consider those earnings to be indefinitely reinvested and, accordingly, no related provision of U.S. federal and state income taxes has been provided. Upon distribution of those earnings in the form of dividends or otherwise, we may be subject to both U.S. income taxes (subject to an adjustment for foreign tax credits) and withholding taxes in the various foreign countries. At December 31, 2010 we have not recorded U.S. income tax on approximately $19.4 million of foreign earnings that are deemed to be pe rmanently reinvested overseas.</w:t>
      </w:r>
    </w:p>
    <w:p>
      <w:pPr>
        <w:spacing w:after="0" w:line="129"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At December 31, 2010, we had $12.1 million of unrecognized tax benefits, of which, if recognized, $11.0 million would favorably affect our effective tax rate. Our policy is to include accrued interest and penalties related to uncertain tax benefits in income tax expense. As of December 31, 2010, accrued interest and penalties were $0.2 million. As of December 31, 2009, accrued interest and penalties were not significant.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aggregate changes in the balance of unrecognized tax benefits are as follows ($ amounts in 000's):</w:t>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680" w:type="dxa"/>
            <w:vAlign w:val="bottom"/>
          </w:tcPr>
          <w:p>
            <w:pPr>
              <w:spacing w:after="0"/>
              <w:rPr>
                <w:sz w:val="13"/>
                <w:szCs w:val="13"/>
                <w:color w:val="auto"/>
              </w:rPr>
            </w:pPr>
          </w:p>
        </w:tc>
      </w:tr>
      <w:tr>
        <w:trPr>
          <w:trHeight w:val="25"/>
        </w:trPr>
        <w:tc>
          <w:tcPr>
            <w:tcW w:w="49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1"/>
        </w:trPr>
        <w:tc>
          <w:tcPr>
            <w:tcW w:w="4900" w:type="dxa"/>
            <w:vAlign w:val="bottom"/>
          </w:tcPr>
          <w:p>
            <w:pPr>
              <w:spacing w:after="0"/>
              <w:rPr>
                <w:sz w:val="13"/>
                <w:szCs w:val="13"/>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2010</w:t>
            </w:r>
          </w:p>
        </w:tc>
        <w:tc>
          <w:tcPr>
            <w:tcW w:w="540" w:type="dxa"/>
            <w:vAlign w:val="bottom"/>
          </w:tcPr>
          <w:p>
            <w:pPr>
              <w:spacing w:after="0"/>
              <w:rPr>
                <w:sz w:val="13"/>
                <w:szCs w:val="13"/>
                <w:color w:val="auto"/>
              </w:rPr>
            </w:pPr>
          </w:p>
        </w:tc>
        <w:tc>
          <w:tcPr>
            <w:tcW w:w="1680" w:type="dxa"/>
            <w:vAlign w:val="bottom"/>
          </w:tcPr>
          <w:p>
            <w:pPr>
              <w:jc w:val="right"/>
              <w:ind w:right="417"/>
              <w:spacing w:after="0"/>
              <w:rPr>
                <w:sz w:val="20"/>
                <w:szCs w:val="20"/>
                <w:color w:val="auto"/>
              </w:rPr>
            </w:pPr>
            <w:r>
              <w:rPr>
                <w:rFonts w:ascii="Times New Roman" w:cs="Times New Roman" w:eastAsia="Times New Roman" w:hAnsi="Times New Roman"/>
                <w:sz w:val="12"/>
                <w:szCs w:val="12"/>
                <w:b w:val="1"/>
                <w:bCs w:val="1"/>
                <w:color w:val="auto"/>
              </w:rPr>
              <w:t>2009</w:t>
            </w:r>
          </w:p>
        </w:tc>
        <w:tc>
          <w:tcPr>
            <w:tcW w:w="540" w:type="dxa"/>
            <w:vAlign w:val="bottom"/>
          </w:tcPr>
          <w:p>
            <w:pPr>
              <w:spacing w:after="0"/>
              <w:rPr>
                <w:sz w:val="13"/>
                <w:szCs w:val="13"/>
                <w:color w:val="auto"/>
              </w:rPr>
            </w:pPr>
          </w:p>
        </w:tc>
        <w:tc>
          <w:tcPr>
            <w:tcW w:w="1680" w:type="dxa"/>
            <w:vAlign w:val="bottom"/>
          </w:tcPr>
          <w:p>
            <w:pPr>
              <w:jc w:val="right"/>
              <w:ind w:right="416"/>
              <w:spacing w:after="0"/>
              <w:rPr>
                <w:sz w:val="20"/>
                <w:szCs w:val="20"/>
                <w:color w:val="auto"/>
              </w:rPr>
            </w:pPr>
            <w:r>
              <w:rPr>
                <w:rFonts w:ascii="Times New Roman" w:cs="Times New Roman" w:eastAsia="Times New Roman" w:hAnsi="Times New Roman"/>
                <w:sz w:val="12"/>
                <w:szCs w:val="12"/>
                <w:b w:val="1"/>
                <w:bCs w:val="1"/>
                <w:color w:val="auto"/>
              </w:rPr>
              <w:t>2008</w:t>
            </w:r>
          </w:p>
        </w:tc>
      </w:tr>
      <w:tr>
        <w:trPr>
          <w:trHeight w:val="25"/>
        </w:trPr>
        <w:tc>
          <w:tcPr>
            <w:tcW w:w="4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5"/>
        </w:trPr>
        <w:tc>
          <w:tcPr>
            <w:tcW w:w="4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7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3,387</w:t>
            </w:r>
          </w:p>
        </w:tc>
        <w:tc>
          <w:tcPr>
            <w:tcW w:w="5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1,952</w:t>
            </w:r>
          </w:p>
        </w:tc>
        <w:tc>
          <w:tcPr>
            <w:tcW w:w="5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1,928</w:t>
            </w:r>
          </w:p>
        </w:tc>
      </w:tr>
      <w:tr>
        <w:trPr>
          <w:trHeight w:val="175"/>
        </w:trPr>
        <w:tc>
          <w:tcPr>
            <w:tcW w:w="49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Increases for tax positions related to the current year</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8,696</w:t>
            </w:r>
          </w:p>
        </w:tc>
        <w:tc>
          <w:tcPr>
            <w:tcW w:w="540" w:type="dxa"/>
            <w:vAlign w:val="bottom"/>
          </w:tcPr>
          <w:p>
            <w:pPr>
              <w:spacing w:after="0"/>
              <w:rPr>
                <w:sz w:val="15"/>
                <w:szCs w:val="15"/>
                <w:color w:val="auto"/>
              </w:rPr>
            </w:pPr>
          </w:p>
        </w:tc>
        <w:tc>
          <w:tcPr>
            <w:tcW w:w="168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440</w:t>
            </w:r>
          </w:p>
        </w:tc>
        <w:tc>
          <w:tcPr>
            <w:tcW w:w="540" w:type="dxa"/>
            <w:vAlign w:val="bottom"/>
          </w:tcPr>
          <w:p>
            <w:pPr>
              <w:spacing w:after="0"/>
              <w:rPr>
                <w:sz w:val="15"/>
                <w:szCs w:val="15"/>
                <w:color w:val="auto"/>
              </w:rPr>
            </w:pPr>
          </w:p>
        </w:tc>
        <w:tc>
          <w:tcPr>
            <w:tcW w:w="16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24</w:t>
            </w:r>
          </w:p>
        </w:tc>
      </w:tr>
      <w:tr>
        <w:trPr>
          <w:trHeight w:val="21"/>
        </w:trPr>
        <w:tc>
          <w:tcPr>
            <w:tcW w:w="4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49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Increases for tax positions related to the prior year</w:t>
            </w:r>
          </w:p>
        </w:tc>
        <w:tc>
          <w:tcPr>
            <w:tcW w:w="22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995</w:t>
            </w:r>
          </w:p>
        </w:tc>
        <w:tc>
          <w:tcPr>
            <w:tcW w:w="5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80"/>
        </w:trPr>
        <w:tc>
          <w:tcPr>
            <w:tcW w:w="49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Balance, end of year</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12,083</w:t>
            </w:r>
          </w:p>
        </w:tc>
        <w:tc>
          <w:tcPr>
            <w:tcW w:w="540" w:type="dxa"/>
            <w:vAlign w:val="bottom"/>
          </w:tcPr>
          <w:p>
            <w:pPr>
              <w:spacing w:after="0"/>
              <w:rPr>
                <w:sz w:val="15"/>
                <w:szCs w:val="15"/>
                <w:color w:val="auto"/>
              </w:rPr>
            </w:pPr>
          </w:p>
        </w:tc>
        <w:tc>
          <w:tcPr>
            <w:tcW w:w="168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3,387</w:t>
            </w:r>
          </w:p>
        </w:tc>
        <w:tc>
          <w:tcPr>
            <w:tcW w:w="540" w:type="dxa"/>
            <w:vAlign w:val="bottom"/>
          </w:tcPr>
          <w:p>
            <w:pPr>
              <w:spacing w:after="0"/>
              <w:rPr>
                <w:sz w:val="15"/>
                <w:szCs w:val="15"/>
                <w:color w:val="auto"/>
              </w:rPr>
            </w:pPr>
          </w:p>
        </w:tc>
        <w:tc>
          <w:tcPr>
            <w:tcW w:w="16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1,952</w:t>
            </w:r>
          </w:p>
        </w:tc>
      </w:tr>
      <w:tr>
        <w:trPr>
          <w:trHeight w:val="35"/>
        </w:trPr>
        <w:tc>
          <w:tcPr>
            <w:tcW w:w="4900" w:type="dxa"/>
            <w:vAlign w:val="bottom"/>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680" w:type="dxa"/>
            <w:vAlign w:val="bottom"/>
            <w:shd w:val="clear" w:color="auto" w:fill="000000"/>
          </w:tcPr>
          <w:p>
            <w:pPr>
              <w:spacing w:after="0"/>
              <w:rPr>
                <w:sz w:val="3"/>
                <w:szCs w:val="3"/>
                <w:color w:val="auto"/>
              </w:rPr>
            </w:pPr>
          </w:p>
        </w:tc>
      </w:tr>
    </w:tbl>
    <w:p>
      <w:pPr>
        <w:spacing w:after="0" w:line="144" w:lineRule="exact"/>
        <w:rPr>
          <w:sz w:val="20"/>
          <w:szCs w:val="20"/>
          <w:color w:val="auto"/>
        </w:rPr>
      </w:pPr>
    </w:p>
    <w:p>
      <w:pPr>
        <w:ind w:right="200" w:firstLine="469"/>
        <w:spacing w:after="0" w:line="281" w:lineRule="auto"/>
        <w:rPr>
          <w:sz w:val="20"/>
          <w:szCs w:val="20"/>
          <w:color w:val="auto"/>
        </w:rPr>
      </w:pPr>
      <w:r>
        <w:rPr>
          <w:rFonts w:ascii="Times New Roman" w:cs="Times New Roman" w:eastAsia="Times New Roman" w:hAnsi="Times New Roman"/>
          <w:sz w:val="13"/>
          <w:szCs w:val="13"/>
          <w:color w:val="auto"/>
        </w:rPr>
        <w:t>As of December 31, 2010 and December 31, 2009, $11.2 million and $ 2.5 million, respectively, of the amounts reflected above were recorded as a liability and included in other non-current liabilities in our consolidated balance sheet.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As of December 31, 2010, there were no unrecognized tax benefits that we expect would change significantly over the</w:t>
      </w:r>
    </w:p>
    <w:p>
      <w:pPr>
        <w:spacing w:after="0" w:line="1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11420"/>
          </w:cols>
          <w:pgMar w:left="220" w:top="127" w:right="259"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next 12 months.</w:t>
      </w:r>
    </w:p>
    <w:p>
      <w:pPr>
        <w:spacing w:after="0" w:line="163" w:lineRule="exact"/>
        <w:rPr>
          <w:sz w:val="20"/>
          <w:szCs w:val="20"/>
          <w:color w:val="auto"/>
        </w:rPr>
      </w:pPr>
    </w:p>
    <w:p>
      <w:pPr>
        <w:ind w:right="200" w:firstLine="469"/>
        <w:spacing w:after="0" w:line="281" w:lineRule="auto"/>
        <w:rPr>
          <w:sz w:val="20"/>
          <w:szCs w:val="20"/>
          <w:color w:val="auto"/>
        </w:rPr>
      </w:pPr>
      <w:r>
        <w:rPr>
          <w:rFonts w:ascii="Times New Roman" w:cs="Times New Roman" w:eastAsia="Times New Roman" w:hAnsi="Times New Roman"/>
          <w:sz w:val="13"/>
          <w:szCs w:val="13"/>
          <w:color w:val="auto"/>
        </w:rPr>
        <w:t>We file income tax returns in the U.S. federal jurisdiction, and various U.S. state and foreign jurisdictions. As we have net operating loss carryforwards for U.S. federal and state jurisdictions, the statute of limitations is open for all tax years. Generally, we are no longer subject to non-U.S. income tax examinations by tax authorities for tax years prior to 2005.</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13. EMPLOYEE BENEFIT PLAN</w:t>
      </w:r>
    </w:p>
    <w:p>
      <w:pPr>
        <w:spacing w:after="0" w:line="165"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We have established a 401(k) tax-deferred savings plan (the 401(k) Plan) which permits participants to make contributions by salary deduction pursuant to Section 401(k) of the Internal Revenue Code. We are responsible for administrative costs of the 401(k) Plan and have made no contributions to the 401(k) Plan since inception.</w:t>
      </w: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11320"/>
          </w:cols>
          <w:pgMar w:left="220" w:top="127" w:right="359"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6" w:lineRule="exact"/>
        <w:rPr>
          <w:sz w:val="20"/>
          <w:szCs w:val="20"/>
          <w:color w:val="auto"/>
        </w:rPr>
      </w:pPr>
    </w:p>
    <w:p>
      <w:pPr>
        <w:ind w:left="460" w:right="6560" w:firstLine="8"/>
        <w:spacing w:after="0" w:line="262" w:lineRule="auto"/>
        <w:tabs>
          <w:tab w:leader="none" w:pos="656"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CERTAIN RELATIONSHIPS AND RELATED PARTY TRANSACTIONS </w:t>
      </w:r>
      <w:r>
        <w:rPr>
          <w:rFonts w:ascii="Times New Roman" w:cs="Times New Roman" w:eastAsia="Times New Roman" w:hAnsi="Times New Roman"/>
          <w:sz w:val="13"/>
          <w:szCs w:val="13"/>
          <w:color w:val="auto"/>
        </w:rPr>
        <w:t>&amp;n bsp;</w:t>
      </w:r>
    </w:p>
    <w:p>
      <w:pPr>
        <w:ind w:left="4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During fiscal 2009 and fiscal 2008, we paid compensation of $166,000 and $142,000, respectively, to two employees who are directly related to a former board member. This individual ceased being a board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member as of October 2009.</w:t>
      </w:r>
    </w:p>
    <w:p>
      <w:pPr>
        <w:spacing w:after="0" w:line="132"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3"/>
          <w:szCs w:val="13"/>
          <w:color w:val="auto"/>
        </w:rPr>
        <w:t>In February 2008, we entered into a 23-month non-cancelable facility lease agreement, determined to be an arm's length transaction, with an entity affiliated with one of our former board members. Under the terms of the agreement, in 2008, we paid approximately $284,000 for tenant improvements and $316,000 for a refundable deposit. For fiscal 2009 and fiscal 2008 we paid $917,000 and $757,000, respectively, for office rent and operating expenses. The lease expired on December 31, 2009.</w:t>
      </w:r>
    </w:p>
    <w:p>
      <w:pPr>
        <w:spacing w:after="0" w:line="28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11400"/>
          </w:cols>
          <w:pgMar w:left="220" w:top="127" w:right="279"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FORTINET, INC. AND SUBSIDIARIES</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NOTES TO CONSOLIDATED FINANCIAL STATEMENTS—(Continued)</w:t>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YEARS ENDED DECEMBER 31, 2010, DECEMBER 31, 2009 AND DECEMBER 28, 2008</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15. SEGMENT INFORMATION</w:t>
      </w:r>
    </w:p>
    <w:p>
      <w:pPr>
        <w:spacing w:after="0" w:line="163" w:lineRule="exact"/>
        <w:rPr>
          <w:sz w:val="20"/>
          <w:szCs w:val="20"/>
          <w:color w:val="auto"/>
        </w:rPr>
      </w:pPr>
    </w:p>
    <w:p>
      <w:pPr>
        <w:ind w:firstLine="469"/>
        <w:spacing w:after="0" w:line="259" w:lineRule="auto"/>
        <w:rPr>
          <w:sz w:val="20"/>
          <w:szCs w:val="20"/>
          <w:color w:val="auto"/>
        </w:rPr>
      </w:pPr>
      <w:r>
        <w:rPr>
          <w:rFonts w:ascii="Times New Roman" w:cs="Times New Roman" w:eastAsia="Times New Roman" w:hAnsi="Times New Roman"/>
          <w:sz w:val="13"/>
          <w:szCs w:val="13"/>
          <w:color w:val="auto"/>
        </w:rPr>
        <w:t xml:space="preserve">ASC 280 (formerly referred to as SFAS No. 131, </w:t>
      </w:r>
      <w:r>
        <w:rPr>
          <w:rFonts w:ascii="Times New Roman" w:cs="Times New Roman" w:eastAsia="Times New Roman" w:hAnsi="Times New Roman"/>
          <w:sz w:val="13"/>
          <w:szCs w:val="13"/>
          <w:i w:val="1"/>
          <w:iCs w:val="1"/>
          <w:color w:val="auto"/>
        </w:rPr>
        <w:t>Disclosures about Segments of an Enterprise and Related Information),</w:t>
      </w:r>
      <w:r>
        <w:rPr>
          <w:rFonts w:ascii="Times New Roman" w:cs="Times New Roman" w:eastAsia="Times New Roman" w:hAnsi="Times New Roman"/>
          <w:sz w:val="13"/>
          <w:szCs w:val="13"/>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Revenue by geographic region is based on the billing address of the customer. The following tables set forth revenue, interest income and property and equipment by geographic region ($ amounts in 000's):</w:t>
      </w:r>
    </w:p>
    <w:p>
      <w:pPr>
        <w:spacing w:after="0" w:line="244" w:lineRule="exact"/>
        <w:rPr>
          <w:sz w:val="20"/>
          <w:szCs w:val="20"/>
          <w:color w:val="auto"/>
        </w:rPr>
      </w:pPr>
    </w:p>
    <w:tbl>
      <w:tblPr>
        <w:tblLayout w:type="fixed"/>
        <w:tblInd w:w="60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gridSpan w:val="2"/>
          </w:tcPr>
          <w:p>
            <w:pPr>
              <w:jc w:val="center"/>
              <w:ind w:left="417"/>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5"/>
        </w:trPr>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136"/>
        </w:trPr>
        <w:tc>
          <w:tcPr>
            <w:tcW w:w="500" w:type="dxa"/>
            <w:vAlign w:val="bottom"/>
          </w:tcPr>
          <w:p>
            <w:pPr>
              <w:spacing w:after="0"/>
              <w:rPr>
                <w:sz w:val="11"/>
                <w:szCs w:val="11"/>
                <w:color w:val="auto"/>
              </w:rPr>
            </w:pPr>
          </w:p>
        </w:tc>
        <w:tc>
          <w:tcPr>
            <w:tcW w:w="338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Revenue</w:t>
            </w:r>
          </w:p>
        </w:tc>
        <w:tc>
          <w:tcPr>
            <w:tcW w:w="12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2010</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jc w:val="center"/>
              <w:ind w:left="917"/>
              <w:spacing w:after="0" w:line="137" w:lineRule="exact"/>
              <w:rPr>
                <w:sz w:val="20"/>
                <w:szCs w:val="20"/>
                <w:color w:val="auto"/>
              </w:rPr>
            </w:pPr>
            <w:r>
              <w:rPr>
                <w:rFonts w:ascii="Times New Roman" w:cs="Times New Roman" w:eastAsia="Times New Roman" w:hAnsi="Times New Roman"/>
                <w:sz w:val="12"/>
                <w:szCs w:val="12"/>
                <w:b w:val="1"/>
                <w:bCs w:val="1"/>
                <w:color w:val="auto"/>
                <w:w w:val="91"/>
              </w:rPr>
              <w:t>2009</w:t>
            </w:r>
          </w:p>
        </w:tc>
        <w:tc>
          <w:tcPr>
            <w:tcW w:w="520" w:type="dxa"/>
            <w:vAlign w:val="bottom"/>
          </w:tcPr>
          <w:p>
            <w:pPr>
              <w:spacing w:after="0"/>
              <w:rPr>
                <w:sz w:val="11"/>
                <w:szCs w:val="11"/>
                <w:color w:val="auto"/>
              </w:rPr>
            </w:pPr>
          </w:p>
        </w:tc>
        <w:tc>
          <w:tcPr>
            <w:tcW w:w="2300" w:type="dxa"/>
            <w:vAlign w:val="bottom"/>
            <w:gridSpan w:val="2"/>
          </w:tcPr>
          <w:p>
            <w:pPr>
              <w:jc w:val="right"/>
              <w:ind w:right="455"/>
              <w:spacing w:after="0" w:line="137" w:lineRule="exact"/>
              <w:rPr>
                <w:sz w:val="20"/>
                <w:szCs w:val="20"/>
                <w:color w:val="auto"/>
              </w:rPr>
            </w:pPr>
            <w:r>
              <w:rPr>
                <w:rFonts w:ascii="Times New Roman" w:cs="Times New Roman" w:eastAsia="Times New Roman" w:hAnsi="Times New Roman"/>
                <w:sz w:val="12"/>
                <w:szCs w:val="12"/>
                <w:b w:val="1"/>
                <w:bCs w:val="1"/>
                <w:color w:val="auto"/>
              </w:rPr>
              <w:t>2008</w:t>
            </w:r>
          </w:p>
        </w:tc>
      </w:tr>
      <w:tr>
        <w:trPr>
          <w:trHeight w:val="29"/>
        </w:trPr>
        <w:tc>
          <w:tcPr>
            <w:tcW w:w="50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65"/>
        </w:trPr>
        <w:tc>
          <w:tcPr>
            <w:tcW w:w="50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Americas</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123,961</w:t>
            </w:r>
          </w:p>
        </w:tc>
        <w:tc>
          <w:tcPr>
            <w:tcW w:w="56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92,621</w:t>
            </w:r>
          </w:p>
        </w:tc>
        <w:tc>
          <w:tcPr>
            <w:tcW w:w="230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75,367</w:t>
            </w:r>
          </w:p>
        </w:tc>
      </w:tr>
      <w:tr>
        <w:trPr>
          <w:trHeight w:val="175"/>
        </w:trPr>
        <w:tc>
          <w:tcPr>
            <w:tcW w:w="500" w:type="dxa"/>
            <w:vAlign w:val="bottom"/>
          </w:tcPr>
          <w:p>
            <w:pPr>
              <w:spacing w:after="0"/>
              <w:rPr>
                <w:sz w:val="15"/>
                <w:szCs w:val="15"/>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Europe, Middle East and Africa</w:t>
            </w: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121,604</w:t>
            </w:r>
          </w:p>
        </w:tc>
        <w:tc>
          <w:tcPr>
            <w:tcW w:w="560" w:type="dxa"/>
            <w:vAlign w:val="bottom"/>
          </w:tcPr>
          <w:p>
            <w:pPr>
              <w:spacing w:after="0"/>
              <w:rPr>
                <w:sz w:val="15"/>
                <w:szCs w:val="15"/>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95,886</w:t>
            </w:r>
          </w:p>
        </w:tc>
        <w:tc>
          <w:tcPr>
            <w:tcW w:w="2300" w:type="dxa"/>
            <w:vAlign w:val="bottom"/>
            <w:gridSpan w:val="2"/>
          </w:tcPr>
          <w:p>
            <w:pPr>
              <w:jc w:val="right"/>
              <w:ind w:right="435"/>
              <w:spacing w:after="0"/>
              <w:rPr>
                <w:sz w:val="20"/>
                <w:szCs w:val="20"/>
                <w:color w:val="auto"/>
              </w:rPr>
            </w:pPr>
            <w:r>
              <w:rPr>
                <w:rFonts w:ascii="Times New Roman" w:cs="Times New Roman" w:eastAsia="Times New Roman" w:hAnsi="Times New Roman"/>
                <w:sz w:val="13"/>
                <w:szCs w:val="13"/>
                <w:color w:val="auto"/>
              </w:rPr>
              <w:t>79,755</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Asia Pacific and Japan</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79,131</w:t>
            </w:r>
          </w:p>
        </w:tc>
        <w:tc>
          <w:tcPr>
            <w:tcW w:w="5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63,608</w:t>
            </w:r>
          </w:p>
        </w:tc>
        <w:tc>
          <w:tcPr>
            <w:tcW w:w="230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56,669</w:t>
            </w:r>
          </w:p>
        </w:tc>
      </w:tr>
      <w:tr>
        <w:trPr>
          <w:trHeight w:val="195"/>
        </w:trPr>
        <w:tc>
          <w:tcPr>
            <w:tcW w:w="500" w:type="dxa"/>
            <w:vAlign w:val="bottom"/>
          </w:tcPr>
          <w:p>
            <w:pPr>
              <w:spacing w:after="0"/>
              <w:rPr>
                <w:sz w:val="16"/>
                <w:szCs w:val="16"/>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Total revenue</w:t>
            </w:r>
          </w:p>
        </w:tc>
        <w:tc>
          <w:tcPr>
            <w:tcW w:w="17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324,696</w:t>
            </w:r>
          </w:p>
        </w:tc>
        <w:tc>
          <w:tcPr>
            <w:tcW w:w="560" w:type="dxa"/>
            <w:vAlign w:val="bottom"/>
          </w:tcPr>
          <w:p>
            <w:pPr>
              <w:spacing w:after="0"/>
              <w:rPr>
                <w:sz w:val="16"/>
                <w:szCs w:val="16"/>
                <w:color w:val="auto"/>
              </w:rPr>
            </w:pPr>
          </w:p>
        </w:tc>
        <w:tc>
          <w:tcPr>
            <w:tcW w:w="17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252,115</w:t>
            </w:r>
          </w:p>
        </w:tc>
        <w:tc>
          <w:tcPr>
            <w:tcW w:w="540" w:type="dxa"/>
            <w:vAlign w:val="bottom"/>
          </w:tcPr>
          <w:p>
            <w:pPr>
              <w:spacing w:after="0"/>
              <w:rPr>
                <w:sz w:val="16"/>
                <w:szCs w:val="16"/>
                <w:color w:val="auto"/>
              </w:rPr>
            </w:pPr>
          </w:p>
        </w:tc>
        <w:tc>
          <w:tcPr>
            <w:tcW w:w="176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color w:val="auto"/>
              </w:rPr>
              <w:t>211,791</w:t>
            </w:r>
          </w:p>
        </w:tc>
      </w:tr>
      <w:tr>
        <w:trPr>
          <w:trHeight w:val="39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Borders>
              <w:top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54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
        </w:trPr>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136"/>
        </w:trPr>
        <w:tc>
          <w:tcPr>
            <w:tcW w:w="500" w:type="dxa"/>
            <w:vAlign w:val="bottom"/>
          </w:tcPr>
          <w:p>
            <w:pPr>
              <w:spacing w:after="0"/>
              <w:rPr>
                <w:sz w:val="11"/>
                <w:szCs w:val="11"/>
                <w:color w:val="auto"/>
              </w:rPr>
            </w:pPr>
          </w:p>
        </w:tc>
        <w:tc>
          <w:tcPr>
            <w:tcW w:w="338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Interest Income</w:t>
            </w:r>
          </w:p>
        </w:tc>
        <w:tc>
          <w:tcPr>
            <w:tcW w:w="12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2010</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jc w:val="center"/>
              <w:ind w:left="917"/>
              <w:spacing w:after="0" w:line="137" w:lineRule="exact"/>
              <w:rPr>
                <w:sz w:val="20"/>
                <w:szCs w:val="20"/>
                <w:color w:val="auto"/>
              </w:rPr>
            </w:pPr>
            <w:r>
              <w:rPr>
                <w:rFonts w:ascii="Times New Roman" w:cs="Times New Roman" w:eastAsia="Times New Roman" w:hAnsi="Times New Roman"/>
                <w:sz w:val="12"/>
                <w:szCs w:val="12"/>
                <w:b w:val="1"/>
                <w:bCs w:val="1"/>
                <w:color w:val="auto"/>
                <w:w w:val="91"/>
              </w:rPr>
              <w:t>2009</w:t>
            </w:r>
          </w:p>
        </w:tc>
        <w:tc>
          <w:tcPr>
            <w:tcW w:w="520" w:type="dxa"/>
            <w:vAlign w:val="bottom"/>
          </w:tcPr>
          <w:p>
            <w:pPr>
              <w:spacing w:after="0"/>
              <w:rPr>
                <w:sz w:val="11"/>
                <w:szCs w:val="11"/>
                <w:color w:val="auto"/>
              </w:rPr>
            </w:pPr>
          </w:p>
        </w:tc>
        <w:tc>
          <w:tcPr>
            <w:tcW w:w="2300" w:type="dxa"/>
            <w:vAlign w:val="bottom"/>
            <w:gridSpan w:val="2"/>
          </w:tcPr>
          <w:p>
            <w:pPr>
              <w:jc w:val="right"/>
              <w:ind w:right="455"/>
              <w:spacing w:after="0" w:line="137" w:lineRule="exact"/>
              <w:rPr>
                <w:sz w:val="20"/>
                <w:szCs w:val="20"/>
                <w:color w:val="auto"/>
              </w:rPr>
            </w:pPr>
            <w:r>
              <w:rPr>
                <w:rFonts w:ascii="Times New Roman" w:cs="Times New Roman" w:eastAsia="Times New Roman" w:hAnsi="Times New Roman"/>
                <w:sz w:val="12"/>
                <w:szCs w:val="12"/>
                <w:b w:val="1"/>
                <w:bCs w:val="1"/>
                <w:color w:val="auto"/>
              </w:rPr>
              <w:t>2008</w:t>
            </w:r>
          </w:p>
        </w:tc>
      </w:tr>
      <w:tr>
        <w:trPr>
          <w:trHeight w:val="29"/>
        </w:trPr>
        <w:tc>
          <w:tcPr>
            <w:tcW w:w="50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165"/>
        </w:trPr>
        <w:tc>
          <w:tcPr>
            <w:tcW w:w="50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Americas</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1,798</w:t>
            </w:r>
          </w:p>
        </w:tc>
        <w:tc>
          <w:tcPr>
            <w:tcW w:w="56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1,953</w:t>
            </w:r>
          </w:p>
        </w:tc>
        <w:tc>
          <w:tcPr>
            <w:tcW w:w="230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2,596</w:t>
            </w:r>
          </w:p>
        </w:tc>
      </w:tr>
      <w:tr>
        <w:trPr>
          <w:trHeight w:val="175"/>
        </w:trPr>
        <w:tc>
          <w:tcPr>
            <w:tcW w:w="500" w:type="dxa"/>
            <w:vAlign w:val="bottom"/>
          </w:tcPr>
          <w:p>
            <w:pPr>
              <w:spacing w:after="0"/>
              <w:rPr>
                <w:sz w:val="15"/>
                <w:szCs w:val="15"/>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EMEA</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520" w:type="dxa"/>
            <w:vAlign w:val="bottom"/>
          </w:tcPr>
          <w:p>
            <w:pPr>
              <w:spacing w:after="0"/>
              <w:rPr>
                <w:sz w:val="15"/>
                <w:szCs w:val="15"/>
                <w:color w:val="auto"/>
              </w:rPr>
            </w:pPr>
          </w:p>
        </w:tc>
        <w:tc>
          <w:tcPr>
            <w:tcW w:w="2300" w:type="dxa"/>
            <w:vAlign w:val="bottom"/>
            <w:gridSpan w:val="2"/>
          </w:tcPr>
          <w:p>
            <w:pPr>
              <w:jc w:val="right"/>
              <w:ind w:right="435"/>
              <w:spacing w:after="0"/>
              <w:rPr>
                <w:sz w:val="20"/>
                <w:szCs w:val="20"/>
                <w:color w:val="auto"/>
              </w:rPr>
            </w:pPr>
            <w:r>
              <w:rPr>
                <w:rFonts w:ascii="Times New Roman" w:cs="Times New Roman" w:eastAsia="Times New Roman" w:hAnsi="Times New Roman"/>
                <w:sz w:val="13"/>
                <w:szCs w:val="13"/>
                <w:color w:val="auto"/>
              </w:rPr>
              <w:t>15</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APAC</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w:t>
            </w:r>
          </w:p>
        </w:tc>
        <w:tc>
          <w:tcPr>
            <w:tcW w:w="230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500" w:type="dxa"/>
            <w:vAlign w:val="bottom"/>
          </w:tcPr>
          <w:p>
            <w:pPr>
              <w:spacing w:after="0"/>
              <w:rPr>
                <w:sz w:val="14"/>
                <w:szCs w:val="14"/>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Total interest income</w:t>
            </w:r>
          </w:p>
        </w:tc>
        <w:tc>
          <w:tcPr>
            <w:tcW w:w="17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1,815</w:t>
            </w:r>
          </w:p>
        </w:tc>
        <w:tc>
          <w:tcPr>
            <w:tcW w:w="560" w:type="dxa"/>
            <w:vAlign w:val="bottom"/>
          </w:tcPr>
          <w:p>
            <w:pPr>
              <w:spacing w:after="0"/>
              <w:rPr>
                <w:sz w:val="14"/>
                <w:szCs w:val="14"/>
                <w:color w:val="auto"/>
              </w:rPr>
            </w:pPr>
          </w:p>
        </w:tc>
        <w:tc>
          <w:tcPr>
            <w:tcW w:w="17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1,981</w:t>
            </w:r>
          </w:p>
        </w:tc>
        <w:tc>
          <w:tcPr>
            <w:tcW w:w="540" w:type="dxa"/>
            <w:vAlign w:val="bottom"/>
          </w:tcPr>
          <w:p>
            <w:pPr>
              <w:spacing w:after="0"/>
              <w:rPr>
                <w:sz w:val="14"/>
                <w:szCs w:val="14"/>
                <w:color w:val="auto"/>
              </w:rPr>
            </w:pPr>
          </w:p>
        </w:tc>
        <w:tc>
          <w:tcPr>
            <w:tcW w:w="176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color w:val="auto"/>
              </w:rPr>
              <w:t>2,614</w:t>
            </w:r>
          </w:p>
        </w:tc>
      </w:tr>
      <w:tr>
        <w:trPr>
          <w:trHeight w:val="30"/>
        </w:trPr>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90"/>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gridSpan w:val="3"/>
          </w:tcPr>
          <w:p>
            <w:pPr>
              <w:ind w:left="7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76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28"/>
        </w:trPr>
        <w:tc>
          <w:tcPr>
            <w:tcW w:w="500" w:type="dxa"/>
            <w:vAlign w:val="bottom"/>
          </w:tcPr>
          <w:p>
            <w:pPr>
              <w:spacing w:after="0"/>
              <w:rPr>
                <w:sz w:val="11"/>
                <w:szCs w:val="11"/>
                <w:color w:val="auto"/>
              </w:rPr>
            </w:pPr>
          </w:p>
        </w:tc>
        <w:tc>
          <w:tcPr>
            <w:tcW w:w="1240" w:type="dxa"/>
            <w:vAlign w:val="bottom"/>
            <w:tcBorders>
              <w:bottom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w w:val="94"/>
              </w:rPr>
              <w:t>Property and Equipment</w:t>
            </w:r>
          </w:p>
        </w:tc>
        <w:tc>
          <w:tcPr>
            <w:tcW w:w="2140" w:type="dxa"/>
            <w:vAlign w:val="bottom"/>
          </w:tcPr>
          <w:p>
            <w:pPr>
              <w:spacing w:after="0"/>
              <w:rPr>
                <w:sz w:val="11"/>
                <w:szCs w:val="11"/>
                <w:color w:val="auto"/>
              </w:rPr>
            </w:pPr>
          </w:p>
        </w:tc>
        <w:tc>
          <w:tcPr>
            <w:tcW w:w="1260" w:type="dxa"/>
            <w:vAlign w:val="bottom"/>
          </w:tcPr>
          <w:p>
            <w:pPr>
              <w:ind w:left="780"/>
              <w:spacing w:after="0" w:line="118" w:lineRule="exact"/>
              <w:rPr>
                <w:sz w:val="20"/>
                <w:szCs w:val="20"/>
                <w:color w:val="auto"/>
              </w:rPr>
            </w:pPr>
            <w:r>
              <w:rPr>
                <w:rFonts w:ascii="Times New Roman" w:cs="Times New Roman" w:eastAsia="Times New Roman" w:hAnsi="Times New Roman"/>
                <w:sz w:val="12"/>
                <w:szCs w:val="12"/>
                <w:b w:val="1"/>
                <w:bCs w:val="1"/>
                <w:color w:val="auto"/>
              </w:rPr>
              <w:t>2010</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ind w:left="760"/>
              <w:spacing w:after="0" w:line="118" w:lineRule="exact"/>
              <w:rPr>
                <w:sz w:val="20"/>
                <w:szCs w:val="20"/>
                <w:color w:val="auto"/>
              </w:rPr>
            </w:pPr>
            <w:r>
              <w:rPr>
                <w:rFonts w:ascii="Times New Roman" w:cs="Times New Roman" w:eastAsia="Times New Roman" w:hAnsi="Times New Roman"/>
                <w:sz w:val="12"/>
                <w:szCs w:val="12"/>
                <w:b w:val="1"/>
                <w:bCs w:val="1"/>
                <w:color w:val="auto"/>
              </w:rPr>
              <w:t>2009</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29"/>
        </w:trPr>
        <w:tc>
          <w:tcPr>
            <w:tcW w:w="5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165"/>
        </w:trPr>
        <w:tc>
          <w:tcPr>
            <w:tcW w:w="50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Americas</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5,585</w:t>
            </w:r>
          </w:p>
        </w:tc>
        <w:tc>
          <w:tcPr>
            <w:tcW w:w="56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4,988</w:t>
            </w:r>
          </w:p>
        </w:tc>
        <w:tc>
          <w:tcPr>
            <w:tcW w:w="5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r>
      <w:tr>
        <w:trPr>
          <w:trHeight w:val="175"/>
        </w:trPr>
        <w:tc>
          <w:tcPr>
            <w:tcW w:w="500" w:type="dxa"/>
            <w:vAlign w:val="bottom"/>
          </w:tcPr>
          <w:p>
            <w:pPr>
              <w:spacing w:after="0"/>
              <w:rPr>
                <w:sz w:val="15"/>
                <w:szCs w:val="15"/>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EMEA</w:t>
            </w: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616</w:t>
            </w:r>
          </w:p>
        </w:tc>
        <w:tc>
          <w:tcPr>
            <w:tcW w:w="560" w:type="dxa"/>
            <w:vAlign w:val="bottom"/>
          </w:tcPr>
          <w:p>
            <w:pPr>
              <w:spacing w:after="0"/>
              <w:rPr>
                <w:sz w:val="15"/>
                <w:szCs w:val="15"/>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504</w:t>
            </w: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APAC</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855</w:t>
            </w:r>
          </w:p>
        </w:tc>
        <w:tc>
          <w:tcPr>
            <w:tcW w:w="5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895</w:t>
            </w:r>
          </w:p>
        </w:tc>
        <w:tc>
          <w:tcPr>
            <w:tcW w:w="5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195"/>
        </w:trPr>
        <w:tc>
          <w:tcPr>
            <w:tcW w:w="500" w:type="dxa"/>
            <w:vAlign w:val="bottom"/>
          </w:tcPr>
          <w:p>
            <w:pPr>
              <w:spacing w:after="0"/>
              <w:rPr>
                <w:sz w:val="16"/>
                <w:szCs w:val="16"/>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Total property and equipment—net</w:t>
            </w:r>
          </w:p>
        </w:tc>
        <w:tc>
          <w:tcPr>
            <w:tcW w:w="17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7,056</w:t>
            </w:r>
          </w:p>
        </w:tc>
        <w:tc>
          <w:tcPr>
            <w:tcW w:w="560" w:type="dxa"/>
            <w:vAlign w:val="bottom"/>
          </w:tcPr>
          <w:p>
            <w:pPr>
              <w:spacing w:after="0"/>
              <w:rPr>
                <w:sz w:val="16"/>
                <w:szCs w:val="16"/>
                <w:color w:val="auto"/>
              </w:rPr>
            </w:pPr>
          </w:p>
        </w:tc>
        <w:tc>
          <w:tcPr>
            <w:tcW w:w="17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6,387</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46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91</w:t>
            </w:r>
          </w:p>
        </w:tc>
        <w:tc>
          <w:tcPr>
            <w:tcW w:w="5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340"/>
          </w:cols>
          <w:pgMar w:left="220" w:top="127" w:right="339"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3"/>
          <w:szCs w:val="13"/>
          <w:b w:val="1"/>
          <w:bCs w:val="1"/>
          <w:color w:val="auto"/>
        </w:rPr>
        <w:t>ITEM 9.</w:t>
        <w:tab/>
        <w:t>Changes in and Disagreements with Accountants on Accounting and Financial Disclosure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None.</w:t>
      </w:r>
    </w:p>
    <w:p>
      <w:pPr>
        <w:spacing w:after="0" w:line="161" w:lineRule="exact"/>
        <w:rPr>
          <w:sz w:val="20"/>
          <w:szCs w:val="20"/>
          <w:color w:val="auto"/>
        </w:rPr>
      </w:pPr>
    </w:p>
    <w:p>
      <w:pPr>
        <w:ind w:left="460"/>
        <w:spacing w:after="0"/>
        <w:tabs>
          <w:tab w:leader="none" w:pos="1200" w:val="left"/>
        </w:tabs>
        <w:rPr>
          <w:sz w:val="20"/>
          <w:szCs w:val="20"/>
          <w:color w:val="auto"/>
        </w:rPr>
      </w:pPr>
      <w:r>
        <w:rPr>
          <w:rFonts w:ascii="Times New Roman" w:cs="Times New Roman" w:eastAsia="Times New Roman" w:hAnsi="Times New Roman"/>
          <w:sz w:val="13"/>
          <w:szCs w:val="13"/>
          <w:b w:val="1"/>
          <w:bCs w:val="1"/>
          <w:color w:val="auto"/>
        </w:rPr>
        <w:t>ITEM 9A .</w:t>
        <w:tab/>
        <w:t>Controls and Procedures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Management's Report on Internal Control Over Financial Reporting</w:t>
      </w:r>
    </w:p>
    <w:p>
      <w:pPr>
        <w:spacing w:after="0" w:line="16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 over financial reporting, as defined in Exchange Act Rule 13a-15(f) and 15d-15(f). Management conducted an evaluation of the effectiveness of our internal control over financial reporting based on the framework in Internal Control—Integrated Framework issued by the Committee of Sponsoring Orga nizations of the Treadway Commission. Based on this evaluation, management concluded that our internal control over financial reporting was effective as of December 31, 2010. Management reviewed the results of its assessment with our Audit Committee. The effectiveness of our internal control over financial reporting as of December 31, 2010 has been audited by Deloitte &amp; Touche LLP, an independent registered public accounting firm, as stated in its report, which appears in this Item under the heading “Report of Independent Registered Public Accounting Firm.”</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167"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chief financial officer, evaluated the effectiveness of our disclosure controls and procedures pursuant to Rule 13a-15 under the Securities Exchange Act of 1934 as of the end of the period covered by this Annual Report on Form 10-K.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5"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3"/>
          <w:szCs w:val="13"/>
          <w:color w:val="auto"/>
        </w:rPr>
        <w:t>Based on that evaluation, our chief executive officer and chief financial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167" w:lineRule="exact"/>
        <w:rPr>
          <w:sz w:val="20"/>
          <w:szCs w:val="20"/>
          <w:color w:val="auto"/>
        </w:rPr>
      </w:pPr>
    </w:p>
    <w:p>
      <w:pPr>
        <w:ind w:right="40" w:firstLine="469"/>
        <w:spacing w:after="0" w:line="281"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during our fourth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&lt; div style="line-height:120%;text-indent:48px;"&gt;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11460"/>
          </w:cols>
          <w:pgMar w:left="220" w:top="124" w:right="219"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To the Board of Directors and Stockholders of</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Fortinet, Inc.</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Sunnyvale, California</w:t>
      </w:r>
    </w:p>
    <w:p>
      <w:pPr>
        <w:spacing w:after="0" w:line="160"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3"/>
          <w:szCs w:val="13"/>
          <w:color w:val="auto"/>
        </w:rPr>
        <w:t xml:space="preserve">We have audited the internal control over financial reporting of Fortinet, Inc. and subsidiaries' (the “Company”) as of December 3 1, 2010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1" w:lineRule="exact"/>
        <w:rPr>
          <w:sz w:val="20"/>
          <w:szCs w:val="20"/>
          <w:color w:val="auto"/>
        </w:rPr>
      </w:pPr>
    </w:p>
    <w:p>
      <w:pPr>
        <w:ind w:right="80" w:firstLine="313"/>
        <w:spacing w:after="0" w:line="261"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that risk, and performing such other procedures as we considered necessary in the circumstances. We believe that our audit provides a reasonable basis for our opinion.</w:t>
      </w:r>
    </w:p>
    <w:p>
      <w:pPr>
        <w:spacing w:after="0" w:line="142" w:lineRule="exact"/>
        <w:rPr>
          <w:sz w:val="20"/>
          <w:szCs w:val="20"/>
          <w:color w:val="auto"/>
        </w:rPr>
      </w:pPr>
    </w:p>
    <w:p>
      <w:pPr>
        <w:ind w:firstLine="313"/>
        <w:spacing w:after="0" w:line="256"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 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ind w:right="60" w:firstLine="313"/>
        <w:spacing w:after="0" w:line="266" w:lineRule="auto"/>
        <w:rPr>
          <w:sz w:val="20"/>
          <w:szCs w:val="20"/>
          <w:color w:val="auto"/>
        </w:rPr>
      </w:pPr>
      <w:r>
        <w:rPr>
          <w:rFonts w:ascii="Times New Roman" w:cs="Times New Roman" w:eastAsia="Times New Roman" w:hAnsi="Times New Roman"/>
          <w:sz w:val="13"/>
          <w:szCs w:val="13"/>
          <w:color w:val="auto"/>
        </w:rPr>
        <w:t>Because of the inherent limitations of internal control over financial reporting, including the possibility of co 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7" w:lineRule="exact"/>
        <w:rPr>
          <w:sz w:val="20"/>
          <w:szCs w:val="20"/>
          <w:color w:val="auto"/>
        </w:rPr>
      </w:pPr>
    </w:p>
    <w:p>
      <w:pPr>
        <w:ind w:right="440" w:firstLine="313"/>
        <w:spacing w:after="0" w:line="284" w:lineRule="auto"/>
        <w:rPr>
          <w:sz w:val="20"/>
          <w:szCs w:val="20"/>
          <w:color w:val="auto"/>
        </w:rPr>
      </w:pPr>
      <w:r>
        <w:rPr>
          <w:rFonts w:ascii="Times New Roman" w:cs="Times New Roman" w:eastAsia="Times New Roman" w:hAnsi="Times New Roman"/>
          <w:sz w:val="13"/>
          <w:szCs w:val="13"/>
          <w:color w:val="auto"/>
        </w:rPr>
        <w:t xml:space="preserve">In our opinion, the Company maintained, in all material respects, effective internal control over financial reporting as of December 31, 2010, based on the criteria established in </w:t>
      </w:r>
      <w:r>
        <w:rPr>
          <w:rFonts w:ascii="Times New Roman" w:cs="Times New Roman" w:eastAsia="Times New Roman" w:hAnsi="Times New Roman"/>
          <w:sz w:val="13"/>
          <w:szCs w:val="13"/>
          <w:i w:val="1"/>
          <w:iCs w:val="1"/>
          <w:color w:val="auto"/>
        </w:rPr>
        <w:t>Internal Control</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Integrated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Framework </w:t>
      </w:r>
      <w:r>
        <w:rPr>
          <w:rFonts w:ascii="Times New Roman" w:cs="Times New Roman" w:eastAsia="Times New Roman" w:hAnsi="Times New Roman"/>
          <w:sz w:val="13"/>
          <w:szCs w:val="13"/>
          <w:color w:val="auto"/>
        </w:rPr>
        <w:t>issued by the Committee of Sponsoring Organizations of the Treadway Commission.</w:t>
      </w:r>
    </w:p>
    <w:p>
      <w:pPr>
        <w:spacing w:after="0" w:line="127" w:lineRule="exact"/>
        <w:rPr>
          <w:sz w:val="20"/>
          <w:szCs w:val="20"/>
          <w:color w:val="auto"/>
        </w:rPr>
      </w:pPr>
    </w:p>
    <w:p>
      <w:pPr>
        <w:ind w:right="140" w:firstLine="313"/>
        <w:spacing w:after="0" w:line="281"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the consolidated financial statements and consolidated financial statement schedule as of and for the year ended December 31, 2010, of the Company and our report dated February 24, 2011 expressed an unqualified opinion on those financial statements and consolidated financial statement schedule.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Sa n Jose, California</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February 24,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11460"/>
          </w:cols>
          <w:pgMar w:left="220" w:top="124" w:right="2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ITEM 9B.</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779"/>
          </w:cols>
          <w:pgMar w:left="680" w:top="124"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Executive Officers and Directors</w:t>
      </w:r>
    </w:p>
    <w:p>
      <w:pPr>
        <w:spacing w:after="0" w:line="167"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Information responsive to this item is incorporated herein by reference to Fortinet’s definitive proxy statement with respect to our 2011 Annual Meeting of Stockholders to be filed with the SEC within 120 days after the end of the fiscal year covered by this annual report on Form 10-K.</w:t>
      </w:r>
    </w:p>
    <w:p>
      <w:pPr>
        <w:spacing w:after="0" w:line="11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3"/>
          <w:szCs w:val="13"/>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the Company, with regard to their Fortinet-related activities. Our code of business conduct and ethics is available on our website at www.fortinet.com under “About Us—Investor Relations—Corporate Governance.” We will post on this section of our website any amendment to our code of business conduct and ethics, as well as any waivers of our code of business conduct and ethics, that are required to be disclose d by the rules of the SEC or the NASDAQ Stock Market.</w:t>
      </w:r>
    </w:p>
    <w:p>
      <w:pPr>
        <w:spacing w:after="0" w:line="290" w:lineRule="exact"/>
        <w:rPr>
          <w:sz w:val="20"/>
          <w:szCs w:val="20"/>
          <w:color w:val="auto"/>
        </w:rPr>
      </w:pPr>
    </w:p>
    <w:p>
      <w:pPr>
        <w:ind w:left="460"/>
        <w:spacing w:after="0"/>
        <w:tabs>
          <w:tab w:leader="none" w:pos="1140" w:val="left"/>
        </w:tabs>
        <w:rPr>
          <w:sz w:val="20"/>
          <w:szCs w:val="20"/>
          <w:color w:val="auto"/>
        </w:rPr>
      </w:pPr>
      <w:r>
        <w:rPr>
          <w:rFonts w:ascii="Times New Roman" w:cs="Times New Roman" w:eastAsia="Times New Roman" w:hAnsi="Times New Roman"/>
          <w:sz w:val="13"/>
          <w:szCs w:val="13"/>
          <w:b w:val="1"/>
          <w:bCs w:val="1"/>
          <w:color w:val="auto"/>
        </w:rPr>
        <w:t>ITEM 11.</w:t>
        <w:tab/>
        <w:t>Executive Compensation</w:t>
      </w:r>
    </w:p>
    <w:p>
      <w:pPr>
        <w:spacing w:after="0" w:line="165"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Information responsive to this item is incorporated herein by reference to Fortinet’s definitive proxy statement with respect to our 2011 Annual Meeting of Stockholders to be filed with the SEC within 120 days after the end of the fiscal year covered by this annual report on Form 10-K.</w:t>
      </w:r>
    </w:p>
    <w:p>
      <w:pPr>
        <w:spacing w:after="0" w:line="117"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3"/>
          <w:szCs w:val="13"/>
          <w:b w:val="1"/>
          <w:bCs w:val="1"/>
          <w:color w:val="auto"/>
        </w:rPr>
        <w:t>ITEM 12.</w:t>
        <w:tab/>
        <w:t>Security Ownership of Certain Beneficial Owners and Management and Related Stockholder Matters</w:t>
      </w:r>
    </w:p>
    <w:p>
      <w:pPr>
        <w:spacing w:after="0" w:line="165"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Information responsive to this item is incorporated herein by reference to Fortinet’s definitive proxy statement with respect to our 2011 Annual Meeting of Stockholders to be filed with the SEC within 120 days after the end of the fiscal year covered by this annual report on Form 10-K.</w:t>
      </w:r>
    </w:p>
    <w:p>
      <w:pPr>
        <w:spacing w:after="0" w:line="117"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3"/>
          <w:szCs w:val="13"/>
          <w:b w:val="1"/>
          <w:bCs w:val="1"/>
          <w:color w:val="auto"/>
        </w:rPr>
        <w:t>ITEM 13.</w:t>
      </w:r>
      <w:r>
        <w:rPr>
          <w:sz w:val="20"/>
          <w:szCs w:val="20"/>
          <w:color w:val="auto"/>
        </w:rPr>
        <w:tab/>
      </w:r>
      <w:r>
        <w:rPr>
          <w:rFonts w:ascii="Times New Roman" w:cs="Times New Roman" w:eastAsia="Times New Roman" w:hAnsi="Times New Roman"/>
          <w:sz w:val="12"/>
          <w:szCs w:val="12"/>
          <w:b w:val="1"/>
          <w:bCs w:val="1"/>
          <w:color w:val="auto"/>
        </w:rPr>
        <w:t>Certain Relationships and Related Transactions, and Director Independence</w:t>
      </w:r>
    </w:p>
    <w:p>
      <w:pPr>
        <w:spacing w:after="0" w:line="165"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Information responsive to this item is incorporated herein by reference to Fortinet’s definitive proxy statement with respect to our 2011 Annual Meeting of Stockholders to be filed with the SEC within 120 days after the end of the fiscal year covered by this annual report on Form 10-K.</w:t>
      </w:r>
    </w:p>
    <w:p>
      <w:pPr>
        <w:spacing w:after="0" w:line="117"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Principal Accounting Fees and Services</w:t>
      </w:r>
    </w:p>
    <w:p>
      <w:pPr>
        <w:spacing w:after="0" w:line="165" w:lineRule="exact"/>
        <w:rPr>
          <w:sz w:val="20"/>
          <w:szCs w:val="20"/>
          <w:color w:val="auto"/>
        </w:rPr>
      </w:pPr>
    </w:p>
    <w:p>
      <w:pPr>
        <w:ind w:right="60" w:firstLine="469"/>
        <w:spacing w:after="0" w:line="281" w:lineRule="auto"/>
        <w:rPr>
          <w:sz w:val="20"/>
          <w:szCs w:val="20"/>
          <w:color w:val="auto"/>
        </w:rPr>
      </w:pPr>
      <w:r>
        <w:rPr>
          <w:rFonts w:ascii="Times New Roman" w:cs="Times New Roman" w:eastAsia="Times New Roman" w:hAnsi="Times New Roman"/>
          <w:sz w:val="13"/>
          <w:szCs w:val="13"/>
          <w:color w:val="auto"/>
        </w:rPr>
        <w:t>Information responsive to this item is incorporated herein by reference to Fortinet’s definitive proxy statement with respect to our 2011 Annual Meeting of Stockholders to be filed with the SEC within 120 days after the end of the fiscal year covered by this annual report on Form 10-K.</w:t>
      </w:r>
    </w:p>
    <w:p>
      <w:pPr>
        <w:spacing w:after="0" w:line="2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731012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120" cy="38100"/>
                    </a:xfrm>
                    <a:prstGeom prst="rect">
                      <a:avLst/>
                    </a:prstGeom>
                    <a:noFill/>
                  </pic:spPr>
                </pic:pic>
              </a:graphicData>
            </a:graphic>
          </wp:anchor>
        </w:drawing>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63"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3"/>
          <w:szCs w:val="13"/>
          <w:b w:val="1"/>
          <w:bCs w:val="1"/>
          <w:color w:val="auto"/>
        </w:rPr>
        <w:t>ITEM 15.</w:t>
        <w:tab/>
        <w:t>Exhibits and Financial Statement Schedules</w:t>
      </w:r>
    </w:p>
    <w:p>
      <w:pPr>
        <w:spacing w:after="0" w:line="165" w:lineRule="exact"/>
        <w:rPr>
          <w:sz w:val="20"/>
          <w:szCs w:val="20"/>
          <w:color w:val="auto"/>
        </w:rPr>
      </w:pPr>
    </w:p>
    <w:p>
      <w:pPr>
        <w:ind w:left="640" w:hanging="172"/>
        <w:spacing w:after="0"/>
        <w:tabs>
          <w:tab w:leader="none" w:pos="6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documents are filed as part of this Form 10-K:</w:t>
      </w:r>
    </w:p>
    <w:p>
      <w:pPr>
        <w:spacing w:after="0" w:line="161" w:lineRule="exact"/>
        <w:rPr>
          <w:rFonts w:ascii="Times New Roman" w:cs="Times New Roman" w:eastAsia="Times New Roman" w:hAnsi="Times New Roman"/>
          <w:sz w:val="13"/>
          <w:szCs w:val="13"/>
          <w:color w:val="auto"/>
        </w:rPr>
      </w:pPr>
    </w:p>
    <w:p>
      <w:pPr>
        <w:ind w:left="1180" w:right="380" w:hanging="243"/>
        <w:spacing w:after="0" w:line="284" w:lineRule="auto"/>
        <w:tabs>
          <w:tab w:leader="none" w:pos="164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 The information concerning Fortinet’s financial statements and the Report of Independent Registered Public Accounting Firm required by this Item 15(a)(1)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incorporated by reference herein to the section of this Form 10-K in Item 8, titled &amp;ldquo ;Financial Statements and Supplementary Data.”</w:t>
      </w:r>
    </w:p>
    <w:p>
      <w:pPr>
        <w:spacing w:after="0" w:line="115" w:lineRule="exact"/>
        <w:rPr>
          <w:rFonts w:ascii="Times New Roman" w:cs="Times New Roman" w:eastAsia="Times New Roman" w:hAnsi="Times New Roman"/>
          <w:sz w:val="13"/>
          <w:szCs w:val="13"/>
          <w:color w:val="auto"/>
        </w:rPr>
      </w:pPr>
    </w:p>
    <w:p>
      <w:pPr>
        <w:ind w:left="1180" w:right="140" w:hanging="243"/>
        <w:spacing w:after="0" w:line="284" w:lineRule="auto"/>
        <w:tabs>
          <w:tab w:leader="none" w:pos="164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Financial Statement Schedule</w:t>
      </w:r>
      <w:r>
        <w:rPr>
          <w:rFonts w:ascii="Times New Roman" w:cs="Times New Roman" w:eastAsia="Times New Roman" w:hAnsi="Times New Roman"/>
          <w:sz w:val="13"/>
          <w:szCs w:val="13"/>
          <w:color w:val="auto"/>
        </w:rPr>
        <w:t>: The following financial statement schedule of Fortinet, Inc., for the fiscal years ended December 31, 2010, December 31, 2009 and December 28, 2008,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as part of this Form 10-K and should be read in conjunction with the Consolidated Financial Statements of Fortinet, Inc.</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SCHEDULE II—VALUATION AND QUALIFYING ACCOUNTS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gridSpan w:val="2"/>
          </w:tcPr>
          <w:p>
            <w:pPr>
              <w:jc w:val="center"/>
              <w:ind w:left="558"/>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5"/>
        </w:trPr>
        <w:tc>
          <w:tcPr>
            <w:tcW w:w="4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61"/>
        </w:trPr>
        <w:tc>
          <w:tcPr>
            <w:tcW w:w="49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jc w:val="center"/>
              <w:ind w:left="938"/>
              <w:spacing w:after="0"/>
              <w:rPr>
                <w:sz w:val="20"/>
                <w:szCs w:val="20"/>
                <w:color w:val="auto"/>
              </w:rPr>
            </w:pPr>
            <w:r>
              <w:rPr>
                <w:rFonts w:ascii="Times New Roman" w:cs="Times New Roman" w:eastAsia="Times New Roman" w:hAnsi="Times New Roman"/>
                <w:sz w:val="12"/>
                <w:szCs w:val="12"/>
                <w:b w:val="1"/>
                <w:bCs w:val="1"/>
                <w:color w:val="auto"/>
                <w:w w:val="99"/>
              </w:rPr>
              <w:t>2009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2008</w:t>
            </w:r>
          </w:p>
        </w:tc>
        <w:tc>
          <w:tcPr>
            <w:tcW w:w="300" w:type="dxa"/>
            <w:vAlign w:val="bottom"/>
          </w:tcPr>
          <w:p>
            <w:pPr>
              <w:spacing w:after="0"/>
              <w:rPr>
                <w:sz w:val="13"/>
                <w:szCs w:val="13"/>
                <w:color w:val="auto"/>
              </w:rPr>
            </w:pPr>
          </w:p>
        </w:tc>
      </w:tr>
      <w:tr>
        <w:trPr>
          <w:trHeight w:val="25"/>
        </w:trPr>
        <w:tc>
          <w:tcPr>
            <w:tcW w:w="4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51"/>
        </w:trPr>
        <w:tc>
          <w:tcPr>
            <w:tcW w:w="4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gridSpan w:val="2"/>
          </w:tcPr>
          <w:p>
            <w:pPr>
              <w:jc w:val="center"/>
              <w:ind w:left="558"/>
              <w:spacing w:after="0"/>
              <w:rPr>
                <w:sz w:val="20"/>
                <w:szCs w:val="20"/>
                <w:color w:val="auto"/>
              </w:rPr>
            </w:pPr>
            <w:r>
              <w:rPr>
                <w:rFonts w:ascii="Times New Roman" w:cs="Times New Roman" w:eastAsia="Times New Roman" w:hAnsi="Times New Roman"/>
                <w:sz w:val="12"/>
                <w:szCs w:val="12"/>
                <w:b w:val="1"/>
                <w:bCs w:val="1"/>
                <w:color w:val="auto"/>
                <w:w w:val="97"/>
              </w:rPr>
              <w:t>($ amounts in 000's)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5"/>
        </w:trPr>
        <w:tc>
          <w:tcPr>
            <w:tcW w:w="4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76"/>
        </w:trPr>
        <w:tc>
          <w:tcPr>
            <w:tcW w:w="4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r>
      <w:tr>
        <w:trPr>
          <w:trHeight w:val="175"/>
        </w:trPr>
        <w:tc>
          <w:tcPr>
            <w:tcW w:w="49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Beginning balance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367</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318</w:t>
            </w:r>
          </w:p>
        </w:tc>
        <w:tc>
          <w:tcPr>
            <w:tcW w:w="120" w:type="dxa"/>
            <w:vAlign w:val="bottom"/>
          </w:tcPr>
          <w:p>
            <w:pPr>
              <w:spacing w:after="0"/>
              <w:rPr>
                <w:sz w:val="15"/>
                <w:szCs w:val="15"/>
                <w:color w:val="auto"/>
              </w:rPr>
            </w:pPr>
          </w:p>
        </w:tc>
        <w:tc>
          <w:tcPr>
            <w:tcW w:w="204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384</w:t>
            </w:r>
          </w:p>
        </w:tc>
        <w:tc>
          <w:tcPr>
            <w:tcW w:w="300" w:type="dxa"/>
            <w:vAlign w:val="bottom"/>
          </w:tcPr>
          <w:p>
            <w:pPr>
              <w:spacing w:after="0"/>
              <w:rPr>
                <w:sz w:val="15"/>
                <w:szCs w:val="15"/>
                <w:color w:val="auto"/>
              </w:rPr>
            </w:pPr>
          </w:p>
        </w:tc>
      </w:tr>
      <w:tr>
        <w:trPr>
          <w:trHeight w:val="21"/>
        </w:trPr>
        <w:tc>
          <w:tcPr>
            <w:tcW w:w="4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49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Charged to costs and expenses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191</w:t>
            </w:r>
          </w:p>
        </w:tc>
        <w:tc>
          <w:tcPr>
            <w:tcW w:w="300" w:type="dxa"/>
            <w:vAlign w:val="bottom"/>
            <w:tcBorders>
              <w:bottom w:val="single" w:sz="8" w:color="CCEEFF"/>
            </w:tcBorders>
            <w:shd w:val="clear" w:color="auto" w:fill="CCEEFF"/>
          </w:tcPr>
          <w:p>
            <w:pPr>
              <w:spacing w:after="0"/>
              <w:rPr>
                <w:sz w:val="15"/>
                <w:szCs w:val="15"/>
                <w:color w:val="auto"/>
              </w:rPr>
            </w:pPr>
          </w:p>
        </w:tc>
      </w:tr>
      <w:tr>
        <w:trPr>
          <w:trHeight w:val="175"/>
        </w:trPr>
        <w:tc>
          <w:tcPr>
            <w:tcW w:w="49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Bad debt write-offs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(72</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(257</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49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95"/>
        </w:trPr>
        <w:tc>
          <w:tcPr>
            <w:tcW w:w="49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Ending balance</w:t>
            </w:r>
          </w:p>
        </w:tc>
        <w:tc>
          <w:tcPr>
            <w:tcW w:w="15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303</w:t>
            </w:r>
          </w:p>
        </w:tc>
        <w:tc>
          <w:tcPr>
            <w:tcW w:w="3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3 67</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318</w:t>
            </w:r>
          </w:p>
        </w:tc>
        <w:tc>
          <w:tcPr>
            <w:tcW w:w="300" w:type="dxa"/>
            <w:vAlign w:val="bottom"/>
            <w:tcBorders>
              <w:bottom w:val="single" w:sz="8" w:color="auto"/>
            </w:tcBorders>
            <w:shd w:val="clear" w:color="auto" w:fill="CCEEFF"/>
          </w:tcPr>
          <w:p>
            <w:pPr>
              <w:spacing w:after="0"/>
              <w:rPr>
                <w:sz w:val="16"/>
                <w:szCs w:val="16"/>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Schedules not listed above have been omitted because they are not applicable or are not required or the information required to be set forth therein is included in the Consolidated Financial Statements or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thereto.</w:t>
      </w:r>
    </w:p>
    <w:p>
      <w:pPr>
        <w:spacing w:after="0" w:line="150" w:lineRule="exact"/>
        <w:rPr>
          <w:sz w:val="20"/>
          <w:szCs w:val="20"/>
          <w:color w:val="auto"/>
        </w:rPr>
      </w:pPr>
    </w:p>
    <w:p>
      <w:pPr>
        <w:ind w:left="1180" w:right="120" w:hanging="243"/>
        <w:spacing w:after="0" w:line="284" w:lineRule="auto"/>
        <w:tabs>
          <w:tab w:leader="none" w:pos="1649"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r>
        <w:rPr>
          <w:rFonts w:ascii="Times New Roman" w:cs="Times New Roman" w:eastAsia="Times New Roman" w:hAnsi="Times New Roman"/>
          <w:sz w:val="13"/>
          <w:szCs w:val="13"/>
          <w:color w:val="auto"/>
        </w:rPr>
        <w:t>: See Item 15(b) below. We have filed, or incorporated into this 10-K by reference, the exhibits listed on the accompanying Index to Exhibits immediately following the signature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page of this Form 10-K.</w:t>
      </w:r>
    </w:p>
    <w:p>
      <w:pPr>
        <w:spacing w:after="0" w:line="117" w:lineRule="exact"/>
        <w:rPr>
          <w:rFonts w:ascii="Times New Roman" w:cs="Times New Roman" w:eastAsia="Times New Roman" w:hAnsi="Times New Roman"/>
          <w:sz w:val="13"/>
          <w:szCs w:val="13"/>
          <w:color w:val="auto"/>
        </w:rPr>
      </w:pPr>
    </w:p>
    <w:p>
      <w:pPr>
        <w:ind w:left="660" w:hanging="192"/>
        <w:spacing w:after="0"/>
        <w:tabs>
          <w:tab w:leader="none" w:pos="6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exhibit list in the Index to Exhibits immediately following the signature page of this Form 10-K is incorporated herein by reference as the list of exhibits required by this Item 15(b).</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(c) Financial Statement Schedules: See Item 15(a) above.</w:t>
      </w:r>
    </w:p>
    <w:p>
      <w:pPr>
        <w:spacing w:after="0" w:line="1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11460"/>
          </w:cols>
          <w:pgMar w:left="220" w:top="124" w:right="219"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3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5" w:lineRule="exact"/>
        <w:rPr>
          <w:sz w:val="20"/>
          <w:szCs w:val="20"/>
          <w:color w:val="auto"/>
        </w:rPr>
      </w:pPr>
    </w:p>
    <w:p>
      <w:pPr>
        <w:jc w:val="center"/>
        <w:ind w:left="720" w:right="20"/>
        <w:spacing w:after="0" w:line="281"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February 25, 2011.</w:t>
      </w:r>
    </w:p>
    <w:p>
      <w:pPr>
        <w:spacing w:after="0" w:line="2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214" w:lineRule="exact"/>
        <w:rPr>
          <w:sz w:val="20"/>
          <w:szCs w:val="20"/>
          <w:color w:val="auto"/>
        </w:rPr>
      </w:pPr>
    </w:p>
    <w:p>
      <w:pPr>
        <w:ind w:left="5740"/>
        <w:spacing w:after="0"/>
        <w:tabs>
          <w:tab w:leader="none" w:pos="8280" w:val="left"/>
          <w:tab w:leader="none" w:pos="854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tab/>
        <w:t>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24765</wp:posOffset>
            </wp:positionV>
            <wp:extent cx="319214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2145" cy="6350"/>
                    </a:xfrm>
                    <a:prstGeom prst="rect">
                      <a:avLst/>
                    </a:prstGeom>
                    <a:noFill/>
                  </pic:spPr>
                </pic:pic>
              </a:graphicData>
            </a:graphic>
          </wp:anchor>
        </w:drawing>
      </w:r>
    </w:p>
    <w:p>
      <w:pPr>
        <w:spacing w:after="0" w:line="3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2"/>
          <w:szCs w:val="12"/>
          <w:b w:val="1"/>
          <w:bCs w:val="1"/>
          <w:color w:val="auto"/>
        </w:rPr>
        <w:t>Ken Goldman, Chief Financial Officer</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95" w:lineRule="exact"/>
        <w:rPr>
          <w:sz w:val="20"/>
          <w:szCs w:val="20"/>
          <w:color w:val="auto"/>
        </w:rPr>
      </w:pPr>
    </w:p>
    <w:p>
      <w:pPr>
        <w:ind w:left="60" w:firstLine="434"/>
        <w:spacing w:after="0" w:line="260"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Ken Xie and Ken Goldman, jointly and severally, his attorney-in-fact, with the power of substitution, for him in any and all capacities, to sign any amendments to this Annual Report on Form 10-K and to file the same, with exhibits thereto and other documents in connection therewith, with the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 Exchange Commission, hereby ratifying and confirming all that each of said attorneys-in-fact, or his substitute or substitutes, may do or cause to be done by virtue 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Pursuant to the requir 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tcPr>
          <w:p>
            <w:pPr>
              <w:jc w:val="center"/>
              <w:ind w:right="1760"/>
              <w:spacing w:after="0"/>
              <w:rPr>
                <w:sz w:val="20"/>
                <w:szCs w:val="20"/>
                <w:color w:val="auto"/>
              </w:rPr>
            </w:pPr>
            <w:r>
              <w:rPr>
                <w:rFonts w:ascii="Times New Roman" w:cs="Times New Roman" w:eastAsia="Times New Roman" w:hAnsi="Times New Roman"/>
                <w:sz w:val="13"/>
                <w:szCs w:val="13"/>
                <w:color w:val="auto"/>
              </w:rPr>
              <w:t>Signature</w:t>
            </w:r>
          </w:p>
        </w:tc>
        <w:tc>
          <w:tcPr>
            <w:tcW w:w="4700" w:type="dxa"/>
            <w:vAlign w:val="bottom"/>
            <w:gridSpan w:val="3"/>
          </w:tcPr>
          <w:p>
            <w:pPr>
              <w:ind w:left="26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72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00" w:type="dxa"/>
            <w:vAlign w:val="bottom"/>
            <w:gridSpan w:val="4"/>
          </w:tcPr>
          <w:p>
            <w:pPr>
              <w:ind w:left="1520"/>
              <w:spacing w:after="0"/>
              <w:rPr>
                <w:sz w:val="20"/>
                <w:szCs w:val="20"/>
                <w:color w:val="auto"/>
              </w:rPr>
            </w:pPr>
            <w:r>
              <w:rPr>
                <w:rFonts w:ascii="Times New Roman" w:cs="Times New Roman" w:eastAsia="Times New Roman" w:hAnsi="Times New Roman"/>
                <w:sz w:val="13"/>
                <w:szCs w:val="13"/>
                <w:color w:val="auto"/>
              </w:rPr>
              <w:t>/s/  Ken Xie</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tc>
        <w:tc>
          <w:tcPr>
            <w:tcW w:w="2720" w:type="dxa"/>
            <w:vAlign w:val="bottom"/>
            <w:vMerge w:val="restart"/>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1740"/>
              <w:spacing w:after="0"/>
              <w:rPr>
                <w:sz w:val="20"/>
                <w:szCs w:val="20"/>
                <w:color w:val="auto"/>
              </w:rPr>
            </w:pPr>
            <w:r>
              <w:rPr>
                <w:rFonts w:ascii="Times New Roman" w:cs="Times New Roman" w:eastAsia="Times New Roman" w:hAnsi="Times New Roman"/>
                <w:sz w:val="13"/>
                <w:szCs w:val="13"/>
                <w:b w:val="1"/>
                <w:bCs w:val="1"/>
                <w:color w:val="auto"/>
                <w:w w:val="97"/>
              </w:rPr>
              <w:t>Ken Xie</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Ken Goldman</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Chief Financial Officer</w:t>
            </w:r>
          </w:p>
        </w:tc>
        <w:tc>
          <w:tcPr>
            <w:tcW w:w="2720" w:type="dxa"/>
            <w:vAlign w:val="bottom"/>
            <w:vMerge w:val="restart"/>
          </w:tcPr>
          <w:p>
            <w:pPr>
              <w:ind w:left="1760"/>
              <w:spacing w:after="0"/>
              <w:rPr>
                <w:sz w:val="20"/>
                <w:szCs w:val="20"/>
                <w:color w:val="auto"/>
              </w:rPr>
            </w:pPr>
            <w:r>
              <w:rPr>
                <w:rFonts w:ascii="Times New Roman" w:cs="Times New Roman" w:eastAsia="Times New Roman" w:hAnsi="Times New Roman"/>
                <w:sz w:val="13"/>
                <w:szCs w:val="13"/>
                <w:color w:val="auto"/>
                <w:w w:val="98"/>
              </w:rPr>
              <w:t>February 25, 2011</w:t>
            </w: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Ken Goldman</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1420"/>
              <w:spacing w:after="0"/>
              <w:rPr>
                <w:sz w:val="20"/>
                <w:szCs w:val="20"/>
                <w:color w:val="auto"/>
              </w:rPr>
            </w:pPr>
            <w:r>
              <w:rPr>
                <w:rFonts w:ascii="Times New Roman" w:cs="Times New Roman" w:eastAsia="Times New Roman" w:hAnsi="Times New Roman"/>
                <w:sz w:val="13"/>
                <w:szCs w:val="13"/>
                <w:color w:val="auto"/>
                <w:w w:val="97"/>
              </w:rPr>
              <w:t>/s/</w:t>
            </w: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color w:val="auto"/>
                <w:w w:val="98"/>
              </w:rPr>
              <w:t>Michael Xie</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Chief Technical Officer and 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Michael Xie</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/s/</w:t>
            </w:r>
          </w:p>
        </w:tc>
        <w:tc>
          <w:tcPr>
            <w:tcW w:w="2440" w:type="dxa"/>
            <w:vAlign w:val="bottom"/>
            <w:gridSpan w:val="3"/>
          </w:tcPr>
          <w:p>
            <w:pPr>
              <w:jc w:val="center"/>
              <w:ind w:right="1580"/>
              <w:spacing w:after="0"/>
              <w:rPr>
                <w:sz w:val="20"/>
                <w:szCs w:val="20"/>
                <w:color w:val="auto"/>
              </w:rPr>
            </w:pPr>
            <w:r>
              <w:rPr>
                <w:rFonts w:ascii="Times New Roman" w:cs="Times New Roman" w:eastAsia="Times New Roman" w:hAnsi="Times New Roman"/>
                <w:sz w:val="13"/>
                <w:szCs w:val="13"/>
                <w:color w:val="auto"/>
              </w:rPr>
              <w:t>Pehong Chen</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w w:val="99"/>
              </w:rPr>
              <w:t>Pehong Chen</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/s/</w:t>
            </w: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color w:val="auto"/>
                <w:w w:val="99"/>
              </w:rPr>
              <w:t>Hong Liang Lu</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w w:val="98"/>
              </w:rPr>
              <w:t>Hong Liang Lu</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1420"/>
              <w:spacing w:after="0"/>
              <w:rPr>
                <w:sz w:val="20"/>
                <w:szCs w:val="20"/>
                <w:color w:val="auto"/>
              </w:rPr>
            </w:pPr>
            <w:r>
              <w:rPr>
                <w:rFonts w:ascii="Times New Roman" w:cs="Times New Roman" w:eastAsia="Times New Roman" w:hAnsi="Times New Roman"/>
                <w:sz w:val="13"/>
                <w:szCs w:val="13"/>
                <w:color w:val="auto"/>
                <w:w w:val="97"/>
              </w:rPr>
              <w:t>/s/</w:t>
            </w:r>
          </w:p>
        </w:tc>
        <w:tc>
          <w:tcPr>
            <w:tcW w:w="2440" w:type="dxa"/>
            <w:vAlign w:val="bottom"/>
            <w:gridSpan w:val="3"/>
          </w:tcPr>
          <w:p>
            <w:pPr>
              <w:jc w:val="center"/>
              <w:ind w:right="1580"/>
              <w:spacing w:after="0"/>
              <w:rPr>
                <w:sz w:val="20"/>
                <w:szCs w:val="20"/>
                <w:color w:val="auto"/>
              </w:rPr>
            </w:pPr>
            <w:r>
              <w:rPr>
                <w:rFonts w:ascii="Times New Roman" w:cs="Times New Roman" w:eastAsia="Times New Roman" w:hAnsi="Times New Roman"/>
                <w:sz w:val="13"/>
                <w:szCs w:val="13"/>
                <w:color w:val="auto"/>
                <w:w w:val="99"/>
              </w:rPr>
              <w:t>Greg Myers</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Greg Myers</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&amp;nb sp;</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4000" w:type="dxa"/>
            <w:vAlign w:val="bottom"/>
            <w:gridSpan w:val="4"/>
          </w:tcPr>
          <w:p>
            <w:pPr>
              <w:ind w:left="1160"/>
              <w:spacing w:after="0"/>
              <w:rPr>
                <w:sz w:val="20"/>
                <w:szCs w:val="20"/>
                <w:color w:val="auto"/>
              </w:rPr>
            </w:pPr>
            <w:r>
              <w:rPr>
                <w:rFonts w:ascii="Times New Roman" w:cs="Times New Roman" w:eastAsia="Times New Roman" w:hAnsi="Times New Roman"/>
                <w:sz w:val="13"/>
                <w:szCs w:val="13"/>
                <w:color w:val="auto"/>
              </w:rPr>
              <w:t>/s/  Christopher B. Paisley</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Christopher B. Paisley</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56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/s/</w:t>
            </w: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color w:val="auto"/>
                <w:w w:val="98"/>
              </w:rPr>
              <w:t>John Walecka</w:t>
            </w:r>
          </w:p>
        </w:tc>
        <w:tc>
          <w:tcPr>
            <w:tcW w:w="47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Non-Executive Chairman of the Board and Director</w:t>
            </w:r>
          </w:p>
        </w:tc>
        <w:tc>
          <w:tcPr>
            <w:tcW w:w="27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February 25, 2011</w:t>
            </w:r>
          </w:p>
        </w:tc>
        <w:tc>
          <w:tcPr>
            <w:tcW w:w="0" w:type="dxa"/>
            <w:vAlign w:val="bottom"/>
          </w:tcPr>
          <w:p>
            <w:pPr>
              <w:spacing w:after="0"/>
              <w:rPr>
                <w:sz w:val="1"/>
                <w:szCs w:val="1"/>
                <w:color w:val="auto"/>
              </w:rPr>
            </w:pP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440" w:type="dxa"/>
            <w:vAlign w:val="bottom"/>
            <w:gridSpan w:val="3"/>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John Walecka</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8"/>
        </w:trPr>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97</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124"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00" w:type="dxa"/>
            <w:vAlign w:val="bottom"/>
            <w:gridSpan w:val="2"/>
          </w:tcPr>
          <w:p>
            <w:pPr>
              <w:jc w:val="center"/>
              <w:ind w:right="3308"/>
              <w:spacing w:after="0"/>
              <w:rPr>
                <w:sz w:val="20"/>
                <w:szCs w:val="20"/>
                <w:color w:val="auto"/>
              </w:rPr>
            </w:pPr>
            <w:r>
              <w:rPr>
                <w:rFonts w:ascii="Times New Roman" w:cs="Times New Roman" w:eastAsia="Times New Roman" w:hAnsi="Times New Roman"/>
                <w:sz w:val="10"/>
                <w:szCs w:val="10"/>
                <w:color w:val="0000FF"/>
              </w:rPr>
              <w:t>Table of Contents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gridSpan w:val="4"/>
          </w:tcPr>
          <w:p>
            <w:pPr>
              <w:jc w:val="center"/>
              <w:ind w:right="3148"/>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207"/>
        </w:trPr>
        <w:tc>
          <w:tcPr>
            <w:tcW w:w="9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940" w:type="dxa"/>
            <w:vAlign w:val="bottom"/>
            <w:vMerge w:val="restart"/>
          </w:tcPr>
          <w:p>
            <w:pPr>
              <w:ind w:left="17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vMerge w:val="restart"/>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rPr>
              <w:t>Incorporated by reference herein</w:t>
            </w:r>
          </w:p>
        </w:tc>
        <w:tc>
          <w:tcPr>
            <w:tcW w:w="0" w:type="dxa"/>
            <w:vAlign w:val="bottom"/>
          </w:tcPr>
          <w:p>
            <w:pPr>
              <w:spacing w:after="0"/>
              <w:rPr>
                <w:sz w:val="1"/>
                <w:szCs w:val="1"/>
                <w:color w:val="auto"/>
              </w:rPr>
            </w:pPr>
          </w:p>
        </w:tc>
      </w:tr>
      <w:tr>
        <w:trPr>
          <w:trHeight w:val="141"/>
        </w:trPr>
        <w:tc>
          <w:tcPr>
            <w:tcW w:w="9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rPr>
              <w:t>Form</w:t>
            </w:r>
          </w:p>
        </w:tc>
        <w:tc>
          <w:tcPr>
            <w:tcW w:w="0" w:type="dxa"/>
            <w:vAlign w:val="bottom"/>
          </w:tcPr>
          <w:p>
            <w:pPr>
              <w:spacing w:after="0"/>
              <w:rPr>
                <w:sz w:val="1"/>
                <w:szCs w:val="1"/>
                <w:color w:val="auto"/>
              </w:rPr>
            </w:pPr>
          </w:p>
        </w:tc>
      </w:tr>
      <w:tr>
        <w:trPr>
          <w:trHeight w:val="235"/>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Amended and Restated Certificate of Incorporation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 File No. 333-161190)</w:t>
            </w:r>
          </w:p>
        </w:tc>
        <w:tc>
          <w:tcPr>
            <w:tcW w:w="0" w:type="dxa"/>
            <w:vAlign w:val="bottom"/>
          </w:tcPr>
          <w:p>
            <w:pPr>
              <w:spacing w:after="0"/>
              <w:rPr>
                <w:sz w:val="1"/>
                <w:szCs w:val="1"/>
                <w:color w:val="auto"/>
              </w:rPr>
            </w:pPr>
          </w:p>
        </w:tc>
      </w:tr>
      <w:tr>
        <w:trPr>
          <w:trHeight w:val="207"/>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Amended and Restated Bylaws</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0"/>
                <w:szCs w:val="10"/>
                <w:color w:val="auto"/>
              </w:rPr>
              <w:t>&lt;</w:t>
            </w:r>
          </w:p>
        </w:tc>
        <w:tc>
          <w:tcPr>
            <w:tcW w:w="80" w:type="dxa"/>
            <w:vAlign w:val="bottom"/>
          </w:tcPr>
          <w:p>
            <w:pPr>
              <w:spacing w:after="0"/>
              <w:rPr>
                <w:sz w:val="18"/>
                <w:szCs w:val="18"/>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/div&gt;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Specimen c ommon stock certificate of the Company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07"/>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Third Amended and Restated Investors Rights Agreement, dated as of February 24, 2004,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between the Company and certain holders of the Company’s capital stock named therein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10.1</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Forms of Indemnification Agreement between the Company and its directors and officers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10.2</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2000 Stock Plan and forms of agreement thereunder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10.3</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2008 Stock Plan and forms of agreement thereunder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10.4</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2009 Equity Incentive Plan and forms of restricted stock unit award and restricted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90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agreement thereunder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10.5</w:t>
            </w:r>
            <w:r>
              <w:rPr>
                <w:rFonts w:ascii="Times New Roman" w:cs="Times New Roman" w:eastAsia="Times New Roman" w:hAnsi="Times New Roman"/>
                <w:sz w:val="6"/>
                <w:szCs w:val="6"/>
                <w:color w:val="auto"/>
              </w:rPr>
              <w:t>†*</w:t>
            </w:r>
          </w:p>
        </w:tc>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Forms of stock option agreement under 2009 Equity Incentive Plan</w:t>
            </w:r>
          </w:p>
        </w:tc>
        <w:tc>
          <w:tcPr>
            <w:tcW w:w="1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&amp;nb</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10.6</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Separation and Change of Control Agreement, dated as of August 7, 2009, between the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Company and Ken Xie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10.7</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Separation and Change of Control Agreement, dated as of August 7, 2009, between the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Company and Michael Xie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10.8</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Separation and Change of Control Agreement, dated as of August 7, 2009, between the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Company and Ken Goldman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10.9</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Separation and Change of Control Agreement, dated as of August 7, 2009, between the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6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Company and John Whittle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10.10</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Offer Letter, dated as of August 31, 2007, by and between the Company and Ken Goldman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10.11</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Offer Letter, dated as of August 31, 2007, by and between the Company and John Whittle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3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10.12</w:t>
            </w:r>
            <w:r>
              <w:rPr>
                <w:rFonts w:ascii="Times New Roman" w:cs="Times New Roman" w:eastAsia="Times New Roman" w:hAnsi="Times New Roman"/>
                <w:sz w:val="6"/>
                <w:szCs w:val="6"/>
                <w:color w:val="auto"/>
              </w:rPr>
              <w:t>†</w:t>
            </w: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Form of Change of Control Agreement between the Company and its non-executive officers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333-161190)</w:t>
            </w:r>
          </w:p>
        </w:tc>
        <w:tc>
          <w:tcPr>
            <w:tcW w:w="0" w:type="dxa"/>
            <w:vAlign w:val="bottom"/>
          </w:tcPr>
          <w:p>
            <w:pPr>
              <w:spacing w:after="0"/>
              <w:rPr>
                <w:sz w:val="1"/>
                <w:szCs w:val="1"/>
                <w:color w:val="auto"/>
              </w:rPr>
            </w:pPr>
          </w:p>
        </w:tc>
      </w:tr>
      <w:tr>
        <w:trPr>
          <w:trHeight w:val="235"/>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10.13</w:t>
            </w:r>
          </w:p>
        </w:tc>
        <w:tc>
          <w:tcPr>
            <w:tcW w:w="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Fortinet, Inc. Bonus Plan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Current Report on Form 8-K</w:t>
            </w:r>
          </w:p>
        </w:tc>
        <w:tc>
          <w:tcPr>
            <w:tcW w:w="0" w:type="dxa"/>
            <w:vAlign w:val="bottom"/>
          </w:tcPr>
          <w:p>
            <w:pPr>
              <w:spacing w:after="0"/>
              <w:rPr>
                <w:sz w:val="1"/>
                <w:szCs w:val="1"/>
                <w:color w:val="auto"/>
              </w:rPr>
            </w:pPr>
          </w:p>
        </w:tc>
      </w:tr>
      <w:tr>
        <w:trPr>
          <w:trHeight w:val="235"/>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21.1</w:t>
            </w:r>
          </w:p>
        </w:tc>
        <w:tc>
          <w:tcPr>
            <w:tcW w:w="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List of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Registration Statement on Form S-l, as amended (File No. 001-34511)</w:t>
            </w:r>
          </w:p>
        </w:tc>
        <w:tc>
          <w:tcPr>
            <w:tcW w:w="0" w:type="dxa"/>
            <w:vAlign w:val="bottom"/>
          </w:tcPr>
          <w:p>
            <w:pPr>
              <w:spacing w:after="0"/>
              <w:rPr>
                <w:sz w:val="1"/>
                <w:szCs w:val="1"/>
                <w:color w:val="auto"/>
              </w:rPr>
            </w:pPr>
          </w:p>
        </w:tc>
      </w:tr>
      <w:tr>
        <w:trPr>
          <w:trHeight w:val="235"/>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23.1*</w:t>
            </w:r>
          </w:p>
        </w:tc>
        <w:tc>
          <w:tcPr>
            <w:tcW w:w="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Consent of Independent Registered Public Accounting Firm</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24.1*</w:t>
            </w:r>
          </w:p>
        </w:tc>
        <w:tc>
          <w:tcPr>
            <w:tcW w:w="10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Power of Attorney (incorporated by reference to the signature page of this Annual Report on</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Form 10-K)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31.1*</w:t>
            </w:r>
          </w:p>
        </w:tc>
        <w:tc>
          <w:tcPr>
            <w:tcW w:w="100" w:type="dxa"/>
            <w:vAlign w:val="bottom"/>
          </w:tcPr>
          <w:p>
            <w:pPr>
              <w:spacing w:after="0"/>
              <w:rPr>
                <w:sz w:val="21"/>
                <w:szCs w:val="21"/>
                <w:color w:val="auto"/>
              </w:rPr>
            </w:pPr>
          </w:p>
        </w:tc>
        <w:tc>
          <w:tcPr>
            <w:tcW w:w="8560" w:type="dxa"/>
            <w:vAlign w:val="bottom"/>
            <w:gridSpan w:val="7"/>
          </w:tcPr>
          <w:p>
            <w:pPr>
              <w:ind w:left="40"/>
              <w:spacing w:after="0"/>
              <w:rPr>
                <w:sz w:val="20"/>
                <w:szCs w:val="20"/>
                <w:color w:val="auto"/>
              </w:rPr>
            </w:pPr>
            <w:r>
              <w:rPr>
                <w:rFonts w:ascii="Times New Roman" w:cs="Times New Roman" w:eastAsia="Times New Roman" w:hAnsi="Times New Roman"/>
                <w:sz w:val="10"/>
                <w:szCs w:val="10"/>
                <w:color w:val="auto"/>
              </w:rPr>
              <w:t>Certification of Chief Executive Officer pursuant to Exchange Act Rules 13a-14 (a) and 15d-14(a), as adopted pursuant to Section 302 of the Sarbanes-Oxley Act of 2002</w:t>
            </w:r>
          </w:p>
        </w:tc>
        <w:tc>
          <w:tcPr>
            <w:tcW w:w="0" w:type="dxa"/>
            <w:vAlign w:val="bottom"/>
          </w:tcPr>
          <w:p>
            <w:pPr>
              <w:spacing w:after="0"/>
              <w:rPr>
                <w:sz w:val="1"/>
                <w:szCs w:val="1"/>
                <w:color w:val="auto"/>
              </w:rPr>
            </w:pPr>
          </w:p>
        </w:tc>
      </w:tr>
      <w:tr>
        <w:trPr>
          <w:trHeight w:val="284"/>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31.2*</w:t>
            </w:r>
          </w:p>
        </w:tc>
        <w:tc>
          <w:tcPr>
            <w:tcW w:w="100" w:type="dxa"/>
            <w:vAlign w:val="bottom"/>
          </w:tcPr>
          <w:p>
            <w:pPr>
              <w:spacing w:after="0"/>
              <w:rPr>
                <w:sz w:val="24"/>
                <w:szCs w:val="24"/>
                <w:color w:val="auto"/>
              </w:rPr>
            </w:pPr>
          </w:p>
        </w:tc>
        <w:tc>
          <w:tcPr>
            <w:tcW w:w="8560" w:type="dxa"/>
            <w:vAlign w:val="bottom"/>
            <w:gridSpan w:val="7"/>
          </w:tcPr>
          <w:p>
            <w:pPr>
              <w:ind w:left="40"/>
              <w:spacing w:after="0"/>
              <w:rPr>
                <w:sz w:val="20"/>
                <w:szCs w:val="20"/>
                <w:color w:val="auto"/>
              </w:rPr>
            </w:pPr>
            <w:r>
              <w:rPr>
                <w:rFonts w:ascii="Times New Roman" w:cs="Times New Roman" w:eastAsia="Times New Roman" w:hAnsi="Times New Roman"/>
                <w:sz w:val="10"/>
                <w:szCs w:val="10"/>
                <w:color w:val="auto"/>
              </w:rPr>
              <w:t>Certification of Chief Financial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284"/>
        </w:trPr>
        <w:tc>
          <w:tcPr>
            <w:tcW w:w="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32.1*</w:t>
            </w:r>
          </w:p>
        </w:tc>
        <w:tc>
          <w:tcPr>
            <w:tcW w:w="100" w:type="dxa"/>
            <w:vAlign w:val="bottom"/>
          </w:tcPr>
          <w:p>
            <w:pPr>
              <w:spacing w:after="0"/>
              <w:rPr>
                <w:sz w:val="24"/>
                <w:szCs w:val="24"/>
                <w:color w:val="auto"/>
              </w:rPr>
            </w:pPr>
          </w:p>
        </w:tc>
        <w:tc>
          <w:tcPr>
            <w:tcW w:w="8560" w:type="dxa"/>
            <w:vAlign w:val="bottom"/>
            <w:gridSpan w:val="7"/>
          </w:tcPr>
          <w:p>
            <w:pPr>
              <w:ind w:left="40"/>
              <w:spacing w:after="0"/>
              <w:rPr>
                <w:sz w:val="20"/>
                <w:szCs w:val="20"/>
                <w:color w:val="auto"/>
              </w:rPr>
            </w:pPr>
            <w:r>
              <w:rPr>
                <w:rFonts w:ascii="Times New Roman" w:cs="Times New Roman" w:eastAsia="Times New Roman" w:hAnsi="Times New Roman"/>
                <w:sz w:val="10"/>
                <w:szCs w:val="10"/>
                <w:color w:val="auto"/>
              </w:rPr>
              <w:t>Certifications of Chief Executive Officer and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620" w:type="dxa"/>
            <w:vAlign w:val="bottom"/>
            <w:gridSpan w:val="6"/>
          </w:tcPr>
          <w:p>
            <w:pPr>
              <w:jc w:val="center"/>
              <w:ind w:right="2788"/>
              <w:spacing w:after="0"/>
              <w:rPr>
                <w:sz w:val="20"/>
                <w:szCs w:val="20"/>
                <w:color w:val="auto"/>
              </w:rPr>
            </w:pPr>
            <w:r>
              <w:rPr>
                <w:rFonts w:ascii="Times New Roman" w:cs="Times New Roman" w:eastAsia="Times New Roman" w:hAnsi="Times New Roman"/>
                <w:sz w:val="10"/>
                <w:szCs w:val="10"/>
                <w:color w:val="auto"/>
              </w:rPr>
              <w:t>________________________________</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0"/>
          <w:szCs w:val="10"/>
          <w:color w:val="auto"/>
        </w:rPr>
        <w:t>Indicates management compensatory plan, contract or arrangement.</w:t>
      </w:r>
    </w:p>
    <w:p>
      <w:pPr>
        <w:spacing w:after="0" w:line="26"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0"/>
          <w:szCs w:val="10"/>
          <w:color w:val="auto"/>
        </w:rPr>
        <w:t>Filed herewith.</w:t>
      </w: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-91440</wp:posOffset>
            </wp:positionV>
            <wp:extent cx="107442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131" w:lineRule="exact"/>
        <w:rPr>
          <w:sz w:val="20"/>
          <w:szCs w:val="20"/>
          <w:color w:val="auto"/>
        </w:rPr>
      </w:pPr>
    </w:p>
    <w:p>
      <w:pPr>
        <w:ind w:left="20" w:right="100"/>
        <w:spacing w:after="0" w:line="531" w:lineRule="auto"/>
        <w:rPr>
          <w:sz w:val="20"/>
          <w:szCs w:val="20"/>
          <w:color w:val="auto"/>
        </w:rPr>
      </w:pPr>
      <w:r>
        <w:rPr>
          <w:rFonts w:ascii="Times New Roman" w:cs="Times New Roman" w:eastAsia="Times New Roman" w:hAnsi="Times New Roman"/>
          <w:sz w:val="10"/>
          <w:szCs w:val="10"/>
          <w:color w:val="auto"/>
        </w:rPr>
        <w:t>August 10, 2009 August 10, 2009</w:t>
      </w:r>
    </w:p>
    <w:p>
      <w:pPr>
        <w:spacing w:after="0" w:line="68" w:lineRule="exact"/>
        <w:rPr>
          <w:sz w:val="20"/>
          <w:szCs w:val="20"/>
          <w:color w:val="auto"/>
        </w:rPr>
      </w:pPr>
    </w:p>
    <w:p>
      <w:pPr>
        <w:ind w:left="20"/>
        <w:spacing w:after="0" w:line="531" w:lineRule="auto"/>
        <w:rPr>
          <w:sz w:val="20"/>
          <w:szCs w:val="20"/>
          <w:color w:val="auto"/>
        </w:rPr>
      </w:pPr>
      <w:r>
        <w:rPr>
          <w:rFonts w:ascii="Times New Roman" w:cs="Times New Roman" w:eastAsia="Times New Roman" w:hAnsi="Times New Roman"/>
          <w:sz w:val="10"/>
          <w:szCs w:val="10"/>
          <w:color w:val="auto"/>
        </w:rPr>
        <w:t>November 2, 2009 August 10, 2009</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January 26, 2010</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August 10, 2009</w:t>
      </w:r>
    </w:p>
    <w:p>
      <w:pPr>
        <w:sectPr>
          <w:pgSz w:w="11900" w:h="16838" w:orient="portrait"/>
          <w:cols w:equalWidth="0" w:num="2">
            <w:col w:w="9460" w:space="320"/>
            <w:col w:w="800"/>
          </w:cols>
          <w:pgMar w:left="220" w:top="122" w:right="10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138430</wp:posOffset>
            </wp:positionH>
            <wp:positionV relativeFrom="page">
              <wp:posOffset>325120</wp:posOffset>
            </wp:positionV>
            <wp:extent cx="1478280" cy="205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78280" cy="205105"/>
                    </a:xfrm>
                    <a:prstGeom prst="rect">
                      <a:avLst/>
                    </a:prstGeom>
                    <a:noFill/>
                  </pic:spPr>
                </pic:pic>
              </a:graphicData>
            </a:graphic>
          </wp:anchor>
        </w:drawing>
        <w:t>Exhibit 10.5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2009 EQUITY INCENTIVE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 AWARD AGREEMENT</w:t>
      </w:r>
    </w:p>
    <w:p>
      <w:pPr>
        <w:spacing w:after="0" w:line="181"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Unless otherwise defined herein, the terms defined in the Fortinet, Inc. 2009 Equity Incentive Plan (the “Plan”) will have the same defined meanings in this Stock Option Award Agreement (the “Award Agreement”).</w:t>
      </w:r>
    </w:p>
    <w:p>
      <w:pPr>
        <w:spacing w:after="0" w:line="147" w:lineRule="exact"/>
        <w:rPr>
          <w:sz w:val="20"/>
          <w:szCs w:val="20"/>
          <w:color w:val="auto"/>
        </w:rPr>
      </w:pPr>
    </w:p>
    <w:p>
      <w:pPr>
        <w:ind w:left="240"/>
        <w:spacing w:after="0"/>
        <w:tabs>
          <w:tab w:leader="none" w:pos="800" w:val="left"/>
        </w:tabs>
        <w:rPr>
          <w:sz w:val="20"/>
          <w:szCs w:val="20"/>
          <w:color w:val="auto"/>
        </w:rPr>
      </w:pPr>
      <w:r>
        <w:rPr>
          <w:rFonts w:ascii="Times New Roman" w:cs="Times New Roman" w:eastAsia="Times New Roman" w:hAnsi="Times New Roman"/>
          <w:sz w:val="13"/>
          <w:szCs w:val="13"/>
          <w:color w:val="auto"/>
        </w:rPr>
        <w:t>I.&amp;n bsp;</w:t>
      </w:r>
      <w:r>
        <w:rPr>
          <w:sz w:val="20"/>
          <w:szCs w:val="20"/>
          <w:color w:val="auto"/>
        </w:rPr>
        <w:tab/>
      </w:r>
      <w:r>
        <w:rPr>
          <w:rFonts w:ascii="Times New Roman" w:cs="Times New Roman" w:eastAsia="Times New Roman" w:hAnsi="Times New Roman"/>
          <w:sz w:val="13"/>
          <w:szCs w:val="13"/>
          <w:b w:val="1"/>
          <w:bCs w:val="1"/>
          <w:u w:val="single" w:color="auto"/>
          <w:color w:val="auto"/>
        </w:rPr>
        <w:t>NOTICE OF STOCK OPTION GRANT</w:t>
      </w: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color w:val="auto"/>
        </w:rPr>
        <w:t>Partici pant Name:</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color w:val="auto"/>
        </w:rPr>
        <w:t>Address: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You have been granted an Option to purchase Common Stock of Fortinet, Inc. (the “Company”), subject to the terms and conditions of the Plan and this Award Agreement, as follows:</w:t>
      </w: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Grant Number:</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Date of Grant:</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Vesting Commencement Date:</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Exercise Price per share:</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Total Number of Shares Granted:</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Total Exercise Price:</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Type of Option:</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Term/Expiration Date: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Vesting Schedule</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Subject to any acceleration provisions contained in the Plan or set forth below, this Option may be exercised, in whole or in part, in accordance with the following schedule:</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14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Shares Vesting *</w:t>
            </w: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Vest Type</w:t>
            </w:r>
          </w:p>
        </w:tc>
        <w:tc>
          <w:tcPr>
            <w:tcW w:w="21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Begin Vest Date</w:t>
            </w: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End Vest Date</w:t>
            </w:r>
          </w:p>
        </w:tc>
      </w:tr>
      <w:tr>
        <w:trPr>
          <w:trHeight w:val="20"/>
        </w:trPr>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88"/>
        </w:trPr>
        <w:tc>
          <w:tcPr>
            <w:tcW w:w="2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FFFFFF"/>
              </w:rPr>
              <w:t>!Undefined Bookmark, SHARES_PE</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FFFFFF"/>
              </w:rPr>
              <w:t>7/6/2014</w:t>
            </w:r>
          </w:p>
        </w:tc>
        <w:tc>
          <w:tcPr>
            <w:tcW w:w="800" w:type="dxa"/>
            <w:vAlign w:val="bottom"/>
          </w:tcPr>
          <w:p>
            <w:pPr>
              <w:spacing w:after="0"/>
              <w:rPr>
                <w:sz w:val="24"/>
                <w:szCs w:val="24"/>
                <w:color w:val="auto"/>
              </w:rPr>
            </w:pPr>
          </w:p>
        </w:tc>
      </w:tr>
      <w:tr>
        <w:trPr>
          <w:trHeight w:val="196"/>
        </w:trPr>
        <w:tc>
          <w:tcPr>
            <w:tcW w:w="2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FFFFFF"/>
              </w:rPr>
              <w:t>!Undefined Bookmark, SHARES_PE</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86" w:lineRule="exact"/>
        <w:rPr>
          <w:sz w:val="20"/>
          <w:szCs w:val="20"/>
          <w:color w:val="auto"/>
        </w:rPr>
      </w:pPr>
    </w:p>
    <w:p>
      <w:pPr>
        <w:ind w:left="460" w:right="7520" w:firstLine="8"/>
        <w:spacing w:after="0" w:line="502" w:lineRule="auto"/>
        <w:tabs>
          <w:tab w:leader="none" w:pos="55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Total shares vesting from “Begin Vest Date” to “End Vest Date.” </w:t>
      </w:r>
      <w:r>
        <w:rPr>
          <w:rFonts w:ascii="Times New Roman" w:cs="Times New Roman" w:eastAsia="Times New Roman" w:hAnsi="Times New Roman"/>
          <w:sz w:val="13"/>
          <w:szCs w:val="13"/>
          <w:u w:val="single" w:color="auto"/>
          <w:color w:val="auto"/>
        </w:rPr>
        <w:t>Termination Period</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This Option will be exercisable for three (3) months after Participant ceases to be a Service Provider, unless such termination is due to Participant's death or Disability, in which case this Option will be exercisable for twelve (12) months after Participan t ceases to be Service Provider. Notwithstanding the foregoing, in no event may this Option be exercised after the Term/Expiration Date as provided above and may be subject to earlier termination as provided in Section 14(c) of the Plan.</w:t>
      </w:r>
    </w:p>
    <w:p>
      <w:pPr>
        <w:spacing w:after="0" w:line="129"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attached hereto as Exhibit A and the Additional Terms and Conditions of Stock Option Grant attached hereto as Exhibit B, all of which are made a part of this document. Participant has reviewed the Plan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1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819" w:right="21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3"/>
          <w:szCs w:val="13"/>
          <w:color w:val="auto"/>
        </w:rPr>
        <w:t>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 ons relating to the Plan and Award Agreement. Participant further agrees to notify the Company upon any change in the residence address indicated below.</w:t>
      </w:r>
    </w:p>
    <w:p>
      <w:pPr>
        <w:spacing w:after="0" w:line="9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3"/>
          <w:szCs w:val="13"/>
          <w:color w:val="auto"/>
        </w:rPr>
        <w:t>OPTIONEE:</w:t>
      </w:r>
      <w:r>
        <w:rPr>
          <w:sz w:val="20"/>
          <w:szCs w:val="20"/>
          <w:color w:val="auto"/>
        </w:rPr>
        <w:tab/>
      </w:r>
      <w:r>
        <w:rPr>
          <w:rFonts w:ascii="Times New Roman" w:cs="Times New Roman" w:eastAsia="Times New Roman" w:hAnsi="Times New Roman"/>
          <w:sz w:val="13"/>
          <w:szCs w:val="13"/>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28472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6350"/>
                    </a:xfrm>
                    <a:prstGeom prst="rect">
                      <a:avLst/>
                    </a:prstGeom>
                    <a:noFill/>
                  </pic:spPr>
                </pic:pic>
              </a:graphicData>
            </a:graphic>
          </wp:anchor>
        </w:drawing>
      </w:r>
    </w:p>
    <w:p>
      <w:pPr>
        <w:spacing w:after="0" w:line="3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459740</wp:posOffset>
            </wp:positionV>
            <wp:extent cx="728472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1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655" w:right="219" w:bottom="1440" w:gutter="0" w:footer="0" w:header="0"/>
        </w:sectPr>
      </w:pPr>
    </w:p>
    <w:bookmarkStart w:id="101" w:name="page102"/>
    <w:bookmarkEnd w:id="101"/>
    <w:p>
      <w:pPr>
        <w:jc w:val="center"/>
        <w:ind w:right="-1"/>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27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TERMS AND CONDITIONS OF STOCK OPTION GRANT</w:t>
      </w:r>
    </w:p>
    <w:p>
      <w:pPr>
        <w:spacing w:after="0" w:line="224" w:lineRule="exact"/>
        <w:rPr>
          <w:sz w:val="20"/>
          <w:szCs w:val="20"/>
          <w:color w:val="auto"/>
        </w:rPr>
      </w:pPr>
    </w:p>
    <w:p>
      <w:pPr>
        <w:jc w:val="both"/>
        <w:ind w:left="2" w:firstLine="468"/>
        <w:spacing w:after="0" w:line="286" w:lineRule="auto"/>
        <w:tabs>
          <w:tab w:leader="none" w:pos="105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Grant of Option. The Company hereby grants to the individual named in the Notice of Grant attached as Part I of this Award Agreement (the “Participant”)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19 of the Plan, in the event of a conflict between the terms and conditions of the Plan and the terms and conditions of this Award Agreement, the terms and conditions of the Plan will prevail.</w:t>
      </w:r>
    </w:p>
    <w:p>
      <w:pPr>
        <w:spacing w:after="0" w:line="48" w:lineRule="exact"/>
        <w:rPr>
          <w:sz w:val="20"/>
          <w:szCs w:val="20"/>
          <w:color w:val="auto"/>
        </w:rPr>
      </w:pPr>
    </w:p>
    <w:p>
      <w:pPr>
        <w:jc w:val="both"/>
        <w:ind w:left="2" w:firstLine="469"/>
        <w:spacing w:after="0" w:line="258" w:lineRule="auto"/>
        <w:rPr>
          <w:sz w:val="20"/>
          <w:szCs w:val="20"/>
          <w:color w:val="auto"/>
        </w:rPr>
      </w:pPr>
      <w:r>
        <w:rPr>
          <w:rFonts w:ascii="Times New Roman" w:cs="Times New Roman" w:eastAsia="Times New Roman" w:hAnsi="Times New Roman"/>
          <w:sz w:val="13"/>
          <w:szCs w:val="13"/>
          <w:color w:val="auto"/>
        </w:rPr>
        <w:t>If designated in th e Notice of Grant as a U.S. Incentive Stock Option (“ISO”), this Option is intended to qualify as an ISO under Section 422 of the U.S. Internal Revenue Code of 1986, as amended (the “Code”). However, if this Option is intended to be an ISO, to the extent that it exceeds the US$100,000 rule of Code Section 422(d) it will be treated as a U.S. Nonstatutory Stock Option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 Participants employed outside the U.S. will be granted NSOs.</w:t>
      </w:r>
    </w:p>
    <w:p>
      <w:pPr>
        <w:spacing w:after="0" w:line="272" w:lineRule="exact"/>
        <w:rPr>
          <w:sz w:val="20"/>
          <w:szCs w:val="20"/>
          <w:color w:val="auto"/>
        </w:rPr>
      </w:pPr>
    </w:p>
    <w:p>
      <w:pPr>
        <w:jc w:val="both"/>
        <w:ind w:left="2" w:firstLine="468"/>
        <w:spacing w:after="0" w:line="280" w:lineRule="auto"/>
        <w:tabs>
          <w:tab w:leader="none" w:pos="1058"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Vesting Schedule</w:t>
      </w:r>
      <w:r>
        <w:rPr>
          <w:rFonts w:ascii="Times New Roman" w:cs="Times New Roman" w:eastAsia="Times New Roman" w:hAnsi="Times New Roman"/>
          <w:sz w:val="13"/>
          <w:szCs w:val="13"/>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9" w:lineRule="exact"/>
        <w:rPr>
          <w:rFonts w:ascii="Times New Roman" w:cs="Times New Roman" w:eastAsia="Times New Roman" w:hAnsi="Times New Roman"/>
          <w:sz w:val="16"/>
          <w:szCs w:val="16"/>
          <w:color w:val="auto"/>
        </w:rPr>
      </w:pPr>
    </w:p>
    <w:p>
      <w:pPr>
        <w:ind w:left="2" w:firstLine="468"/>
        <w:spacing w:after="0" w:line="272" w:lineRule="auto"/>
        <w:tabs>
          <w:tab w:leader="none" w:pos="1058"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Administrator Discretion</w:t>
      </w:r>
      <w:r>
        <w:rPr>
          <w:rFonts w:ascii="Times New Roman" w:cs="Times New Roman" w:eastAsia="Times New Roman" w:hAnsi="Times New Roman"/>
          <w:sz w:val="13"/>
          <w:szCs w:val="13"/>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3" w:lineRule="exact"/>
        <w:rPr>
          <w:rFonts w:ascii="Times New Roman" w:cs="Times New Roman" w:eastAsia="Times New Roman" w:hAnsi="Times New Roman"/>
          <w:sz w:val="16"/>
          <w:szCs w:val="16"/>
          <w:color w:val="auto"/>
        </w:rPr>
      </w:pPr>
    </w:p>
    <w:p>
      <w:pPr>
        <w:ind w:left="1062" w:hanging="592"/>
        <w:spacing w:after="0"/>
        <w:tabs>
          <w:tab w:leader="none" w:pos="106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Exercise of Option.</w:t>
      </w:r>
    </w:p>
    <w:p>
      <w:pPr>
        <w:spacing w:after="0" w:line="76"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 to Exercise</w:t>
      </w:r>
      <w:r>
        <w:rPr>
          <w:rFonts w:ascii="Times New Roman" w:cs="Times New Roman" w:eastAsia="Times New Roman" w:hAnsi="Times New Roman"/>
          <w:sz w:val="13"/>
          <w:szCs w:val="13"/>
          <w:color w:val="auto"/>
        </w:rPr>
        <w:t>. This Option may be exercised only within the term set out in the Notice of Grant, and may be exercised during such term only in accordance with the Plan and the terms of this Award Agreement.</w:t>
      </w:r>
    </w:p>
    <w:p>
      <w:pPr>
        <w:spacing w:after="0" w:line="85" w:lineRule="exact"/>
        <w:rPr>
          <w:rFonts w:ascii="Times New Roman" w:cs="Times New Roman" w:eastAsia="Times New Roman" w:hAnsi="Times New Roman"/>
          <w:sz w:val="13"/>
          <w:szCs w:val="13"/>
          <w:color w:val="auto"/>
        </w:rPr>
      </w:pPr>
    </w:p>
    <w:p>
      <w:pPr>
        <w:jc w:val="both"/>
        <w:ind w:left="2" w:firstLine="937"/>
        <w:spacing w:after="0" w:line="258" w:lineRule="auto"/>
        <w:tabs>
          <w:tab w:leader="none" w:pos="1242"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Method of Exercise</w:t>
      </w:r>
      <w:r>
        <w:rPr>
          <w:rFonts w:ascii="Times New Roman" w:cs="Times New Roman" w:eastAsia="Times New Roman" w:hAnsi="Times New Roman"/>
          <w:sz w:val="13"/>
          <w:szCs w:val="13"/>
          <w:color w:val="auto"/>
        </w:rPr>
        <w:t xml:space="preserve">. This Option is exercisable by delivery of an exercise notice, in the form attached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272" w:lineRule="exact"/>
        <w:rPr>
          <w:rFonts w:ascii="Times New Roman" w:cs="Times New Roman" w:eastAsia="Times New Roman" w:hAnsi="Times New Roman"/>
          <w:sz w:val="13"/>
          <w:szCs w:val="13"/>
          <w:color w:val="auto"/>
        </w:rPr>
      </w:pPr>
    </w:p>
    <w:p>
      <w:pPr>
        <w:ind w:left="2" w:firstLine="468"/>
        <w:spacing w:after="0" w:line="272" w:lineRule="auto"/>
        <w:tabs>
          <w:tab w:leader="none" w:pos="1058"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Method of Payment</w:t>
      </w:r>
      <w:r>
        <w:rPr>
          <w:rFonts w:ascii="Times New Roman" w:cs="Times New Roman" w:eastAsia="Times New Roman" w:hAnsi="Times New Roman"/>
          <w:sz w:val="13"/>
          <w:szCs w:val="13"/>
          <w:color w:val="auto"/>
        </w:rPr>
        <w:t xml:space="preserve">. Payment of the aggregate Exercise Price will be by any of the following, or a combination thereof, at the election of Participant, unless otherwise provided in the Additional Terms and Conditions of Stock Option Grant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w:t>
      </w:r>
    </w:p>
    <w:p>
      <w:pPr>
        <w:spacing w:after="0" w:line="52" w:lineRule="exact"/>
        <w:rPr>
          <w:rFonts w:ascii="Times New Roman" w:cs="Times New Roman" w:eastAsia="Times New Roman" w:hAnsi="Times New Roman"/>
          <w:sz w:val="16"/>
          <w:szCs w:val="16"/>
          <w:color w:val="auto"/>
        </w:rPr>
      </w:pPr>
    </w:p>
    <w:p>
      <w:pPr>
        <w:ind w:left="1222" w:hanging="283"/>
        <w:spacing w:after="0"/>
        <w:tabs>
          <w:tab w:leader="none" w:pos="1222" w:val="left"/>
        </w:tabs>
        <w:numPr>
          <w:ilvl w:val="2"/>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w:t>
      </w:r>
    </w:p>
    <w:p>
      <w:pPr>
        <w:spacing w:after="0" w:line="85" w:lineRule="exact"/>
        <w:rPr>
          <w:rFonts w:ascii="Times New Roman" w:cs="Times New Roman" w:eastAsia="Times New Roman" w:hAnsi="Times New Roman"/>
          <w:sz w:val="13"/>
          <w:szCs w:val="13"/>
          <w:color w:val="auto"/>
        </w:rPr>
      </w:pPr>
    </w:p>
    <w:p>
      <w:pPr>
        <w:ind w:left="1162" w:hanging="223"/>
        <w:spacing w:after="0"/>
        <w:tabs>
          <w:tab w:leader="none" w:pos="1162" w:val="left"/>
        </w:tabs>
        <w:numPr>
          <w:ilvl w:val="2"/>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&amp;nb sp; check;</w:t>
      </w:r>
    </w:p>
    <w:p>
      <w:pPr>
        <w:spacing w:after="0" w:line="85" w:lineRule="exact"/>
        <w:rPr>
          <w:rFonts w:ascii="Times New Roman" w:cs="Times New Roman" w:eastAsia="Times New Roman" w:hAnsi="Times New Roman"/>
          <w:sz w:val="13"/>
          <w:szCs w:val="13"/>
          <w:color w:val="auto"/>
        </w:rPr>
      </w:pPr>
    </w:p>
    <w:p>
      <w:pPr>
        <w:ind w:left="1222" w:hanging="283"/>
        <w:spacing w:after="0"/>
        <w:tabs>
          <w:tab w:leader="none" w:pos="1222" w:val="left"/>
        </w:tabs>
        <w:numPr>
          <w:ilvl w:val="2"/>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consideration received by the Company under a formal cashless exercise program adopted by the Company in connection with the Plan; or</w:t>
      </w:r>
    </w:p>
    <w:p>
      <w:pPr>
        <w:spacing w:after="0" w:line="85" w:lineRule="exact"/>
        <w:rPr>
          <w:rFonts w:ascii="Times New Roman" w:cs="Times New Roman" w:eastAsia="Times New Roman" w:hAnsi="Times New Roman"/>
          <w:sz w:val="13"/>
          <w:szCs w:val="13"/>
          <w:color w:val="auto"/>
        </w:rPr>
      </w:pPr>
    </w:p>
    <w:p>
      <w:pPr>
        <w:ind w:left="2" w:firstLine="937"/>
        <w:spacing w:after="0" w:line="281" w:lineRule="auto"/>
        <w:tabs>
          <w:tab w:leader="none" w:pos="1236" w:val="left"/>
        </w:tabs>
        <w:numPr>
          <w:ilvl w:val="2"/>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Participants located in the U.S.,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240" w:lineRule="exact"/>
        <w:rPr>
          <w:rFonts w:ascii="Times New Roman" w:cs="Times New Roman" w:eastAsia="Times New Roman" w:hAnsi="Times New Roman"/>
          <w:sz w:val="13"/>
          <w:szCs w:val="13"/>
          <w:color w:val="auto"/>
        </w:rPr>
      </w:pPr>
    </w:p>
    <w:p>
      <w:pPr>
        <w:ind w:left="1062" w:hanging="592"/>
        <w:spacing w:after="0"/>
        <w:tabs>
          <w:tab w:leader="none" w:pos="1062"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Tax Obligations.</w:t>
      </w:r>
    </w:p>
    <w:p>
      <w:pPr>
        <w:spacing w:after="0" w:line="76" w:lineRule="exact"/>
        <w:rPr>
          <w:rFonts w:ascii="Times New Roman" w:cs="Times New Roman" w:eastAsia="Times New Roman" w:hAnsi="Times New Roman"/>
          <w:sz w:val="16"/>
          <w:szCs w:val="16"/>
          <w:color w:val="auto"/>
        </w:rPr>
      </w:pPr>
    </w:p>
    <w:p>
      <w:pPr>
        <w:ind w:left="1222" w:hanging="283"/>
        <w:spacing w:after="0"/>
        <w:tabs>
          <w:tab w:leader="none" w:pos="1222" w:val="left"/>
        </w:tabs>
        <w:numPr>
          <w:ilvl w:val="2"/>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Responsibility for Taxes</w:t>
      </w:r>
      <w:r>
        <w:rPr>
          <w:rFonts w:ascii="Times New Roman" w:cs="Times New Roman" w:eastAsia="Times New Roman" w:hAnsi="Times New Roman"/>
          <w:sz w:val="13"/>
          <w:szCs w:val="13"/>
          <w:color w:val="auto"/>
        </w:rPr>
        <w:t>. Regardless of any action the Company and/or the Participant's employer (the</w:t>
      </w:r>
    </w:p>
    <w:p>
      <w:pPr>
        <w:spacing w:after="0" w:line="193" w:lineRule="exact"/>
        <w:rPr>
          <w:sz w:val="20"/>
          <w:szCs w:val="20"/>
          <w:color w:val="auto"/>
        </w:rPr>
      </w:pPr>
    </w:p>
    <w:p>
      <w:pPr>
        <w:ind w:left="6182"/>
        <w:spacing w:after="0"/>
        <w:rPr>
          <w:sz w:val="20"/>
          <w:szCs w:val="20"/>
          <w:color w:val="auto"/>
        </w:rPr>
      </w:pPr>
      <w:r>
        <w:rPr>
          <w:rFonts w:ascii="Times New Roman" w:cs="Times New Roman" w:eastAsia="Times New Roman" w:hAnsi="Times New Roman"/>
          <w:sz w:val="13"/>
          <w:szCs w:val="13"/>
          <w:color w:val="auto"/>
        </w:rPr>
        <w:t>3</w:t>
      </w:r>
    </w:p>
    <w:p>
      <w:pPr>
        <w:spacing w:after="0" w:line="193"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2"/>
          </w:cols>
          <w:pgMar w:left="218" w:top="535" w:right="219" w:bottom="1440" w:gutter="0" w:footer="0" w:header="0"/>
        </w:sectPr>
      </w:pPr>
    </w:p>
    <w:bookmarkStart w:id="102" w:name="page103"/>
    <w:bookmarkEnd w:id="102"/>
    <w:p>
      <w:pPr>
        <w:jc w:val="both"/>
        <w:ind w:firstLine="939"/>
        <w:spacing w:after="0" w:line="256" w:lineRule="auto"/>
        <w:rPr>
          <w:sz w:val="20"/>
          <w:szCs w:val="20"/>
          <w:color w:val="auto"/>
        </w:rPr>
      </w:pPr>
      <w:r>
        <w:rPr>
          <w:rFonts w:ascii="Times New Roman" w:cs="Times New Roman" w:eastAsia="Times New Roman" w:hAnsi="Times New Roman"/>
          <w:sz w:val="13"/>
          <w:szCs w:val="13"/>
          <w:color w:val="auto"/>
        </w:rPr>
        <w:t>“Employer”) takes with respect to any or all income tax, social insurance, payroll tax, payment on account or other tax-related items arising out of Participant's participation in the Plan and legally applicable to Participant (“Tax-Related Items”), Participant acknowledges that the ultimate liability for all Tax-Related Items is and remains Participant's responsibility and may exceed the amount actually withheld by the Company and/or the Employer. Participant further acknowledges that the Company and/or the Employer (i) make no represen 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(ii) do not commit and are under no obligation to structure the terms of the grant or any aspect of the Option to reduce or eliminate Participant's liability for Tax-Related Items or achieve any particular tax result. Furthermore, if Participant has become subject to tax in more than one jurisdiction between the Grant Date and the date of any relevant taxable event, Participant acknowledges that the Company and/or the Employer (or former employer, as applicable) may be required to withhold or account for Tax-Related Items in more than one jurisdiction.</w:t>
      </w:r>
    </w:p>
    <w:p>
      <w:pPr>
        <w:spacing w:after="0" w:line="57"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3"/>
          <w:szCs w:val="13"/>
          <w:color w:val="auto"/>
        </w:rPr>
        <w:t>Prior to the relevant taxable or tax withholding event, as applicable, Participant shall pay or make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 (i) withholding from wages or other cash compensation paid to Participant by the Company, the Employer and/or any Subsidiary; or (ii) withholding from proceeds of the sale of Shares acquired at exercise of the Option either through a voluntary sale or through a mandatory sale arranged by the Company (on Participant's behalf pursuant to this authorization); or (iii) withholding in Shares to be issued at exercise of the Option.</w:t>
      </w:r>
    </w:p>
    <w:p>
      <w:pPr>
        <w:spacing w:after="0" w:line="54"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To avoid any negative accounting treatment, t he Company may withhold or account for Tax-Related Items by considering applicable minimum statutory withholding amounts or other applicable withholding rates. If the obligation for Tax-Related Items is satisfied by withholding in Shares, for tax purposes, Participant is deemed to have been issued the full number of Shares subject to the exercised Option, notwithstanding that a number of the shares are held back solely for the purpose of paying the Tax-Related Items due as a result of any aspect of Participant's participation in the Plan.</w:t>
      </w:r>
    </w:p>
    <w:p>
      <w:pPr>
        <w:spacing w:after="0" w:line="51"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Participant shall pay to the Company or the Employer any amount of Tax-Related Items that the Company or the Employer may be required to withhold or account for as a result of Particpant's participation in the Plan that cannot be satisfied by the means previously described in this section. The Company may refuse to issue or deliver the Shares or the proceeds of the sale of shares if Participant fails to comply with these obligations in connection with the Tax-Related Items.</w:t>
      </w:r>
    </w:p>
    <w:p>
      <w:pPr>
        <w:spacing w:after="0" w:line="51" w:lineRule="exact"/>
        <w:rPr>
          <w:sz w:val="20"/>
          <w:szCs w:val="20"/>
          <w:color w:val="auto"/>
        </w:rPr>
      </w:pPr>
    </w:p>
    <w:p>
      <w:pPr>
        <w:jc w:val="both"/>
        <w:ind w:firstLine="468"/>
        <w:spacing w:after="0" w:line="266" w:lineRule="auto"/>
        <w:tabs>
          <w:tab w:leader="none" w:pos="75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Disqualifying Disposition of ISO Shares</w:t>
      </w:r>
      <w:r>
        <w:rPr>
          <w:rFonts w:ascii="Times New Roman" w:cs="Times New Roman" w:eastAsia="Times New Roman" w:hAnsi="Times New Roman"/>
          <w:sz w:val="13"/>
          <w:szCs w:val="13"/>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50" w:lineRule="exact"/>
        <w:rPr>
          <w:rFonts w:ascii="Times New Roman" w:cs="Times New Roman" w:eastAsia="Times New Roman" w:hAnsi="Times New Roman"/>
          <w:sz w:val="13"/>
          <w:szCs w:val="13"/>
          <w:color w:val="auto"/>
        </w:rPr>
      </w:pPr>
    </w:p>
    <w:p>
      <w:pPr>
        <w:jc w:val="both"/>
        <w:ind w:firstLine="468"/>
        <w:spacing w:after="0" w:line="257" w:lineRule="auto"/>
        <w:tabs>
          <w:tab w:leader="none" w:pos="77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Code Section 409A</w:t>
      </w:r>
      <w:r>
        <w:rPr>
          <w:rFonts w:ascii="Times New Roman" w:cs="Times New Roman" w:eastAsia="Times New Roman" w:hAnsi="Times New Roman"/>
          <w:sz w:val="13"/>
          <w:szCs w:val="13"/>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 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272" w:lineRule="exact"/>
        <w:rPr>
          <w:sz w:val="20"/>
          <w:szCs w:val="20"/>
          <w:color w:val="auto"/>
        </w:rPr>
      </w:pPr>
    </w:p>
    <w:p>
      <w:pPr>
        <w:jc w:val="both"/>
        <w:ind w:firstLine="468"/>
        <w:spacing w:after="0" w:line="280" w:lineRule="auto"/>
        <w:tabs>
          <w:tab w:leader="none" w:pos="105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Rights as Stockholder</w:t>
      </w:r>
      <w:r>
        <w:rPr>
          <w:rFonts w:ascii="Times New Roman" w:cs="Times New Roman" w:eastAsia="Times New Roman" w:hAnsi="Times New Roman"/>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3"/>
          <w:szCs w:val="13"/>
          <w:u w:val="single" w:color="auto"/>
          <w:color w:val="auto"/>
        </w:rPr>
        <w:t>Nature of Grant</w:t>
      </w:r>
      <w:r>
        <w:rPr>
          <w:rFonts w:ascii="Times New Roman" w:cs="Times New Roman" w:eastAsia="Times New Roman" w:hAnsi="Times New Roman"/>
          <w:sz w:val="13"/>
          <w:szCs w:val="13"/>
          <w:color w:val="auto"/>
        </w:rPr>
        <w:t>. In accepting the Option, Participant acknowledges, understands and agrees to the following:</w:t>
      </w:r>
    </w:p>
    <w:p>
      <w:pPr>
        <w:spacing w:after="0" w:line="88" w:lineRule="exact"/>
        <w:rPr>
          <w:sz w:val="20"/>
          <w:szCs w:val="20"/>
          <w:color w:val="auto"/>
        </w:rPr>
      </w:pPr>
    </w:p>
    <w:p>
      <w:pPr>
        <w:ind w:firstLine="468"/>
        <w:spacing w:after="0" w:line="281" w:lineRule="auto"/>
        <w:tabs>
          <w:tab w:leader="none" w:pos="75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expressly warrants that Participant has received an Option under the Plan and has received, read, and understood a description of the Plan; the Plan is established voluntarily by the Company, it is discretionary in nature, and it may be amended, suspended or terminated by the Company at any time;</w:t>
      </w:r>
    </w:p>
    <w:p>
      <w:pPr>
        <w:spacing w:after="0" w:line="41" w:lineRule="exact"/>
        <w:rPr>
          <w:rFonts w:ascii="Times New Roman" w:cs="Times New Roman" w:eastAsia="Times New Roman" w:hAnsi="Times New Roman"/>
          <w:sz w:val="13"/>
          <w:szCs w:val="13"/>
          <w:color w:val="auto"/>
        </w:rPr>
      </w:pPr>
    </w:p>
    <w:p>
      <w:pPr>
        <w:ind w:left="760" w:hanging="292"/>
        <w:spacing w:after="0"/>
        <w:tabs>
          <w:tab w:leader="none" w:pos="7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of the Option is voluntary and occasional and does not create any contractual or other right</w:t>
      </w:r>
    </w:p>
    <w:p>
      <w:pPr>
        <w:spacing w:after="0" w:line="19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3"/>
          <w:szCs w:val="13"/>
          <w:color w:val="auto"/>
        </w:rPr>
        <w:t>4</w:t>
      </w:r>
    </w:p>
    <w:p>
      <w:pPr>
        <w:spacing w:after="0" w:line="1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77" w:right="219" w:bottom="1440" w:gutter="0" w:footer="0" w:header="0"/>
        </w:sectPr>
      </w:pPr>
    </w:p>
    <w:bookmarkStart w:id="103" w:name="page104"/>
    <w:bookmarkEnd w:id="103"/>
    <w:p>
      <w:pPr>
        <w:ind w:left="940"/>
        <w:spacing w:after="0"/>
        <w:rPr>
          <w:sz w:val="20"/>
          <w:szCs w:val="20"/>
          <w:color w:val="auto"/>
        </w:rPr>
      </w:pPr>
      <w:r>
        <w:rPr>
          <w:rFonts w:ascii="Times New Roman" w:cs="Times New Roman" w:eastAsia="Times New Roman" w:hAnsi="Times New Roman"/>
          <w:sz w:val="13"/>
          <w:szCs w:val="13"/>
          <w:color w:val="auto"/>
        </w:rPr>
        <w:t>to receive future grants of options, or benefits in lieu of options, even if options have been granted repeatedly in the past;</w:t>
      </w:r>
    </w:p>
    <w:p>
      <w:pPr>
        <w:spacing w:after="0" w:line="19" w:lineRule="exact"/>
        <w:rPr>
          <w:sz w:val="20"/>
          <w:szCs w:val="20"/>
          <w:color w:val="auto"/>
        </w:rPr>
      </w:pPr>
    </w:p>
    <w:p>
      <w:pPr>
        <w:ind w:left="740" w:hanging="272"/>
        <w:spacing w:after="0"/>
        <w:tabs>
          <w:tab w:leader="none" w:pos="7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decisions with respect to future option grants, if any, will be at the sole discretion of the Company;</w:t>
      </w:r>
    </w:p>
    <w:p>
      <w:pPr>
        <w:spacing w:after="0" w:line="73" w:lineRule="exact"/>
        <w:rPr>
          <w:rFonts w:ascii="Times New Roman" w:cs="Times New Roman" w:eastAsia="Times New Roman" w:hAnsi="Times New Roman"/>
          <w:sz w:val="13"/>
          <w:szCs w:val="13"/>
          <w:color w:val="auto"/>
        </w:rPr>
      </w:pPr>
    </w:p>
    <w:p>
      <w:pPr>
        <w:ind w:left="760" w:hanging="292"/>
        <w:spacing w:after="0"/>
        <w:tabs>
          <w:tab w:leader="none" w:pos="7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is voluntarily participating in the Plan;</w:t>
      </w:r>
    </w:p>
    <w:p>
      <w:pPr>
        <w:spacing w:after="0" w:line="85" w:lineRule="exact"/>
        <w:rPr>
          <w:rFonts w:ascii="Times New Roman" w:cs="Times New Roman" w:eastAsia="Times New Roman" w:hAnsi="Times New Roman"/>
          <w:sz w:val="13"/>
          <w:szCs w:val="13"/>
          <w:color w:val="auto"/>
        </w:rPr>
      </w:pPr>
    </w:p>
    <w:p>
      <w:pPr>
        <w:ind w:firstLine="468"/>
        <w:spacing w:after="0" w:line="260" w:lineRule="auto"/>
        <w:tabs>
          <w:tab w:leader="none" w:pos="78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Participant's participation in the Plan shall not create a right to further employment with the Employer and shall not interfere with the ability of the Employer to terminate Participant's employment or relationship as a Service Provider at any time;</w:t>
      </w:r>
    </w:p>
    <w:p>
      <w:pPr>
        <w:ind w:firstLine="468"/>
        <w:spacing w:after="0" w:line="262" w:lineRule="auto"/>
        <w:tabs>
          <w:tab w:leader="none" w:pos="74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any Shares subject to the Option are extraordinary items that do not constitute compensation of any kind for services of any kind rendered to the Company or the Employer, and are outside the scope of Participant's employment or service contract, if any;</w:t>
      </w:r>
    </w:p>
    <w:p>
      <w:pPr>
        <w:spacing w:after="0" w:line="53" w:lineRule="exact"/>
        <w:rPr>
          <w:rFonts w:ascii="Times New Roman" w:cs="Times New Roman" w:eastAsia="Times New Roman" w:hAnsi="Times New Roman"/>
          <w:sz w:val="13"/>
          <w:szCs w:val="13"/>
          <w:color w:val="auto"/>
        </w:rPr>
      </w:pPr>
    </w:p>
    <w:p>
      <w:pPr>
        <w:ind w:left="760" w:hanging="292"/>
        <w:spacing w:after="0"/>
        <w:tabs>
          <w:tab w:leader="none" w:pos="7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Shares subject to the Option are not intended to replace any pension rights or compensation;</w:t>
      </w:r>
    </w:p>
    <w:p>
      <w:pPr>
        <w:spacing w:after="0" w:line="85" w:lineRule="exact"/>
        <w:rPr>
          <w:rFonts w:ascii="Times New Roman" w:cs="Times New Roman" w:eastAsia="Times New Roman" w:hAnsi="Times New Roman"/>
          <w:sz w:val="13"/>
          <w:szCs w:val="13"/>
          <w:color w:val="auto"/>
        </w:rPr>
      </w:pPr>
    </w:p>
    <w:p>
      <w:pPr>
        <w:jc w:val="both"/>
        <w:ind w:firstLine="468"/>
        <w:spacing w:after="0" w:line="266" w:lineRule="auto"/>
        <w:tabs>
          <w:tab w:leader="none" w:pos="75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Shares subject to the Option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 the Company or any Parent or Subsidiary of the Company;</w:t>
      </w:r>
    </w:p>
    <w:p>
      <w:pPr>
        <w:spacing w:after="0" w:line="50" w:lineRule="exact"/>
        <w:rPr>
          <w:rFonts w:ascii="Times New Roman" w:cs="Times New Roman" w:eastAsia="Times New Roman" w:hAnsi="Times New Roman"/>
          <w:sz w:val="13"/>
          <w:szCs w:val="13"/>
          <w:color w:val="auto"/>
        </w:rPr>
      </w:pPr>
    </w:p>
    <w:p>
      <w:pPr>
        <w:ind w:left="720" w:hanging="252"/>
        <w:spacing w:after="0"/>
        <w:tabs>
          <w:tab w:leader="none" w:pos="7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Participant's participation in the Plan will not be interpreted to form an employment contract or relationship with the Company or any Parent or Subsidiary of the Company;</w:t>
      </w:r>
    </w:p>
    <w:p>
      <w:pPr>
        <w:spacing w:after="0" w:line="85" w:lineRule="exact"/>
        <w:rPr>
          <w:rFonts w:ascii="Times New Roman" w:cs="Times New Roman" w:eastAsia="Times New Roman" w:hAnsi="Times New Roman"/>
          <w:sz w:val="13"/>
          <w:szCs w:val="13"/>
          <w:color w:val="auto"/>
        </w:rPr>
      </w:pPr>
    </w:p>
    <w:p>
      <w:pPr>
        <w:ind w:left="660" w:hanging="192"/>
        <w:spacing w:after="0"/>
        <w:tabs>
          <w:tab w:leader="none" w:pos="6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the future value of the Shares underlying the Option is unknown and cannot be predicted with certainty;</w:t>
      </w:r>
    </w:p>
    <w:p>
      <w:pPr>
        <w:spacing w:after="0" w:line="85" w:lineRule="exact"/>
        <w:rPr>
          <w:rFonts w:ascii="Times New Roman" w:cs="Times New Roman" w:eastAsia="Times New Roman" w:hAnsi="Times New Roman"/>
          <w:sz w:val="13"/>
          <w:szCs w:val="13"/>
          <w:color w:val="auto"/>
        </w:rPr>
      </w:pPr>
    </w:p>
    <w:p>
      <w:pPr>
        <w:jc w:val="both"/>
        <w:ind w:firstLine="468"/>
        <w:spacing w:after="0" w:line="258" w:lineRule="auto"/>
        <w:tabs>
          <w:tab w:leader="none" w:pos="75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claim or entitlement to compensation or damages shall arise from forfeiture of the Option resulting from termination of Participant's service by the Company or the Employer (for any reason whatsoever and whether or not in breach of local labor laws) and, in consideration for the grant of the Option, to which Participant is not otherwise entitled, Participant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signing the Not ice of Grant, Participant shall be deemed irrevocably to have agreed not to pursue such claim and agrees to execute any and all documents necessary to request dismissal or withdrawal of such claims;</w:t>
      </w:r>
    </w:p>
    <w:p>
      <w:pPr>
        <w:spacing w:after="0" w:line="57" w:lineRule="exact"/>
        <w:rPr>
          <w:rFonts w:ascii="Times New Roman" w:cs="Times New Roman" w:eastAsia="Times New Roman" w:hAnsi="Times New Roman"/>
          <w:sz w:val="13"/>
          <w:szCs w:val="13"/>
          <w:color w:val="auto"/>
        </w:rPr>
      </w:pPr>
    </w:p>
    <w:p>
      <w:pPr>
        <w:jc w:val="both"/>
        <w:ind w:firstLine="468"/>
        <w:spacing w:after="0" w:line="266" w:lineRule="auto"/>
        <w:tabs>
          <w:tab w:leader="none" w:pos="73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termination of Participant's service with the Company or the Employer (whether or not in breach of local labor laws), Participant's right to exercise the Option, if any, will terminate effective as of the date that Participant is no longer actively employed and will not be extended by any notice period mandated under local law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active employment would not include a period of “garden leave” or similar period pursuant to local law); the Administrator s hall have the exclusive discretion to determine when Participant is no longer actively employed for purposes of the Option grant; and</w:t>
      </w:r>
    </w:p>
    <w:p>
      <w:pPr>
        <w:spacing w:after="0" w:line="50" w:lineRule="exact"/>
        <w:rPr>
          <w:rFonts w:ascii="Times New Roman" w:cs="Times New Roman" w:eastAsia="Times New Roman" w:hAnsi="Times New Roman"/>
          <w:sz w:val="13"/>
          <w:szCs w:val="13"/>
          <w:color w:val="auto"/>
        </w:rPr>
      </w:pPr>
    </w:p>
    <w:p>
      <w:pPr>
        <w:ind w:left="780" w:hanging="312"/>
        <w:spacing w:after="0"/>
        <w:tabs>
          <w:tab w:leader="none" w:pos="7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benefits under the Plan, if any, will not automatically transfer to another company in the case of a merger, take-over, or transfer of liability.</w:t>
      </w:r>
    </w:p>
    <w:p>
      <w:pPr>
        <w:spacing w:after="0" w:line="300" w:lineRule="exact"/>
        <w:rPr>
          <w:sz w:val="20"/>
          <w:szCs w:val="20"/>
          <w:color w:val="auto"/>
        </w:rPr>
      </w:pPr>
    </w:p>
    <w:p>
      <w:pPr>
        <w:jc w:val="both"/>
        <w:ind w:firstLine="468"/>
        <w:spacing w:after="0" w:line="280" w:lineRule="auto"/>
        <w:tabs>
          <w:tab w:leader="none" w:pos="105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No Advice Regarding Grant</w:t>
      </w:r>
      <w:r>
        <w:rPr>
          <w:rFonts w:ascii="Times New Roman" w:cs="Times New Roman" w:eastAsia="Times New Roman" w:hAnsi="Times New Roman"/>
          <w:sz w:val="13"/>
          <w:szCs w:val="13"/>
          <w:color w:val="auto"/>
        </w:rPr>
        <w:t>. The Company is not providing any tax, legal, or f inancial advice, nor is the Company making any recommendations regarding Participant's participation in the Plan or Participant's acquisition or sale of the underlying Shares. Participant is hereby advised to consult with his or her own tax, legal, and financial consultants regarding Participant's participation in the Plan before taking any action related to the Plan.</w:t>
      </w:r>
    </w:p>
    <w:p>
      <w:pPr>
        <w:spacing w:after="0" w:line="185" w:lineRule="exact"/>
        <w:rPr>
          <w:rFonts w:ascii="Times New Roman" w:cs="Times New Roman" w:eastAsia="Times New Roman" w:hAnsi="Times New Roman"/>
          <w:sz w:val="16"/>
          <w:szCs w:val="16"/>
          <w:color w:val="auto"/>
        </w:rPr>
      </w:pPr>
    </w:p>
    <w:p>
      <w:pPr>
        <w:jc w:val="both"/>
        <w:ind w:firstLine="468"/>
        <w:spacing w:after="0" w:line="283" w:lineRule="auto"/>
        <w:tabs>
          <w:tab w:leader="none" w:pos="113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b w:val="1"/>
          <w:bCs w:val="1"/>
          <w:i w:val="1"/>
          <w:iCs w:val="1"/>
          <w:u w:val="single" w:color="auto"/>
          <w:color w:val="auto"/>
        </w:rPr>
        <w:t>Data Privacy</w:t>
      </w:r>
      <w:r>
        <w:rPr>
          <w:rFonts w:ascii="Times New Roman" w:cs="Times New Roman" w:eastAsia="Times New Roman" w:hAnsi="Times New Roman"/>
          <w:sz w:val="13"/>
          <w:szCs w:val="13"/>
          <w:b w:val="1"/>
          <w:bCs w:val="1"/>
          <w:i w:val="1"/>
          <w:iCs w:val="1"/>
          <w:color w:val="auto"/>
        </w:rPr>
        <w:t>. Participant hereby explicitly and unambiguously consents to the collection, use and transfer, in electronic or other form, of Participant 's personal data as described in this Award Agreement by and among, as applicable, the Employer, the Company and any Parent or Subsidiary of the Company for the exclusive purpose of implementing, administering and managing Participant's participation in the Plan.</w:t>
      </w:r>
    </w:p>
    <w:p>
      <w:pPr>
        <w:spacing w:after="0" w:line="47"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or other identification number, salary, nationality, job title, any Shares or directorships held in the Company or any Parent or Subsidia ry of the Company, details of all options or any other entitlement to Shares awarded, canceled, exercised, vested, unvested or outstanding in Participant's favor, for the exclusive purpose of implementing, administering and managing the Plan (“Personal Data”). Participant understands that Personal Data will be transferred to a broker designated by the Company or to any other third party assisting in the implementation, administration and management of the Plan. Participant understands that the recipients of the Personal Data may be located in Participant's country or elsewhere, and that the recipient's country</w:t>
      </w:r>
    </w:p>
    <w:p>
      <w:pPr>
        <w:spacing w:after="0" w:line="162"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3"/>
          <w:szCs w:val="13"/>
          <w:color w:val="auto"/>
        </w:rPr>
        <w:t>5</w:t>
      </w:r>
    </w:p>
    <w:p>
      <w:pPr>
        <w:spacing w:after="0" w:line="1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GESDMS/6544036.12 &amp;nbs p;</w:t>
      </w:r>
    </w:p>
    <w:p>
      <w:pPr>
        <w:sectPr>
          <w:pgSz w:w="11900" w:h="16838" w:orient="portrait"/>
          <w:cols w:equalWidth="0" w:num="1">
            <w:col w:w="11460"/>
          </w:cols>
          <w:pgMar w:left="220" w:top="576" w:right="219" w:bottom="1440" w:gutter="0" w:footer="0" w:header="0"/>
        </w:sectPr>
      </w:pPr>
    </w:p>
    <w:bookmarkStart w:id="104" w:name="page105"/>
    <w:bookmarkEnd w:id="104"/>
    <w:p>
      <w:pPr>
        <w:ind w:left="940"/>
        <w:spacing w:after="0"/>
        <w:rPr>
          <w:sz w:val="20"/>
          <w:szCs w:val="20"/>
          <w:color w:val="auto"/>
        </w:rPr>
      </w:pPr>
      <w:r>
        <w:rPr>
          <w:rFonts w:ascii="Times New Roman" w:cs="Times New Roman" w:eastAsia="Times New Roman" w:hAnsi="Times New Roman"/>
          <w:sz w:val="13"/>
          <w:szCs w:val="13"/>
          <w:b w:val="1"/>
          <w:bCs w:val="1"/>
          <w:i w:val="1"/>
          <w:iCs w:val="1"/>
          <w:color w:val="auto"/>
        </w:rPr>
        <w:t>may have different data privacy laws and protections than Participant's country.</w:t>
      </w:r>
    </w:p>
    <w:p>
      <w:pPr>
        <w:spacing w:after="0" w:line="85" w:lineRule="exact"/>
        <w:rPr>
          <w:sz w:val="20"/>
          <w:szCs w:val="20"/>
          <w:color w:val="auto"/>
        </w:rPr>
      </w:pPr>
    </w:p>
    <w:p>
      <w:pPr>
        <w:jc w:val="both"/>
        <w:ind w:firstLine="93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For Participants located outside of the U.S., Participant understands that Participant may request a list with the names and addresses of any potential recipients of the Personal Data by contacting Participant's local human resources representative. Participant authorizes the Company, the brok er, and any other recipients of Personal Data that may assist the Company (presently or in the future) with implementing, administering and managing the Plan to receive, possess, use, retain and transfer Personal Data, in electronic or other form, for the purposes of implementing, administering and managing Participant's participation in the Plan, including any requisite transfer of Personal Data as may be required to a broker or other third party with whom Participant may elect to deposit any Shares purchased upon exercise of the Option. Participant understands that Personal Data will be held only as long as is necessary to implement, administer and manage Participant's participation in the Plan. Participant understands that Participant may, at any time, view Personal Data, request additional information about the storage and processing of Personal Data, require any necessary amendments to Personal Data or refuse or withdraw the consents herein, in any case without cost, by contacting in writing Particip ant's local human resources representative. Participant understands that refusal or withdrawal of consent may affect Participant's ability to participate in the Plan. For more information on the consequences of refusal to consent or withdrawal of consent, Participant understands that he or she may contact Participant's local human resources representative.</w:t>
      </w:r>
    </w:p>
    <w:p>
      <w:pPr>
        <w:spacing w:after="0" w:line="276" w:lineRule="exact"/>
        <w:rPr>
          <w:sz w:val="20"/>
          <w:szCs w:val="20"/>
          <w:color w:val="auto"/>
        </w:rPr>
      </w:pPr>
    </w:p>
    <w:p>
      <w:pPr>
        <w:ind w:firstLine="468"/>
        <w:spacing w:after="0" w:line="272" w:lineRule="auto"/>
        <w:tabs>
          <w:tab w:leader="none" w:pos="112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Address for Notices</w:t>
      </w:r>
      <w:r>
        <w:rPr>
          <w:rFonts w:ascii="Times New Roman" w:cs="Times New Roman" w:eastAsia="Times New Roman" w:hAnsi="Times New Roman"/>
          <w:sz w:val="13"/>
          <w:szCs w:val="13"/>
          <w:color w:val="auto"/>
        </w:rPr>
        <w:t>. Any notice to be given to the Company under the terms of this Award Agreement will be addressed to the Company, in care of Stock Administration at Fortinet, Inc., 1090 Kifer Road, Sunnyvale, CA 94 086, or at such other address as the Company may hereafter designate in writing.</w:t>
      </w:r>
    </w:p>
    <w:p>
      <w:pPr>
        <w:spacing w:after="0" w:line="189" w:lineRule="exact"/>
        <w:rPr>
          <w:rFonts w:ascii="Times New Roman" w:cs="Times New Roman" w:eastAsia="Times New Roman" w:hAnsi="Times New Roman"/>
          <w:sz w:val="16"/>
          <w:szCs w:val="16"/>
          <w:color w:val="auto"/>
        </w:rPr>
      </w:pPr>
    </w:p>
    <w:p>
      <w:pPr>
        <w:ind w:firstLine="468"/>
        <w:spacing w:after="0" w:line="272"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Non-Transferability of Option</w:t>
      </w:r>
      <w:r>
        <w:rPr>
          <w:rFonts w:ascii="Times New Roman" w:cs="Times New Roman" w:eastAsia="Times New Roman" w:hAnsi="Times New Roman"/>
          <w:sz w:val="13"/>
          <w:szCs w:val="13"/>
          <w:color w:val="auto"/>
        </w:rPr>
        <w:t>. This Option may not be transferred in any manner otherwise than by will or by the laws of descent or distribution and may be exercised during the lifetime of Participant only by Participant.</w:t>
      </w:r>
    </w:p>
    <w:p>
      <w:pPr>
        <w:spacing w:after="0" w:line="189" w:lineRule="exact"/>
        <w:rPr>
          <w:rFonts w:ascii="Times New Roman" w:cs="Times New Roman" w:eastAsia="Times New Roman" w:hAnsi="Times New Roman"/>
          <w:sz w:val="16"/>
          <w:szCs w:val="16"/>
          <w:color w:val="auto"/>
        </w:rPr>
      </w:pPr>
    </w:p>
    <w:p>
      <w:pPr>
        <w:ind w:firstLine="468"/>
        <w:spacing w:after="0" w:line="272"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Binding Agreement</w:t>
      </w:r>
      <w:r>
        <w:rPr>
          <w:rFonts w:ascii="Times New Roman" w:cs="Times New Roman" w:eastAsia="Times New Roman" w:hAnsi="Times New Roman"/>
          <w:sz w:val="13"/>
          <w:szCs w:val="13"/>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89" w:lineRule="exact"/>
        <w:rPr>
          <w:rFonts w:ascii="Times New Roman" w:cs="Times New Roman" w:eastAsia="Times New Roman" w:hAnsi="Times New Roman"/>
          <w:sz w:val="16"/>
          <w:szCs w:val="16"/>
          <w:color w:val="auto"/>
        </w:rPr>
      </w:pPr>
    </w:p>
    <w:p>
      <w:pPr>
        <w:jc w:val="both"/>
        <w:ind w:firstLine="468"/>
        <w:spacing w:after="0" w:line="286"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Additional Conditions to Issuance of Stock</w:t>
      </w:r>
      <w:r>
        <w:rPr>
          <w:rFonts w:ascii="Times New Roman" w:cs="Times New Roman" w:eastAsia="Times New Roman" w:hAnsi="Times New Roman"/>
          <w:sz w:val="13"/>
          <w:szCs w:val="13"/>
          <w:color w:val="auto"/>
        </w:rPr>
        <w:t>. If at any time the Company will determine, in its discretion, that the listing, registration or qualification of the Shares upon any securities exchange or under any U.S. state or federal or foreig 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Assuming such compliance, for U.S. income tax purposes the Exercised Shares will be considered transferred to Participant on the date the Option is exercised with respect to such Exercised Shares.</w:t>
      </w:r>
    </w:p>
    <w:p>
      <w:pPr>
        <w:spacing w:after="0" w:line="185" w:lineRule="exact"/>
        <w:rPr>
          <w:rFonts w:ascii="Times New Roman" w:cs="Times New Roman" w:eastAsia="Times New Roman" w:hAnsi="Times New Roman"/>
          <w:sz w:val="16"/>
          <w:szCs w:val="16"/>
          <w:color w:val="auto"/>
        </w:rPr>
      </w:pPr>
    </w:p>
    <w:p>
      <w:pPr>
        <w:ind w:firstLine="468"/>
        <w:spacing w:after="0" w:line="272"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Plan Governs.</w:t>
      </w:r>
      <w:r>
        <w:rPr>
          <w:rFonts w:ascii="Times New Roman" w:cs="Times New Roman" w:eastAsia="Times New Roman" w:hAnsi="Times New Roman"/>
          <w:sz w:val="13"/>
          <w:szCs w:val="13"/>
          <w:color w:val="auto"/>
        </w:rPr>
        <w:t xml:space="preserve"> This Award Agreemen 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9" w:lineRule="exact"/>
        <w:rPr>
          <w:rFonts w:ascii="Times New Roman" w:cs="Times New Roman" w:eastAsia="Times New Roman" w:hAnsi="Times New Roman"/>
          <w:sz w:val="16"/>
          <w:szCs w:val="16"/>
          <w:color w:val="auto"/>
        </w:rPr>
      </w:pPr>
    </w:p>
    <w:p>
      <w:pPr>
        <w:jc w:val="both"/>
        <w:ind w:firstLine="468"/>
        <w:spacing w:after="0" w:line="286"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Administrator Authority</w:t>
      </w:r>
      <w:r>
        <w:rPr>
          <w:rFonts w:ascii="Times New Roman" w:cs="Times New Roman" w:eastAsia="Times New Roman" w:hAnsi="Times New Roman"/>
          <w:sz w:val="13"/>
          <w:szCs w:val="13"/>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 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5" w:lineRule="exact"/>
        <w:rPr>
          <w:rFonts w:ascii="Times New Roman" w:cs="Times New Roman" w:eastAsia="Times New Roman" w:hAnsi="Times New Roman"/>
          <w:sz w:val="16"/>
          <w:szCs w:val="16"/>
          <w:color w:val="auto"/>
        </w:rPr>
      </w:pPr>
    </w:p>
    <w:p>
      <w:pPr>
        <w:jc w:val="both"/>
        <w:ind w:firstLine="468"/>
        <w:spacing w:after="0" w:line="280"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Electronic Delivery</w:t>
      </w:r>
      <w:r>
        <w:rPr>
          <w:rFonts w:ascii="Times New Roman" w:cs="Times New Roman" w:eastAsia="Times New Roman" w:hAnsi="Times New Roman"/>
          <w:sz w:val="13"/>
          <w:szCs w:val="13"/>
          <w:color w:val="auto"/>
        </w:rPr>
        <w:t>. The Company may, in its sole discretion, decide to deliver any documents related to the Option awarded under the Plan or f 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3" w:lineRule="exact"/>
        <w:rPr>
          <w:rFonts w:ascii="Times New Roman" w:cs="Times New Roman" w:eastAsia="Times New Roman" w:hAnsi="Times New Roman"/>
          <w:sz w:val="16"/>
          <w:szCs w:val="16"/>
          <w:color w:val="auto"/>
        </w:rPr>
      </w:pPr>
    </w:p>
    <w:p>
      <w:pPr>
        <w:ind w:left="1140" w:hanging="672"/>
        <w:spacing w:after="0"/>
        <w:tabs>
          <w:tab w:leader="none" w:pos="11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Captions</w:t>
      </w:r>
      <w:r>
        <w:rPr>
          <w:rFonts w:ascii="Times New Roman" w:cs="Times New Roman" w:eastAsia="Times New Roman" w:hAnsi="Times New Roman"/>
          <w:sz w:val="13"/>
          <w:szCs w:val="13"/>
          <w:color w:val="auto"/>
        </w:rPr>
        <w:t>. Captions provided herein are for convenience only and are not to serve as a basis for interpretation or construction of this Award Agreement.</w:t>
      </w:r>
    </w:p>
    <w:p>
      <w:pPr>
        <w:spacing w:after="0" w:line="213" w:lineRule="exact"/>
        <w:rPr>
          <w:rFonts w:ascii="Times New Roman" w:cs="Times New Roman" w:eastAsia="Times New Roman" w:hAnsi="Times New Roman"/>
          <w:sz w:val="16"/>
          <w:szCs w:val="16"/>
          <w:color w:val="auto"/>
        </w:rPr>
      </w:pPr>
    </w:p>
    <w:p>
      <w:pPr>
        <w:ind w:firstLine="468"/>
        <w:spacing w:after="0" w:line="272" w:lineRule="auto"/>
        <w:tabs>
          <w:tab w:leader="none" w:pos="113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Agreement Severable</w:t>
      </w:r>
      <w:r>
        <w:rPr>
          <w:rFonts w:ascii="Times New Roman" w:cs="Times New Roman" w:eastAsia="Times New Roman" w:hAnsi="Times New Roman"/>
          <w:sz w:val="13"/>
          <w:szCs w:val="13"/>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3"/>
          <w:szCs w:val="13"/>
          <w:color w:val="auto"/>
        </w:rPr>
        <w:t>6</w:t>
      </w:r>
    </w:p>
    <w:p>
      <w:pPr>
        <w:spacing w:after="0" w:line="1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GESDMS/6544036.12&amp;n bsp;</w:t>
      </w:r>
    </w:p>
    <w:p>
      <w:pPr>
        <w:sectPr>
          <w:pgSz w:w="11900" w:h="16838" w:orient="portrait"/>
          <w:cols w:equalWidth="0" w:num="1">
            <w:col w:w="11460"/>
          </w:cols>
          <w:pgMar w:left="220" w:top="572" w:right="219" w:bottom="1440" w:gutter="0" w:footer="0" w:header="0"/>
        </w:sectPr>
      </w:pPr>
    </w:p>
    <w:bookmarkStart w:id="105" w:name="page106"/>
    <w:bookmarkEnd w:id="105"/>
    <w:p>
      <w:pPr>
        <w:jc w:val="both"/>
        <w:ind w:left="-468" w:firstLine="468"/>
        <w:spacing w:after="0" w:line="289" w:lineRule="auto"/>
        <w:tabs>
          <w:tab w:leader="none" w:pos="66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Modifications to the Agreement</w:t>
      </w:r>
      <w:r>
        <w:rPr>
          <w:rFonts w:ascii="Times New Roman" w:cs="Times New Roman" w:eastAsia="Times New Roman" w:hAnsi="Times New Roman"/>
          <w:sz w:val="13"/>
          <w:szCs w:val="13"/>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 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83" w:lineRule="exact"/>
        <w:rPr>
          <w:rFonts w:ascii="Times New Roman" w:cs="Times New Roman" w:eastAsia="Times New Roman" w:hAnsi="Times New Roman"/>
          <w:sz w:val="16"/>
          <w:szCs w:val="16"/>
          <w:color w:val="auto"/>
        </w:rPr>
      </w:pPr>
    </w:p>
    <w:p>
      <w:pPr>
        <w:jc w:val="both"/>
        <w:ind w:left="-468" w:firstLine="468"/>
        <w:spacing w:after="0" w:line="280" w:lineRule="auto"/>
        <w:tabs>
          <w:tab w:leader="none" w:pos="66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u w:val="single" w:color="auto"/>
          <w:color w:val="auto"/>
        </w:rPr>
        <w:t>Governing Law and Venue</w:t>
      </w:r>
      <w:r>
        <w:rPr>
          <w:rFonts w:ascii="Times New Roman" w:cs="Times New Roman" w:eastAsia="Times New Roman" w:hAnsi="Times New Roman"/>
          <w:sz w:val="13"/>
          <w:szCs w:val="13"/>
          <w:color w:val="auto"/>
        </w:rPr>
        <w:t>. This Award Agreement will be governed by, and subject to, the laws of the State of California, without giving effect to the conflict of law principles thereof. For purposes of litigating any dispute that arises under the Option or this Award Agreement, the parties hereby submit to and consent to the jurisdiction of the State of California</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and agree that such litigation will be conducted in the courts of Santa Clara County, California</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or the federal courts for the United States for the Northern District of California, and no other courts, where this grant is made and/or to be performed.</w:t>
      </w:r>
    </w:p>
    <w:p>
      <w:pPr>
        <w:spacing w:after="0" w:line="160" w:lineRule="exact"/>
        <w:rPr>
          <w:sz w:val="20"/>
          <w:szCs w:val="20"/>
          <w:color w:val="auto"/>
        </w:rPr>
      </w:pPr>
    </w:p>
    <w:p>
      <w:pPr>
        <w:ind w:left="-468" w:firstLine="468"/>
        <w:spacing w:after="0" w:line="281" w:lineRule="auto"/>
        <w:tabs>
          <w:tab w:leader="none" w:pos="30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Language</w:t>
      </w:r>
      <w:r>
        <w:rPr>
          <w:rFonts w:ascii="Times New Roman" w:cs="Times New Roman" w:eastAsia="Times New Roman" w:hAnsi="Times New Roman"/>
          <w:sz w:val="13"/>
          <w:szCs w:val="13"/>
          <w:color w:val="auto"/>
        </w:rPr>
        <w:t>. If Participant has received this Award Agreement or any other document related to the Option and/or the Plan translated into a language other than English, and if the meaning of the translated version is different than the English version, the English version will control.</w:t>
      </w:r>
    </w:p>
    <w:p>
      <w:pPr>
        <w:spacing w:after="0" w:line="148" w:lineRule="exact"/>
        <w:rPr>
          <w:rFonts w:ascii="Times New Roman" w:cs="Times New Roman" w:eastAsia="Times New Roman" w:hAnsi="Times New Roman"/>
          <w:sz w:val="13"/>
          <w:szCs w:val="13"/>
          <w:color w:val="auto"/>
        </w:rPr>
      </w:pPr>
    </w:p>
    <w:p>
      <w:pPr>
        <w:jc w:val="both"/>
        <w:ind w:left="-468" w:firstLine="468"/>
        <w:spacing w:after="0" w:line="261" w:lineRule="auto"/>
        <w:tabs>
          <w:tab w:leader="none" w:pos="35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Terms and Con ditions of Stock Option Grant</w:t>
      </w:r>
      <w:r>
        <w:rPr>
          <w:rFonts w:ascii="Times New Roman" w:cs="Times New Roman" w:eastAsia="Times New Roman" w:hAnsi="Times New Roman"/>
          <w:sz w:val="13"/>
          <w:szCs w:val="13"/>
          <w:color w:val="auto"/>
        </w:rPr>
        <w:t>. Notwithstanding any provisions in the Terms and Conditions of Stock Option Grant, the Option shall be subject to any special terms and conditions set forth in the Additional Terms and Conditions of Stock Option Grant, attached as Exhibit B, for Participant's country. Moreover, if Participant relocates to one of the countries included in the Additional Terms and Conditions of Stock Option Grant, the special terms and conditions for such country will apply to Participant, to the extent the Company determines that the application of such terms and conditions is necessary or advisable in order to comply with local law or facilitate the administration of the Plan. The Additional Terms and Conditions of Stock Option Grant constitute part of this Award Agreement.</w:t>
      </w:r>
    </w:p>
    <w:p>
      <w:pPr>
        <w:spacing w:after="0" w:line="181" w:lineRule="exact"/>
        <w:rPr>
          <w:rFonts w:ascii="Times New Roman" w:cs="Times New Roman" w:eastAsia="Times New Roman" w:hAnsi="Times New Roman"/>
          <w:sz w:val="13"/>
          <w:szCs w:val="13"/>
          <w:color w:val="auto"/>
        </w:rPr>
      </w:pPr>
    </w:p>
    <w:p>
      <w:pPr>
        <w:jc w:val="both"/>
        <w:ind w:left="-468" w:firstLine="468"/>
        <w:spacing w:after="0" w:line="313" w:lineRule="auto"/>
        <w:tabs>
          <w:tab w:leader="none" w:pos="29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Imposition of Other Requirements</w:t>
      </w:r>
      <w:r>
        <w:rPr>
          <w:rFonts w:ascii="Times New Roman" w:cs="Times New Roman" w:eastAsia="Times New Roman" w:hAnsi="Times New Roman"/>
          <w:sz w:val="13"/>
          <w:szCs w:val="13"/>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325"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3"/>
          <w:szCs w:val="13"/>
          <w:color w:val="auto"/>
        </w:rPr>
        <w:t>7</w:t>
      </w:r>
    </w:p>
    <w:p>
      <w:pPr>
        <w:spacing w:after="0" w:line="193"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0992"/>
          </w:cols>
          <w:pgMar w:left="688" w:top="714" w:right="2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138430</wp:posOffset>
            </wp:positionH>
            <wp:positionV relativeFrom="page">
              <wp:posOffset>374650</wp:posOffset>
            </wp:positionV>
            <wp:extent cx="1478280" cy="205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78280" cy="205105"/>
                    </a:xfrm>
                    <a:prstGeom prst="rect">
                      <a:avLst/>
                    </a:prstGeom>
                    <a:noFill/>
                  </pic:spPr>
                </pic:pic>
              </a:graphicData>
            </a:graphic>
          </wp:anchor>
        </w:drawing>
        <w:t>EXHIBIT B</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ADDITIO NAL TERMS AND CONDITIONS OF STOCK OPTION GRANT</w:t>
      </w:r>
    </w:p>
    <w:p>
      <w:pPr>
        <w:spacing w:after="0" w:line="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This Exhibit B includes additional terms and conditions that govern the Option granted to Participant under the Plan if Participant resides in one of the countries listed below. Certain capitalized terms used but not defined in this Exhibit B have the meanings set forth in the Plan and/or the Terms and Conditions of Stock Option Grant.</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This Exhibit B also includes information regarding exchange controls and certain other tax or legal issues of which Participant should be aware with respect to his or her participation in the Plan. The information is based on the securities, exchange control, and other laws in effect in the respective countries as of December 2009. Such laws are of ten complex and change frequently. As a result, the Company strongly recommends that Participant not rely on the information in this Exhibit B as the only source of information relating to the consequences of his or her participation in the Plan because the information may be out of date at the time that Participant exercises the Option or sell Shares.</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his or her country may apply to Participant's situation.</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Finally, if Participant is a citizen or resident of a country other than the one in which he or she is currently residing, or transfers to a different country after the Date of Grant, the information contained herein may not be applicable to Participant.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Argentina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Neither the Option nor the issuance of Shares is offered publicly or listed on any stock exchange in Argentina. The offer is private and not subject to the supervision of any Argentine governmental authority.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Under current regulations adopted by the Argentine Central Bank (the “BCRA”), Participant may purchase and remit foreign currency with a value of up to US$2,000,000 per month out of Argentina for the purpose of acquiring foreign securities, including Shares under the Plan, without prior approval from the BCRA, provided that Participant executes and submits an affidavit to the BCRA confirming that he or she has not exceeded the US$2,000,000 threshold during the relevant month.</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Please note that exchange control regulations in Argentina are subject to freq uent change. Participant should consult with his or her personal legal advisor regarding any exchange control obligations that he or she may have.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Australia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Term/Expiration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section replaces the “Term/Expiration Date” set forth in the Notice of Stock Option Grant.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Due to tax considerations in Australia, the Option will expire on the last trading day on the N asdaq Global Market on or before the day that is 6 years and 364 days after the Date of Grant.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Right to Exercise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section supplements the “Right to Exercise” section of the Terms and Conditions of Stock Option Grant.</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Due to tax considerations in Australia, Participant may not exercise any portion of the Option unless and until the Fair Market Value (as defined in Section 2(r) of the Plan) per Share underlying the Option equals or exceeds Exercise Price per Share for a certain period of time not to exceed one week pursuant to the procedures establ ished by the Company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Company will decide on the period of time for which the Option must be “above water”).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Participant acquires Shares pursuant to this Option and he or she offers Shares for sale to a person or entity resident in Australia, the offer may be subject to disclosure requirements under Australian law. Participant should obtain legal advice on his or her disclosure obligations prior to making any such offer.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Austria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Participant holds Shares purchased under the Plan outside Austria (even if he or she holds them outside of Austria with 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1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975" w:right="219" w:bottom="1440" w:gutter="0" w:footer="0" w:header="0"/>
        </w:sectPr>
      </w:pPr>
    </w:p>
    <w:bookmarkStart w:id="107" w:name="page108"/>
    <w:bookmarkEnd w:id="107"/>
    <w:p>
      <w:pPr>
        <w:jc w:val="both"/>
        <w:spacing w:after="0" w:line="267" w:lineRule="auto"/>
        <w:rPr>
          <w:sz w:val="20"/>
          <w:szCs w:val="20"/>
          <w:color w:val="auto"/>
        </w:rPr>
      </w:pPr>
      <w:r>
        <w:rPr>
          <w:rFonts w:ascii="Times New Roman" w:cs="Times New Roman" w:eastAsia="Times New Roman" w:hAnsi="Times New Roman"/>
          <w:sz w:val="13"/>
          <w:szCs w:val="13"/>
          <w:color w:val="auto"/>
        </w:rPr>
        <w:t>Austrian bank), Participant understands that he or she must submit an annual report to the Austrian National Bank using the form “</w:t>
      </w:r>
      <w:r>
        <w:rPr>
          <w:rFonts w:ascii="Times New Roman" w:cs="Times New Roman" w:eastAsia="Times New Roman" w:hAnsi="Times New Roman"/>
          <w:sz w:val="13"/>
          <w:szCs w:val="13"/>
          <w:i w:val="1"/>
          <w:iCs w:val="1"/>
          <w:color w:val="auto"/>
        </w:rPr>
        <w:t>Standmeldung/Wertpapiere</w:t>
      </w:r>
      <w:r>
        <w:rPr>
          <w:rFonts w:ascii="Times New Roman" w:cs="Times New Roman" w:eastAsia="Times New Roman" w:hAnsi="Times New Roman"/>
          <w:sz w:val="13"/>
          <w:szCs w:val="13"/>
          <w:color w:val="auto"/>
        </w:rPr>
        <w:t>.” An exemption applies if the value of the securities held outside Austria as of December 31 does not exceed €3,000,000 or the value of the securities as of any quarter does not exceed €30,000,000. If the former threshold is exceeded, annual reporting obligations are imposed, whereas if the latter threshold is exceeded, quarterly reports must be submitted. The annual reporting date is December 31; the deadline for filing the annual report is March 31 of the following year.</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When the Shares are sold, there may be exchange control obligations if the cash received is held outside Austria, as a separate reporting requirement applies to any non-Austrian cash accounts. If the transaction volume of all of Participant's cash accounts abroad exceeds €3,000,000,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3"/>
          <w:szCs w:val="13"/>
          <w:i w:val="1"/>
          <w:iCs w:val="1"/>
          <w:color w:val="auto"/>
        </w:rPr>
        <w:t>Meldungen SI-Forderungen und/oder SI-Verpflichtungen</w:t>
      </w:r>
      <w:r>
        <w:rPr>
          <w:rFonts w:ascii="Times New Roman" w:cs="Times New Roman" w:eastAsia="Times New Roman" w:hAnsi="Times New Roman"/>
          <w:sz w:val="13"/>
          <w:szCs w:val="13"/>
          <w:color w:val="auto"/>
        </w:rPr>
        <w:t>.” If the transaction value of all cash accounts abroad is less than €3,000,000, no ongoing reporting requ irements apply.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Consumer Protection Act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understands that he or she may be entitled to revoke the Award Agreement on the basis of the Austrian Consumer Protection Act (the “Act”) under the conditions listed below, if the Act is considered to be applicable to the Award Agreement and the Plan:</w:t>
      </w:r>
    </w:p>
    <w:p>
      <w:pPr>
        <w:spacing w:after="0" w:line="41" w:lineRule="exact"/>
        <w:rPr>
          <w:sz w:val="20"/>
          <w:szCs w:val="20"/>
          <w:color w:val="auto"/>
        </w:rPr>
      </w:pPr>
    </w:p>
    <w:p>
      <w:pPr>
        <w:ind w:firstLine="468"/>
        <w:spacing w:after="0" w:line="281" w:lineRule="auto"/>
        <w:tabs>
          <w:tab w:leader="none" w:pos="723"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Participant signs the Award Agreement outside the business premises of the Company, he or she may be entitled to revoke acceptance of the Award Agreement provided that the revocation is made wi thin one week after he or she signs the Award Agreement.</w:t>
      </w:r>
    </w:p>
    <w:p>
      <w:pPr>
        <w:spacing w:after="0" w:line="41" w:lineRule="exact"/>
        <w:rPr>
          <w:rFonts w:ascii="Times New Roman" w:cs="Times New Roman" w:eastAsia="Times New Roman" w:hAnsi="Times New Roman"/>
          <w:sz w:val="13"/>
          <w:szCs w:val="13"/>
          <w:color w:val="auto"/>
        </w:rPr>
      </w:pPr>
    </w:p>
    <w:p>
      <w:pPr>
        <w:ind w:firstLine="468"/>
        <w:spacing w:after="0" w:line="281" w:lineRule="auto"/>
        <w:tabs>
          <w:tab w:leader="none" w:pos="802"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revocation must be in written form to be valid. It is sufficient if Participant returns the Award Agreement to the Company or the Company's representative with language that can be understood as his or her refusal to honor the Award Agreement. It is sufficient if the revocation is sent within one week after Participant signed the Award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Belgium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Tax Considerations</w:t>
      </w:r>
    </w:p>
    <w:p>
      <w:pPr>
        <w:spacing w:after="0" w:line="10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The Option must be accepted in writing with the time frame set forth and explained in the separate Country Supplement &amp; Undertaking for Participants in Belgium. Participant should refer to the separate Country Supplement &amp; Undertaking for Participants in Belgium for a more detailed description of the tax consequences of choosing to accept the Option. Participant should also consult a personal tax advisor with respect to accepting the Option and completing the additional forms.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Tax Reporting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is required to report any taxable income attributable to the Option on his or her annual tax return. Participant is also required to report any bank accounts opened and maintained outside Belgium on his or her annual tax return.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Brazil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Participant is a resident or domiciled in Brazil, he or she will be required to submit an annual declaration of assets and rights held outside of Brazil to the Central Bank of Brazil if the aggregate value of such assets and rights is equal to or greater than US$100,000. Please note that the US$100,000 threshold may be changed annually.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Canada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Consent to Receive Information in English for Employees in Quebec</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parties acknowledge that it is their express wish that the Award Agreement, as well as all documents, notices and legal proceeds entered into, given or instituted pursuant hereto or relating directly or indirectly hereto, be drawn up in English.</w:t>
      </w:r>
    </w:p>
    <w:p>
      <w:pPr>
        <w:spacing w:after="0" w:line="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Involuntary Termination Terms for Option</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In the event of involuntary termination of Participant's employment (whether or not in breach of local labor laws), Participant's right to continued vesting or to exercise the Option, if any, will terminate effective as of the date that is the earlier of: (1) the date Participant receives notice of termination of employment from the Employer, or (2) the date Participant is no longer actively employed by the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employed for purposes of the Option.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Data Privacy Notice and Consent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section supplements the “Data Privacy” section of the Terms and Conditions of Stock Option Grant: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1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74" w:right="219" w:bottom="1440" w:gutter="0" w:footer="0" w:header="0"/>
        </w:sectPr>
      </w:pPr>
    </w:p>
    <w:bookmarkStart w:id="108" w:name="page109"/>
    <w:bookmarkEnd w:id="108"/>
    <w:p>
      <w:pPr>
        <w:jc w:val="both"/>
        <w:spacing w:after="0" w:line="266" w:lineRule="auto"/>
        <w:rPr>
          <w:sz w:val="20"/>
          <w:szCs w:val="20"/>
          <w:color w:val="auto"/>
        </w:rPr>
      </w:pPr>
      <w:r>
        <w:rPr>
          <w:rFonts w:ascii="Times New Roman" w:cs="Times New Roman" w:eastAsia="Times New Roman" w:hAnsi="Times New Roman"/>
          <w:sz w:val="13"/>
          <w:szCs w:val="13"/>
          <w:color w:val="auto"/>
        </w:rPr>
        <w:t>Participant hereby authorizes the Company and the Company's representatives to discuss and obtain all relevant information from all personnel, professional or non-professional, involved in the administration of the Plan. Participant further authorizes the Employer, the Company, and its Subs idiaries to disclose and discuss such information with their advisors. Participant also authorizes the Employer, Company and its Subsidiaries to record such information and to keep such information in Participant's employee file.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Chile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Neither the Company nor the Shares are registered with the Chilean Registry of Securities or under the control of the Chilean Superintendence of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Control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It is Participant's responsibility to make sure that he or she complies with exchange control requirements in Chile when the value of his or her Option exercise transaction is in excess of US$10,000, regardless of whether Participant exercises his or her Option through a cash exercise or cashless method of exercise.</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If Participant uses the cash exercise method to exercise the Option and Participant remits funds in excess of US$10,000 out of Chile, the remittance must be made through the Formal Exchange Market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a commercial bank or registered foreign exchange office). In such case, Participant must provide to the bank or registered foreign exchange office certain information regarding the remittance of funds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xml:space="preserve"> destination, currency, amount, parties involved, etc.).</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Participant exercises the Option using a cashless exercise method and the aggregate value of the Exercise Price exceeds US$10,000, Participant must sign Annex 1 of the Manual of Chapter XII of the Foreign Exchange Regulations and file it directly with the Central Bank within 10 days of the exercise date.</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is not required to repatriate funds obtained from the sale of Shares or the receipt of any dividends. However, if Participant decides to repatriate such funds, Participant must do so through the Formal Exchange Market if the amount of the funds exceeds US$10,000. In such case, Participant must report the payment to a commercial bank or registered foreign exchange office receiving the funds.</w:t>
      </w:r>
    </w:p>
    <w:p>
      <w:pPr>
        <w:spacing w:after="0" w:line="3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If Participant's aggregate investments held outside of Chile exceeds US$5,000,000 (including the investments made under the Plan), Participant must report the investments annually to the Central Bank. Annex 3.1 of Chapter XII of the Foreign Exchange Regulations must be used to file this report.</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Please note that exchange control regulations in Chile are subject to change. Participant should consult with his or her personal legal advisor regarding any exchange control obligations that Participant may have prior to exercising the Option or receiving proceeds from the sale of Shares acquired under the Plan.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Annual Tax Reporting Obligation</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Chilean Internal Revenue Service (“CIRS”) requires all taxpayers to provide information annually regarding: (i) the taxes paid abroad, which they will use as a credit against Chilean income taxes, and (ii) the results of foreign investments. These a nnual reporting obligations must be complied with by submitting a sworn statement setting forth this information before March 15 of each year. The forms to be used to submit the sworn statement are Tax Form 1853 “Annual Sworn Statement Regarding Credits for Taxes Paid Abroad” and Tax Form 1851 “Annual Sworn Statement Regarding Investments Held Abroad.” If Participant is not a Chilean citizen and has been a resident in Chile for less than three years, Participant is exempt from the requirement to file Tax Form 1853. These statements must be submitted electronically through the CIRS website: www.sii.cl.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China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r>
        <w:rPr>
          <w:rFonts w:ascii="Times New Roman" w:cs="Times New Roman" w:eastAsia="Times New Roman" w:hAnsi="Times New Roman"/>
          <w:sz w:val="13"/>
          <w:szCs w:val="13"/>
          <w:color w:val="auto"/>
        </w:rPr>
        <w:t>&lt; /div&gt;</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Notwithstanding any provision to the contrary in the Terms and Conditions of Stock Option Grant, due to stringent exchange controls and securities restrictions in China,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 for Participants wh o are Chinese Nationals</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understands and agrees that, due to exchange control laws in China, Participant may be required to immediately repatriate the proceeds from the cashless exercise to China. Participant further understands that such repatriation of the proceeds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77" w:right="219" w:bottom="1440" w:gutter="0" w:footer="0" w:header="0"/>
        </w:sectPr>
      </w:pPr>
    </w:p>
    <w:bookmarkStart w:id="109" w:name="page110"/>
    <w:bookmarkEnd w:id="109"/>
    <w:p>
      <w:pPr>
        <w:jc w:val="both"/>
        <w:spacing w:after="0" w:line="257" w:lineRule="auto"/>
        <w:rPr>
          <w:sz w:val="20"/>
          <w:szCs w:val="20"/>
          <w:color w:val="auto"/>
        </w:rPr>
      </w:pPr>
      <w:r>
        <w:rPr>
          <w:rFonts w:ascii="Times New Roman" w:cs="Times New Roman" w:eastAsia="Times New Roman" w:hAnsi="Times New Roman"/>
          <w:sz w:val="13"/>
          <w:szCs w:val="13"/>
          <w:color w:val="auto"/>
        </w:rPr>
        <w:t>may need to be effected through a special exchange control account established by the Employer, the Company, or any of its Subsidiaries in China and Participant hereby consents and agrees that the proceeds from the cashless exercise may be transferred to such special account prior to being delivered to Participant. Proceeds may be paid to Participant in U.S. dollars or local currency at the Company's discretion. If the proceeds are paid in U.S. dollars, Participant will be required to establish a U.S. dollar bank account in China, so that the proceeds may be deposited into such account. If the proceeds are paid in local currency, the Company is under no obligation to secure any particular foreign currency exchange rate. Participant acknowledges that due to the special account requirement, there may be delays in paying Participant the proceeds and that Participant understands and agrees that he or she will bear the foreign currency exchange rate risk. Participant further agrees to comply with any other requirements that may be imposed by the Company in the future in order to facilitate compliance with exchange control requirements in China.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Colombia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Investments in assets located abroad (including Shares) are subject to registration with the Bank of the Republic if Participant's aggregate investments held abroad (as of December 31 of the applicable calendar year) equal or exceed US$500,000. If funds are remitted from Colombia through an authorized local financial institution, the authorized financial institution will automatically register the investment. However, if Participant does not remit funds through an authorized financial institution when Participant exercises his or her Option and acquires and holds Shares abroad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because Participant uses the cashless sell-to-cover method of exercise), then Participant must register the investment (assuming Participant's accumulated financial investments held abroad at the year end are equal to or exceed the equivalent of US$500,000). If Participant uses the cashless sell-all method of exercise, then no registration is required because no funds are remitted from Colombia and no Shares are held abroad.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Costa Rica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are no country-specific provisions.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Czech Republic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The Czech National Bank may require Participant to fulfill certain notification duties in relation to t he acquisition of Shares and the opening and maintenance of a foreign account. However, because exchange control regulations change frequently and without notice, Participant should consult with his or her personal legal advisor prior to exercising the Option and/or the subsequent sale of Shares to ensure compliance with current regulations. Participant is solely responsible for complying with any applicable Czech exchange control laws.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Egypt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Participant transfers funds into or out of E gypt in connection with the exercise of the Option, he or she must transfer the funds through a registered bank in Egypt.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Finland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are no country-specific provisions.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Germany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Cross-border payments in excess of €12,500 must be reported monthly. If Participant uses a German bank to effect a cross-border payment in excess of €12,500 in connection with the exercise of this Option or sale of securities or the payment of dividends related to certain securities, the bank will make the report. In this case, Participant will not have to report the transaction. In addition, Participant must report any receivables or payables or debts in foreign currency exceeding an amount of approximately €5,000,000 on a monthly basis. Finally, Participant must report Shares holding exceeding 10% of the total voting capital of the Company on an annual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Hong Kong</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i w:val="1"/>
          <w:iCs w:val="1"/>
          <w:color w:val="auto"/>
        </w:rPr>
        <w:t>WARNING: The Option and the Shares issued upon exercise do not constitute a public offering of securities under Hong Kong law and are available only to Service Providers of the Company or its Parent, Subsidiaries and Affiliates. The Award Agreement, including this Appendix,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Option is intended only for the personal use of each eligible Service Provider of the Employer, the Company or any Parent, Subsidiary or Affiliate and may not be distributed to any other person. If Participant is in any doubt about any of the contents of the Award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8" w:right="2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i w:val="1"/>
          <w:iCs w:val="1"/>
          <w:color w:val="auto"/>
        </w:rPr>
        <w:t>including this Appendix, or the Plan, Participant should obtain independent professional advice.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Sale of Shares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If the Option vests within six months of the Date of Grant, Participant agrees that he or she will not exercise the Option and sell the Shares acquired prior to the six-month anniversary of the Date of Grant.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Nature of Scheme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The Company specifically intends that the Plan will not be an occupational retirement scheme for purposes of the Occupational Retirement Schemes Ordinance.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In dia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u w:val="single" w:color="auto"/>
          <w:color w:val="auto"/>
        </w:rPr>
        <w:t>Notwithstanding any provision in the Terms and Conditions of Stock Option Grant, due to exchange control laws that are currently in effect in India, Participant will not be permitted to engage in a “sell to cover” exercise whereby a portion of Shares are sold to cover the Exercise Price, any Tax-Related Items and brokerage fees, and the proceeds are settled in Shares.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u w:val="single" w:color="auto"/>
          <w:color w:val="auto"/>
        </w:rPr>
        <w:t>Participant should be aware that if Participant remits funds outside of India to purchase Shares, it is Participant's responsibility to comply with exchange control regulations in India. Proceeds from the sale of Shares must be repatriated to India within 90 days of receipt. Participant should obtain a foreign inward remittance certificate from the bank for Participant's records to document compliance with this requirement and submit a copy of the foreign inward remittance certificate to the Employer if requested.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Indonesia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u w:val="single" w:color="auto"/>
          <w:color w:val="auto"/>
        </w:rPr>
        <w:t>Notwithstanding any provision in the Terms and Conditions of Stock Option Grant, due to securities laws in Indonesia,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u w:val="single" w:color="auto"/>
          <w:color w:val="auto"/>
        </w:rPr>
        <w:t>If Participant remits proceeds from the cashless exercise of the Option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will be provided to Participant by the bank through which the transaction is made.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Ireland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Director Notification Obligation</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If Participant is a director, shadow director or secretary of the Company's Irish Subsidiary or Affiliate, Participant must notify the Irish Subsidiary or Affiliate in writing within five business days of receiving or disposing of an interest in the Company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the Option, Shares,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 uted to the director, shadow director or secretary).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Israel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Notwithstanding any provision in the Terms and Conditions of Stock Option Grant, due to tax rules in Israel,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6" w:right="2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b w:val="1"/>
          <w:bCs w:val="1"/>
          <w:u w:val="single" w:color="auto"/>
          <w:color w:val="auto"/>
        </w:rPr>
        <w:t>Italy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Notwithstanding any provision in the Terms and Conditions of Stock Option Agreement, due to securities restrictions in Italy, when Participant exercises the Option, Participant must use a “cashless sell-all” exercise pursuant to which he or she delivers irrevocable instructions to the broker to sell all Shares to which Participant is entitled at exercise and remit the pro 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Data Privacy Consent</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provision replaces the “Data Privacy” section of the Terms and Conditions of Stock Option Grant:</w:t>
      </w:r>
    </w:p>
    <w:p>
      <w:pPr>
        <w:spacing w:after="0" w:line="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color w:val="auto"/>
        </w:rPr>
        <w:t>Participant hereby explicitly and unambiguously consent to the collection, use, processing and transfer, in electronic or other form, of Participant's personal data as described herein by and among, as applicable, the Employer, the Company and its Subsidiaries for the exclusive purpose of implementing, administering, and managing Participant's participation in the Plan.</w:t>
      </w:r>
    </w:p>
    <w:p>
      <w:pPr>
        <w:spacing w:after="0" w:line="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Participant understands that his or her Employer, the Company and its Subsidiaries may hold certain personal information about Participant, including, but not limited to, Participant's name, home address and telephone number, date of birth, social insurance (to the extent permitted under Italian law) or other identification number, salary, nationality, job title, Shares or directorships held in the Company or its Subsidiaries, details of all options granted, or any other entitlement to Shares awarded, canceled, exercised, vested, unvested or outstanding in Participant's favor, for the exclusive purpose of implementing, managing and administering the Plan (“Data”).</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Participant also understands that providing the Company with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Fortinet, Inc., with registered offices at 1090 Kifer Road, Sunnyvale, CA 94086, U.S.A., and, pursuant to Legislative Decree no. 196/2003, its Representative in Italy for privacy purposes is Fortinet Italy, S.r.L, with registered offices at</w:t>
      </w:r>
      <w:r>
        <w:rPr>
          <w:rFonts w:ascii="Times New Roman" w:cs="Times New Roman" w:eastAsia="Times New Roman" w:hAnsi="Times New Roman"/>
          <w:sz w:val="13"/>
          <w:szCs w:val="13"/>
          <w:color w:val="auto"/>
        </w:rPr>
        <w:t>&lt; font style="font-family:inherit;font-size:10pt;"&gt;</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Via del Casale Solaro, 119, 00143 ROMA Italy. Participant understands that Data will not be publicized, but it may be transferred to banks, other financial institutions, or brokers involved in the management and administration of the Plan. Participant understands that Data may also be transferred to the independent registered public accounting firm engaged by the Company. Participant further understands that the Employer, the Company and/or any of its Subsidiaries will transfer Data among themselves as necessary for the purpose of implementing, administering and managing Participant's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Participant may elect to deposit any Shares acquired under the Plan. Such recipients may receive, possess, use, retain, and transfer Data in electronic or other form, for the purposes of implementing, administering, and managing Participant's participation in the Plan. Participant understands that these recipients may be located in the European Economic Area or elsewhere, such as the United States.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Participant understands that Data processing related to the purposes specified above shall take place under automated or non-automated con 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2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The processing activity, including communication, the transfer of Data abroad, including outside of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 ive Decree no. 196/2003, Participant has the right to, including but not limited to, access, delete, update, correct, or terminate, for legitimate reason, the Data processing.</w:t>
      </w:r>
    </w:p>
    <w:p>
      <w:pPr>
        <w:spacing w:after="0" w:line="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Furthermore, Participant is aware that Data will not be used for direct-marketing purposes. In addition, Data provided can be reviewed and questions or complaints can be addressed by contacting Participant's local human resources representative.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Acknowledgement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Participant acknowledges that he or she has read and specifically and expressly approves the f ollowing sections of the Terms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6" w:right="219" w:bottom="1440" w:gutter="0" w:footer="0" w:header="0"/>
        </w:sectPr>
      </w:pPr>
    </w:p>
    <w:bookmarkStart w:id="112" w:name="page113"/>
    <w:bookmarkEnd w:id="112"/>
    <w:p>
      <w:pPr>
        <w:jc w:val="both"/>
        <w:spacing w:after="0" w:line="281" w:lineRule="auto"/>
        <w:rPr>
          <w:sz w:val="20"/>
          <w:szCs w:val="20"/>
          <w:color w:val="auto"/>
        </w:rPr>
      </w:pPr>
      <w:r>
        <w:rPr>
          <w:rFonts w:ascii="Times New Roman" w:cs="Times New Roman" w:eastAsia="Times New Roman" w:hAnsi="Times New Roman"/>
          <w:sz w:val="13"/>
          <w:szCs w:val="13"/>
          <w:color w:val="auto"/>
        </w:rPr>
        <w:t>Conditions of Stock Option Grant: Responsibility for Taxes, Nature of Grant, and Governing Law and Venue, Language, Electronic Delivery, Agreement Severable, Imposition of Other Requ irements. In addition, Participant acknowledges that he or she has read and specifically and expressly approves the Data Privacy paragraphs above.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Participant must report in his or her annual tax return any transfers of cash or Shares to or from Italy exceeding €10,000 or the equivalent amount in U.S. dollars. The reporting must be done on Participant's individual income tax return. Participant is exempt from this reporting obligation if the investments are made through an authorized broker resident in Italy, as the broker will comply with the reporting obligation on Participant's behalf.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Offshore Asset Reporting Obligation</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must report in his or her annual tax return any foreign investments or investments (including proceeds from the sale of Shares acquired under the Plan or any vested Option) held outside Italy exceeding €10,000 or the equivalent amount in U.S. dollars, if the investment may give rise to income in Italy. The reporting must be done on Participant's individual income tax return.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Japan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Participant acquires Shares valued at more than ¥100,000,000 in a single transaction, Participant must file a Securities Acquisition Report with the Ministry of Finance through the Bank of Japan within 20 days of the purchase of the shares.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In addition, if Participant pays more than ¥30,000,000 in a single transaction for the purchase of Shares when Participant exercises the Option, Participant must file a Payment Report with the Ministry of Finance through the Bank of Japan by the 20</w:t>
      </w:r>
      <w:r>
        <w:rPr>
          <w:rFonts w:ascii="Times New Roman" w:cs="Times New Roman" w:eastAsia="Times New Roman" w:hAnsi="Times New Roman"/>
          <w:sz w:val="9"/>
          <w:szCs w:val="9"/>
          <w:color w:val="auto"/>
        </w:rPr>
        <w:t>th</w:t>
      </w:r>
      <w:r>
        <w:rPr>
          <w:rFonts w:ascii="Times New Roman" w:cs="Times New Roman" w:eastAsia="Times New Roman" w:hAnsi="Times New Roman"/>
          <w:sz w:val="13"/>
          <w:szCs w:val="13"/>
          <w:color w:val="auto"/>
        </w:rPr>
        <w:t xml:space="preserve"> day of the month following the month in which the payment was made. The precise reporting requirements vary depending on whether or not the relevant payment is made through a bank in Japan.</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 Payment Report is required independently from a Securities Acquisition Report. Therefore, if the total amount that Participant pays upon a one-time transaction for exercising the Option and purchasing shares exceeds ¥100,000,000, then Participant must file both a Payment Report and a Securities Acquisition Report.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Korea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Control Information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If Participant remits funds out of Korea to pay the Exercise Price at exercise of the Option, such remittance must be “confirmed” by a foreign exchange bank in Korea. This is an automatic procedure,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bank does not need to “approve” the remittance, and it should take no more than a single day to process. The following supporting documents evidencing the nature of the remittance may need to be submitted to the bank together with the confirmation application: (i) the Notice of Grant and Award Agreement; (ii) the Plan; (iii) a document evidencing the type of shares to be acquired and the amount (e.g., the award certificate); and (iv) Participant's certificate of employment. This confirmation is not necessary for cashless exercises because no funds are remitted out of Korea.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Additionally, exchange control laws require Korean residents who realize US$500,000 or more from the sale of shares to repatriate the proceeds to Korea within 18 months of the sale.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Malaysia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Director Notification Requirements</w:t>
      </w:r>
    </w:p>
    <w:p>
      <w:pPr>
        <w:spacing w:after="0" w:line="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If Participant is a director of a Malaysian Subsidiary of the Company, Participant is subject to certain notification requirements under the Malaysian Companies Act. Among these requirements is an obligation to notify the Malaysian Subsidiary in writing when Participant receives or disposes of an interest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Options, Shares) in the Company or any related company (including when Participant sells Shares acquired pursuant to the exercise of the Option). These notifications must be made within fourteen days of receiving or disposing of any interest in the Company or any related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Insider Trading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Participant should be aware of the Malaysian insider-trading rules, which may impact Participant's acquisition or disposal of Shares acquired from the exercise of the Option. Under the Malaysian insider-trading rules, Participant is prohibited from acquiring or selling Shares or rights to Shares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Options) when Participant is in possession of information that is not generally available and that Participant knows or should know will have a material effect on the price of Shares once such information is generally available.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Mexico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8" w:right="2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u w:val="single" w:color="auto"/>
          <w:color w:val="auto"/>
        </w:rPr>
        <w:t>Labor Law Policy and Acknowledgment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 accepting the grant of the Opt ion, Participant expressly recognizes that Fortinet, Inc., with registered offices at 1090 Kifer Road, Sunnyvale, CA 94086, U.S.A, is solely responsible for the administration of the Plan and that Participant's participation in the Plan and acquisition of Shares do not constitute an employment relationship between Participant and Fortinet, Inc. since Participant is participating in the Plan on a wholly commercial basis and his or her sole Employer is Fortinet, Inc., located at Rodriguez Saro #615, Col. Del Valle, C.P. 03100, Mexico DF. Based on the foregoing, Participant expressly recognizes that the Plan and the benefits that he or she may derive from participating in the Plan do not establish any rights between Participant and the Employer, Fortinet, Inc., and do not form part of the employment conditions and/or benefits provided by Fortinet, Inc., and any modification of the Plan or its termination shall not constitute a change or impairment of the terms and conditions of Participant's employment.</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further understands that his or her participation in the Plan is as a result of a unilateral and discretionary decision of Fortinet, Inc.; therefore, Fortinet, Inc. reserves the absolute right to amend and/or discontinue Participant's participation at any time without any liability to Participant.</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Finally, Participant hereby declares that he or she does not reserve to himself or herself any action or right to bring any claim against Fortinet, Inc. for any compensation or damages regarding any provision of the Plan or the benefits derived under the Plan, and Participant therefore grants a full and broad release to Fortinet, Inc., its affiliates, branches, representation offices, its shareholders, officers, agents, or legal representatives with respect to any claim that may arise.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Política Laboral y Reconocimiento/Aceptación</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Al aceptar el otorgamiento de la Opción de Compra de Acciones, el Participante expresamente reconoce que Fortinet, Inc., con domicilio registrado ubicado en Sunnyvale, CA, U.S.A., es la única responsable por la administración del Plan y que la participación del Participante en el Plan y en su caso la adquisición de las Opciones de Compra de Acciones o Acciones no constituyen ni podrán interpretarse como una relaci&amp; oacute;n de trabajo entre el Participante y Fortinet, Inc., ya que el Participante participa en el Plan en un marco totalmente comercial y su único Patrón lo es Fortinet, Inc. con domicilio en Rodriguez Saro #615, Col. Del Valle, C.P. 03100, México DF, México. Derivado de lo anterior, el Participante expresamente reconoce que el Plan y los beneficios que pudieran derivar de la participación en el Plan no establecen derecho alguno entre el Participante y el Patrón, Fortinet, Inc. y no forma parte de las condiciones de trabajo y/o las prestaciones otorgadas por Fortinet, Inc. y que cualquier modificación al Plan o su terminación no constituye un cambio o impedimento de los términos y condiciones de la relación de trabajo del Participante.</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Asimismo, el Participante reconoce que su participación en el Plan es resultado de una decisión unilateral y discrecional de Fortinet, Inc.; por lo tanto, Fortinet, Inc. se reserva el absoluto derecho de modificar y/o terminar la participación del Participante en cualquier momento y sin responsabilidad alguna frente el Participante.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Finalmente, el Participante por este medio declara que no se reserve derecho o acción alguna que ejercitar en contra de Fortinet, Inc. por cualquier compensación o daño en relación con las disposiciones del Plan o de los beneficios derivados del Plan y por lo tanto, el Participante otorga el más amplio finiquito que en derecho proceda a Fortinet, Inc., sus afiliadas, subsidiarias, oficinas de representación, s us accionistas, funcionarios, agentes o representantes legales en relación con cualquier demanda que pudiera surgir.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Netherlands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Insider Trading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Participant should be aware of Dutch insider trading rules that may impact the sale of Shares acquired under the Plan. In particular, Participant may be prohibited from effecting certain transactions if he or she has insider information regarding the Company.</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By accepting the grant of the Option and participating in the Plan, Participant acknowledges having read and understood this Insider Trading Information and further acknowledges that it is Participant's responsibility to comply with the following Dutch insider trading rules.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Under Article 46 of the Act on the Supervision of the Securities Trade 1995, anyone who has “insider information” related to an issuing company is prohibited from effectuating a transaction in securities in or from the Netherlands. “Inside information” is defined as knowledge of details concerning the issuing company to which the securities relate that is not public and which, if published, would reasonably be expected to affect the stock price, regardle ss of the development of the price. The insider could be any employee of the Company or a Subsidiary in the Netherlands who has inside information as described herein.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Given the broad scope of the definition of inside information, certain employees of the Company working at a Subsidiary of the Company in the Netherlands (including a Participant in the Plan) may have inside information and, thus, would be prohibited from effectuating a transaction in securities in the Netherlands at a time when Participant had such inside information. If Participant is uncertain whether the insider trading rules apply to him or her, Participant should consult with his or her personal legal advisor.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Ne w Zealand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Acknowledgment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8" w:right="2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color w:val="auto"/>
        </w:rPr>
        <w:t>Participa nt acknowledges that he or she will receive the following documents in connection with the offer to purchase shares at exercise of the Option:</w:t>
      </w:r>
    </w:p>
    <w:p>
      <w:pPr>
        <w:spacing w:after="0" w:line="85" w:lineRule="exact"/>
        <w:rPr>
          <w:sz w:val="20"/>
          <w:szCs w:val="20"/>
          <w:color w:val="auto"/>
        </w:rPr>
      </w:pPr>
    </w:p>
    <w:p>
      <w:pPr>
        <w:ind w:left="720" w:hanging="252"/>
        <w:spacing w:after="0"/>
        <w:tabs>
          <w:tab w:leader="none" w:pos="7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Award Agreement, including this Appendix, which sets forth the terms and conditions of the Option;</w:t>
      </w:r>
    </w:p>
    <w:p>
      <w:pPr>
        <w:spacing w:after="0" w:line="85" w:lineRule="exact"/>
        <w:rPr>
          <w:rFonts w:ascii="Times New Roman" w:cs="Times New Roman" w:eastAsia="Times New Roman" w:hAnsi="Times New Roman"/>
          <w:sz w:val="13"/>
          <w:szCs w:val="13"/>
          <w:color w:val="auto"/>
        </w:rPr>
      </w:pPr>
    </w:p>
    <w:p>
      <w:pPr>
        <w:ind w:left="940" w:hanging="472"/>
        <w:spacing w:after="0" w:line="281" w:lineRule="auto"/>
        <w:tabs>
          <w:tab w:leader="none" w:pos="772"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Company's Form S-1, which includes the most recent financial report, has been made available to Participant to enable Participant to make informed decisions concerning participation in the Plan; and</w:t>
      </w:r>
    </w:p>
    <w:p>
      <w:pPr>
        <w:spacing w:after="0" w:line="39" w:lineRule="exact"/>
        <w:rPr>
          <w:rFonts w:ascii="Times New Roman" w:cs="Times New Roman" w:eastAsia="Times New Roman" w:hAnsi="Times New Roman"/>
          <w:sz w:val="13"/>
          <w:szCs w:val="13"/>
          <w:color w:val="auto"/>
        </w:rPr>
      </w:pPr>
    </w:p>
    <w:p>
      <w:pPr>
        <w:ind w:left="940" w:hanging="472"/>
        <w:spacing w:after="0" w:line="267" w:lineRule="auto"/>
        <w:tabs>
          <w:tab w:leader="none" w:pos="802"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description of the Plan (the “Description”)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Company's Form S-8 plan prospectus under the U.S. Securities Act of 1933, as amended), and the Company will provide any attachments or documents incorporated by reference into the Description upon written request. The documents incorporated by reference into the Description are updated periodically. Should Participant request copies of the documents incorporated by reference into the Description, the Company will provide Participant with the most recent documents incorporated by reference.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Peru</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Poland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It is no longer necessary to obtain a foreign exchange permit to participate in the Plan. However, if Participant transfers more than €15,000 out of Poland in connection with the exercise of an Option, Participant must transfer the funds via a bank account. Please note that if Participant uses a cashless method of exercise, this requirement will not apply because no fu nds will be transferred out of Poland. If Participant acquires Shares through participation in the Plan, Participant must file an annual report with the National Bank of Poland declaring ownership of foreign shares. This report is filed on a special form available on the website of the National Bank of Poland.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Singapore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grant of the Option is being made in reliance on Section 273(1)(f) of the Securities and Futures Act (Cap. 289) (“SFA”), under which it is exempt from the pro spectus and registration requirements under the SFA.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Director Reporting Requirements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If Participant is a director, associate director or shadow director of a Singapore Subsidiary, Participant is subject to certain notification requirements under the Singapore Companies Act. Directors must notify the Singapore Subsidiary in writing of an interest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Options, Shares) in the Company or any related companies within two days of (i) its acquisition or disposal, (ii) any change in a previously disclosed interest (e.g., when the Option is exercised), or (iii) becoming a director.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South Africa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Notwithstanding any provision in the Terms and Conditions of Stock Option Agreement, due to exchange control restrictions in South Africa, when Participant exercises the Option, Participant must use a “cashless sell-all” exercise pursuant to which he or she delivers irrevocable instructions to the broker to sell all Shares to which Participan 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Responsibility for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section supplements the “Responsibility for Taxes” section of the Terms and Conditions of Stock Option Grant:</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accepting the Option, Participant agrees to notify the Employer of the amount of any gain realized upon exercise of the Option. If Participant fails to advise the Employer of the gain realized upon exercise, he or she may be liable for a fine. Participant will be responsible for paying any difference between the actual tax liability and the amount withheld.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Participant may be required to obtain exchange control approval prior to exercising the Option. Participant is solely responsible for complying with applicable South African exchange control regulations. Since the exchange control regulations change frequently and without notice, the Participant should consult his or her lega l advisor prior to the exercise of the Option or sale of Shares acquired at exercise to ensure compliance with current regulations. Neither the Company nor the Employer will be liable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8" w:right="2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color w:val="auto"/>
        </w:rPr>
        <w:t>for any fines or penalties resul ting from failure to comply with applicable laws.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Spain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Labor Law Acknowledgment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section supplements the “Nature of Grant” section of the Terms and Conditions of Stock Option Grant: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accepting the Option, Participant acknowledges that he or she consents to participation in the Plan and has received a copy of the Plan.</w:t>
      </w: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Participant understands that the Company has unilaterally, gratuitously, and discretionally decided to grant options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the Option is granted on the assumption and condition that the Option or the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Participant understands that this grant would not be made to Participant bu t for the assumptions and conditions referred to above; thus, Participant acknowledges and freely accepts that should any or all of the assumptions be mistaken or should any of the conditions not be met for any reason, then any grant of options shall be null and void.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It is Participant's responsibility to comply with exchange control regulations in Spain. The purchase of Shares must be declared by the purchaser for statistical purposes to the Spanish </w:t>
      </w:r>
      <w:r>
        <w:rPr>
          <w:rFonts w:ascii="Times New Roman" w:cs="Times New Roman" w:eastAsia="Times New Roman" w:hAnsi="Times New Roman"/>
          <w:sz w:val="13"/>
          <w:szCs w:val="13"/>
          <w:i w:val="1"/>
          <w:iCs w:val="1"/>
          <w:color w:val="auto"/>
        </w:rPr>
        <w:t>Direccion General de Política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Comercial y de Inversiones Extranjeras </w:t>
      </w:r>
      <w:r>
        <w:rPr>
          <w:rFonts w:ascii="Times New Roman" w:cs="Times New Roman" w:eastAsia="Times New Roman" w:hAnsi="Times New Roman"/>
          <w:sz w:val="13"/>
          <w:szCs w:val="13"/>
          <w:color w:val="auto"/>
        </w:rPr>
        <w:t>(the “DGPCIE”), of the</w:t>
      </w:r>
      <w:r>
        <w:rPr>
          <w:rFonts w:ascii="Times New Roman" w:cs="Times New Roman" w:eastAsia="Times New Roman" w:hAnsi="Times New Roman"/>
          <w:sz w:val="13"/>
          <w:szCs w:val="13"/>
          <w:i w:val="1"/>
          <w:iCs w:val="1"/>
          <w:color w:val="auto"/>
        </w:rPr>
        <w:t xml:space="preserve"> Ministerio de Economia</w:t>
      </w:r>
      <w:r>
        <w:rPr>
          <w:rFonts w:ascii="Times New Roman" w:cs="Times New Roman" w:eastAsia="Times New Roman" w:hAnsi="Times New Roman"/>
          <w:sz w:val="13"/>
          <w:szCs w:val="13"/>
          <w:color w:val="auto"/>
        </w:rPr>
        <w:t>. If Participant purchases the Shares through the use of a Spanish financial institution, that institution will automatically make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declaration to the DGPCIE for Participant. Otherwise, Participant must make the declaration by filing the appropriate form with the DGPCIE. In addition, Participant must also file a declaration of the ownership of the securities with the Directorate of Foreign Transactions each January while the Shares are owned.</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When receiving foreign currency payments derived from the ownership of Shares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a s a result of the sale of the Shares), Participant must inform the financial institution receiving the payment of the basis upon which such payment is made. Participant will likely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additional information that may be required.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Participant wishes to import the ownership title of the Shares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share certificates) into Spain, Participant must declare the importation of such securities to the DGPCIE.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Sweden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country-specific provisions.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Switzerland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Method of Payment</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Notwithstanding any provision to the contrary in the Award Agreement, due to restrictions in Switzerland, when Participant exercises the Option, Partici 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Taiwan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This offer of the Option and the Sh ares to be issued pursuant to the Plan is available only for employees of the Company and its Subsidiaries. It is not a public offer of securities by a Taiwanese company; therefore, it is exempt from registration in Taiwan.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Participant may acquire foreign currency and remit the same out of Taiwan, up to US$5 million per year without justification. When remitting funds for the purchase of Shares pursuant to the Plan, such remittances should be made through an authorized foreign exchange bank. In addition, if Participant remits TWD$500,000 or more in a single transaction, Participant must submit a Foreign Exchange Transaction Form to the remitting bank. If the transaction a mount is US$500,000 or more in a single transaction, Participant must also provide supporting documentation to the satisfaction of the remitting bank.</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18" w:right="219" w:bottom="1440" w:gutter="0" w:footer="0" w:header="0"/>
        </w:sectPr>
      </w:pPr>
    </w:p>
    <w:bookmarkStart w:id="116" w:name="page117"/>
    <w:bookmarkEnd w:id="116"/>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Thailand</w:t>
      </w:r>
    </w:p>
    <w:p>
      <w:pPr>
        <w:spacing w:after="0" w:line="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74"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3"/>
          <w:szCs w:val="13"/>
          <w:color w:val="auto"/>
        </w:rPr>
        <w:t>It is Participant's responsibility to comply with all exchange control regulations in Thailand. If Participant exercises the Option with cash, Participant may apply directly to a commercial bank in Thailand for approval to remit up to US$1,000,000 per year for the purchase of Shares. If Participant exercises the Option by way of a cashless method of exercise, no application to a commercial bank is required. In addition, Participant is required to immediately repatriate the proceeds from the sale of the Shares acquired pursuant to the exercise of the Option to Thailand. Within the next 360 days after the repatriation date, Participant must deposit the sale proceeds into a foreign curr ency deposit account or convert them to local currency. If the amount of such sale proceeds is equal to or greater than US$20,000, Participant must specifically report the inward remittance to the Bank of Thailand on a Foreign Exchange Transaction Form through the bank at which Participant deposits or converts the sale proceeds.</w:t>
      </w:r>
    </w:p>
    <w:p>
      <w:pPr>
        <w:spacing w:after="0" w:line="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Turkey</w:t>
      </w:r>
    </w:p>
    <w:p>
      <w:pPr>
        <w:spacing w:after="0" w:line="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u w:val="single" w:color="auto"/>
          <w:color w:val="auto"/>
        </w:rPr>
        <w:t>Exchange Control Information</w:t>
      </w:r>
    </w:p>
    <w:p>
      <w:pPr>
        <w:spacing w:after="0" w:line="83"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3"/>
          <w:szCs w:val="13"/>
          <w:color w:val="auto"/>
        </w:rPr>
        <w:t>Exchange control regulations require Turkish residents to purchase Shares through intermediary financial institutions that are approved under the Capital Mar ket Law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banks licensed in Turkey). Therefore, if Participant uses cash to exercise the Option, the funds must be remitted through a bank or other financial institution licensed in Turkey. A wire transfer of funds by a Turkish bank will satisfy this requirement. This requirement does not apply to cashless exercises, as no funds leave Turkey.</w:t>
      </w:r>
    </w:p>
    <w:p>
      <w:pPr>
        <w:spacing w:after="0" w:line="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United Arab Emirates</w:t>
      </w:r>
    </w:p>
    <w:p>
      <w:pPr>
        <w:spacing w:after="0" w:line="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u w:val="single" w:color="auto"/>
          <w:color w:val="auto"/>
        </w:rPr>
        <w:t>Securities Law Information</w:t>
      </w:r>
    </w:p>
    <w:p>
      <w:pPr>
        <w:spacing w:after="0" w:line="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Plan is only being offered to eligible Service Providers and is in the nature of providing equity incentives to eligible Service Providers of the Company's Subsidiary in the United Arab Emirates.</w:t>
      </w:r>
    </w:p>
    <w:p>
      <w:pPr>
        <w:spacing w:after="0" w:line="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United Kingdom</w:t>
      </w:r>
    </w:p>
    <w:p>
      <w:pPr>
        <w:spacing w:after="0" w:line="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u w:val="single" w:color="auto"/>
          <w:color w:val="auto"/>
        </w:rPr>
        <w:t>Joint Election</w:t>
      </w:r>
    </w:p>
    <w:p>
      <w:pPr>
        <w:spacing w:after="0" w:line="85"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3"/>
          <w:szCs w:val="13"/>
          <w:color w:val="auto"/>
        </w:rPr>
        <w:t>As a condition of participation in the Plan and the exercise of the Option, Participant agrees to accept any liability for secondary Class 1 national insurance contributions that may be payable by the Company and/or the Employer in connection with the Option and any event giving rise to Tax-Related Items (the “Employer NICs”). Without prejudice to the foregoing, Participant agrees to execute a joint election with the Company, the form of such joint election being formally approved by Her Majesty's Revenue &amp; Customs (“HMRC”) (the “Joint Election”), and any other required consent or election. Participant further agrees to execute such other joint elections as may be required between him or her and any successor to the Company and/or the Employer. Participant further agrees that the Company and/or the Employer may collect the Employer NICs from him or her by any of the means set forth in “Responsibility for Taxes” section of the Terms and Conditions of Stock Option Grant.</w:t>
      </w:r>
    </w:p>
    <w:p>
      <w:pPr>
        <w:spacing w:after="0" w:line="57" w:lineRule="exact"/>
        <w:rPr>
          <w:sz w:val="20"/>
          <w:szCs w:val="20"/>
          <w:color w:val="auto"/>
        </w:rPr>
      </w:pPr>
    </w:p>
    <w:p>
      <w:pPr>
        <w:jc w:val="both"/>
        <w:ind w:left="2" w:right="20"/>
        <w:spacing w:after="0" w:line="281" w:lineRule="auto"/>
        <w:rPr>
          <w:sz w:val="20"/>
          <w:szCs w:val="20"/>
          <w:color w:val="auto"/>
        </w:rPr>
      </w:pPr>
      <w:r>
        <w:rPr>
          <w:rFonts w:ascii="Times New Roman" w:cs="Times New Roman" w:eastAsia="Times New Roman" w:hAnsi="Times New Roman"/>
          <w:sz w:val="13"/>
          <w:szCs w:val="13"/>
          <w:color w:val="auto"/>
        </w:rPr>
        <w:t>If Participant does not enter into a Joint Election prior to exercise of the Option, he or she will not be entitled to exercise the Option unless and until he or she enters into a Joint Election and no Shares will be issued to Participant under the Plan, without any liability to the Company and/or the Employer.</w:t>
      </w:r>
    </w:p>
    <w:p>
      <w:pPr>
        <w:spacing w:after="0" w:line="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u w:val="single" w:color="auto"/>
          <w:color w:val="auto"/>
        </w:rPr>
        <w:t>Tax Obligations/Withholding Authorization</w:t>
      </w:r>
    </w:p>
    <w:p>
      <w:pPr>
        <w:spacing w:after="0" w:line="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This section supplements the “Responsibility for Taxes” section of the Terms and Conditions of Stock Option Grant.</w:t>
      </w:r>
    </w:p>
    <w:p>
      <w:pPr>
        <w:spacing w:after="0" w:line="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If payment or withholding of the Tax-Related Items (including the Employer NICs) is not made within ninety (90) days of the event giving rise to the Tax-Related Items or such other period specified in Section 222(1 )</w:t>
      </w:r>
    </w:p>
    <w:p>
      <w:pPr>
        <w:spacing w:after="0" w:line="19" w:lineRule="exact"/>
        <w:rPr>
          <w:sz w:val="20"/>
          <w:szCs w:val="20"/>
          <w:color w:val="auto"/>
        </w:rPr>
      </w:pPr>
    </w:p>
    <w:p>
      <w:pPr>
        <w:jc w:val="both"/>
        <w:ind w:left="2" w:right="20" w:hanging="2"/>
        <w:spacing w:after="0" w:line="253" w:lineRule="auto"/>
        <w:tabs>
          <w:tab w:leader="none" w:pos="1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U.K. Income Tax (Earnings and Pensions) Act 2003 (the “Due Date”), the amount of any uncollected Tax-Related Items shall constitute a loan owed by Participant to the Employer, effective as of the Due Date. Participant agrees that the loan will bear interest at the then-current official rate of HMRC, it shall be immediately due and repayable, and the Company or the Employer may recover it at any time thereafter by any of the means referred to in the “Responsibility for Taxes” section of the Terms and Conditions of Stock Option Grant. Notwithstanding the foregoing, if Participant is a director or executive officer of the Company (within the meaning of Section 13(k) of the U.S. Securities and Exchange Act of 1934, as amended), he or she shall not be eligible for a loan from the Company to cover the Tax-Related Items. In the event that Participant is a director or executive officer and Tax-Related Items are not collected from or paid by him or her by the Due Date, the amoun t of any uncollected Tax-Related Items will constitute a benefit to Participant on which additional income tax and NICs (including the Employer NICs) will be payable. Participant will be responsible for reporting any income tax and NICs (including the Employer NICs) due on this additional benefit directly to HMRC under the self-assessment regime.</w:t>
      </w:r>
    </w:p>
    <w:p>
      <w:pPr>
        <w:spacing w:after="0" w:line="59" w:lineRule="exact"/>
        <w:rPr>
          <w:sz w:val="20"/>
          <w:szCs w:val="20"/>
          <w:color w:val="auto"/>
        </w:rPr>
      </w:pPr>
    </w:p>
    <w:p>
      <w:pPr>
        <w:ind w:left="2" w:right="20"/>
        <w:spacing w:after="0" w:line="281" w:lineRule="auto"/>
        <w:rPr>
          <w:sz w:val="20"/>
          <w:szCs w:val="20"/>
          <w:color w:val="auto"/>
        </w:rPr>
      </w:pPr>
      <w:r>
        <w:rPr>
          <w:rFonts w:ascii="Times New Roman" w:cs="Times New Roman" w:eastAsia="Times New Roman" w:hAnsi="Times New Roman"/>
          <w:sz w:val="13"/>
          <w:szCs w:val="13"/>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4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3"/>
          <w:szCs w:val="13"/>
          <w:color w:val="auto"/>
        </w:rPr>
        <w:t>18</w:t>
      </w:r>
    </w:p>
    <w:p>
      <w:pPr>
        <w:spacing w:after="0" w:line="193"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82"/>
          </w:cols>
          <w:pgMar w:left="218" w:top="516" w:right="1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138430</wp:posOffset>
            </wp:positionH>
            <wp:positionV relativeFrom="page">
              <wp:posOffset>424180</wp:posOffset>
            </wp:positionV>
            <wp:extent cx="1478280" cy="205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78280" cy="205105"/>
                    </a:xfrm>
                    <a:prstGeom prst="rect">
                      <a:avLst/>
                    </a:prstGeom>
                    <a:noFill/>
                  </pic:spPr>
                </pic:pic>
              </a:graphicData>
            </a:graphic>
          </wp:anchor>
        </w:drawing>
        <w:t>EXHIBIT 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2009 EQUITY INCENTIVE PLAN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1090 Kifer Road, Sunnyvale, CA 94086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Stock Administration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Exercise of Option</w:t>
      </w:r>
      <w:r>
        <w:rPr>
          <w:rFonts w:ascii="Times New Roman" w:cs="Times New Roman" w:eastAsia="Times New Roman" w:hAnsi="Times New Roman"/>
          <w:sz w:val="13"/>
          <w:szCs w:val="13"/>
          <w:color w:val="auto"/>
        </w:rPr>
        <w:t>. Effective as of today, ________________, _____, the undersigned (“Purchaser”) hereby elects to purchase ______________ shares (the “Shares”) of the Common Stock of Fortinet, Inc.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under and pursuant to the 2009 Equity Incentive Plan (the “Plan”) and the Stock Option Award Agreement dated ________ (the “Award Agreement”). The purchase price for the Shares will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 as required by the Award Agreement.</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Delivery of Payment</w:t>
      </w:r>
      <w:r>
        <w:rPr>
          <w:rFonts w:ascii="Times New Roman" w:cs="Times New Roman" w:eastAsia="Times New Roman" w:hAnsi="Times New Roman"/>
          <w:sz w:val="13"/>
          <w:szCs w:val="13"/>
          <w:color w:val="auto"/>
        </w:rPr>
        <w:t>. Purchaser herewith delivers to the Company the full purchase price of the Shares and any required Tax-Related Items to be paid in connection with the exercise of the Option.</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Representations of Purchaser</w:t>
      </w:r>
      <w:r>
        <w:rPr>
          <w:rFonts w:ascii="Times New Roman" w:cs="Times New Roman" w:eastAsia="Times New Roman" w:hAnsi="Times New Roman"/>
          <w:sz w:val="13"/>
          <w:szCs w:val="13"/>
          <w:color w:val="auto"/>
        </w:rPr>
        <w:t>. Purchaser acknowledges that Purchaser has received, read and understood the Plan and the Award Agreement and agrees to abide by and be bound by their terms and conditions.</w:t>
      </w:r>
    </w:p>
    <w:p>
      <w:pPr>
        <w:spacing w:after="0" w:line="16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u w:val="single" w:color="auto"/>
          <w:color w:val="auto"/>
        </w:rPr>
        <w:t>Rights as Stockholder</w:t>
      </w:r>
      <w:r>
        <w:rPr>
          <w:rFonts w:ascii="Times New Roman" w:cs="Times New Roman" w:eastAsia="Times New Roman" w:hAnsi="Times New Roman"/>
          <w:sz w:val="13"/>
          <w:szCs w:val="13"/>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2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3"/>
          <w:szCs w:val="13"/>
          <w:u w:val="single" w:color="auto"/>
          <w:color w:val="auto"/>
        </w:rPr>
        <w:t>No Advice Regarding Grant</w:t>
      </w:r>
      <w:r>
        <w:rPr>
          <w:rFonts w:ascii="Times New Roman" w:cs="Times New Roman" w:eastAsia="Times New Roman" w:hAnsi="Times New Roman"/>
          <w:sz w:val="13"/>
          <w:szCs w:val="13"/>
          <w:color w:val="auto"/>
        </w:rPr>
        <w:t>. Purchaser understands that Purchaser may suffer adverse tax or financial consequences as a result of Purchaser's purchase or disposition of the Shares. Further, the Company is not providing any tax, legal, or financial advice, nor is the Company making any recommendations regarding Purchaser's participation in the Plan or Purchaser's acquisition or sale of the underlying Shares. Purchaser represents that Purchaser has consulted with any tax, legal, or financial consultants Purchaser deems advisable in connection with the purchase or disposition of the Shares, and that Purchaser is not relying on the Company for any such advice.</w:t>
      </w:r>
    </w:p>
    <w:p>
      <w:pPr>
        <w:spacing w:after="0" w:line="13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u w:val="single" w:color="auto"/>
          <w:color w:val="auto"/>
        </w:rPr>
        <w:t>Entire Agreement; Governing Law</w:t>
      </w:r>
      <w:r>
        <w:rPr>
          <w:rFonts w:ascii="Times New Roman" w:cs="Times New Roman" w:eastAsia="Times New Roman" w:hAnsi="Times New Roman"/>
          <w:sz w:val="13"/>
          <w:szCs w:val="13"/>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Submitted by:</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Accepted by:</w:t>
            </w:r>
          </w:p>
        </w:tc>
      </w:tr>
      <w:tr>
        <w:trPr>
          <w:trHeight w:val="333"/>
        </w:trPr>
        <w:tc>
          <w:tcPr>
            <w:tcW w:w="33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PURCHASER:</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FORTINET, Inc</w:t>
            </w:r>
          </w:p>
        </w:tc>
      </w:tr>
      <w:tr>
        <w:trPr>
          <w:trHeight w:val="255"/>
        </w:trPr>
        <w:tc>
          <w:tcPr>
            <w:tcW w:w="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5500" w:type="dxa"/>
            <w:vAlign w:val="bottom"/>
            <w:tcBorders>
              <w:bottom w:val="single" w:sz="8" w:color="auto"/>
            </w:tcBorders>
          </w:tcPr>
          <w:p>
            <w:pPr>
              <w:spacing w:after="0"/>
              <w:rPr>
                <w:sz w:val="22"/>
                <w:szCs w:val="22"/>
                <w:color w:val="auto"/>
              </w:rPr>
            </w:pPr>
          </w:p>
        </w:tc>
      </w:tr>
      <w:tr>
        <w:trPr>
          <w:trHeight w:val="165"/>
        </w:trPr>
        <w:tc>
          <w:tcPr>
            <w:tcW w:w="33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Signature</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By</w:t>
            </w:r>
          </w:p>
        </w:tc>
      </w:tr>
      <w:tr>
        <w:trPr>
          <w:trHeight w:val="255"/>
        </w:trPr>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00" w:type="dxa"/>
            <w:vAlign w:val="bottom"/>
            <w:tcBorders>
              <w:bottom w:val="single" w:sz="8" w:color="auto"/>
            </w:tcBorders>
          </w:tcPr>
          <w:p>
            <w:pPr>
              <w:spacing w:after="0"/>
              <w:rPr>
                <w:sz w:val="22"/>
                <w:szCs w:val="22"/>
                <w:color w:val="auto"/>
              </w:rPr>
            </w:pPr>
          </w:p>
        </w:tc>
      </w:tr>
      <w:tr>
        <w:trPr>
          <w:trHeight w:val="165"/>
        </w:trPr>
        <w:tc>
          <w:tcPr>
            <w:tcW w:w="33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Print Name</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Title</w:t>
            </w:r>
          </w:p>
        </w:tc>
      </w:tr>
      <w:tr>
        <w:trPr>
          <w:trHeight w:val="196"/>
        </w:trPr>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&lt; /font&gt;</w:t>
            </w:r>
          </w:p>
        </w:tc>
      </w:tr>
      <w:tr>
        <w:trPr>
          <w:trHeight w:val="206"/>
        </w:trPr>
        <w:tc>
          <w:tcPr>
            <w:tcW w:w="33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Address:</w:t>
            </w:r>
          </w:p>
        </w:tc>
        <w:tc>
          <w:tcPr>
            <w:tcW w:w="2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24"/>
        </w:trPr>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165"/>
        </w:trPr>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Date Received</w:t>
            </w:r>
          </w:p>
        </w:tc>
      </w:tr>
      <w:tr>
        <w:trPr>
          <w:trHeight w:val="333"/>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160" w:type="dxa"/>
            <w:vAlign w:val="bottom"/>
            <w:gridSpan w:val="3"/>
          </w:tcPr>
          <w:p>
            <w:pPr>
              <w:jc w:val="right"/>
              <w:ind w:right="5355"/>
              <w:spacing w:after="0"/>
              <w:rPr>
                <w:sz w:val="20"/>
                <w:szCs w:val="20"/>
                <w:color w:val="auto"/>
              </w:rPr>
            </w:pPr>
            <w:r>
              <w:rPr>
                <w:rFonts w:ascii="Times New Roman" w:cs="Times New Roman" w:eastAsia="Times New Roman" w:hAnsi="Times New Roman"/>
                <w:sz w:val="13"/>
                <w:szCs w:val="13"/>
                <w:color w:val="auto"/>
              </w:rPr>
              <w:t>19</w:t>
            </w:r>
          </w:p>
        </w:tc>
      </w:tr>
      <w:tr>
        <w:trPr>
          <w:trHeight w:val="313"/>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160" w:type="dxa"/>
            <w:vAlign w:val="bottom"/>
            <w:gridSpan w:val="3"/>
          </w:tcPr>
          <w:p>
            <w:pPr>
              <w:jc w:val="right"/>
              <w:ind w:right="4895"/>
              <w:spacing w:after="0"/>
              <w:rPr>
                <w:sz w:val="20"/>
                <w:szCs w:val="20"/>
                <w:color w:val="auto"/>
              </w:rPr>
            </w:pPr>
            <w:r>
              <w:rPr>
                <w:rFonts w:ascii="Times New Roman" w:cs="Times New Roman" w:eastAsia="Times New Roman" w:hAnsi="Times New Roman"/>
                <w:sz w:val="13"/>
                <w:szCs w:val="13"/>
                <w:color w:val="auto"/>
              </w:rPr>
              <w:t>GESDMS/6544036.12</w:t>
            </w:r>
          </w:p>
        </w:tc>
      </w:tr>
    </w:tbl>
    <w:p>
      <w:pPr>
        <w:sectPr>
          <w:pgSz w:w="11900" w:h="16838" w:orient="portrait"/>
          <w:cols w:equalWidth="0" w:num="1">
            <w:col w:w="11460"/>
          </w:cols>
          <w:pgMar w:left="220" w:top="1132" w:right="219" w:bottom="1440" w:gutter="0" w:footer="0" w:header="0"/>
        </w:sectPr>
      </w:pPr>
    </w:p>
    <w:bookmarkStart w:id="118" w:name="page119"/>
    <w:bookmarkEnd w:id="118"/>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20 09 EQUITY INCENTIVE PLAN</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STOCK OPTION AWARD AGREEMENT</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FOR OPTIONEES IN FRANCE</w:t>
      </w:r>
    </w:p>
    <w:p>
      <w:pPr>
        <w:spacing w:after="0" w:line="15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Unless otherwise defined herein, the terms defined in the Fortinet, Inc. 2009 Equity Incentive Plan (the “U.S. Plan”) and the Rules of the Fortinet, Inc. 2009 Equity Incentive Plan for the Grant of Stock Options to Optionees in France (the “French Plan,” and in conjunction with the U.S. Plan, the “Plan”) will have the same defined meanings in this Stock Option Award Agreement for Optionees in France (the “Award Agreement”). To the extent that any term is defined in both the U.S. Plan and the French Plan, for purposes of this grant of a French-qualified Option, the definitions in the French Plan shall prevail.</w:t>
      </w:r>
    </w:p>
    <w:p>
      <w:pPr>
        <w:spacing w:after="0" w:line="49" w:lineRule="exact"/>
        <w:rPr>
          <w:sz w:val="20"/>
          <w:szCs w:val="20"/>
          <w:color w:val="auto"/>
        </w:rPr>
      </w:pPr>
    </w:p>
    <w:p>
      <w:pPr>
        <w:ind w:left="1300" w:right="8460" w:hanging="832"/>
        <w:spacing w:after="0" w:line="472" w:lineRule="auto"/>
        <w:tabs>
          <w:tab w:leader="none" w:pos="733" w:val="left"/>
        </w:tabs>
        <w:numPr>
          <w:ilvl w:val="0"/>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 xml:space="preserve">NOTICE OF STOCK OPTION GRANT </w:t>
      </w:r>
      <w:r>
        <w:rPr>
          <w:rFonts w:ascii="Times New Roman" w:cs="Times New Roman" w:eastAsia="Times New Roman" w:hAnsi="Times New Roman"/>
          <w:sz w:val="13"/>
          <w:szCs w:val="13"/>
          <w:b w:val="1"/>
          <w:bCs w:val="1"/>
          <w:color w:val="auto"/>
        </w:rPr>
        <w:t>Optionee Name: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color w:val="auto"/>
        </w:rPr>
        <w:t>Address: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You have been granted an Option to purchase Common Stock of Fortinet, Inc. (the “Company”), subject to the terms and conditions of the Plan and this Award Agreement,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4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Grant Number:</w:t>
            </w:r>
          </w:p>
        </w:tc>
        <w:tc>
          <w:tcPr>
            <w:tcW w:w="6620" w:type="dxa"/>
            <w:vAlign w:val="bottom"/>
          </w:tcPr>
          <w:p>
            <w:pPr>
              <w:spacing w:after="0"/>
              <w:rPr>
                <w:sz w:val="14"/>
                <w:szCs w:val="14"/>
                <w:color w:val="auto"/>
              </w:rPr>
            </w:pPr>
          </w:p>
        </w:tc>
      </w:tr>
      <w:tr>
        <w:trPr>
          <w:trHeight w:val="196"/>
        </w:trPr>
        <w:tc>
          <w:tcPr>
            <w:tcW w:w="8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Date of Grant:</w:t>
            </w:r>
          </w:p>
        </w:tc>
        <w:tc>
          <w:tcPr>
            <w:tcW w:w="66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Commencement Date:</w:t>
            </w:r>
          </w:p>
        </w:tc>
        <w:tc>
          <w:tcPr>
            <w:tcW w:w="66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Price per share:</w:t>
            </w:r>
          </w:p>
        </w:tc>
        <w:tc>
          <w:tcPr>
            <w:tcW w:w="6620" w:type="dxa"/>
            <w:vAlign w:val="bottom"/>
          </w:tcPr>
          <w:p>
            <w:pPr>
              <w:spacing w:after="0"/>
              <w:rPr>
                <w:sz w:val="17"/>
                <w:szCs w:val="17"/>
                <w:color w:val="auto"/>
              </w:rPr>
            </w:pPr>
          </w:p>
        </w:tc>
      </w:tr>
      <w:tr>
        <w:trPr>
          <w:trHeight w:val="215"/>
        </w:trPr>
        <w:tc>
          <w:tcPr>
            <w:tcW w:w="8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Total Number of Shares Granted:</w:t>
            </w:r>
          </w:p>
        </w:tc>
        <w:tc>
          <w:tcPr>
            <w:tcW w:w="6620" w:type="dxa"/>
            <w:vAlign w:val="bottom"/>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Total Exercise Price:</w:t>
            </w:r>
          </w:p>
        </w:tc>
        <w:tc>
          <w:tcPr>
            <w:tcW w:w="6620" w:type="dxa"/>
            <w:vAlign w:val="bottom"/>
          </w:tcPr>
          <w:p>
            <w:pPr>
              <w:spacing w:after="0"/>
              <w:rPr>
                <w:sz w:val="15"/>
                <w:szCs w:val="15"/>
                <w:color w:val="auto"/>
              </w:rPr>
            </w:pPr>
          </w:p>
        </w:tc>
      </w:tr>
      <w:tr>
        <w:trPr>
          <w:trHeight w:val="184"/>
        </w:trPr>
        <w:tc>
          <w:tcPr>
            <w:tcW w:w="8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620" w:type="dxa"/>
            <w:vAlign w:val="bottom"/>
          </w:tcPr>
          <w:p>
            <w:pPr>
              <w:ind w:left="2060"/>
              <w:spacing w:after="0"/>
              <w:rPr>
                <w:sz w:val="20"/>
                <w:szCs w:val="20"/>
                <w:color w:val="auto"/>
              </w:rPr>
            </w:pPr>
            <w:r>
              <w:rPr>
                <w:rFonts w:ascii="Times New Roman" w:cs="Times New Roman" w:eastAsia="Times New Roman" w:hAnsi="Times New Roman"/>
                <w:sz w:val="13"/>
                <w:szCs w:val="13"/>
                <w:color w:val="auto"/>
              </w:rPr>
              <w:t>Stock Option intending to comply with the requirements to obtain favorable French tax</w:t>
            </w:r>
          </w:p>
        </w:tc>
      </w:tr>
      <w:tr>
        <w:trPr>
          <w:trHeight w:val="168"/>
        </w:trPr>
        <w:tc>
          <w:tcPr>
            <w:tcW w:w="84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Type of Option:</w:t>
            </w:r>
          </w:p>
        </w:tc>
        <w:tc>
          <w:tcPr>
            <w:tcW w:w="66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treatment</w:t>
            </w:r>
          </w:p>
        </w:tc>
      </w:tr>
      <w:tr>
        <w:trPr>
          <w:trHeight w:val="196"/>
        </w:trPr>
        <w:tc>
          <w:tcPr>
            <w:tcW w:w="8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Term/Expiration Date:</w:t>
            </w:r>
          </w:p>
        </w:tc>
        <w:tc>
          <w:tcPr>
            <w:tcW w:w="6620" w:type="dxa"/>
            <w:vAlign w:val="bottom"/>
          </w:tcPr>
          <w:p>
            <w:pPr>
              <w:spacing w:after="0"/>
              <w:rPr>
                <w:sz w:val="17"/>
                <w:szCs w:val="17"/>
                <w:color w:val="auto"/>
              </w:rPr>
            </w:pPr>
          </w:p>
        </w:tc>
      </w:tr>
      <w:tr>
        <w:trPr>
          <w:trHeight w:val="304"/>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Sale Restriction:</w:t>
            </w:r>
          </w:p>
        </w:tc>
        <w:tc>
          <w:tcPr>
            <w:tcW w:w="662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color w:val="auto"/>
        </w:rPr>
        <w:t>The Shares issued upon exercise of this Option may not be sold or otherwise transferred until the fourth (4th) anniversary of the Effective Grant Date (with a maximum restriction on sale of three (3) years from the date the Option is exercised) or such other date as may be required to comply with the applicable holding period for French-qualified Options, except as set out in the “Termination Period” provision below or as otherwise permitted under French law.</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Vesting Schedule</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3"/>
          <w:szCs w:val="13"/>
          <w:color w:val="auto"/>
        </w:rPr>
        <w:t>So long as the Optionee is an Employee or corporate officer of the Company or any Parent or Subsidiary of the Company, this Option may be exercised, in whole or in part, in accordance with the following schedule, subject to any acceleration provisions contained in the Plan or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84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Shares Vesting *</w:t>
            </w:r>
          </w:p>
        </w:tc>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Vest Type</w:t>
            </w:r>
          </w:p>
        </w:tc>
        <w:tc>
          <w:tcPr>
            <w:tcW w:w="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Begin Vest Date</w:t>
            </w:r>
          </w:p>
        </w:tc>
        <w:tc>
          <w:tcPr>
            <w:tcW w:w="19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End Vest Date</w:t>
            </w:r>
          </w:p>
        </w:tc>
      </w:tr>
      <w:tr>
        <w:trPr>
          <w:trHeight w:val="928"/>
        </w:trPr>
        <w:tc>
          <w:tcPr>
            <w:tcW w:w="8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60" w:type="dxa"/>
            <w:vAlign w:val="bottom"/>
          </w:tcPr>
          <w:p>
            <w:pPr>
              <w:ind w:left="260"/>
              <w:spacing w:after="0"/>
              <w:rPr>
                <w:sz w:val="20"/>
                <w:szCs w:val="20"/>
                <w:color w:val="auto"/>
              </w:rPr>
            </w:pPr>
            <w:r>
              <w:rPr>
                <w:rFonts w:ascii="Times New Roman" w:cs="Times New Roman" w:eastAsia="Times New Roman" w:hAnsi="Times New Roman"/>
                <w:sz w:val="13"/>
                <w:szCs w:val="13"/>
                <w:color w:val="FFFFFF"/>
              </w:rPr>
              <w:t>—</w:t>
            </w:r>
          </w:p>
        </w:tc>
        <w:tc>
          <w:tcPr>
            <w:tcW w:w="54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940" w:type="dxa"/>
            <w:vAlign w:val="bottom"/>
          </w:tcPr>
          <w:p>
            <w:pPr>
              <w:jc w:val="right"/>
              <w:ind w:right="1175"/>
              <w:spacing w:after="0"/>
              <w:rPr>
                <w:sz w:val="20"/>
                <w:szCs w:val="20"/>
                <w:color w:val="auto"/>
              </w:rPr>
            </w:pPr>
            <w:r>
              <w:rPr>
                <w:rFonts w:ascii="Times New Roman" w:cs="Times New Roman" w:eastAsia="Times New Roman" w:hAnsi="Times New Roman"/>
                <w:sz w:val="13"/>
                <w:szCs w:val="13"/>
                <w:color w:val="FFFFFF"/>
              </w:rPr>
              <w:t>10/11/2014</w:t>
            </w:r>
          </w:p>
        </w:tc>
        <w:tc>
          <w:tcPr>
            <w:tcW w:w="800" w:type="dxa"/>
            <w:vAlign w:val="bottom"/>
            <w:tcBorders>
              <w:top w:val="single" w:sz="8" w:color="auto"/>
            </w:tcBorders>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ind w:left="260"/>
              <w:spacing w:after="0"/>
              <w:rPr>
                <w:sz w:val="20"/>
                <w:szCs w:val="20"/>
                <w:color w:val="auto"/>
              </w:rPr>
            </w:pPr>
            <w:r>
              <w:rPr>
                <w:rFonts w:ascii="Times New Roman" w:cs="Times New Roman" w:eastAsia="Times New Roman" w:hAnsi="Times New Roman"/>
                <w:sz w:val="13"/>
                <w:szCs w:val="13"/>
                <w:color w:val="FFFFFF"/>
              </w:rPr>
              <w:t>—</w:t>
            </w: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4"/>
        </w:trPr>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Total shares vesting from “Begin Vest Date” to “End Vest Date.”</w:t>
            </w:r>
          </w:p>
        </w:tc>
        <w:tc>
          <w:tcPr>
            <w:tcW w:w="5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45"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3"/>
          <w:szCs w:val="13"/>
          <w:color w:val="auto"/>
        </w:rPr>
        <w:t>Regardless of any provisions to the contrary in this Award Agreement or in the Plan, no Shares subject to the Option shall vest until the first anniversary date of the Effective Grant Date (the “Anniversary Date”), except in the event of death of the Optionee.</w:t>
      </w:r>
    </w:p>
    <w:p>
      <w:pPr>
        <w:spacing w:after="0" w:line="1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20</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438" w:right="219"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3"/>
          <w:szCs w:val="13"/>
          <w:u w:val="single" w:color="auto"/>
          <w:color w:val="auto"/>
        </w:rPr>
        <w:t>Termination Period</w:t>
      </w:r>
      <w:r>
        <w:rPr>
          <w:rFonts w:ascii="Times New Roman" w:cs="Times New Roman" w:eastAsia="Times New Roman" w:hAnsi="Times New Roman"/>
          <w:sz w:val="13"/>
          <w:szCs w:val="13"/>
          <w:color w:val="auto"/>
        </w:rPr>
        <w:t>:</w:t>
      </w:r>
    </w:p>
    <w:p>
      <w:pPr>
        <w:spacing w:after="0" w:line="46" w:lineRule="exact"/>
        <w:rPr>
          <w:sz w:val="20"/>
          <w:szCs w:val="20"/>
          <w:color w:val="auto"/>
        </w:rPr>
      </w:pPr>
    </w:p>
    <w:p>
      <w:pPr>
        <w:jc w:val="both"/>
        <w:ind w:firstLine="937"/>
        <w:spacing w:after="0" w:line="255" w:lineRule="auto"/>
        <w:tabs>
          <w:tab w:leader="none" w:pos="1553"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Option may be exercised, to the extent it is then vested, for up to three months after the Optionee ceases to be an Employee or a corporate officer of the Company or any Parent or Subsidiary of the Company. The restriction on the sale of Shares described in Section 6 of this Award Agreement will continue to apply even in case of termination of the Optionee unless the termination is due to dismissal or forced retirement according to the conditions of Section 91 ter of the Annex II of the French tax Code and as construed by the applicable guidelines. Notwithstanding the foregoin g, upon death of the Optionee, this Option may be exercised in accordance with Section 7 of the French Plan. In the event the Optionee ceases to be an Employee or a corporate officer of the Company or any Parent or Subsidiary by reason of Disability (as defined under the French Plan), this Option may be exercised, to the extent it is then vested, for up to one year after the Optionee ceases to be an Employee or a corporate officer. Further, should the Optionee cease to be an Employee or a corporate officer of the Company or any Parent or Subsidiary by reason of death or Disability (as defined under the French Plan), the restriction on the sale of Shares described in Section 6 of the Award Agreement will not apply to the Shares acquired upon exercise of the Option, provided all required conditions are satisfied. In no event shall this Option be exercised after the Term/Expiration Date as provided above, except in the event of the Optionee's death. In the event of death, Optionee's heirs or beneficiaries w ill have six (6) months to exercise the Option.</w:t>
      </w:r>
    </w:p>
    <w:p>
      <w:pPr>
        <w:spacing w:after="0" w:line="138"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3"/>
          <w:szCs w:val="13"/>
          <w:color w:val="auto"/>
        </w:rPr>
        <w:t>By the Optionee's signature and the signature of the Company's representative below, the Optionee and the Company agree that this Option is granted under and governed by the terms and conditions of the Plan, including the French Plan, and this Award Agreement, including the Terms and Conditions of Stock Option Grant for Optionees in France attached hereto as Exhibit A, all of which are made a part of this document. The Optionee has reviewed the Plan and this Award Agreement in their entirety, has had an opportunity to obtain the advice of counsel prior to executing this Award Agreement and fully understands all provisions of the Plan and Award Agreement. The Optionee hereby agrees to accept as binding, conclusive, and final all decisions or interpretations of the Administrator upon any questions rela ting to the Plan and Award Agreement. The Optionee further agrees to notify the Company upon any change in the residence address indicated below.</w:t>
      </w:r>
    </w:p>
    <w:p>
      <w:pPr>
        <w:spacing w:after="0" w:line="96" w:lineRule="exact"/>
        <w:rPr>
          <w:sz w:val="20"/>
          <w:szCs w:val="20"/>
          <w:color w:val="auto"/>
        </w:rPr>
      </w:pPr>
    </w:p>
    <w:p>
      <w:pPr>
        <w:ind w:left="480"/>
        <w:spacing w:after="0"/>
        <w:tabs>
          <w:tab w:leader="none" w:pos="6420" w:val="left"/>
        </w:tabs>
        <w:rPr>
          <w:sz w:val="20"/>
          <w:szCs w:val="20"/>
          <w:color w:val="auto"/>
        </w:rPr>
      </w:pPr>
      <w:r>
        <w:rPr>
          <w:rFonts w:ascii="Times New Roman" w:cs="Times New Roman" w:eastAsia="Times New Roman" w:hAnsi="Times New Roman"/>
          <w:sz w:val="13"/>
          <w:szCs w:val="13"/>
          <w:color w:val="auto"/>
        </w:rPr>
        <w:t>OPTIONEE:</w:t>
      </w:r>
      <w:r>
        <w:rPr>
          <w:sz w:val="20"/>
          <w:szCs w:val="20"/>
          <w:color w:val="auto"/>
        </w:rPr>
        <w:tab/>
      </w:r>
      <w:r>
        <w:rPr>
          <w:rFonts w:ascii="Times New Roman" w:cs="Times New Roman" w:eastAsia="Times New Roman" w:hAnsi="Times New Roman"/>
          <w:sz w:val="13"/>
          <w:szCs w:val="13"/>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950595</wp:posOffset>
            </wp:positionV>
            <wp:extent cx="342773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773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254635</wp:posOffset>
            </wp:positionV>
            <wp:extent cx="728472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Date</w:t>
      </w:r>
    </w:p>
    <w:p>
      <w:pPr>
        <w:spacing w:after="0" w:line="200" w:lineRule="exact"/>
        <w:rPr>
          <w:sz w:val="20"/>
          <w:szCs w:val="20"/>
          <w:color w:val="auto"/>
        </w:rPr>
      </w:pPr>
    </w:p>
    <w:p>
      <w:pPr>
        <w:spacing w:after="0" w:line="2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21</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479" w:right="219" w:bottom="1440" w:gutter="0" w:footer="0" w:header="0"/>
        </w:sectPr>
      </w:pPr>
    </w:p>
    <w:bookmarkStart w:id="120" w:name="page121"/>
    <w:bookmarkEnd w:id="120"/>
    <w:p>
      <w:pPr>
        <w:jc w:val="center"/>
        <w:ind w:left="460"/>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TERMS AND CONDITIONS OF STOCK OPTION GRANT</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FOR OPTIONEES IN FRANCE</w:t>
      </w:r>
    </w:p>
    <w:p>
      <w:pPr>
        <w:spacing w:after="0" w:line="7" w:lineRule="exact"/>
        <w:rPr>
          <w:sz w:val="20"/>
          <w:szCs w:val="20"/>
          <w:color w:val="auto"/>
        </w:rPr>
      </w:pPr>
    </w:p>
    <w:p>
      <w:pPr>
        <w:jc w:val="both"/>
        <w:ind w:firstLine="468"/>
        <w:spacing w:after="0" w:line="254" w:lineRule="auto"/>
        <w:tabs>
          <w:tab w:leader="none" w:pos="103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Option</w:t>
      </w:r>
      <w:r>
        <w:rPr>
          <w:rFonts w:ascii="Times New Roman" w:cs="Times New Roman" w:eastAsia="Times New Roman" w:hAnsi="Times New Roman"/>
          <w:sz w:val="13"/>
          <w:szCs w:val="13"/>
          <w:color w:val="auto"/>
        </w:rPr>
        <w:t>. The Company hereby grants to the individual named in the Notice of Grant attached as Part I of this Award Agreement (the “Optionee”), as of the Effective Grant Date, an option (the “Option”) to purchase the number of Shares, as set forth in the Notice of Grant, at the exercise price per Share set forth in the Notice of Grant (the “Exercise Price”), subject to all of the terms and conditions in this Award Agreement and th e Plan (including the French Plan), which is incorporated herein by reference. Subject to Section 19 of the Plan, in the event of a conflict between the terms and conditions of the Plan and the terms and conditions of this Award Agreement, the terms and conditions of the Plan will prevail. The Optionee understands and agrees that the Option is offered subject to and in accordance with the terms of the Plan (which includes the U.S. Plan and the French Plan), and the Optionee further agrees to be bound by the terms of the Plan and the terms of the Option as set forth in this Award Agreement.</w:t>
      </w:r>
    </w:p>
    <w:p>
      <w:pPr>
        <w:spacing w:after="0" w:line="136" w:lineRule="exact"/>
        <w:rPr>
          <w:sz w:val="20"/>
          <w:szCs w:val="20"/>
          <w:color w:val="auto"/>
        </w:rPr>
      </w:pPr>
    </w:p>
    <w:p>
      <w:pPr>
        <w:jc w:val="both"/>
        <w:ind w:firstLine="939"/>
        <w:spacing w:after="0" w:line="266" w:lineRule="auto"/>
        <w:rPr>
          <w:sz w:val="20"/>
          <w:szCs w:val="20"/>
          <w:color w:val="auto"/>
        </w:rPr>
      </w:pPr>
      <w:r>
        <w:rPr>
          <w:rFonts w:ascii="Times New Roman" w:cs="Times New Roman" w:eastAsia="Times New Roman" w:hAnsi="Times New Roman"/>
          <w:sz w:val="13"/>
          <w:szCs w:val="13"/>
          <w:color w:val="auto"/>
        </w:rPr>
        <w:t>This Option is intended to be a French-qualified Option that qualifies for the favorable tax and social security regime in France, as set forth in the French Pla n. Certain events may affect the status of the Option as a French-qualified Option, and the Option may be disqualified in the future. The Company does not make any undertakings or representation to maintain the qualified status of the French-qualified Option during the life of the Option, and the Optionee will not be entitled to any damages if the Option no longer qualifies as a French-qualified Option.</w:t>
      </w:r>
    </w:p>
    <w:p>
      <w:pPr>
        <w:spacing w:after="0" w:line="129" w:lineRule="exact"/>
        <w:rPr>
          <w:sz w:val="20"/>
          <w:szCs w:val="20"/>
          <w:color w:val="auto"/>
        </w:rPr>
      </w:pPr>
    </w:p>
    <w:p>
      <w:pPr>
        <w:jc w:val="both"/>
        <w:ind w:firstLine="468"/>
        <w:spacing w:after="0" w:line="266" w:lineRule="auto"/>
        <w:tabs>
          <w:tab w:leader="none" w:pos="103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w:t>
      </w:r>
      <w:r>
        <w:rPr>
          <w:rFonts w:ascii="Times New Roman" w:cs="Times New Roman" w:eastAsia="Times New Roman" w:hAnsi="Times New Roman"/>
          <w:sz w:val="13"/>
          <w:szCs w:val="13"/>
          <w:color w:val="auto"/>
        </w:rPr>
        <w:t>. Except as provided in Section 3, the Option awarded by this Award Agreement will vest in accordance with the vesting provisions set forth in the Notice of Grant. Shares scheduled t o vest on a certain date or upon the occurrence of a certain condition will not vest in the Optionee in accordance with any of the provisions of this Award Agreement, unless the Optionee will have been continuously an Employee or a corporate officer from the Effective Date of Grant until the date such vesting occurs.</w:t>
      </w:r>
    </w:p>
    <w:p>
      <w:pPr>
        <w:spacing w:after="0" w:line="128" w:lineRule="exact"/>
        <w:rPr>
          <w:rFonts w:ascii="Times New Roman" w:cs="Times New Roman" w:eastAsia="Times New Roman" w:hAnsi="Times New Roman"/>
          <w:sz w:val="13"/>
          <w:szCs w:val="13"/>
          <w:color w:val="auto"/>
        </w:rPr>
      </w:pPr>
    </w:p>
    <w:p>
      <w:pPr>
        <w:ind w:firstLine="468"/>
        <w:spacing w:after="0" w:line="281" w:lineRule="auto"/>
        <w:tabs>
          <w:tab w:leader="none" w:pos="103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Administrator Discretion</w:t>
      </w:r>
      <w:r>
        <w:rPr>
          <w:rFonts w:ascii="Times New Roman" w:cs="Times New Roman" w:eastAsia="Times New Roman" w:hAnsi="Times New Roman"/>
          <w:sz w:val="13"/>
          <w:szCs w:val="13"/>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19" w:lineRule="exact"/>
        <w:rPr>
          <w:rFonts w:ascii="Times New Roman" w:cs="Times New Roman" w:eastAsia="Times New Roman" w:hAnsi="Times New Roman"/>
          <w:sz w:val="13"/>
          <w:szCs w:val="13"/>
          <w:color w:val="auto"/>
        </w:rPr>
      </w:pPr>
    </w:p>
    <w:p>
      <w:pPr>
        <w:ind w:left="1040" w:hanging="572"/>
        <w:spacing w:after="0"/>
        <w:tabs>
          <w:tab w:leader="none" w:pos="10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Exercise of Option.</w:t>
      </w:r>
    </w:p>
    <w:p>
      <w:pPr>
        <w:spacing w:after="0" w:line="163" w:lineRule="exact"/>
        <w:rPr>
          <w:rFonts w:ascii="Times New Roman" w:cs="Times New Roman" w:eastAsia="Times New Roman" w:hAnsi="Times New Roman"/>
          <w:sz w:val="13"/>
          <w:szCs w:val="13"/>
          <w:color w:val="auto"/>
        </w:rPr>
      </w:pPr>
    </w:p>
    <w:p>
      <w:pPr>
        <w:ind w:left="1220" w:hanging="283"/>
        <w:spacing w:after="0"/>
        <w:tabs>
          <w:tab w:leader="none" w:pos="122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 to Exercise</w:t>
      </w:r>
      <w:r>
        <w:rPr>
          <w:rFonts w:ascii="Times New Roman" w:cs="Times New Roman" w:eastAsia="Times New Roman" w:hAnsi="Times New Roman"/>
          <w:sz w:val="13"/>
          <w:szCs w:val="13"/>
          <w:color w:val="auto"/>
        </w:rPr>
        <w:t>. This Option may be exercised only within the term set out in the Notice of Grant, and may be exercised during such term only in accordance with the Plan and the terms of this</w:t>
      </w:r>
    </w:p>
    <w:p>
      <w:pPr>
        <w:spacing w:after="0" w:line="1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 Agreement.</w:t>
      </w:r>
    </w:p>
    <w:p>
      <w:pPr>
        <w:spacing w:after="0" w:line="151" w:lineRule="exact"/>
        <w:rPr>
          <w:rFonts w:ascii="Times New Roman" w:cs="Times New Roman" w:eastAsia="Times New Roman" w:hAnsi="Times New Roman"/>
          <w:sz w:val="13"/>
          <w:szCs w:val="13"/>
          <w:color w:val="auto"/>
        </w:rPr>
      </w:pPr>
    </w:p>
    <w:p>
      <w:pPr>
        <w:jc w:val="both"/>
        <w:ind w:firstLine="937"/>
        <w:spacing w:after="0" w:line="258" w:lineRule="auto"/>
        <w:tabs>
          <w:tab w:leader="none" w:pos="1241"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Method of Exercise</w:t>
      </w:r>
      <w:r>
        <w:rPr>
          <w:rFonts w:ascii="Times New Roman" w:cs="Times New Roman" w:eastAsia="Times New Roman" w:hAnsi="Times New Roman"/>
          <w:sz w:val="13"/>
          <w:szCs w:val="13"/>
          <w:color w:val="auto"/>
        </w:rPr>
        <w:t xml:space="preserve">. This Option is exercisable by delivery of an exercise notice, in the form attached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the Optionee and delivered to the Company. The Exercise Notice wi 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35" w:lineRule="exact"/>
        <w:rPr>
          <w:rFonts w:ascii="Times New Roman" w:cs="Times New Roman" w:eastAsia="Times New Roman" w:hAnsi="Times New Roman"/>
          <w:sz w:val="13"/>
          <w:szCs w:val="13"/>
          <w:color w:val="auto"/>
        </w:rPr>
      </w:pPr>
    </w:p>
    <w:p>
      <w:pPr>
        <w:ind w:left="1040" w:hanging="572"/>
        <w:spacing w:after="0"/>
        <w:tabs>
          <w:tab w:leader="none" w:pos="10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Method of Payment</w:t>
      </w:r>
      <w:r>
        <w:rPr>
          <w:rFonts w:ascii="Times New Roman" w:cs="Times New Roman" w:eastAsia="Times New Roman" w:hAnsi="Times New Roman"/>
          <w:sz w:val="13"/>
          <w:szCs w:val="13"/>
          <w:color w:val="auto"/>
        </w:rPr>
        <w:t>. Payment of the aggregate Exercise Price will be by any of the following, or a combination thereof, at the election of the Optionee.</w:t>
      </w:r>
    </w:p>
    <w:p>
      <w:pPr>
        <w:spacing w:after="0" w:line="19" w:lineRule="exact"/>
        <w:rPr>
          <w:sz w:val="20"/>
          <w:szCs w:val="20"/>
          <w:color w:val="auto"/>
        </w:rPr>
      </w:pPr>
    </w:p>
    <w:p>
      <w:pPr>
        <w:ind w:left="740" w:hanging="272"/>
        <w:spacing w:after="0"/>
        <w:tabs>
          <w:tab w:leader="none" w:pos="7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w:t>
      </w:r>
    </w:p>
    <w:p>
      <w:pPr>
        <w:spacing w:after="0" w:line="151" w:lineRule="exact"/>
        <w:rPr>
          <w:rFonts w:ascii="Times New Roman" w:cs="Times New Roman" w:eastAsia="Times New Roman" w:hAnsi="Times New Roman"/>
          <w:sz w:val="13"/>
          <w:szCs w:val="13"/>
          <w:color w:val="auto"/>
        </w:rPr>
      </w:pPr>
    </w:p>
    <w:p>
      <w:pPr>
        <w:ind w:left="1220" w:hanging="283"/>
        <w:spacing w:after="0"/>
        <w:tabs>
          <w:tab w:leader="none" w:pos="12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check;</w:t>
      </w:r>
    </w:p>
    <w:p>
      <w:pPr>
        <w:spacing w:after="0" w:line="163" w:lineRule="exact"/>
        <w:rPr>
          <w:rFonts w:ascii="Times New Roman" w:cs="Times New Roman" w:eastAsia="Times New Roman" w:hAnsi="Times New Roman"/>
          <w:sz w:val="13"/>
          <w:szCs w:val="13"/>
          <w:color w:val="auto"/>
        </w:rPr>
      </w:pPr>
    </w:p>
    <w:p>
      <w:pPr>
        <w:ind w:firstLine="937"/>
        <w:spacing w:after="0" w:line="281" w:lineRule="auto"/>
        <w:tabs>
          <w:tab w:leader="none" w:pos="1229"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consideration received by the Company under a formal cashless exercise program adopted by the Company in connection with the Plan if such exercise occurs after the Sale Restriction described in the “Restriction on Sale of Shares” section below is no longer applicable.</w:t>
      </w:r>
    </w:p>
    <w:p>
      <w:pPr>
        <w:spacing w:after="0" w:line="119" w:lineRule="exact"/>
        <w:rPr>
          <w:sz w:val="20"/>
          <w:szCs w:val="20"/>
          <w:color w:val="auto"/>
        </w:rPr>
      </w:pPr>
    </w:p>
    <w:p>
      <w:pPr>
        <w:ind w:left="1040" w:hanging="572"/>
        <w:spacing w:after="0"/>
        <w:tabs>
          <w:tab w:leader="none" w:pos="10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Restriction on Sale of Shares</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jc w:val="both"/>
        <w:ind w:firstLine="468"/>
        <w:spacing w:after="0" w:line="266" w:lineRule="auto"/>
        <w:tabs>
          <w:tab w:leader="none" w:pos="766"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issuance of the Shares to the Optionee upon exercise of the Option, the Optionee will not be permitted to sell, transfer, or assign the Shares until the fourth (4th) anniversary of the Effective Grant Date, or such other date as is required to comply with the applicable compulsory holding period for French-quali fied options set forth by Section 163 bis C of the French Tax Code. The restriction on the sale of Shares described in this “Restriction on Sale of Shares” section of the Award</w:t>
      </w:r>
    </w:p>
    <w:p>
      <w:pPr>
        <w:spacing w:after="0" w:line="1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22</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94" w:right="219" w:bottom="1440" w:gutter="0" w:footer="0" w:header="0"/>
        </w:sectPr>
      </w:pPr>
    </w:p>
    <w:bookmarkStart w:id="121" w:name="page122"/>
    <w:bookmarkEnd w:id="121"/>
    <w:p>
      <w:pPr>
        <w:jc w:val="both"/>
        <w:ind w:left="2" w:firstLine="469"/>
        <w:spacing w:after="0" w:line="258" w:lineRule="auto"/>
        <w:rPr>
          <w:sz w:val="20"/>
          <w:szCs w:val="20"/>
          <w:color w:val="auto"/>
        </w:rPr>
      </w:pPr>
      <w:r>
        <w:rPr>
          <w:rFonts w:ascii="Times New Roman" w:cs="Times New Roman" w:eastAsia="Times New Roman" w:hAnsi="Times New Roman"/>
          <w:sz w:val="13"/>
          <w:szCs w:val="13"/>
          <w:color w:val="auto"/>
        </w:rPr>
        <w:t>Agreement will continue to apply even in case of termination of the Optionee unless the termination is due to death or Disability (as defined under the French Plan) of the Optionee or is due to dismissal or forced retirement according to the conditions set forth in Section 91 ter of the Annex II of the French tax Code and as construed by the applicable guidelines. In no event will the restriction on the sale of the Shares exceed a period of three (3) years from the date the Option is exercised. If the holding period applicable to Shares underlying the French-qualified Option is not met, this Option may not receive favorable tax and social security treatment under French law. In this case, the Optionee accepts and agrees that he or she will be responsible for paying personal income tax and his or her portion of social security contributions resulting from exercise of the Option.</w:t>
      </w:r>
    </w:p>
    <w:p>
      <w:pPr>
        <w:spacing w:after="0" w:line="135" w:lineRule="exact"/>
        <w:rPr>
          <w:sz w:val="20"/>
          <w:szCs w:val="20"/>
          <w:color w:val="auto"/>
        </w:rPr>
      </w:pPr>
    </w:p>
    <w:p>
      <w:pPr>
        <w:jc w:val="both"/>
        <w:ind w:left="2" w:firstLine="468"/>
        <w:spacing w:after="0" w:line="266" w:lineRule="auto"/>
        <w:tabs>
          <w:tab w:leader="none" w:pos="75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Company's discretion, the share certificates for all Shares subject to the French-qualified Option may bear a legend setting forth the restriction on sale for the time period set out in this Section 6. In addition, the share certificates may be held until the expiration of the holding period, at the Company's discretion, either (a) by the Company, (b) by a transfer agent designated by the Company, (c) in an account in the name of the Optionee with a broker designated by the Company, or (d) in such manner as the Company may otherwise determine in compliance with French law.</w:t>
      </w:r>
    </w:p>
    <w:p>
      <w:pPr>
        <w:spacing w:after="0" w:line="129" w:lineRule="exact"/>
        <w:rPr>
          <w:sz w:val="20"/>
          <w:szCs w:val="20"/>
          <w:color w:val="auto"/>
        </w:rPr>
      </w:pPr>
    </w:p>
    <w:p>
      <w:pPr>
        <w:jc w:val="both"/>
        <w:ind w:left="2" w:firstLine="468"/>
        <w:spacing w:after="0" w:line="257" w:lineRule="auto"/>
        <w:tabs>
          <w:tab w:leader="none" w:pos="1038"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Responsibility fo r Taxes</w:t>
      </w:r>
      <w:r>
        <w:rPr>
          <w:rFonts w:ascii="Times New Roman" w:cs="Times New Roman" w:eastAsia="Times New Roman" w:hAnsi="Times New Roman"/>
          <w:sz w:val="13"/>
          <w:szCs w:val="13"/>
          <w:color w:val="auto"/>
        </w:rPr>
        <w:t>. Regardless of any action the Company and/or the Optionee's employer (the “Employer”) takes with respect to any or all income tax, social insurance, payroll tax, payment on account or other tax-related items arising out of the Optionee's participation in the Plan and legally applicable to the Optionee (“Tax-Related Items”), the Optionee acknowledges that the ultimate liability for all Tax-Related Items is and remains the Optionee's responsibility and may exceed the amount actually withheld by the Company and/or the Employer. The Optionee further acknowledge that the Company and/or the Employer</w:t>
      </w:r>
    </w:p>
    <w:p>
      <w:pPr>
        <w:jc w:val="both"/>
        <w:ind w:left="2" w:hanging="2"/>
        <w:spacing w:after="0" w:line="254" w:lineRule="auto"/>
        <w:tabs>
          <w:tab w:leader="none" w:pos="165"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(ii) do not commit and are under no obligation to structure the terms of the grant or any aspect of the Option to reduce or eliminate the Optionee's liability for Tax-Related Items or achieve any particular tax result. Furthermore, if the Optionee has become subject to tax in more than one jurisdiction between the Grant Date and the date of any relevant taxable event, the Optionee acknowledges that the Company and/or the Employer (or former employer, as applicable) may be required to withhold or account for Tax-Related Items in more than one jurisdiction.</w:t>
      </w:r>
    </w:p>
    <w:p>
      <w:pPr>
        <w:spacing w:after="0" w:line="294" w:lineRule="exact"/>
        <w:rPr>
          <w:sz w:val="20"/>
          <w:szCs w:val="20"/>
          <w:color w:val="auto"/>
        </w:rPr>
      </w:pPr>
    </w:p>
    <w:p>
      <w:pPr>
        <w:jc w:val="both"/>
        <w:ind w:left="2" w:firstLine="939"/>
        <w:spacing w:after="0" w:line="257" w:lineRule="auto"/>
        <w:rPr>
          <w:sz w:val="20"/>
          <w:szCs w:val="20"/>
          <w:color w:val="auto"/>
        </w:rPr>
      </w:pPr>
      <w:r>
        <w:rPr>
          <w:rFonts w:ascii="Times New Roman" w:cs="Times New Roman" w:eastAsia="Times New Roman" w:hAnsi="Times New Roman"/>
          <w:sz w:val="13"/>
          <w:szCs w:val="13"/>
          <w:color w:val="auto"/>
        </w:rPr>
        <w:t>Prior to the relevant taxable or tax withholding event, as applicable, the Optionee shall pay or make arrangements satisfactory to the Company and/or the Employer within the limits set forth by French law to satisfy all Tax-Related Items. In this regard, the Optionee authorizes the Company and/or the Employe r, or their respective agents, at their discretion, to satisfy the Tax-Related Items by one or a combination of the following: (i) withholding from wages or other cash compensation paid to the Optionee by the Company, the Employer and/or any Subsidiary; or (ii) withholding from proceeds of the sale of Shares acquired at exercise of the Option either through a voluntary sale or through a mandatory sale arranged by the Company (on the Optionee's behalf pursuant to this authorization); or (iii) withholding in Shares to be issued at exercise of the Option. The Optionee acknowledges and agrees that if Tax-Related Items are satisfied by withholding from the proceeds of the sale of the Shares and the amount withheld is in excess of the amount due, the Company and/or the Employer will refund the excess amount to the Optionee as soon as administratively practicable and without interest.</w:t>
      </w:r>
    </w:p>
    <w:p>
      <w:pPr>
        <w:spacing w:after="0" w:line="135" w:lineRule="exact"/>
        <w:rPr>
          <w:sz w:val="20"/>
          <w:szCs w:val="20"/>
          <w:color w:val="auto"/>
        </w:rPr>
      </w:pPr>
    </w:p>
    <w:p>
      <w:pPr>
        <w:jc w:val="both"/>
        <w:ind w:left="2" w:firstLine="939"/>
        <w:spacing w:after="0" w:line="266" w:lineRule="auto"/>
        <w:rPr>
          <w:sz w:val="20"/>
          <w:szCs w:val="20"/>
          <w:color w:val="auto"/>
        </w:rPr>
      </w:pPr>
      <w:r>
        <w:rPr>
          <w:rFonts w:ascii="Times New Roman" w:cs="Times New Roman" w:eastAsia="Times New Roman" w:hAnsi="Times New Roman"/>
          <w:sz w:val="13"/>
          <w:szCs w:val="13"/>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the Optionee is deemed to have been issued the full number of Shares subject to the exercised Option, notwithstanding that a number of the shares are held back solely for the purpose of paying the Tax-Related Items due as a result of any aspect of the Optionee's participation in the Plan.</w:t>
      </w:r>
    </w:p>
    <w:p>
      <w:pPr>
        <w:spacing w:after="0" w:line="129" w:lineRule="exact"/>
        <w:rPr>
          <w:sz w:val="20"/>
          <w:szCs w:val="20"/>
          <w:color w:val="auto"/>
        </w:rPr>
      </w:pPr>
    </w:p>
    <w:p>
      <w:pPr>
        <w:jc w:val="both"/>
        <w:ind w:left="2" w:firstLine="939"/>
        <w:spacing w:after="0" w:line="266" w:lineRule="auto"/>
        <w:rPr>
          <w:sz w:val="20"/>
          <w:szCs w:val="20"/>
          <w:color w:val="auto"/>
        </w:rPr>
      </w:pPr>
      <w:r>
        <w:rPr>
          <w:rFonts w:ascii="Times New Roman" w:cs="Times New Roman" w:eastAsia="Times New Roman" w:hAnsi="Times New Roman"/>
          <w:sz w:val="13"/>
          <w:szCs w:val="13"/>
          <w:color w:val="auto"/>
        </w:rPr>
        <w:t>The Optionee shall pay to the Company or the Employer any amount of Tax-Related Items that the Company or the Employer may be required to withhold or account for as a result of Participant's participation in the Plan that cannot be satisfi ed by the means previously described in this section. The Company may refuse to issue or deliver the Shares or the proceeds of the sale of shares if the Optionee fails to comply with these obligations in connection with the Tax-Related Items.</w:t>
      </w:r>
    </w:p>
    <w:p>
      <w:pPr>
        <w:spacing w:after="0" w:line="129" w:lineRule="exact"/>
        <w:rPr>
          <w:sz w:val="20"/>
          <w:szCs w:val="20"/>
          <w:color w:val="auto"/>
        </w:rPr>
      </w:pPr>
    </w:p>
    <w:p>
      <w:pPr>
        <w:jc w:val="both"/>
        <w:ind w:left="2" w:firstLine="468"/>
        <w:spacing w:after="0" w:line="266" w:lineRule="auto"/>
        <w:tabs>
          <w:tab w:leader="none" w:pos="103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Stockholder</w:t>
      </w:r>
      <w:r>
        <w:rPr>
          <w:rFonts w:ascii="Times New Roman" w:cs="Times New Roman" w:eastAsia="Times New Roman" w:hAnsi="Times New Roman"/>
          <w:sz w:val="13"/>
          <w:szCs w:val="13"/>
          <w:color w:val="auto"/>
        </w:rPr>
        <w:t>. Neither the Optionee nor any person claiming under or through the Optionee will have any of the rights or privileges of a stockholder of the Company in respect of any Shares deliverable hereunder unless and until certificates representing such Shares will have been issued, recorded on the records of the Company or its transfer agents or regis trars, and delivered to the Optionee. After such issuance, recordation and delivery, the Optionee will have all the rights of a stockholder of the Company with respect to voting such Shares and receipt of dividends and distributions on such Shares.</w:t>
      </w:r>
    </w:p>
    <w:p>
      <w:pPr>
        <w:spacing w:after="0" w:line="128" w:lineRule="exact"/>
        <w:rPr>
          <w:rFonts w:ascii="Times New Roman" w:cs="Times New Roman" w:eastAsia="Times New Roman" w:hAnsi="Times New Roman"/>
          <w:sz w:val="13"/>
          <w:szCs w:val="13"/>
          <w:color w:val="auto"/>
        </w:rPr>
      </w:pPr>
    </w:p>
    <w:p>
      <w:pPr>
        <w:ind w:left="1042" w:hanging="572"/>
        <w:spacing w:after="0"/>
        <w:tabs>
          <w:tab w:leader="none" w:pos="1042"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Nature of Grant</w:t>
      </w:r>
      <w:r>
        <w:rPr>
          <w:rFonts w:ascii="Times New Roman" w:cs="Times New Roman" w:eastAsia="Times New Roman" w:hAnsi="Times New Roman"/>
          <w:sz w:val="13"/>
          <w:szCs w:val="13"/>
          <w:color w:val="auto"/>
        </w:rPr>
        <w:t>. In accepting the Option, Participant acknowledges, understands and agrees to the following:</w:t>
      </w:r>
    </w:p>
    <w:p>
      <w:pPr>
        <w:spacing w:after="0" w:line="163" w:lineRule="exact"/>
        <w:rPr>
          <w:sz w:val="20"/>
          <w:szCs w:val="20"/>
          <w:color w:val="auto"/>
        </w:rPr>
      </w:pPr>
    </w:p>
    <w:p>
      <w:pPr>
        <w:ind w:left="2" w:firstLine="468"/>
        <w:spacing w:after="0" w:line="281" w:lineRule="auto"/>
        <w:tabs>
          <w:tab w:leader="none" w:pos="746"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Optionee expressly warrants that the Option ee has received, read, and understood a description of the Plan; the Plan is established voluntarily by the Company, it is discretionary in nature, and it may be amended, suspended or</w:t>
      </w:r>
    </w:p>
    <w:p>
      <w:pPr>
        <w:spacing w:after="0" w:line="1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23</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2"/>
          </w:cols>
          <w:pgMar w:left="218" w:top="596" w:right="219" w:bottom="1440" w:gutter="0" w:footer="0" w:header="0"/>
        </w:sectPr>
      </w:pPr>
    </w:p>
    <w:bookmarkStart w:id="122" w:name="page123"/>
    <w:bookmarkEnd w:id="122"/>
    <w:p>
      <w:pPr>
        <w:ind w:left="120"/>
        <w:spacing w:after="0"/>
        <w:rPr>
          <w:sz w:val="20"/>
          <w:szCs w:val="20"/>
          <w:color w:val="auto"/>
        </w:rPr>
      </w:pPr>
      <w:r>
        <w:rPr>
          <w:rFonts w:ascii="Times New Roman" w:cs="Times New Roman" w:eastAsia="Times New Roman" w:hAnsi="Times New Roman"/>
          <w:sz w:val="13"/>
          <w:szCs w:val="13"/>
          <w:color w:val="auto"/>
        </w:rPr>
        <w:t>terminated by the Company at any time;</w:t>
      </w:r>
    </w:p>
    <w:p>
      <w:pPr>
        <w:spacing w:after="0" w:line="163" w:lineRule="exact"/>
        <w:rPr>
          <w:sz w:val="20"/>
          <w:szCs w:val="20"/>
          <w:color w:val="auto"/>
        </w:rPr>
      </w:pPr>
    </w:p>
    <w:p>
      <w:pPr>
        <w:ind w:left="-340" w:firstLine="468"/>
        <w:spacing w:after="0" w:line="281" w:lineRule="auto"/>
        <w:tabs>
          <w:tab w:leader="none" w:pos="44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19" w:lineRule="exact"/>
        <w:rPr>
          <w:rFonts w:ascii="Times New Roman" w:cs="Times New Roman" w:eastAsia="Times New Roman" w:hAnsi="Times New Roman"/>
          <w:sz w:val="13"/>
          <w:szCs w:val="13"/>
          <w:color w:val="auto"/>
        </w:rPr>
      </w:pPr>
    </w:p>
    <w:p>
      <w:pPr>
        <w:ind w:left="400" w:hanging="272"/>
        <w:spacing w:after="0"/>
        <w:tabs>
          <w:tab w:leader="none" w:pos="40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decisions with respect to future option grants, if any, will be at the sole discretion of the Company;</w:t>
      </w:r>
    </w:p>
    <w:p>
      <w:pPr>
        <w:spacing w:after="0" w:line="163" w:lineRule="exact"/>
        <w:rPr>
          <w:rFonts w:ascii="Times New Roman" w:cs="Times New Roman" w:eastAsia="Times New Roman" w:hAnsi="Times New Roman"/>
          <w:sz w:val="13"/>
          <w:szCs w:val="13"/>
          <w:color w:val="auto"/>
        </w:rPr>
      </w:pPr>
    </w:p>
    <w:p>
      <w:pPr>
        <w:ind w:left="420" w:hanging="292"/>
        <w:spacing w:after="0"/>
        <w:tabs>
          <w:tab w:leader="none" w:pos="4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Optionee is voluntarily participating in the Plan;</w:t>
      </w:r>
    </w:p>
    <w:p>
      <w:pPr>
        <w:spacing w:after="0" w:line="163" w:lineRule="exact"/>
        <w:rPr>
          <w:rFonts w:ascii="Times New Roman" w:cs="Times New Roman" w:eastAsia="Times New Roman" w:hAnsi="Times New Roman"/>
          <w:sz w:val="13"/>
          <w:szCs w:val="13"/>
          <w:color w:val="auto"/>
        </w:rPr>
      </w:pPr>
    </w:p>
    <w:p>
      <w:pPr>
        <w:ind w:left="-340" w:firstLine="468"/>
        <w:spacing w:after="0" w:line="281" w:lineRule="auto"/>
        <w:tabs>
          <w:tab w:leader="none" w:pos="42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Optionee's participation in the Plan shall not create a right to further employment with the Employer and shall not interfere with the ability of the Employer to terminate the Optionee's employment or relationship as an employee or a corporate officer at any time;</w:t>
      </w:r>
    </w:p>
    <w:p>
      <w:pPr>
        <w:spacing w:after="0" w:line="119" w:lineRule="exact"/>
        <w:rPr>
          <w:rFonts w:ascii="Times New Roman" w:cs="Times New Roman" w:eastAsia="Times New Roman" w:hAnsi="Times New Roman"/>
          <w:sz w:val="13"/>
          <w:szCs w:val="13"/>
          <w:color w:val="auto"/>
        </w:rPr>
      </w:pPr>
    </w:p>
    <w:p>
      <w:pPr>
        <w:ind w:left="-340" w:firstLine="468"/>
        <w:spacing w:after="0" w:line="281" w:lineRule="auto"/>
        <w:tabs>
          <w:tab w:leader="none" w:pos="404"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any Shares subject to the Option are extraordinary items that do not constitute compensation of any kind for services of any kind rendered to the Company or the Employer, and are outside the scope of the Optionee's employment or service contract, if any;</w:t>
      </w:r>
    </w:p>
    <w:p>
      <w:pPr>
        <w:spacing w:after="0" w:line="119" w:lineRule="exact"/>
        <w:rPr>
          <w:rFonts w:ascii="Times New Roman" w:cs="Times New Roman" w:eastAsia="Times New Roman" w:hAnsi="Times New Roman"/>
          <w:sz w:val="13"/>
          <w:szCs w:val="13"/>
          <w:color w:val="auto"/>
        </w:rPr>
      </w:pPr>
    </w:p>
    <w:p>
      <w:pPr>
        <w:ind w:left="420" w:hanging="292"/>
        <w:spacing w:after="0"/>
        <w:tabs>
          <w:tab w:leader="none" w:pos="4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Shares subject to the Option are not intended to replace any pension rights or compensation;</w:t>
      </w:r>
    </w:p>
    <w:p>
      <w:pPr>
        <w:spacing w:after="0" w:line="163" w:lineRule="exact"/>
        <w:rPr>
          <w:rFonts w:ascii="Times New Roman" w:cs="Times New Roman" w:eastAsia="Times New Roman" w:hAnsi="Times New Roman"/>
          <w:sz w:val="13"/>
          <w:szCs w:val="13"/>
          <w:color w:val="auto"/>
        </w:rPr>
      </w:pPr>
    </w:p>
    <w:p>
      <w:pPr>
        <w:jc w:val="both"/>
        <w:ind w:left="-340" w:firstLine="468"/>
        <w:spacing w:after="0" w:line="266" w:lineRule="auto"/>
        <w:tabs>
          <w:tab w:leader="none" w:pos="41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Shares subject to the Option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 the Company or any Parent or Subsidiary of the Company;</w:t>
      </w:r>
    </w:p>
    <w:p>
      <w:pPr>
        <w:spacing w:after="0" w:line="128" w:lineRule="exact"/>
        <w:rPr>
          <w:rFonts w:ascii="Times New Roman" w:cs="Times New Roman" w:eastAsia="Times New Roman" w:hAnsi="Times New Roman"/>
          <w:sz w:val="13"/>
          <w:szCs w:val="13"/>
          <w:color w:val="auto"/>
        </w:rPr>
      </w:pPr>
    </w:p>
    <w:p>
      <w:pPr>
        <w:ind w:left="380" w:hanging="252"/>
        <w:spacing w:after="0"/>
        <w:tabs>
          <w:tab w:leader="none" w:pos="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Optionee's participation in the Plan will not be interpreted to form an employment contract or relationship with the Company or any Parent or Subsidiary of the Company;</w:t>
      </w:r>
    </w:p>
    <w:p>
      <w:pPr>
        <w:spacing w:after="0" w:line="163" w:lineRule="exact"/>
        <w:rPr>
          <w:rFonts w:ascii="Times New Roman" w:cs="Times New Roman" w:eastAsia="Times New Roman" w:hAnsi="Times New Roman"/>
          <w:sz w:val="13"/>
          <w:szCs w:val="13"/>
          <w:color w:val="auto"/>
        </w:rPr>
      </w:pPr>
    </w:p>
    <w:p>
      <w:pPr>
        <w:ind w:left="380" w:hanging="252"/>
        <w:spacing w:after="0"/>
        <w:tabs>
          <w:tab w:leader="none" w:pos="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future value of the Shares underlying the Option is unknown and cannot be predicted with certainty;</w:t>
      </w:r>
    </w:p>
    <w:p>
      <w:pPr>
        <w:spacing w:after="0" w:line="124" w:lineRule="exact"/>
        <w:rPr>
          <w:rFonts w:ascii="Times New Roman" w:cs="Times New Roman" w:eastAsia="Times New Roman" w:hAnsi="Times New Roman"/>
          <w:sz w:val="13"/>
          <w:szCs w:val="13"/>
          <w:color w:val="auto"/>
        </w:rPr>
      </w:pPr>
    </w:p>
    <w:p>
      <w:pPr>
        <w:jc w:val="both"/>
        <w:ind w:left="-340" w:firstLine="468"/>
        <w:spacing w:after="0" w:line="258" w:lineRule="auto"/>
        <w:tabs>
          <w:tab w:leader="none" w:pos="41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claim or entitlement to compensation or damages shall arise from forfeiture of the Option resulting from termination of Participant's service by the Company or the Employ er (for any reason whatsoever and whether or not in breach of local labor laws) and, in consideration for the grant of the Option, to which Participant is not otherwise entitled, Participant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signing the Notice of Grant, Participant shall be deemed irrevocably to have agreed not to pursue such claim and agrees to execute any and all documents necessary to request dismissal or withdrawal of such claims;</w:t>
      </w:r>
    </w:p>
    <w:p>
      <w:pPr>
        <w:spacing w:after="0" w:line="96" w:lineRule="exact"/>
        <w:rPr>
          <w:rFonts w:ascii="Times New Roman" w:cs="Times New Roman" w:eastAsia="Times New Roman" w:hAnsi="Times New Roman"/>
          <w:sz w:val="13"/>
          <w:szCs w:val="13"/>
          <w:color w:val="auto"/>
        </w:rPr>
      </w:pPr>
    </w:p>
    <w:p>
      <w:pPr>
        <w:jc w:val="both"/>
        <w:ind w:left="-340" w:firstLine="468"/>
        <w:spacing w:after="0" w:line="266" w:lineRule="auto"/>
        <w:tabs>
          <w:tab w:leader="none" w:pos="41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termination of the Optionee's service with the Company or the Employer, the Optio nee's right to exercise the Option, if any, will terminate effective as of the date that the Optionee is no longer actively employed and will not be extended by any notice period mandated under local law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active employment would not include a period of “garden leave” or similar period pursuant to local law); the Administrator shall have the exclusive discretion to determine when the Optionee is no longer actively employed for purposes of the Option grant; and</w:t>
      </w:r>
    </w:p>
    <w:p>
      <w:pPr>
        <w:spacing w:after="0" w:line="128" w:lineRule="exact"/>
        <w:rPr>
          <w:rFonts w:ascii="Times New Roman" w:cs="Times New Roman" w:eastAsia="Times New Roman" w:hAnsi="Times New Roman"/>
          <w:sz w:val="13"/>
          <w:szCs w:val="13"/>
          <w:color w:val="auto"/>
        </w:rPr>
      </w:pPr>
    </w:p>
    <w:p>
      <w:pPr>
        <w:ind w:left="440" w:hanging="312"/>
        <w:spacing w:after="0"/>
        <w:tabs>
          <w:tab w:leader="none" w:pos="4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and the benefits under the Plan, if any, will not automatically transfer to another company in the case of a merger, take-over, or transfer of liability.</w:t>
      </w:r>
    </w:p>
    <w:p>
      <w:pPr>
        <w:spacing w:after="0" w:line="163" w:lineRule="exact"/>
        <w:rPr>
          <w:sz w:val="20"/>
          <w:szCs w:val="20"/>
          <w:color w:val="auto"/>
        </w:rPr>
      </w:pPr>
    </w:p>
    <w:p>
      <w:pPr>
        <w:jc w:val="both"/>
        <w:ind w:left="-340" w:firstLine="468"/>
        <w:spacing w:after="0" w:line="266" w:lineRule="auto"/>
        <w:tabs>
          <w:tab w:leader="none" w:pos="762"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Advice Regarding Grant</w:t>
      </w:r>
      <w:r>
        <w:rPr>
          <w:rFonts w:ascii="Times New Roman" w:cs="Times New Roman" w:eastAsia="Times New Roman" w:hAnsi="Times New Roman"/>
          <w:sz w:val="13"/>
          <w:szCs w:val="13"/>
          <w:color w:val="auto"/>
        </w:rPr>
        <w:t>. The Company is not providing any tax, legal, or financial advice, nor is the Company making any recommendations regarding the Optionee's participation in the Plan or the Optionee's acquisition or sale of the underlying Shares. The Optionee is hereby advised to consult with his or her own tax, legal, and financial consultants regarding the Optionee's participation in the Plan before taking any action related to the Plan.</w:t>
      </w:r>
    </w:p>
    <w:p>
      <w:pPr>
        <w:spacing w:after="0" w:line="124" w:lineRule="exact"/>
        <w:rPr>
          <w:rFonts w:ascii="Times New Roman" w:cs="Times New Roman" w:eastAsia="Times New Roman" w:hAnsi="Times New Roman"/>
          <w:sz w:val="13"/>
          <w:szCs w:val="13"/>
          <w:color w:val="auto"/>
        </w:rPr>
      </w:pPr>
    </w:p>
    <w:p>
      <w:pPr>
        <w:jc w:val="both"/>
        <w:ind w:left="-340" w:firstLine="468"/>
        <w:spacing w:after="0" w:line="259" w:lineRule="auto"/>
        <w:tabs>
          <w:tab w:leader="none" w:pos="757"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u w:val="single" w:color="auto"/>
          <w:color w:val="auto"/>
        </w:rPr>
        <w:t>Data Privacy</w:t>
      </w:r>
      <w:r>
        <w:rPr>
          <w:rFonts w:ascii="Times New Roman" w:cs="Times New Roman" w:eastAsia="Times New Roman" w:hAnsi="Times New Roman"/>
          <w:sz w:val="13"/>
          <w:szCs w:val="13"/>
          <w:b w:val="1"/>
          <w:bCs w:val="1"/>
          <w:i w:val="1"/>
          <w:iCs w:val="1"/>
          <w:color w:val="auto"/>
        </w:rPr>
        <w:t>. The Optionee hereby explicitly and unambiguously consents to the collection, use and transfer, in electronic or other form, of the Optionee's personal data as described in this Award Agreement by and among, as applicable, the Employer, the Company and any Parent or Subsidiary of the Company for the exclusive purpose of implementing, administering and managing the Optionee's participation in the Plan.</w:t>
      </w:r>
    </w:p>
    <w:p>
      <w:pPr>
        <w:spacing w:after="0" w:line="1" w:lineRule="exact"/>
        <w:rPr>
          <w:rFonts w:ascii="Times New Roman" w:cs="Times New Roman" w:eastAsia="Times New Roman" w:hAnsi="Times New Roman"/>
          <w:sz w:val="13"/>
          <w:szCs w:val="13"/>
          <w:color w:val="auto"/>
        </w:rPr>
      </w:pPr>
    </w:p>
    <w:p>
      <w:pPr>
        <w:ind w:left="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The Optionee understands that the Company and the Employer may hold certain personal information about the</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120"/>
          </w:cols>
          <w:pgMar w:left="560" w:top="596" w:right="219" w:bottom="1440" w:gutter="0" w:footer="0" w:header="0"/>
        </w:sectPr>
      </w:pPr>
    </w:p>
    <w:bookmarkStart w:id="123" w:name="page124"/>
    <w:bookmarkEnd w:id="123"/>
    <w:p>
      <w:pPr>
        <w:jc w:val="both"/>
        <w:ind w:firstLine="46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Optionee, including, but not limited to, the Optionee's name, home address and telephone number, date of birth, social insurance or other identification number, salary, nationality, job title, any Shares or directorships held in the Company or any Parent or Subsidiary of the Company, details of all options or any other entitlement to Shares awarded, canceled, exercised, vested, unvested or outstanding in the Optionee's favor, for the exclusive purpose of implementing, administering and managing the Plan (“Personal Data”).</w:t>
      </w:r>
    </w:p>
    <w:p>
      <w:pPr>
        <w:spacing w:after="0" w:line="123"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The Optionee understands that Personal Data will be transferred to a broker designated by the Company or to any other third party assisting in the implementation, administration an d management of the Plan. The Optionee understands that the recipients of the Personal Data may be located in the Optionee's country, outside the European Union, or elsewhere, and that the recipient's country may have different data privacy laws and protections than the Optionee's country. The Optionee understands that the Optionee may request a list with the names and addresses of any potential recipients of the Personal Data by contacting the Optionee's local human resources representative. The Optionee authorizes the Company, the broker, and any other recipients of Personal Data that may assist the Company (presently or in the future) with implementing, administering and managing the Plan to receive, possess, use, retain and transfer Personal Data, in electronic or other form, for the purposes of implementing, administering and managing the Optionee's participation in the Plan, including any requisite transfer of Personal Data as may be required to a broker or other third party with whom the Optionee may elect to deposit any Shares purchased upon exercise of the Option. The Optionee understands that Personal Data will be held only as long as is necessary to implement, administer and manage the Optionee's participation in the Plan. The Optionee understands that the Optionee may, at any time, view Personal Data, request additional information about the storage and processing of Personal Data, require any necessary amendments to Personal Data or refuse or withdraw the consents herein, in any case without cost, by contacting in writing the Optionee's local human resources representative. The Optionee understands that refusal or withdrawal of consent may affect the Optionee's ability to participate in the Plan. For more information on the consequences of refusal to consent or withdrawal of consent, the Optionee understands that he or she may contact the Optionee's local human resources representative.</w:t>
      </w:r>
    </w:p>
    <w:p>
      <w:pPr>
        <w:spacing w:after="0" w:line="141" w:lineRule="exact"/>
        <w:rPr>
          <w:sz w:val="20"/>
          <w:szCs w:val="20"/>
          <w:color w:val="auto"/>
        </w:rPr>
      </w:pPr>
    </w:p>
    <w:p>
      <w:pPr>
        <w:ind w:firstLine="468"/>
        <w:spacing w:after="0" w:line="28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Address for Notices</w:t>
      </w:r>
      <w:r>
        <w:rPr>
          <w:rFonts w:ascii="Times New Roman" w:cs="Times New Roman" w:eastAsia="Times New Roman" w:hAnsi="Times New Roman"/>
          <w:sz w:val="13"/>
          <w:szCs w:val="13"/>
          <w:color w:val="auto"/>
        </w:rPr>
        <w:t>. Any notice to be given to the Company under the terms of this Award Agreement will be addressed to the Company, in care of Stock Administration at Fortinet, Inc., 1090 Kifer Road, Sunnyvale, CA 94086, or at such other address as the Company may hereafter designate in writing.</w:t>
      </w:r>
    </w:p>
    <w:p>
      <w:pPr>
        <w:spacing w:after="0" w:line="119"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 of Option</w:t>
      </w:r>
      <w:r>
        <w:rPr>
          <w:rFonts w:ascii="Times New Roman" w:cs="Times New Roman" w:eastAsia="Times New Roman" w:hAnsi="Times New Roman"/>
          <w:sz w:val="13"/>
          <w:szCs w:val="13"/>
          <w:color w:val="auto"/>
        </w:rPr>
        <w:t>. This Option may not be transferred in any manner otherwise than by will or by the laws of descent or distribution and may be exercised during the lifetime of the Optionee only by the Optionee.</w:t>
      </w:r>
    </w:p>
    <w:p>
      <w:pPr>
        <w:spacing w:after="0" w:line="119"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Agreement</w:t>
      </w:r>
      <w:r>
        <w:rPr>
          <w:rFonts w:ascii="Times New Roman" w:cs="Times New Roman" w:eastAsia="Times New Roman" w:hAnsi="Times New Roman"/>
          <w:sz w:val="13"/>
          <w:szCs w:val="13"/>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19" w:lineRule="exact"/>
        <w:rPr>
          <w:rFonts w:ascii="Times New Roman" w:cs="Times New Roman" w:eastAsia="Times New Roman" w:hAnsi="Times New Roman"/>
          <w:sz w:val="13"/>
          <w:szCs w:val="13"/>
          <w:color w:val="auto"/>
        </w:rPr>
      </w:pPr>
    </w:p>
    <w:p>
      <w:pPr>
        <w:jc w:val="both"/>
        <w:ind w:firstLine="468"/>
        <w:spacing w:after="0" w:line="26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Conditions to Issuance of Stock</w:t>
      </w:r>
      <w:r>
        <w:rPr>
          <w:rFonts w:ascii="Times New Roman" w:cs="Times New Roman" w:eastAsia="Times New Roman" w:hAnsi="Times New Roman"/>
          <w:sz w:val="13"/>
          <w:szCs w:val="13"/>
          <w:color w:val="auto"/>
        </w:rPr>
        <w:t>. If at any time the Company will determine, in its discretion, that the listing, registration or qualification of the Shares upon any securities exchange or under any U.S. state or federal law, or the consent or approval of any governmental regulatory authority is necessary or desirable as a condition to the issuance of Shares to the Optionee (or his or her estate), such issuance will not occur unless and until such listing, registration, qualification, consent or approval will have been effected or obtained free of any conditions not acceptable to the Company. Assuming such compliance, for income tax purposes the Exercised Shares will be considered transferred to the Optionee on the date the Option is exercised with respect to such Exercised Shares.</w:t>
      </w:r>
    </w:p>
    <w:p>
      <w:pPr>
        <w:spacing w:after="0" w:line="132"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Plan Governs.</w:t>
      </w:r>
      <w:r>
        <w:rPr>
          <w:rFonts w:ascii="Times New Roman" w:cs="Times New Roman" w:eastAsia="Times New Roman" w:hAnsi="Times New Roman"/>
          <w:sz w:val="13"/>
          <w:szCs w:val="13"/>
          <w:color w:val="auto"/>
        </w:rPr>
        <w:t xml:space="preserve"> This Award Agreement is subject to all terms and provisions of the Plan, including the French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19" w:lineRule="exact"/>
        <w:rPr>
          <w:rFonts w:ascii="Times New Roman" w:cs="Times New Roman" w:eastAsia="Times New Roman" w:hAnsi="Times New Roman"/>
          <w:sz w:val="13"/>
          <w:szCs w:val="13"/>
          <w:color w:val="auto"/>
        </w:rPr>
      </w:pPr>
    </w:p>
    <w:p>
      <w:pPr>
        <w:jc w:val="both"/>
        <w:ind w:firstLine="468"/>
        <w:spacing w:after="0" w:line="26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Administrator Authority</w:t>
      </w:r>
      <w:r>
        <w:rPr>
          <w:rFonts w:ascii="Times New Roman" w:cs="Times New Roman" w:eastAsia="Times New Roman" w:hAnsi="Times New Roman"/>
          <w:sz w:val="13"/>
          <w:szCs w:val="13"/>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the Optionee, the Company, and all other interested persons. No member of the Administrator will be personally liable for any action, determination, or interpretation made in good faith with respect to the Plan or this Award Agreeme nt.</w:t>
      </w:r>
    </w:p>
    <w:p>
      <w:pPr>
        <w:spacing w:after="0" w:line="132"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Electronic Delivery</w:t>
      </w:r>
      <w:r>
        <w:rPr>
          <w:rFonts w:ascii="Times New Roman" w:cs="Times New Roman" w:eastAsia="Times New Roman" w:hAnsi="Times New Roman"/>
          <w:sz w:val="13"/>
          <w:szCs w:val="13"/>
          <w:color w:val="auto"/>
        </w:rPr>
        <w:t>. The Company may, in its sole discretion, decide to deliver any documents related to the Option awarded under the Plan or future options that may be awarded under the Plan by electronic means or request the Optionee's consent to participate in the Plan by electronic means. The Optionee hereby consents to receive such documents by electronic</w:t>
      </w:r>
    </w:p>
    <w:p>
      <w:pPr>
        <w:spacing w:after="0" w:line="1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25</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592" w:right="219"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3"/>
          <w:szCs w:val="13"/>
          <w:color w:val="auto"/>
        </w:rPr>
        <w:t>delivery and agrees to participate in the Plan through any on-line or electronic system established and maintained by the Company or another third party designated by the Company.</w:t>
      </w:r>
    </w:p>
    <w:p>
      <w:pPr>
        <w:spacing w:after="0" w:line="163" w:lineRule="exact"/>
        <w:rPr>
          <w:sz w:val="20"/>
          <w:szCs w:val="20"/>
          <w:color w:val="auto"/>
        </w:rPr>
      </w:pPr>
    </w:p>
    <w:p>
      <w:pPr>
        <w:ind w:left="1100" w:hanging="632"/>
        <w:spacing w:after="0"/>
        <w:tabs>
          <w:tab w:leader="none" w:pos="11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Captions</w:t>
      </w:r>
      <w:r>
        <w:rPr>
          <w:rFonts w:ascii="Times New Roman" w:cs="Times New Roman" w:eastAsia="Times New Roman" w:hAnsi="Times New Roman"/>
          <w:sz w:val="13"/>
          <w:szCs w:val="13"/>
          <w:color w:val="auto"/>
        </w:rPr>
        <w:t>. Captions provided herein are for convenience only and are not to serve as a basis for interpretation or construction of this Award Agreement.</w:t>
      </w:r>
    </w:p>
    <w:p>
      <w:pPr>
        <w:spacing w:after="0" w:line="163"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Severable</w:t>
      </w:r>
      <w:r>
        <w:rPr>
          <w:rFonts w:ascii="Times New Roman" w:cs="Times New Roman" w:eastAsia="Times New Roman" w:hAnsi="Times New Roman"/>
          <w:sz w:val="13"/>
          <w:szCs w:val="13"/>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19" w:lineRule="exact"/>
        <w:rPr>
          <w:rFonts w:ascii="Times New Roman" w:cs="Times New Roman" w:eastAsia="Times New Roman" w:hAnsi="Times New Roman"/>
          <w:sz w:val="13"/>
          <w:szCs w:val="13"/>
          <w:color w:val="auto"/>
        </w:rPr>
      </w:pPr>
    </w:p>
    <w:p>
      <w:pPr>
        <w:jc w:val="both"/>
        <w:ind w:firstLine="468"/>
        <w:spacing w:after="0" w:line="266" w:lineRule="auto"/>
        <w:tabs>
          <w:tab w:leader="none" w:pos="110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Modifications to the Agreement</w:t>
      </w:r>
      <w:r>
        <w:rPr>
          <w:rFonts w:ascii="Times New Roman" w:cs="Times New Roman" w:eastAsia="Times New Roman" w:hAnsi="Times New Roman"/>
          <w:sz w:val="13"/>
          <w:szCs w:val="13"/>
          <w:color w:val="auto"/>
        </w:rPr>
        <w:t>. This Award Agreement constitutes the entire understanding of the parties on the subjects covered. The Optionee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28" w:lineRule="exact"/>
        <w:rPr>
          <w:rFonts w:ascii="Times New Roman" w:cs="Times New Roman" w:eastAsia="Times New Roman" w:hAnsi="Times New Roman"/>
          <w:sz w:val="13"/>
          <w:szCs w:val="13"/>
          <w:color w:val="auto"/>
        </w:rPr>
      </w:pPr>
    </w:p>
    <w:p>
      <w:pPr>
        <w:jc w:val="both"/>
        <w:ind w:firstLine="468"/>
        <w:spacing w:after="0" w:line="266" w:lineRule="auto"/>
        <w:tabs>
          <w:tab w:leader="none" w:pos="110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and Venue</w:t>
      </w:r>
      <w:r>
        <w:rPr>
          <w:rFonts w:ascii="Times New Roman" w:cs="Times New Roman" w:eastAsia="Times New Roman" w:hAnsi="Times New Roman"/>
          <w:sz w:val="13"/>
          <w:szCs w:val="13"/>
          <w:color w:val="auto"/>
        </w:rPr>
        <w:t>. This Award Agreement will be governed by, and subject to, the laws of the State of California, without giving effect to the conflict of law principles thereof. For purposes of litigating any dispute that arises under the Option or this Award Agreement, the parties hereby submit to and consent to the jurisdiction of the State of California, and agree that such litigation will be conducted in the courts of Santa Clara County, California, or the federal courts for the United States for the Northern District of California, and no other courts, where this grant is made and/or to be performed.</w:t>
      </w:r>
    </w:p>
    <w:p>
      <w:pPr>
        <w:spacing w:after="0" w:line="128" w:lineRule="exact"/>
        <w:rPr>
          <w:rFonts w:ascii="Times New Roman" w:cs="Times New Roman" w:eastAsia="Times New Roman" w:hAnsi="Times New Roman"/>
          <w:sz w:val="13"/>
          <w:szCs w:val="13"/>
          <w:color w:val="auto"/>
        </w:rPr>
      </w:pPr>
    </w:p>
    <w:p>
      <w:pPr>
        <w:ind w:firstLine="468"/>
        <w:spacing w:after="0" w:line="281" w:lineRule="auto"/>
        <w:tabs>
          <w:tab w:leader="none" w:pos="110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Language</w:t>
      </w:r>
      <w:r>
        <w:rPr>
          <w:rFonts w:ascii="Times New Roman" w:cs="Times New Roman" w:eastAsia="Times New Roman" w:hAnsi="Times New Roman"/>
          <w:sz w:val="13"/>
          <w:szCs w:val="13"/>
          <w:color w:val="auto"/>
        </w:rPr>
        <w:t>. If the Optionee has received this Award Agreement or any other document related to the Option and/or the Plan translated into French, and if the meaning of the French version is different from the English version, the English version will control.</w:t>
      </w:r>
    </w:p>
    <w:p>
      <w:pPr>
        <w:spacing w:after="0" w:line="119" w:lineRule="exact"/>
        <w:rPr>
          <w:rFonts w:ascii="Times New Roman" w:cs="Times New Roman" w:eastAsia="Times New Roman" w:hAnsi="Times New Roman"/>
          <w:sz w:val="13"/>
          <w:szCs w:val="13"/>
          <w:color w:val="auto"/>
        </w:rPr>
      </w:pPr>
    </w:p>
    <w:p>
      <w:pPr>
        <w:jc w:val="both"/>
        <w:ind w:firstLine="468"/>
        <w:spacing w:after="0" w:line="266" w:lineRule="auto"/>
        <w:tabs>
          <w:tab w:leader="none" w:pos="110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Imposition of Other Requirements</w:t>
      </w:r>
      <w:r>
        <w:rPr>
          <w:rFonts w:ascii="Times New Roman" w:cs="Times New Roman" w:eastAsia="Times New Roman" w:hAnsi="Times New Roman"/>
          <w:sz w:val="13"/>
          <w:szCs w:val="13"/>
          <w:color w:val="auto"/>
        </w:rPr>
        <w:t>. The Company reserves the right to impose other requirements on the Optionee's participation in the Plan, on the Option, and on any Shares acquired under the Plan, to the extent the Company determines it is necessary or advisable in order to comply with local laws or facilitate the administration of the Plan, and to require the Optionee to sign any additional agreements or undertakings that may be necessary to accomplish the foregoing.</w:t>
      </w:r>
    </w:p>
    <w:p>
      <w:pPr>
        <w:spacing w:after="0" w:line="126" w:lineRule="exact"/>
        <w:rPr>
          <w:rFonts w:ascii="Times New Roman" w:cs="Times New Roman" w:eastAsia="Times New Roman" w:hAnsi="Times New Roman"/>
          <w:sz w:val="13"/>
          <w:szCs w:val="13"/>
          <w:color w:val="auto"/>
        </w:rPr>
      </w:pPr>
    </w:p>
    <w:p>
      <w:pPr>
        <w:ind w:firstLine="468"/>
        <w:spacing w:after="0" w:line="284" w:lineRule="auto"/>
        <w:tabs>
          <w:tab w:leader="none" w:pos="665"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Language Consent</w:t>
      </w:r>
      <w:r>
        <w:rPr>
          <w:rFonts w:ascii="Times New Roman" w:cs="Times New Roman" w:eastAsia="Times New Roman" w:hAnsi="Times New Roman"/>
          <w:sz w:val="13"/>
          <w:szCs w:val="13"/>
          <w:color w:val="auto"/>
        </w:rPr>
        <w:t>. By signing and returning or by otherwise accepting this Award Agreement, the Optionee confirms having read and understood the documents relating to this Option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U.S. Plan, the French Plan, and this Award Agreement) which were provided in the English language. The Optionee accordingly accepts the terms of those documents.</w:t>
      </w:r>
    </w:p>
    <w:p>
      <w:pPr>
        <w:spacing w:after="0" w:line="116" w:lineRule="exact"/>
        <w:rPr>
          <w:sz w:val="20"/>
          <w:szCs w:val="20"/>
          <w:color w:val="auto"/>
        </w:rPr>
      </w:pPr>
    </w:p>
    <w:p>
      <w:pPr>
        <w:ind w:firstLine="469"/>
        <w:spacing w:after="0" w:line="284" w:lineRule="auto"/>
        <w:rPr>
          <w:sz w:val="20"/>
          <w:szCs w:val="20"/>
          <w:color w:val="auto"/>
        </w:rPr>
      </w:pPr>
      <w:r>
        <w:rPr>
          <w:rFonts w:ascii="Times New Roman" w:cs="Times New Roman" w:eastAsia="Times New Roman" w:hAnsi="Times New Roman"/>
          <w:sz w:val="13"/>
          <w:szCs w:val="13"/>
          <w:i w:val="1"/>
          <w:iCs w:val="1"/>
          <w:u w:val="single" w:color="auto"/>
          <w:color w:val="auto"/>
        </w:rPr>
        <w:t>Consentement à La Langue.</w:t>
      </w:r>
      <w:r>
        <w:rPr>
          <w:rFonts w:ascii="Times New Roman" w:cs="Times New Roman" w:eastAsia="Times New Roman" w:hAnsi="Times New Roman"/>
          <w:sz w:val="13"/>
          <w:szCs w:val="13"/>
          <w:i w:val="1"/>
          <w:iCs w:val="1"/>
          <w:color w:val="auto"/>
        </w:rPr>
        <w:t xml:space="preserve"> En signant et renvoyant cette 'Accord, ou par acceptant autrement l'Accord, le Titulaire de l'Option confirme ainsi avoir lu et compris les documents relatifs à l'Option de Souscription, (c'est-à-dire, Le Plan, Le Plan pour la France et cette Accord) qui ont été fournis en langue anglaise. Le Titulaire de l'Option en accepte les termes de ces documents en connaissance de cause</w:t>
      </w:r>
      <w:r>
        <w:rPr>
          <w:rFonts w:ascii="Times New Roman" w:cs="Times New Roman" w:eastAsia="Times New Roman" w:hAnsi="Times New Roman"/>
          <w:sz w:val="13"/>
          <w:szCs w:val="13"/>
          <w:color w:val="auto"/>
        </w:rPr>
        <w:t>.</w:t>
      </w:r>
    </w:p>
    <w:p>
      <w:pPr>
        <w:spacing w:after="0" w:line="27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26</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440" w:right="219" w:bottom="1440" w:gutter="0" w:footer="0" w:header="0"/>
        </w:sectPr>
      </w:pPr>
    </w:p>
    <w:bookmarkStart w:id="125" w:name="page126"/>
    <w:bookmarkEnd w:id="125"/>
    <w:p>
      <w:pPr>
        <w:jc w:val="center"/>
        <w:ind w:left="46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436880</wp:posOffset>
            </wp:positionH>
            <wp:positionV relativeFrom="page">
              <wp:posOffset>386715</wp:posOffset>
            </wp:positionV>
            <wp:extent cx="1478280" cy="205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478280" cy="205105"/>
                    </a:xfrm>
                    <a:prstGeom prst="rect">
                      <a:avLst/>
                    </a:prstGeom>
                    <a:noFill/>
                  </pic:spPr>
                </pic:pic>
              </a:graphicData>
            </a:graphic>
          </wp:anchor>
        </w:drawing>
        <w:t>EXHIBIT B</w:t>
      </w:r>
    </w:p>
    <w:p>
      <w:pPr>
        <w:spacing w:after="0" w:line="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FORTINET, INC.</w:t>
      </w:r>
    </w:p>
    <w:p>
      <w:pPr>
        <w:spacing w:after="0" w:line="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2009 EQUITY INCENTIVE PLAN</w:t>
      </w:r>
    </w:p>
    <w:p>
      <w:pPr>
        <w:spacing w:after="0" w:line="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EXERCISE NOTICE</w:t>
      </w:r>
    </w:p>
    <w:p>
      <w:pPr>
        <w:spacing w:after="0" w:line="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FOR OPTIONEES IN FRANCE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Fortinet, Inc.</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1090 Kifer Road, Sunnyvale, CA 94086</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Attention: Stock Administration</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Exercise of Option</w:t>
      </w:r>
      <w:r>
        <w:rPr>
          <w:rFonts w:ascii="Times New Roman" w:cs="Times New Roman" w:eastAsia="Times New Roman" w:hAnsi="Times New Roman"/>
          <w:sz w:val="13"/>
          <w:szCs w:val="13"/>
          <w:color w:val="auto"/>
        </w:rPr>
        <w:t>. Effective as of today, ________________, _____, the undersigned (“Purchaser”) hereby elects to purchase ______________ shares (the “Shares”) of the Common Stock of Fortinet, Inc. (the</w:t>
      </w:r>
    </w:p>
    <w:p>
      <w:pPr>
        <w:spacing w:after="0" w:line="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“Company”) under and pursuant to the 2009 Equity Incentive Plan (the “U.S. Plan”), the Rules of the Fortinet, Inc. 2009 Equity Incentive Plan for the Grant of Stock Options to Optionees in France (the “French Plan,” and in conjunction with the U.S. Plan, the “Plan”), and the Stock Option Award Agreement dated ________ (the “Award Agreement”). The purchase price for the Shares will be $_____________, as required by the Award Agreement.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Delivery of Payment</w:t>
      </w:r>
      <w:r>
        <w:rPr>
          <w:rFonts w:ascii="Times New Roman" w:cs="Times New Roman" w:eastAsia="Times New Roman" w:hAnsi="Times New Roman"/>
          <w:sz w:val="13"/>
          <w:szCs w:val="13"/>
          <w:color w:val="auto"/>
        </w:rPr>
        <w:t>. Purchaser herewith delivers to the Company the full purchase price of the Shares and any required Tax-Related Items to be paid in connection with the exercise of the Option.</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auto"/>
        </w:rPr>
        <w:t>Representations of Purchaser</w:t>
      </w:r>
      <w:r>
        <w:rPr>
          <w:rFonts w:ascii="Times New Roman" w:cs="Times New Roman" w:eastAsia="Times New Roman" w:hAnsi="Times New Roman"/>
          <w:sz w:val="13"/>
          <w:szCs w:val="13"/>
          <w:color w:val="auto"/>
        </w:rPr>
        <w:t>. Purchaser acknowledges that Purchaser has received, read, and understood the Plan and the Award Agreement and agrees to abide by and be bound by their terms and conditions.</w:t>
      </w:r>
    </w:p>
    <w:p>
      <w:pPr>
        <w:spacing w:after="0" w:line="16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u w:val="single" w:color="auto"/>
          <w:color w:val="auto"/>
        </w:rPr>
        <w:t>Rights as Stockholder</w:t>
      </w:r>
      <w:r>
        <w:rPr>
          <w:rFonts w:ascii="Times New Roman" w:cs="Times New Roman" w:eastAsia="Times New Roman" w:hAnsi="Times New Roman"/>
          <w:sz w:val="13"/>
          <w:szCs w:val="13"/>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2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3"/>
          <w:szCs w:val="13"/>
          <w:u w:val="single" w:color="auto"/>
          <w:color w:val="auto"/>
        </w:rPr>
        <w:t>No Advice Regarding Grant</w:t>
      </w:r>
      <w:r>
        <w:rPr>
          <w:rFonts w:ascii="Times New Roman" w:cs="Times New Roman" w:eastAsia="Times New Roman" w:hAnsi="Times New Roman"/>
          <w:sz w:val="13"/>
          <w:szCs w:val="13"/>
          <w:color w:val="auto"/>
        </w:rPr>
        <w:t>. Purchaser understands that Purchaser may suffer adverse tax or financial consequences as a result of Purchaser's purchase or disposition of the Shares. Further, the Company is not providing any tax, legal, or financial advice, nor is the Company making any recommendations regarding Purchaser's participation in the Plan or Purchaser's acquisition or sale of the underlying Shares. Purchaser represents that Purchaser has consulted with any tax, legal, or financial consultants Purchaser deems advisable in connection with the purchase or disposition of the Shares, and that Purchaser is not relying on the Company for any such advice.</w:t>
      </w:r>
    </w:p>
    <w:p>
      <w:pPr>
        <w:spacing w:after="0" w:line="13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3"/>
          <w:szCs w:val="13"/>
          <w:u w:val="single" w:color="auto"/>
          <w:color w:val="auto"/>
        </w:rPr>
        <w:t>Entire Agreement; Governing Law</w:t>
      </w:r>
      <w:r>
        <w:rPr>
          <w:rFonts w:ascii="Times New Roman" w:cs="Times New Roman" w:eastAsia="Times New Roman" w:hAnsi="Times New Roman"/>
          <w:sz w:val="13"/>
          <w:szCs w:val="13"/>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1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27</w:t>
      </w:r>
    </w:p>
    <w:p>
      <w:pPr>
        <w:spacing w:after="0" w:line="1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GESDMS/6544036.12</w:t>
      </w:r>
    </w:p>
    <w:p>
      <w:pPr>
        <w:sectPr>
          <w:pgSz w:w="11900" w:h="16838" w:orient="portrait"/>
          <w:cols w:equalWidth="0" w:num="1">
            <w:col w:w="11460"/>
          </w:cols>
          <w:pgMar w:left="220" w:top="1073" w:right="219" w:bottom="1440" w:gutter="0" w:footer="0" w:header="0"/>
        </w:sectPr>
      </w:pPr>
    </w:p>
    <w:bookmarkStart w:id="126" w:name="page127"/>
    <w:bookmarkEnd w:id="126"/>
    <w:p>
      <w:pPr>
        <w:ind w:left="1880"/>
        <w:spacing w:after="0"/>
        <w:rPr>
          <w:sz w:val="20"/>
          <w:szCs w:val="20"/>
          <w:color w:val="auto"/>
        </w:rPr>
      </w:pPr>
      <w:r>
        <w:rPr>
          <w:rFonts w:ascii="Times New Roman" w:cs="Times New Roman" w:eastAsia="Times New Roman" w:hAnsi="Times New Roman"/>
          <w:sz w:val="12"/>
          <w:szCs w:val="12"/>
          <w:color w:val="auto"/>
        </w:rPr>
        <w:t>&lt; td style="vertical-align:bottom;padding-left:2px;padding-top:2px;padding-bottom:2px;padding-right:2px;"&gt;</w:t>
      </w:r>
    </w:p>
    <w:p>
      <w:pPr>
        <w:sectPr>
          <w:pgSz w:w="11900" w:h="16838" w:orient="portrait"/>
          <w:cols w:equalWidth="0" w:num="1">
            <w:col w:w="9019"/>
          </w:cols>
          <w:pgMar w:left="1440" w:top="6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0" w:right="320" w:firstLine="463"/>
        <w:spacing w:after="0" w:line="281" w:lineRule="auto"/>
        <w:tabs>
          <w:tab w:leader="none" w:pos="1776"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font style="font-family:inherit;font-size:10pt;"&gt;Submitted by:</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173990</wp:posOffset>
            </wp:positionV>
            <wp:extent cx="179451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7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173990</wp:posOffset>
            </wp:positionV>
            <wp:extent cx="179451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7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Print Name</w:t>
      </w:r>
    </w:p>
    <w:p>
      <w:pPr>
        <w:spacing w:after="0" w:line="2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u w:val="single" w:color="auto"/>
          <w:color w:val="auto"/>
        </w:rPr>
        <w:t>Address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329565</wp:posOffset>
            </wp:positionV>
            <wp:extent cx="179451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4510" cy="6350"/>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173990</wp:posOffset>
            </wp:positionV>
            <wp:extent cx="179451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Accepted by:</w:t>
      </w:r>
    </w:p>
    <w:p>
      <w:pPr>
        <w:spacing w:after="0" w:line="183"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3"/>
          <w:szCs w:val="13"/>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173990</wp:posOffset>
            </wp:positionV>
            <wp:extent cx="209931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9310" cy="6350"/>
                    </a:xfrm>
                    <a:prstGeom prst="rect">
                      <a:avLst/>
                    </a:prstGeom>
                    <a:noFill/>
                  </pic:spPr>
                </pic:pic>
              </a:graphicData>
            </a:graphic>
          </wp:anchor>
        </w:drawing>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173990</wp:posOffset>
            </wp:positionV>
            <wp:extent cx="209931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9310" cy="6350"/>
                    </a:xfrm>
                    <a:prstGeom prst="rect">
                      <a:avLst/>
                    </a:prstGeom>
                    <a:noFill/>
                  </pic:spPr>
                </pic:pic>
              </a:graphicData>
            </a:graphic>
          </wp:anchor>
        </w:drawing>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602615</wp:posOffset>
            </wp:positionV>
            <wp:extent cx="20993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93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Date Received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w:t>
      </w:r>
    </w:p>
    <w:p>
      <w:pPr>
        <w:spacing w:after="0" w:line="163" w:lineRule="exact"/>
        <w:rPr>
          <w:sz w:val="20"/>
          <w:szCs w:val="20"/>
          <w:color w:val="auto"/>
        </w:rPr>
      </w:pPr>
    </w:p>
    <w:p>
      <w:pPr>
        <w:sectPr>
          <w:pgSz w:w="11900" w:h="16838" w:orient="portrait"/>
          <w:cols w:equalWidth="0" w:num="2">
            <w:col w:w="3960" w:space="720"/>
            <w:col w:w="4339"/>
          </w:cols>
          <w:pgMar w:left="1440" w:top="694" w:right="1440"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2"/>
          <w:szCs w:val="12"/>
          <w:color w:val="auto"/>
        </w:rPr>
        <w:t>GESDMS/6544036.12</w:t>
      </w:r>
    </w:p>
    <w:p>
      <w:pPr>
        <w:sectPr>
          <w:pgSz w:w="11900" w:h="16838" w:orient="portrait"/>
          <w:cols w:equalWidth="0" w:num="1">
            <w:col w:w="9019"/>
          </w:cols>
          <w:pgMar w:left="1440" w:top="694" w:right="1440"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3"/>
          <w:szCs w:val="13"/>
          <w:color w:val="auto"/>
        </w:rPr>
        <w:t>We consent to the incorporation by reference in Registrati on Statement Nos. 333-163367 on Form S-8 of our reports dated February 24, 2011, relating to the consolidated financial statements and consolidated financial statement schedule of Fortinet, Inc. and subsidiaries (the “Company") and the effectiveness of the Company's internal control over financial reporting, appearing in this Annual Report on Form 10-K of the Company for the year ended December 31, 2010.</w:t>
      </w: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DELOITTE &amp; TOUCHE LLP</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San Jose, California</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February 24, 2011</w:t>
      </w:r>
    </w:p>
    <w:p>
      <w:pPr>
        <w:sectPr>
          <w:pgSz w:w="11900" w:h="16838" w:orient="portrait"/>
          <w:cols w:equalWidth="0" w:num="1">
            <w:col w:w="11460"/>
          </w:cols>
          <w:pgMar w:left="220" w:top="438" w:right="2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 Ken Xie, certify that:</w:t>
      </w:r>
    </w:p>
    <w:p>
      <w:pPr>
        <w:spacing w:after="0" w:line="124" w:lineRule="exact"/>
        <w:rPr>
          <w:sz w:val="20"/>
          <w:szCs w:val="20"/>
          <w:color w:val="auto"/>
        </w:rPr>
      </w:pPr>
    </w:p>
    <w:p>
      <w:pPr>
        <w:ind w:left="1400" w:hanging="698"/>
        <w:spacing w:after="0"/>
        <w:tabs>
          <w:tab w:leader="none" w:pos="14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Fortinet, Inc.;</w:t>
      </w:r>
    </w:p>
    <w:p>
      <w:pPr>
        <w:spacing w:after="0" w:line="124" w:lineRule="exact"/>
        <w:rPr>
          <w:rFonts w:ascii="Times New Roman" w:cs="Times New Roman" w:eastAsia="Times New Roman" w:hAnsi="Times New Roman"/>
          <w:sz w:val="13"/>
          <w:szCs w:val="13"/>
          <w:color w:val="auto"/>
        </w:rPr>
      </w:pPr>
    </w:p>
    <w:p>
      <w:pPr>
        <w:ind w:left="940" w:right="40" w:hanging="238"/>
        <w:spacing w:after="0" w:line="260" w:lineRule="auto"/>
        <w:tabs>
          <w:tab w:leader="none" w:pos="141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40" w:right="80" w:hanging="238"/>
        <w:spacing w:after="0" w:line="262" w:lineRule="auto"/>
        <w:tabs>
          <w:tab w:leader="none" w:pos="141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3"/>
          <w:szCs w:val="13"/>
          <w:color w:val="auto"/>
        </w:rPr>
      </w:pPr>
    </w:p>
    <w:p>
      <w:pPr>
        <w:ind w:left="840" w:right="140" w:hanging="138"/>
        <w:spacing w:after="0" w:line="281" w:lineRule="auto"/>
        <w:tabs>
          <w:tab w:leader="none" w:pos="131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Times New Roman" w:cs="Times New Roman" w:eastAsia="Times New Roman" w:hAnsi="Times New Roman"/>
          <w:sz w:val="13"/>
          <w:szCs w:val="13"/>
          <w:color w:val="auto"/>
        </w:rPr>
      </w:pPr>
    </w:p>
    <w:p>
      <w:pPr>
        <w:ind w:left="1400" w:right="100" w:hanging="228"/>
        <w:spacing w:after="0" w:line="281" w:lineRule="auto"/>
        <w:tabs>
          <w:tab w:leader="none" w:pos="1869"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0" w:lineRule="exact"/>
        <w:rPr>
          <w:rFonts w:ascii="Times New Roman" w:cs="Times New Roman" w:eastAsia="Times New Roman" w:hAnsi="Times New Roman"/>
          <w:sz w:val="13"/>
          <w:szCs w:val="13"/>
          <w:color w:val="auto"/>
        </w:rPr>
      </w:pPr>
    </w:p>
    <w:p>
      <w:pPr>
        <w:ind w:left="1400" w:right="300" w:hanging="228"/>
        <w:spacing w:after="0" w:line="281" w:lineRule="auto"/>
        <w:tabs>
          <w:tab w:leader="none" w:pos="1869"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 t based on such evaluation; and</w:t>
      </w:r>
    </w:p>
    <w:p>
      <w:pPr>
        <w:spacing w:after="0" w:line="80" w:lineRule="exact"/>
        <w:rPr>
          <w:rFonts w:ascii="Times New Roman" w:cs="Times New Roman" w:eastAsia="Times New Roman" w:hAnsi="Times New Roman"/>
          <w:sz w:val="13"/>
          <w:szCs w:val="13"/>
          <w:color w:val="auto"/>
        </w:rPr>
      </w:pPr>
    </w:p>
    <w:p>
      <w:pPr>
        <w:ind w:left="1400" w:hanging="228"/>
        <w:spacing w:after="0" w:line="281" w:lineRule="auto"/>
        <w:tabs>
          <w:tab w:leader="none" w:pos="1869"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3"/>
          <w:szCs w:val="13"/>
          <w:color w:val="auto"/>
        </w:rPr>
      </w:pPr>
    </w:p>
    <w:p>
      <w:pPr>
        <w:ind w:left="1400" w:hanging="698"/>
        <w:spacing w:after="0"/>
        <w:tabs>
          <w:tab w:leader="none" w:pos="14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committee of the registrant's board of directors (or persons performing the equivalent functions):</w:t>
      </w:r>
    </w:p>
    <w:p>
      <w:pPr>
        <w:spacing w:after="0" w:line="19" w:lineRule="exact"/>
        <w:rPr>
          <w:sz w:val="20"/>
          <w:szCs w:val="20"/>
          <w:color w:val="auto"/>
        </w:rPr>
      </w:pPr>
    </w:p>
    <w:p>
      <w:pPr>
        <w:ind w:right="60" w:firstLine="469"/>
        <w:spacing w:after="0" w:line="278" w:lineRule="auto"/>
        <w:rPr>
          <w:sz w:val="20"/>
          <w:szCs w:val="20"/>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color w:val="auto"/>
        </w:rPr>
        <w:t>a.</w:t>
      </w:r>
    </w:p>
    <w:p>
      <w:pPr>
        <w:spacing w:after="0" w:line="124" w:lineRule="exact"/>
        <w:rPr>
          <w:sz w:val="20"/>
          <w:szCs w:val="20"/>
          <w:color w:val="auto"/>
        </w:rPr>
      </w:pPr>
    </w:p>
    <w:p>
      <w:pPr>
        <w:ind w:left="1880" w:hanging="708"/>
        <w:spacing w:after="0"/>
        <w:tabs>
          <w:tab w:leader="none" w:pos="18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4"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February 25,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24765</wp:posOffset>
            </wp:positionV>
            <wp:extent cx="283781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color w:val="auto"/>
        </w:rPr>
        <w:t>Ken Xie</w:t>
      </w:r>
    </w:p>
    <w:p>
      <w:pPr>
        <w:spacing w:after="0" w:line="4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1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color w:val="auto"/>
        </w:rPr>
        <w:t>&amp;nb sp;</w:t>
      </w:r>
    </w:p>
    <w:p>
      <w:pPr>
        <w:sectPr>
          <w:pgSz w:w="11900" w:h="16838" w:orient="portrait"/>
          <w:cols w:equalWidth="0" w:num="1">
            <w:col w:w="11460"/>
          </w:cols>
          <w:pgMar w:left="220" w:top="438" w:right="2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 Ken Goldman, certify that:</w:t>
      </w:r>
    </w:p>
    <w:p>
      <w:pPr>
        <w:spacing w:after="0" w:line="124" w:lineRule="exact"/>
        <w:rPr>
          <w:sz w:val="20"/>
          <w:szCs w:val="20"/>
          <w:color w:val="auto"/>
        </w:rPr>
      </w:pPr>
    </w:p>
    <w:p>
      <w:pPr>
        <w:ind w:left="1160" w:hanging="698"/>
        <w:spacing w:after="0"/>
        <w:tabs>
          <w:tab w:leader="none" w:pos="11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Fortinet, Inc.;</w:t>
      </w:r>
    </w:p>
    <w:p>
      <w:pPr>
        <w:spacing w:after="0" w:line="124" w:lineRule="exact"/>
        <w:rPr>
          <w:rFonts w:ascii="Times New Roman" w:cs="Times New Roman" w:eastAsia="Times New Roman" w:hAnsi="Times New Roman"/>
          <w:sz w:val="13"/>
          <w:szCs w:val="13"/>
          <w:color w:val="auto"/>
        </w:rPr>
      </w:pPr>
    </w:p>
    <w:p>
      <w:pPr>
        <w:ind w:left="700" w:right="40" w:hanging="238"/>
        <w:spacing w:after="0" w:line="260" w:lineRule="auto"/>
        <w:tabs>
          <w:tab w:leader="none" w:pos="117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00" w:right="80" w:hanging="238"/>
        <w:spacing w:after="0" w:line="262" w:lineRule="auto"/>
        <w:tabs>
          <w:tab w:leader="none" w:pos="117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1900" w:h="16838" w:orient="portrait"/>
          <w:cols w:equalWidth="0" w:num="1">
            <w:col w:w="11220"/>
          </w:cols>
          <w:pgMar w:left="460" w:top="438" w:right="21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bsp;</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4.&amp;n</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internal control over financial reporting (as defined in Exchange Act Rules 13a-15(f) and 15d-15(f)) for the registrant and have:</w:t>
      </w:r>
    </w:p>
    <w:p>
      <w:pPr>
        <w:spacing w:after="0" w:line="113" w:lineRule="exact"/>
        <w:rPr>
          <w:sz w:val="20"/>
          <w:szCs w:val="20"/>
          <w:color w:val="auto"/>
        </w:rPr>
      </w:pPr>
    </w:p>
    <w:p>
      <w:pPr>
        <w:sectPr>
          <w:pgSz w:w="11900" w:h="16838" w:orient="portrait"/>
          <w:cols w:equalWidth="0" w:num="3">
            <w:col w:w="220" w:space="240"/>
            <w:col w:w="260" w:space="20"/>
            <w:col w:w="10480"/>
          </w:cols>
          <w:pgMar w:left="460" w:top="438" w:right="219" w:bottom="1440" w:gutter="0" w:footer="0" w:header="0"/>
          <w:type w:val="continuous"/>
        </w:sectPr>
      </w:pPr>
    </w:p>
    <w:p>
      <w:pPr>
        <w:ind w:left="1160" w:right="60" w:hanging="228"/>
        <w:spacing w:after="0" w:line="281" w:lineRule="auto"/>
        <w:tabs>
          <w:tab w:leader="none" w:pos="1629"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 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0" w:lineRule="exact"/>
        <w:rPr>
          <w:rFonts w:ascii="Times New Roman" w:cs="Times New Roman" w:eastAsia="Times New Roman" w:hAnsi="Times New Roman"/>
          <w:sz w:val="13"/>
          <w:szCs w:val="13"/>
          <w:color w:val="auto"/>
        </w:rPr>
      </w:pPr>
    </w:p>
    <w:p>
      <w:pPr>
        <w:ind w:left="1160" w:right="300" w:hanging="228"/>
        <w:spacing w:after="0" w:line="281" w:lineRule="auto"/>
        <w:tabs>
          <w:tab w:leader="none" w:pos="1629"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 eport based on such evaluation; and</w:t>
      </w:r>
    </w:p>
    <w:p>
      <w:pPr>
        <w:spacing w:after="0" w:line="80" w:lineRule="exact"/>
        <w:rPr>
          <w:rFonts w:ascii="Times New Roman" w:cs="Times New Roman" w:eastAsia="Times New Roman" w:hAnsi="Times New Roman"/>
          <w:sz w:val="13"/>
          <w:szCs w:val="13"/>
          <w:color w:val="auto"/>
        </w:rPr>
      </w:pPr>
    </w:p>
    <w:p>
      <w:pPr>
        <w:ind w:left="1160" w:hanging="228"/>
        <w:spacing w:after="0" w:line="281" w:lineRule="auto"/>
        <w:tabs>
          <w:tab w:leader="none" w:pos="1629"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3"/>
          <w:szCs w:val="13"/>
          <w:color w:val="auto"/>
        </w:rPr>
      </w:pPr>
    </w:p>
    <w:p>
      <w:pPr>
        <w:ind w:left="700" w:right="500" w:hanging="238"/>
        <w:spacing w:after="0" w:line="328" w:lineRule="auto"/>
        <w:tabs>
          <w:tab w:leader="none" w:pos="117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3"/>
          <w:szCs w:val="13"/>
          <w:color w:val="auto"/>
        </w:rPr>
      </w:pPr>
    </w:p>
    <w:p>
      <w:pPr>
        <w:ind w:left="1160" w:right="20" w:hanging="228"/>
        <w:spacing w:after="0" w:line="281" w:lineRule="auto"/>
        <w:tabs>
          <w:tab w:leader="none" w:pos="1629"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3"/>
          <w:szCs w:val="13"/>
          <w:color w:val="auto"/>
        </w:rPr>
      </w:pPr>
    </w:p>
    <w:p>
      <w:pPr>
        <w:ind w:left="1640" w:hanging="708"/>
        <w:spacing w:after="0"/>
        <w:tabs>
          <w:tab w:leader="none" w:pos="164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Date: February 25,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24765</wp:posOffset>
            </wp:positionV>
            <wp:extent cx="283781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Ken Goldman</w:t>
      </w:r>
    </w:p>
    <w:p>
      <w:pPr>
        <w:spacing w:after="0" w:line="4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1220"/>
          </w:cols>
          <w:pgMar w:left="460" w:top="438" w:right="219"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CERTIFICATIONS OF CHIEF EXECUTIVE OFFICER AND CHIEF FINANCIAL OFFICER</w:t>
      </w:r>
    </w:p>
    <w:p>
      <w:pPr>
        <w:spacing w:after="0" w:line="1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A S ADOPTED PURSUANT TO</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13" w:lineRule="exact"/>
        <w:rPr>
          <w:sz w:val="20"/>
          <w:szCs w:val="20"/>
          <w:color w:val="auto"/>
        </w:rPr>
      </w:pPr>
    </w:p>
    <w:p>
      <w:pPr>
        <w:jc w:val="both"/>
        <w:ind w:right="380" w:firstLine="313"/>
        <w:spacing w:after="0" w:line="257" w:lineRule="auto"/>
        <w:rPr>
          <w:sz w:val="20"/>
          <w:szCs w:val="20"/>
          <w:color w:val="auto"/>
        </w:rPr>
      </w:pPr>
      <w:r>
        <w:rPr>
          <w:rFonts w:ascii="Times New Roman" w:cs="Times New Roman" w:eastAsia="Times New Roman" w:hAnsi="Times New Roman"/>
          <w:sz w:val="13"/>
          <w:szCs w:val="13"/>
          <w:color w:val="auto"/>
        </w:rPr>
        <w:t>I, Ken Xie, certify, pursuant to 18 U.S.C. Section 1350, as adopted pursuant to Section 906 of the Sarbanes-Oxley Act of 2002, that the Annual Report on Form 10-K of Fortinet, Inc. for the fiscal year ended December 31, 2010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&lt; /font&gt;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By:</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 Ken Xie</w:t>
            </w:r>
          </w:p>
        </w:tc>
      </w:tr>
      <w:tr>
        <w:trPr>
          <w:trHeight w:val="21"/>
        </w:trPr>
        <w:tc>
          <w:tcPr>
            <w:tcW w:w="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165"/>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3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February 25, 2011</w:t>
            </w: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Name:</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Ken Xie</w:t>
            </w:r>
          </w:p>
        </w:tc>
      </w:tr>
      <w:tr>
        <w:trPr>
          <w:trHeight w:val="184"/>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tc>
      </w:tr>
      <w:tr>
        <w:trPr>
          <w:trHeight w:val="168"/>
        </w:trPr>
        <w:tc>
          <w:tcPr>
            <w:tcW w:w="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Title:</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pacing w:after="0" w:line="125" w:lineRule="exact"/>
        <w:rPr>
          <w:sz w:val="20"/>
          <w:szCs w:val="20"/>
          <w:color w:val="auto"/>
        </w:rPr>
      </w:pPr>
    </w:p>
    <w:p>
      <w:pPr>
        <w:ind w:right="80" w:firstLine="313"/>
        <w:spacing w:after="0" w:line="266" w:lineRule="auto"/>
        <w:rPr>
          <w:sz w:val="20"/>
          <w:szCs w:val="20"/>
          <w:color w:val="auto"/>
        </w:rPr>
      </w:pPr>
      <w:r>
        <w:rPr>
          <w:rFonts w:ascii="Times New Roman" w:cs="Times New Roman" w:eastAsia="Times New Roman" w:hAnsi="Times New Roman"/>
          <w:sz w:val="13"/>
          <w:szCs w:val="13"/>
          <w:color w:val="auto"/>
        </w:rPr>
        <w:t>I, Ken Goldman, certify, pursuant to 18 U.S.C. Section 1350, as adopted pursuant to Section 906 of the Sarbanes-Oxley Act of 2002, that the Annual Report on Form 10-K of Fortinet, Inc. for the fiscal year ended December 31, 2010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By:</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 Ken Goldman</w:t>
            </w:r>
          </w:p>
        </w:tc>
      </w:tr>
      <w:tr>
        <w:trPr>
          <w:trHeight w:val="21"/>
        </w:trPr>
        <w:tc>
          <w:tcPr>
            <w:tcW w:w="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165"/>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3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February 25, 2011</w:t>
            </w: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Name:</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Ken Goldman</w:t>
            </w:r>
          </w:p>
        </w:tc>
      </w:tr>
      <w:tr>
        <w:trPr>
          <w:trHeight w:val="184"/>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68"/>
        </w:trPr>
        <w:tc>
          <w:tcPr>
            <w:tcW w:w="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Title:</w:t>
            </w:r>
          </w:p>
        </w:tc>
        <w:tc>
          <w:tcPr>
            <w:tcW w:w="43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(Principal Financial Officer)</w:t>
            </w:r>
          </w:p>
        </w:tc>
      </w:tr>
    </w:tbl>
    <w:p>
      <w:pPr>
        <w:sectPr>
          <w:pgSz w:w="11900" w:h="16838" w:orient="portrait"/>
          <w:cols w:equalWidth="0" w:num="1">
            <w:col w:w="11460"/>
          </w:cols>
          <w:pgMar w:left="220" w:top="438" w:right="219" w:bottom="1440" w:gutter="0" w:footer="0" w:header="0"/>
        </w:sectPr>
      </w:pPr>
    </w:p>
    <w:bookmarkStart w:id="131" w:name="page132"/>
    <w:bookmarkEnd w:id="13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T"/>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lt;"/>
      <w:numFmt w:val="bullet"/>
      <w:start w:val="1"/>
    </w:lvl>
  </w:abstractNum>
  <w:abstractNum w:abstractNumId="3">
    <w:nsid w:val="542289EC"/>
    <w:multiLevelType w:val="hybridMultilevel"/>
    <w:lvl w:ilvl="0">
      <w:lvlJc w:val="left"/>
      <w:lvlText w:val="(%1)"/>
      <w:numFmt w:val="lowerRoman"/>
      <w:start w:val="3"/>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3"/>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amp;"/>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lt;"/>
      <w:numFmt w:val="bullet"/>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2"/>
    </w:lvl>
  </w:abstractNum>
  <w:abstractNum w:abstractNumId="36">
    <w:nsid w:val="77AE35EB"/>
    <w:multiLevelType w:val="hybridMultilevel"/>
    <w:lvl w:ilvl="0">
      <w:lvlJc w:val="left"/>
      <w:lvlText w:val="(%1)"/>
      <w:numFmt w:val="decimal"/>
      <w:start w:val="3"/>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lt;"/>
      <w:numFmt w:val="bullet"/>
      <w:start w:val="1"/>
    </w:lvl>
  </w:abstractNum>
  <w:abstractNum w:abstractNumId="46">
    <w:nsid w:val="5DB70AE5"/>
    <w:multiLevelType w:val="hybridMultilevel"/>
    <w:lvl w:ilvl="0">
      <w:lvlJc w:val="left"/>
      <w:lvlText w:val="%1."/>
      <w:numFmt w:val="decimal"/>
      <w:start w:val="14"/>
    </w:lvl>
  </w:abstractNum>
  <w:abstractNum w:abstractNumId="47">
    <w:nsid w:val="100F8FCA"/>
    <w:multiLevelType w:val="hybridMultilevel"/>
    <w:lvl w:ilvl="0">
      <w:lvlJc w:val="left"/>
      <w:lvlText w:val="(%1)"/>
      <w:numFmt w:val="lowerLetter"/>
      <w:start w:val="1"/>
    </w:lvl>
    <w:lvl w:ilvl="1">
      <w:lvlJc w:val="left"/>
      <w:lvlText w:val="%2."/>
      <w:numFmt w:val="decimal"/>
      <w:start w:val="1"/>
    </w:lvl>
  </w:abstractNum>
  <w:abstractNum w:abstractNumId="48">
    <w:nsid w:val="6590700B"/>
    <w:multiLevelType w:val="hybridMultilevel"/>
    <w:lvl w:ilvl="0">
      <w:lvlJc w:val="left"/>
      <w:lvlText w:val="%1"/>
      <w:numFmt w:val="lowerLetter"/>
      <w:start w:val="1"/>
    </w:lvl>
    <w:lvl w:ilvl="1">
      <w:lvlJc w:val="left"/>
      <w:lvlText w:val="%2."/>
      <w:numFmt w:val="decimal"/>
      <w:start w:val="3"/>
    </w:lvl>
  </w:abstractNum>
  <w:abstractNum w:abstractNumId="49">
    <w:nsid w:val="15014ACB"/>
    <w:multiLevelType w:val="hybridMultilevel"/>
    <w:lvl w:ilvl="0">
      <w:lvlJc w:val="left"/>
      <w:lvlText w:val="(%1)"/>
      <w:numFmt w:val="lowerLetter"/>
      <w:start w:val="2"/>
    </w:lvl>
    <w:lvl w:ilvl="1">
      <w:lvlJc w:val="left"/>
      <w:lvlText w:val="%2"/>
      <w:numFmt w:val="decimal"/>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3">
    <w:nsid w:val="6B9476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2"/>
    </w:lvl>
  </w:abstractNum>
  <w:abstractNum w:abstractNumId="54">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5">
    <w:nsid w:val="168E121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6">
    <w:nsid w:val="1EBA5D23"/>
    <w:multiLevelType w:val="hybridMultilevel"/>
    <w:lvl w:ilvl="0">
      <w:lvlJc w:val="left"/>
      <w:lvlText w:val="(%1)"/>
      <w:numFmt w:val="lowerLetter"/>
      <w:start w:val="2"/>
    </w:lvl>
  </w:abstractNum>
  <w:abstractNum w:abstractNumId="57">
    <w:nsid w:val="661E3F1E"/>
    <w:multiLevelType w:val="hybridMultilevel"/>
    <w:lvl w:ilvl="0">
      <w:lvlJc w:val="left"/>
      <w:lvlText w:val="%1."/>
      <w:numFmt w:val="decimal"/>
      <w:start w:val="7"/>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3"/>
    </w:lvl>
  </w:abstractNum>
  <w:abstractNum w:abstractNumId="60">
    <w:nsid w:val="7BD3EE7B"/>
    <w:multiLevelType w:val="hybridMultilevel"/>
    <w:lvl w:ilvl="0">
      <w:lvlJc w:val="left"/>
      <w:lvlText w:val="%1."/>
      <w:numFmt w:val="decimal"/>
      <w:start w:val="9"/>
    </w:lvl>
  </w:abstractNum>
  <w:abstractNum w:abstractNumId="61">
    <w:nsid w:val="51D9C564"/>
    <w:multiLevelType w:val="hybridMultilevel"/>
    <w:lvl w:ilvl="0">
      <w:lvlJc w:val="left"/>
      <w:lvlText w:val="%1."/>
      <w:numFmt w:val="decimal"/>
      <w:start w:val="11"/>
    </w:lvl>
  </w:abstractNum>
  <w:abstractNum w:abstractNumId="62">
    <w:nsid w:val="613EFDC5"/>
    <w:multiLevelType w:val="hybridMultilevel"/>
    <w:lvl w:ilvl="0">
      <w:lvlJc w:val="left"/>
      <w:lvlText w:val="%1."/>
      <w:numFmt w:val="decimal"/>
      <w:start w:val="20"/>
    </w:lvl>
  </w:abstractNum>
  <w:abstractNum w:abstractNumId="63">
    <w:nsid w:val="BF72B14"/>
    <w:multiLevelType w:val="hybridMultilevel"/>
    <w:lvl w:ilvl="0">
      <w:lvlJc w:val="left"/>
      <w:lvlText w:val="%1."/>
      <w:numFmt w:val="decimal"/>
      <w:start w:val="21"/>
    </w:lvl>
  </w:abstractNum>
  <w:abstractNum w:abstractNumId="64">
    <w:nsid w:val="11447B73"/>
    <w:multiLevelType w:val="hybridMultilevel"/>
    <w:lvl w:ilvl="0">
      <w:lvlJc w:val="left"/>
      <w:lvlText w:val="(%1)"/>
      <w:numFmt w:val="lowerRoman"/>
      <w:start w:val="1"/>
    </w:lvl>
  </w:abstractNum>
  <w:abstractNum w:abstractNumId="65">
    <w:nsid w:val="42963E5A"/>
    <w:multiLevelType w:val="hybridMultilevel"/>
    <w:lvl w:ilvl="0">
      <w:lvlJc w:val="left"/>
      <w:lvlText w:val="(%1)"/>
      <w:numFmt w:val="lowerRoman"/>
      <w:start w:val="1"/>
    </w:lvl>
  </w:abstractNum>
  <w:abstractNum w:abstractNumId="66">
    <w:nsid w:val="A0382C5"/>
    <w:multiLevelType w:val="hybridMultilevel"/>
    <w:lvl w:ilvl="0">
      <w:lvlJc w:val="left"/>
      <w:lvlText w:val="(%1)"/>
      <w:numFmt w:val="lowerLetter"/>
      <w:start w:val="3"/>
    </w:lvl>
  </w:abstractNum>
  <w:abstractNum w:abstractNumId="67">
    <w:nsid w:val="8F2B15E"/>
    <w:multiLevelType w:val="hybridMultilevel"/>
    <w:lvl w:ilvl="0">
      <w:lvlJc w:val="left"/>
      <w:lvlText w:val="%1."/>
      <w:numFmt w:val="upperLetter"/>
      <w:start w:val="35"/>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2"/>
    </w:lvl>
    <w:lvl w:ilvl="1">
      <w:lvlJc w:val="left"/>
      <w:lvlText w:val="(%2)"/>
      <w:numFmt w:val="lowerLetter"/>
      <w:start w:val="1"/>
    </w:lvl>
  </w:abstractNum>
  <w:abstractNum w:abstractNumId="71">
    <w:nsid w:val="4962813B"/>
    <w:multiLevelType w:val="hybridMultilevel"/>
    <w:lvl w:ilvl="0">
      <w:lvlJc w:val="left"/>
      <w:lvlText w:val="(%1)"/>
      <w:numFmt w:val="lowerLetter"/>
      <w:start w:val="1"/>
    </w:lvl>
    <w:lvl w:ilvl="1">
      <w:lvlJc w:val="left"/>
      <w:lvlText w:val="(%2)"/>
      <w:numFmt w:val="lowerLetter"/>
      <w:start w:val="2"/>
    </w:lvl>
  </w:abstractNum>
  <w:abstractNum w:abstractNumId="72">
    <w:nsid w:val="60B6DF70"/>
    <w:multiLevelType w:val="hybridMultilevel"/>
    <w:lvl w:ilvl="0">
      <w:lvlJc w:val="left"/>
      <w:lvlText w:val="%1."/>
      <w:numFmt w:val="decimal"/>
      <w:start w:val="6"/>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2"/>
    </w:lvl>
  </w:abstractNum>
  <w:abstractNum w:abstractNumId="75">
    <w:nsid w:val="7FFFCA11"/>
    <w:multiLevelType w:val="hybridMultilevel"/>
    <w:lvl w:ilvl="0">
      <w:lvlJc w:val="left"/>
      <w:lvlText w:val="%1"/>
      <w:numFmt w:val="lowerRoman"/>
      <w:start w:val="1"/>
    </w:lvl>
    <w:lvl w:ilvl="1">
      <w:lvlJc w:val="left"/>
      <w:lvlText w:val="%2."/>
      <w:numFmt w:val="decimal"/>
      <w:start w:val="7"/>
    </w:lvl>
  </w:abstractNum>
  <w:abstractNum w:abstractNumId="76">
    <w:nsid w:val="1A27709E"/>
    <w:multiLevelType w:val="hybridMultilevel"/>
    <w:lvl w:ilvl="0">
      <w:lvlJc w:val="left"/>
      <w:lvlText w:val="(%1)"/>
      <w:numFmt w:val="lowerRoman"/>
      <w:start w:val="1"/>
    </w:lvl>
    <w:lvl w:ilvl="1">
      <w:lvlJc w:val="left"/>
      <w:lvlText w:val="%2"/>
      <w:numFmt w:val="decimal"/>
      <w:start w:val="1"/>
    </w:lvl>
  </w:abstractNum>
  <w:abstractNum w:abstractNumId="77">
    <w:nsid w:val="71EA1109"/>
    <w:multiLevelType w:val="hybridMultilevel"/>
    <w:lvl w:ilvl="0">
      <w:lvlJc w:val="left"/>
      <w:lvlText w:val="%1."/>
      <w:numFmt w:val="decimal"/>
      <w:start w:val="8"/>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decimal"/>
      <w:start w:val="10"/>
    </w:lvl>
  </w:abstractNum>
  <w:abstractNum w:abstractNumId="81">
    <w:nsid w:val="6F6DD9AC"/>
    <w:multiLevelType w:val="hybridMultilevel"/>
    <w:lvl w:ilvl="0">
      <w:lvlJc w:val="left"/>
      <w:lvlText w:val="%1."/>
      <w:numFmt w:val="decimal"/>
      <w:start w:val="12"/>
    </w:lvl>
  </w:abstractNum>
  <w:abstractNum w:abstractNumId="82">
    <w:nsid w:val="94211F2"/>
    <w:multiLevelType w:val="hybridMultilevel"/>
    <w:lvl w:ilvl="0">
      <w:lvlJc w:val="left"/>
      <w:lvlText w:val="%1."/>
      <w:numFmt w:val="decimal"/>
      <w:start w:val="19"/>
    </w:lvl>
  </w:abstractNum>
  <w:abstractNum w:abstractNumId="83">
    <w:nsid w:val="885E1B"/>
    <w:multiLevelType w:val="hybridMultilevel"/>
    <w:lvl w:ilvl="0">
      <w:lvlJc w:val="left"/>
      <w:lvlText w:val="&lt;"/>
      <w:numFmt w:val="bullet"/>
      <w:start w:val="1"/>
    </w:lvl>
  </w:abstractNum>
  <w:abstractNum w:abstractNumId="84">
    <w:nsid w:val="76272110"/>
    <w:multiLevelType w:val="hybridMultilevel"/>
    <w:lvl w:ilvl="0">
      <w:lvlJc w:val="left"/>
      <w:lvlText w:val="%1."/>
      <w:numFmt w:val="decimal"/>
      <w:start w:val="1"/>
    </w:lvl>
    <w:lvl w:ilvl="1">
      <w:lvlJc w:val="left"/>
      <w:lvlText w:val="%2."/>
      <w:numFmt w:val="lowerLetter"/>
      <w:start w:val="1"/>
    </w:lvl>
  </w:abstractNum>
  <w:abstractNum w:abstractNumId="85">
    <w:nsid w:val="4C04A8AF"/>
    <w:multiLevelType w:val="hybridMultilevel"/>
    <w:lvl w:ilvl="0">
      <w:lvlJc w:val="left"/>
      <w:lvlText w:val="%1."/>
      <w:numFmt w:val="lowerLetter"/>
      <w:start w:val="2"/>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2019-12-15T09:31:04Z</dcterms:created>
  <dcterms:modified xsi:type="dcterms:W3CDTF">2019-12-15T09:31:04Z</dcterms:modified>
</cp:coreProperties>
</file>