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486410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452120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294" w:lineRule="exact"/>
        <w:rPr>
          <w:sz w:val="24"/>
          <w:szCs w:val="24"/>
          <w:color w:val="auto"/>
        </w:rPr>
      </w:pPr>
    </w:p>
    <w:p>
      <w:pPr>
        <w:ind w:left="4140" w:right="2040" w:hanging="4114"/>
        <w:spacing w:after="0" w:line="438" w:lineRule="auto"/>
        <w:tabs>
          <w:tab w:leader="none" w:pos="39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year ended December 31, 2023</w:t>
      </w:r>
    </w:p>
    <w:p>
      <w:pPr>
        <w:ind w:left="55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306" w:lineRule="exact"/>
        <w:rPr>
          <w:rFonts w:ascii="MS PGothic" w:cs="MS PGothic" w:eastAsia="MS PGothic" w:hAnsi="MS PGothic"/>
          <w:sz w:val="18"/>
          <w:szCs w:val="18"/>
          <w:color w:val="auto"/>
        </w:rPr>
      </w:pPr>
    </w:p>
    <w:p>
      <w:pPr>
        <w:ind w:left="420" w:hanging="381"/>
        <w:spacing w:after="0"/>
        <w:tabs>
          <w:tab w:leader="none" w:pos="4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52" w:lineRule="exact"/>
        <w:rPr>
          <w:sz w:val="24"/>
          <w:szCs w:val="24"/>
          <w:color w:val="auto"/>
        </w:rPr>
      </w:pPr>
    </w:p>
    <w:p>
      <w:pPr>
        <w:ind w:left="3800"/>
        <w:spacing w:after="0"/>
        <w:tabs>
          <w:tab w:leader="none" w:pos="67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3917950</wp:posOffset>
            </wp:positionH>
            <wp:positionV relativeFrom="paragraph">
              <wp:posOffset>-5080</wp:posOffset>
            </wp:positionV>
            <wp:extent cx="8375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001-34511</w:t>
      </w:r>
    </w:p>
    <w:p>
      <w:pPr>
        <w:spacing w:after="0" w:line="31"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FORTINET, INC.</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2"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6" w:lineRule="exact"/>
        <w:rPr>
          <w:sz w:val="24"/>
          <w:szCs w:val="24"/>
          <w:color w:val="auto"/>
        </w:rPr>
      </w:pPr>
    </w:p>
    <w:tbl>
      <w:tblPr>
        <w:tblLayout w:type="fixed"/>
        <w:tblInd w:w="1760" w:type="dxa"/>
        <w:tblCellMar>
          <w:top w:w="0" w:type="dxa"/>
          <w:left w:w="0" w:type="dxa"/>
          <w:bottom w:w="0" w:type="dxa"/>
          <w:right w:w="0" w:type="dxa"/>
        </w:tblCellMar>
      </w:tblPr>
      <w:tr>
        <w:trPr>
          <w:trHeight w:val="236"/>
        </w:trPr>
        <w:tc>
          <w:tcPr>
            <w:tcW w:w="4080" w:type="dxa"/>
            <w:vAlign w:val="bottom"/>
          </w:tcPr>
          <w:p>
            <w:pPr>
              <w:jc w:val="center"/>
              <w:ind w:right="187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jc w:val="center"/>
              <w:ind w:left="1856"/>
              <w:spacing w:after="0"/>
              <w:rPr>
                <w:sz w:val="20"/>
                <w:szCs w:val="20"/>
                <w:color w:val="auto"/>
              </w:rPr>
            </w:pPr>
            <w:r>
              <w:rPr>
                <w:rFonts w:ascii="Times New Roman" w:cs="Times New Roman" w:eastAsia="Times New Roman" w:hAnsi="Times New Roman"/>
                <w:sz w:val="18"/>
                <w:szCs w:val="18"/>
                <w:b w:val="1"/>
                <w:bCs w:val="1"/>
                <w:color w:val="auto"/>
              </w:rPr>
              <w:t>77-0560389</w:t>
            </w:r>
          </w:p>
        </w:tc>
      </w:tr>
      <w:tr>
        <w:trPr>
          <w:trHeight w:val="164"/>
        </w:trPr>
        <w:tc>
          <w:tcPr>
            <w:tcW w:w="4080" w:type="dxa"/>
            <w:vAlign w:val="bottom"/>
          </w:tcPr>
          <w:p>
            <w:pPr>
              <w:jc w:val="center"/>
              <w:ind w:right="1856"/>
              <w:spacing w:after="0" w:line="165" w:lineRule="exact"/>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3220" w:type="dxa"/>
            <w:vAlign w:val="bottom"/>
          </w:tcPr>
          <w:p>
            <w:pPr>
              <w:jc w:val="center"/>
              <w:ind w:left="1856"/>
              <w:spacing w:after="0" w:line="165" w:lineRule="exact"/>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4080" w:type="dxa"/>
            <w:vAlign w:val="bottom"/>
          </w:tcPr>
          <w:p>
            <w:pPr>
              <w:jc w:val="center"/>
              <w:ind w:right="1876"/>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3220" w:type="dxa"/>
            <w:vAlign w:val="bottom"/>
          </w:tcPr>
          <w:p>
            <w:pPr>
              <w:jc w:val="center"/>
              <w:ind w:left="1856"/>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bl>
    <w:p>
      <w:pPr>
        <w:spacing w:after="0" w:line="200" w:lineRule="exact"/>
        <w:rPr>
          <w:sz w:val="24"/>
          <w:szCs w:val="24"/>
          <w:color w:val="auto"/>
        </w:rPr>
      </w:pPr>
    </w:p>
    <w:p>
      <w:pPr>
        <w:spacing w:after="0" w:line="3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909 Kifer Road</w:t>
      </w:r>
    </w:p>
    <w:p>
      <w:pPr>
        <w:jc w:val="center"/>
        <w:spacing w:after="0" w:line="229" w:lineRule="auto"/>
        <w:rPr>
          <w:sz w:val="20"/>
          <w:szCs w:val="20"/>
          <w:color w:val="auto"/>
        </w:rPr>
      </w:pPr>
      <w:r>
        <w:rPr>
          <w:rFonts w:ascii="Times New Roman" w:cs="Times New Roman" w:eastAsia="Times New Roman" w:hAnsi="Times New Roman"/>
          <w:sz w:val="18"/>
          <w:szCs w:val="18"/>
          <w:b w:val="1"/>
          <w:bCs w:val="1"/>
          <w:color w:val="auto"/>
        </w:rPr>
        <w:t>Sunnyvale, California 94086</w:t>
      </w:r>
    </w:p>
    <w:p>
      <w:pPr>
        <w:jc w:val="center"/>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including zip code)</w:t>
      </w: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(408) 235-7700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7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47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5"/>
        </w:trPr>
        <w:tc>
          <w:tcPr>
            <w:tcW w:w="4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$0.001 Par Value</w:t>
            </w:r>
          </w:p>
        </w:tc>
        <w:tc>
          <w:tcPr>
            <w:tcW w:w="80" w:type="dxa"/>
            <w:vAlign w:val="bottom"/>
          </w:tcPr>
          <w:p>
            <w:pPr>
              <w:spacing w:after="0"/>
              <w:rPr>
                <w:sz w:val="20"/>
                <w:szCs w:val="20"/>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FTNT</w:t>
            </w:r>
          </w:p>
        </w:tc>
        <w:tc>
          <w:tcPr>
            <w:tcW w:w="80" w:type="dxa"/>
            <w:vAlign w:val="bottom"/>
          </w:tcPr>
          <w:p>
            <w:pPr>
              <w:spacing w:after="0"/>
              <w:rPr>
                <w:sz w:val="20"/>
                <w:szCs w:val="20"/>
                <w:color w:val="auto"/>
              </w:rPr>
            </w:pPr>
          </w:p>
        </w:tc>
        <w:tc>
          <w:tcPr>
            <w:tcW w:w="47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369"/>
        </w:trPr>
        <w:tc>
          <w:tcPr>
            <w:tcW w:w="8900" w:type="dxa"/>
            <w:vAlign w:val="bottom"/>
            <w:gridSpan w:val="5"/>
          </w:tcPr>
          <w:p>
            <w:pPr>
              <w:jc w:val="center"/>
              <w:ind w:left="2252"/>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12(g) of the Act: None</w:t>
            </w:r>
          </w:p>
        </w:tc>
        <w:tc>
          <w:tcPr>
            <w:tcW w:w="7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06"/>
        </w:trPr>
        <w:tc>
          <w:tcPr>
            <w:tcW w:w="890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70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164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378"/>
        </w:trPr>
        <w:tc>
          <w:tcPr>
            <w:tcW w:w="890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Act.</w:t>
            </w:r>
          </w:p>
        </w:tc>
        <w:tc>
          <w:tcPr>
            <w:tcW w:w="70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w w:val="98"/>
              </w:rPr>
              <w:t xml:space="preserve">Yes </w:t>
            </w:r>
            <w:r>
              <w:rPr>
                <w:rFonts w:ascii="MS PGothic" w:cs="MS PGothic" w:eastAsia="MS PGothic" w:hAnsi="MS PGothic"/>
                <w:sz w:val="18"/>
                <w:szCs w:val="18"/>
                <w:color w:val="auto"/>
                <w:w w:val="98"/>
              </w:rPr>
              <w:t>☐</w:t>
            </w:r>
          </w:p>
        </w:tc>
        <w:tc>
          <w:tcPr>
            <w:tcW w:w="164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1099"/>
        </w:trPr>
        <w:tc>
          <w:tcPr>
            <w:tcW w:w="4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firstLine="283"/>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0"/>
          <w:szCs w:val="20"/>
          <w:color w:val="auto"/>
        </w:rPr>
      </w:pPr>
    </w:p>
    <w:p>
      <w:pPr>
        <w:ind w:right="80" w:firstLine="283"/>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0"/>
          <w:szCs w:val="20"/>
          <w:color w:val="auto"/>
        </w:rPr>
      </w:pPr>
    </w:p>
    <w:p>
      <w:pPr>
        <w:ind w:right="40" w:firstLine="283"/>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12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49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6" w:lineRule="exact"/>
        <w:rPr>
          <w:sz w:val="20"/>
          <w:szCs w:val="20"/>
          <w:color w:val="auto"/>
        </w:rPr>
      </w:pPr>
    </w:p>
    <w:p>
      <w:pPr>
        <w:ind w:right="220" w:firstLine="283"/>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7" w:lineRule="exact"/>
        <w:rPr>
          <w:sz w:val="20"/>
          <w:szCs w:val="20"/>
          <w:color w:val="auto"/>
        </w:rPr>
      </w:pPr>
    </w:p>
    <w:p>
      <w:pPr>
        <w:ind w:right="40" w:firstLine="283"/>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84" w:lineRule="exact"/>
        <w:rPr>
          <w:sz w:val="20"/>
          <w:szCs w:val="20"/>
          <w:color w:val="auto"/>
        </w:rPr>
      </w:pPr>
    </w:p>
    <w:p>
      <w:pPr>
        <w:ind w:right="380" w:firstLine="283"/>
        <w:spacing w:after="0" w:line="232"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Exchange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84" w:lineRule="exact"/>
        <w:rPr>
          <w:sz w:val="20"/>
          <w:szCs w:val="20"/>
          <w:color w:val="auto"/>
        </w:rPr>
      </w:pPr>
    </w:p>
    <w:p>
      <w:pPr>
        <w:ind w:right="480" w:firstLine="283"/>
        <w:spacing w:after="0" w:line="25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90" w:lineRule="exact"/>
        <w:rPr>
          <w:sz w:val="20"/>
          <w:szCs w:val="20"/>
          <w:color w:val="auto"/>
        </w:rPr>
      </w:pPr>
    </w:p>
    <w:p>
      <w:pPr>
        <w:ind w:left="300"/>
        <w:spacing w:after="0" w:line="207" w:lineRule="exact"/>
        <w:tabs>
          <w:tab w:leader="none" w:pos="8620" w:val="left"/>
          <w:tab w:leader="none" w:pos="93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12" w:lineRule="exact"/>
        <w:rPr>
          <w:sz w:val="20"/>
          <w:szCs w:val="20"/>
          <w:color w:val="auto"/>
        </w:rPr>
      </w:pPr>
    </w:p>
    <w:p>
      <w:pPr>
        <w:ind w:firstLine="283"/>
        <w:spacing w:after="0" w:line="258" w:lineRule="auto"/>
        <w:rPr>
          <w:sz w:val="20"/>
          <w:szCs w:val="20"/>
          <w:color w:val="auto"/>
        </w:rPr>
      </w:pPr>
      <w:r>
        <w:rPr>
          <w:rFonts w:ascii="Times New Roman" w:cs="Times New Roman" w:eastAsia="Times New Roman" w:hAnsi="Times New Roman"/>
          <w:sz w:val="18"/>
          <w:szCs w:val="18"/>
          <w:color w:val="auto"/>
        </w:rPr>
        <w:t>The aggregate market value of voting stock held by non-affiliates of the registrant, as of June 30, 2023, the last business day of the registrant’s most recently completed second quarter, was $38,472,948,871 (based on the closing price for shares of the registrant’s common stock as reported by The Nasdaq Global Select Market on that date). Shares of common stock held by each executive officer, director, and holder of 5% or more of the registrant’s outstanding common stock have been excluded in that such persons may be deemed to be affiliates. This determination of affiliate status is not necessarily a conclusive determination for other purposes.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of February 22, 2024, there were 763,030,948 shares of the registrant’s common stock outstanding.</w:t>
      </w:r>
    </w:p>
    <w:p>
      <w:pPr>
        <w:spacing w:after="0" w:line="17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171" w:lineRule="exact"/>
        <w:rPr>
          <w:sz w:val="20"/>
          <w:szCs w:val="20"/>
          <w:color w:val="auto"/>
        </w:rPr>
      </w:pPr>
    </w:p>
    <w:p>
      <w:pPr>
        <w:ind w:right="300" w:firstLine="283"/>
        <w:spacing w:after="0" w:line="266" w:lineRule="auto"/>
        <w:rPr>
          <w:sz w:val="20"/>
          <w:szCs w:val="20"/>
          <w:color w:val="auto"/>
        </w:rPr>
      </w:pPr>
      <w:r>
        <w:rPr>
          <w:rFonts w:ascii="Times New Roman" w:cs="Times New Roman" w:eastAsia="Times New Roman" w:hAnsi="Times New Roman"/>
          <w:sz w:val="18"/>
          <w:szCs w:val="18"/>
          <w:color w:val="auto"/>
        </w:rPr>
        <w:t>Portions of the registrant’s definitive Proxy Statement relating to its 2024 Annual Meeting of Stockholders (“Proxy Statement”) are incorporated by reference into Part III of this Annual Report on Form 10-K where indicated. Such Proxy Statement will be filed with the United States Securities and Exchange Commission within 120 days after the end of the fiscal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2073910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300" w:type="dxa"/>
            <w:vAlign w:val="bottom"/>
            <w:gridSpan w:val="9"/>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8"/>
              </w:rPr>
              <w:t>FORTINET, INC.</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1"/>
        </w:trPr>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80" w:type="dxa"/>
            <w:vAlign w:val="bottom"/>
            <w:gridSpan w:val="10"/>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80" w:type="dxa"/>
            <w:vAlign w:val="bottom"/>
            <w:gridSpan w:val="10"/>
          </w:tcPr>
          <w:p>
            <w:pPr>
              <w:jc w:val="center"/>
              <w:ind w:right="340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 2023</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1"/>
        </w:trPr>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300" w:type="dxa"/>
            <w:vAlign w:val="bottom"/>
            <w:gridSpan w:val="9"/>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04"/>
        </w:trPr>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8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42"/>
        </w:trPr>
        <w:tc>
          <w:tcPr>
            <w:tcW w:w="940" w:type="dxa"/>
            <w:vAlign w:val="bottom"/>
          </w:tcPr>
          <w:p>
            <w:pPr>
              <w:spacing w:after="0"/>
              <w:rPr>
                <w:sz w:val="24"/>
                <w:szCs w:val="24"/>
                <w:color w:val="auto"/>
              </w:rPr>
            </w:pPr>
          </w:p>
        </w:tc>
        <w:tc>
          <w:tcPr>
            <w:tcW w:w="96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Risk Factor Summary</w:t>
            </w:r>
          </w:p>
        </w:tc>
        <w:tc>
          <w:tcPr>
            <w:tcW w:w="66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24"/>
                <w:szCs w:val="24"/>
                <w:color w:val="auto"/>
              </w:rPr>
            </w:pPr>
          </w:p>
        </w:tc>
      </w:tr>
      <w:tr>
        <w:trPr>
          <w:trHeight w:val="520"/>
        </w:trPr>
        <w:tc>
          <w:tcPr>
            <w:tcW w:w="9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20" w:type="dxa"/>
            <w:vAlign w:val="bottom"/>
            <w:gridSpan w:val="7"/>
          </w:tcPr>
          <w:p>
            <w:pPr>
              <w:jc w:val="center"/>
              <w:ind w:right="434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980" w:type="dxa"/>
            <w:vAlign w:val="bottom"/>
            <w:gridSpan w:val="22"/>
          </w:tcPr>
          <w:p>
            <w:pPr>
              <w:spacing w:after="0"/>
              <w:rPr>
                <w:sz w:val="24"/>
                <w:szCs w:val="24"/>
                <w:color w:val="auto"/>
              </w:rPr>
            </w:pPr>
          </w:p>
        </w:tc>
        <w:tc>
          <w:tcPr>
            <w:tcW w:w="5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720" w:type="dxa"/>
            <w:vAlign w:val="bottom"/>
            <w:gridSpan w:val="19"/>
          </w:tcPr>
          <w:p>
            <w:pPr>
              <w:spacing w:after="0"/>
              <w:rPr>
                <w:sz w:val="18"/>
                <w:szCs w:val="18"/>
                <w:color w:val="auto"/>
              </w:rPr>
            </w:pPr>
          </w:p>
        </w:tc>
        <w:tc>
          <w:tcPr>
            <w:tcW w:w="54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7580" w:type="dxa"/>
            <w:vAlign w:val="bottom"/>
            <w:gridSpan w:val="12"/>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1C.</w:t>
            </w:r>
          </w:p>
        </w:tc>
        <w:tc>
          <w:tcPr>
            <w:tcW w:w="9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3"/>
              </w:rPr>
              <w:t>Cybersecurity</w:t>
            </w:r>
          </w:p>
        </w:tc>
        <w:tc>
          <w:tcPr>
            <w:tcW w:w="1060" w:type="dxa"/>
            <w:vAlign w:val="bottom"/>
            <w:gridSpan w:val="6"/>
          </w:tcPr>
          <w:p>
            <w:pPr>
              <w:spacing w:after="0"/>
              <w:rPr>
                <w:sz w:val="18"/>
                <w:szCs w:val="18"/>
                <w:color w:val="auto"/>
              </w:rPr>
            </w:pPr>
          </w:p>
        </w:tc>
        <w:tc>
          <w:tcPr>
            <w:tcW w:w="7580" w:type="dxa"/>
            <w:vAlign w:val="bottom"/>
            <w:gridSpan w:val="12"/>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Properties</w:t>
            </w:r>
          </w:p>
        </w:tc>
        <w:tc>
          <w:tcPr>
            <w:tcW w:w="260" w:type="dxa"/>
            <w:vAlign w:val="bottom"/>
            <w:gridSpan w:val="3"/>
          </w:tcPr>
          <w:p>
            <w:pPr>
              <w:spacing w:after="0"/>
              <w:rPr>
                <w:sz w:val="18"/>
                <w:szCs w:val="18"/>
                <w:color w:val="auto"/>
              </w:rPr>
            </w:pPr>
          </w:p>
        </w:tc>
        <w:tc>
          <w:tcPr>
            <w:tcW w:w="8640" w:type="dxa"/>
            <w:vAlign w:val="bottom"/>
            <w:gridSpan w:val="18"/>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6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520"/>
        </w:trPr>
        <w:tc>
          <w:tcPr>
            <w:tcW w:w="9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20" w:type="dxa"/>
            <w:vAlign w:val="bottom"/>
            <w:gridSpan w:val="7"/>
          </w:tcPr>
          <w:p>
            <w:pPr>
              <w:jc w:val="center"/>
              <w:ind w:right="434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4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6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3"/>
              </w:rPr>
              <w:t>[Reserved]</w:t>
            </w:r>
          </w:p>
        </w:tc>
        <w:tc>
          <w:tcPr>
            <w:tcW w:w="7280" w:type="dxa"/>
            <w:vAlign w:val="bottom"/>
            <w:gridSpan w:val="19"/>
          </w:tcPr>
          <w:p>
            <w:pPr>
              <w:spacing w:after="0"/>
              <w:rPr>
                <w:sz w:val="18"/>
                <w:szCs w:val="18"/>
                <w:color w:val="auto"/>
              </w:rPr>
            </w:pPr>
          </w:p>
        </w:tc>
        <w:tc>
          <w:tcPr>
            <w:tcW w:w="15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96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4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40" w:type="dxa"/>
            <w:vAlign w:val="bottom"/>
            <w:gridSpan w:val="3"/>
          </w:tcPr>
          <w:p>
            <w:pPr>
              <w:spacing w:after="0"/>
              <w:rPr>
                <w:sz w:val="18"/>
                <w:szCs w:val="18"/>
                <w:color w:val="auto"/>
              </w:rPr>
            </w:pPr>
          </w:p>
        </w:tc>
        <w:tc>
          <w:tcPr>
            <w:tcW w:w="3180" w:type="dxa"/>
            <w:vAlign w:val="bottom"/>
            <w:gridSpan w:val="4"/>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33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980" w:type="dxa"/>
            <w:vAlign w:val="bottom"/>
            <w:gridSpan w:val="2"/>
          </w:tcPr>
          <w:p>
            <w:pPr>
              <w:spacing w:after="0"/>
              <w:rPr>
                <w:sz w:val="18"/>
                <w:szCs w:val="18"/>
                <w:color w:val="auto"/>
              </w:rPr>
            </w:pPr>
          </w:p>
        </w:tc>
        <w:tc>
          <w:tcPr>
            <w:tcW w:w="5320" w:type="dxa"/>
            <w:vAlign w:val="bottom"/>
            <w:gridSpan w:val="7"/>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96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107</w:t>
            </w:r>
          </w:p>
        </w:tc>
        <w:tc>
          <w:tcPr>
            <w:tcW w:w="20" w:type="dxa"/>
            <w:vAlign w:val="bottom"/>
          </w:tcPr>
          <w:p>
            <w:pPr>
              <w:spacing w:after="0"/>
              <w:rPr>
                <w:sz w:val="18"/>
                <w:szCs w:val="18"/>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176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4700" w:type="dxa"/>
            <w:vAlign w:val="bottom"/>
            <w:tcBorders>
              <w:top w:val="single" w:sz="8" w:color="0000FF"/>
            </w:tcBorders>
            <w:gridSpan w:val="11"/>
          </w:tcPr>
          <w:p>
            <w:pPr>
              <w:spacing w:after="0"/>
              <w:rPr>
                <w:sz w:val="18"/>
                <w:szCs w:val="18"/>
                <w:color w:val="auto"/>
              </w:rPr>
            </w:pPr>
          </w:p>
        </w:tc>
        <w:tc>
          <w:tcPr>
            <w:tcW w:w="3160" w:type="dxa"/>
            <w:vAlign w:val="bottom"/>
            <w:gridSpan w:val="3"/>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5"/>
                <w:szCs w:val="15"/>
                <w:color w:val="0000FF"/>
                <w:w w:val="70"/>
              </w:rPr>
              <w:t>107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96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109</w:t>
            </w: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9C.</w:t>
            </w:r>
          </w:p>
        </w:tc>
        <w:tc>
          <w:tcPr>
            <w:tcW w:w="49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Prevents Inspections</w:t>
            </w:r>
          </w:p>
        </w:tc>
        <w:tc>
          <w:tcPr>
            <w:tcW w:w="4660" w:type="dxa"/>
            <w:vAlign w:val="bottom"/>
            <w:gridSpan w:val="6"/>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5"/>
                <w:szCs w:val="15"/>
                <w:color w:val="0000FF"/>
                <w:w w:val="70"/>
              </w:rPr>
              <w:t>109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520"/>
        </w:trPr>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20" w:type="dxa"/>
            <w:vAlign w:val="bottom"/>
            <w:gridSpan w:val="7"/>
          </w:tcPr>
          <w:p>
            <w:pPr>
              <w:jc w:val="center"/>
              <w:ind w:right="4340"/>
              <w:spacing w:after="0"/>
              <w:rPr>
                <w:sz w:val="20"/>
                <w:szCs w:val="20"/>
                <w:color w:val="auto"/>
              </w:rPr>
            </w:pPr>
            <w:r>
              <w:rPr>
                <w:rFonts w:ascii="Times New Roman" w:cs="Times New Roman" w:eastAsia="Times New Roman" w:hAnsi="Times New Roman"/>
                <w:sz w:val="18"/>
                <w:szCs w:val="18"/>
                <w:b w:val="1"/>
                <w:bCs w:val="1"/>
                <w:color w:val="auto"/>
                <w:w w:val="97"/>
              </w:rPr>
              <w:t>Part III</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96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109</w:t>
            </w:r>
          </w:p>
        </w:tc>
        <w:tc>
          <w:tcPr>
            <w:tcW w:w="20" w:type="dxa"/>
            <w:vAlign w:val="bottom"/>
          </w:tcPr>
          <w:p>
            <w:pPr>
              <w:spacing w:after="0"/>
              <w:rPr>
                <w:sz w:val="24"/>
                <w:szCs w:val="24"/>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tcBorders>
              <w:top w:val="single" w:sz="8" w:color="0000FF"/>
            </w:tcBorders>
            <w:gridSpan w:val="5"/>
          </w:tcPr>
          <w:p>
            <w:pPr>
              <w:spacing w:after="0"/>
              <w:rPr>
                <w:sz w:val="18"/>
                <w:szCs w:val="18"/>
                <w:color w:val="auto"/>
              </w:rPr>
            </w:pPr>
          </w:p>
        </w:tc>
        <w:tc>
          <w:tcPr>
            <w:tcW w:w="5540" w:type="dxa"/>
            <w:vAlign w:val="bottom"/>
            <w:gridSpan w:val="8"/>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5"/>
                <w:szCs w:val="15"/>
                <w:color w:val="0000FF"/>
                <w:w w:val="70"/>
              </w:rPr>
              <w:t>109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96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109</w:t>
            </w:r>
          </w:p>
        </w:tc>
        <w:tc>
          <w:tcPr>
            <w:tcW w:w="20" w:type="dxa"/>
            <w:vAlign w:val="bottom"/>
          </w:tcPr>
          <w:p>
            <w:pPr>
              <w:spacing w:after="0"/>
              <w:rPr>
                <w:sz w:val="18"/>
                <w:szCs w:val="18"/>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234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5"/>
                <w:szCs w:val="15"/>
                <w:color w:val="0000FF"/>
                <w:w w:val="70"/>
              </w:rPr>
              <w:t>110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4180" w:type="dxa"/>
            <w:vAlign w:val="bottom"/>
            <w:gridSpan w:val="5"/>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110</w:t>
            </w:r>
          </w:p>
        </w:tc>
        <w:tc>
          <w:tcPr>
            <w:tcW w:w="20" w:type="dxa"/>
            <w:vAlign w:val="bottom"/>
          </w:tcPr>
          <w:p>
            <w:pPr>
              <w:spacing w:after="0"/>
              <w:rPr>
                <w:sz w:val="18"/>
                <w:szCs w:val="18"/>
                <w:color w:val="auto"/>
              </w:rPr>
            </w:pPr>
          </w:p>
        </w:tc>
      </w:tr>
      <w:tr>
        <w:trPr>
          <w:trHeight w:val="520"/>
        </w:trPr>
        <w:tc>
          <w:tcPr>
            <w:tcW w:w="9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20" w:type="dxa"/>
            <w:vAlign w:val="bottom"/>
            <w:gridSpan w:val="7"/>
          </w:tcPr>
          <w:p>
            <w:pPr>
              <w:jc w:val="center"/>
              <w:ind w:right="4340"/>
              <w:spacing w:after="0"/>
              <w:rPr>
                <w:sz w:val="20"/>
                <w:szCs w:val="20"/>
                <w:color w:val="auto"/>
              </w:rPr>
            </w:pPr>
            <w:r>
              <w:rPr>
                <w:rFonts w:ascii="Times New Roman" w:cs="Times New Roman" w:eastAsia="Times New Roman" w:hAnsi="Times New Roman"/>
                <w:sz w:val="18"/>
                <w:szCs w:val="18"/>
                <w:b w:val="1"/>
                <w:bCs w:val="1"/>
                <w:color w:val="auto"/>
                <w:w w:val="99"/>
              </w:rPr>
              <w:t>Part IV</w:t>
            </w:r>
          </w:p>
        </w:tc>
        <w:tc>
          <w:tcPr>
            <w:tcW w:w="4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96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111</w:t>
            </w:r>
          </w:p>
        </w:tc>
        <w:tc>
          <w:tcPr>
            <w:tcW w:w="2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600" w:type="dxa"/>
            <w:vAlign w:val="bottom"/>
            <w:gridSpan w:val="6"/>
            <w:shd w:val="clear" w:color="auto" w:fill="0000FF"/>
          </w:tcPr>
          <w:p>
            <w:pPr>
              <w:spacing w:after="0" w:line="20" w:lineRule="exact"/>
              <w:rPr>
                <w:sz w:val="1"/>
                <w:szCs w:val="1"/>
                <w:color w:val="auto"/>
              </w:rPr>
            </w:pPr>
          </w:p>
        </w:tc>
        <w:tc>
          <w:tcPr>
            <w:tcW w:w="6480" w:type="dxa"/>
            <w:vAlign w:val="bottom"/>
            <w:gridSpan w:val="10"/>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9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5"/>
              </w:rPr>
              <w:t>Exhibit Index</w:t>
            </w:r>
          </w:p>
        </w:tc>
        <w:tc>
          <w:tcPr>
            <w:tcW w:w="2160" w:type="dxa"/>
            <w:vAlign w:val="bottom"/>
            <w:gridSpan w:val="8"/>
          </w:tcPr>
          <w:p>
            <w:pPr>
              <w:spacing w:after="0"/>
              <w:rPr>
                <w:sz w:val="18"/>
                <w:szCs w:val="18"/>
                <w:color w:val="auto"/>
              </w:rPr>
            </w:pPr>
          </w:p>
        </w:tc>
        <w:tc>
          <w:tcPr>
            <w:tcW w:w="6480" w:type="dxa"/>
            <w:vAlign w:val="bottom"/>
            <w:gridSpan w:val="10"/>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112</w:t>
            </w: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80" w:type="dxa"/>
            <w:vAlign w:val="bottom"/>
            <w:gridSpan w:val="16"/>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16.</w:t>
            </w:r>
          </w:p>
        </w:tc>
        <w:tc>
          <w:tcPr>
            <w:tcW w:w="15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Form 10-K Summary</w:t>
            </w:r>
          </w:p>
        </w:tc>
        <w:tc>
          <w:tcPr>
            <w:tcW w:w="8080" w:type="dxa"/>
            <w:vAlign w:val="bottom"/>
            <w:gridSpan w:val="16"/>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114</w:t>
            </w: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15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080" w:type="dxa"/>
            <w:vAlign w:val="bottom"/>
            <w:gridSpan w:val="16"/>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115</w:t>
            </w:r>
          </w:p>
        </w:tc>
        <w:tc>
          <w:tcPr>
            <w:tcW w:w="20" w:type="dxa"/>
            <w:vAlign w:val="bottom"/>
          </w:tcPr>
          <w:p>
            <w:pPr>
              <w:spacing w:after="0"/>
              <w:rPr>
                <w:sz w:val="18"/>
                <w:szCs w:val="18"/>
                <w:color w:val="auto"/>
              </w:rPr>
            </w:pPr>
          </w:p>
        </w:tc>
      </w:tr>
      <w:tr>
        <w:trPr>
          <w:trHeight w:val="986"/>
        </w:trPr>
        <w:tc>
          <w:tcPr>
            <w:tcW w:w="94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 Item 1A, “Risk Factors” in this Annual Report on Form 10-</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 You should carefully consider these risks and uncertainties when investing in our common stock. Some of the principal risks and uncertainties include:</w:t>
      </w:r>
    </w:p>
    <w:p>
      <w:pPr>
        <w:spacing w:after="0" w:line="21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are likely to vary significantly and be unpredictable.</w:t>
      </w:r>
    </w:p>
    <w:p>
      <w:pPr>
        <w:spacing w:after="0" w:line="252" w:lineRule="exact"/>
        <w:rPr>
          <w:rFonts w:ascii="Times New Roman" w:cs="Times New Roman" w:eastAsia="Times New Roman" w:hAnsi="Times New Roman"/>
          <w:sz w:val="18"/>
          <w:szCs w:val="18"/>
          <w:color w:val="auto"/>
        </w:rPr>
      </w:pPr>
    </w:p>
    <w:p>
      <w:pPr>
        <w:jc w:val="both"/>
        <w:ind w:left="660" w:right="22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conditions, such as a possible economic downturn or recession, and possible impacts of inflation or stagflation, increasing or decreasing interest rates, instability in the global banking system or reduced information technology spending, including firewall spending, may adversely impact our business.</w:t>
      </w:r>
    </w:p>
    <w:p>
      <w:pPr>
        <w:spacing w:after="0" w:line="217" w:lineRule="exact"/>
        <w:rPr>
          <w:rFonts w:ascii="Times New Roman" w:cs="Times New Roman" w:eastAsia="Times New Roman" w:hAnsi="Times New Roman"/>
          <w:sz w:val="18"/>
          <w:szCs w:val="18"/>
          <w:color w:val="auto"/>
        </w:rPr>
      </w:pPr>
    </w:p>
    <w:p>
      <w:pPr>
        <w:ind w:left="660" w:right="1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and may in the future be, susceptible to supply chain constraints, supply shortages and disruptions, long or less predictable lead times for components and finished goods and supply changes because some of the key components in our products come from limited sources of supply.</w:t>
      </w:r>
    </w:p>
    <w:p>
      <w:pPr>
        <w:spacing w:after="0" w:line="21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supply chain disruptions in previous periods, we increased our purchase order commitments in previous periods and, as a result, may be required to accept or pay for components and finished goods regardless of our level of sales in a particular period, which may negatively impact our operating results and financial condition.</w:t>
      </w:r>
    </w:p>
    <w:p>
      <w:pPr>
        <w:spacing w:after="0" w:line="2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billings, revenue, and free cash flow growth may slow further or may not continue, and our operating margins may decline.</w:t>
      </w:r>
    </w:p>
    <w:p>
      <w:pPr>
        <w:spacing w:after="0" w:line="225" w:lineRule="exact"/>
        <w:rPr>
          <w:rFonts w:ascii="Times New Roman" w:cs="Times New Roman" w:eastAsia="Times New Roman" w:hAnsi="Times New Roman"/>
          <w:sz w:val="18"/>
          <w:szCs w:val="18"/>
          <w:color w:val="auto"/>
        </w:rPr>
      </w:pPr>
    </w:p>
    <w:p>
      <w:pPr>
        <w:jc w:val="both"/>
        <w:ind w:left="660" w:right="20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real estate investments, including construction, acquisitions, sales, or strategy changes, and ongoing maintenance and management of office buildings, warehouses, data centers and points of presence, as well as data center expansions or enhancements, could involve significant risks to our business.</w:t>
      </w:r>
    </w:p>
    <w:p>
      <w:pPr>
        <w:spacing w:after="0" w:line="217"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backlog has fluctuated over past quarters and any decrease in growth or negative growth of in-quarter billings and revenue may not be reflected by our aggregate billings and revenue. As we have fulfilled, shipped and billed during a quarter to satisfy backlog, this has increased our aggregate billings and revenue during any particular quarter, and as the supply chain challenges normalize, the growth comparisons versus prior quarters where backlog contributed more to billings have become more challenging.</w:t>
      </w:r>
    </w:p>
    <w:p>
      <w:pPr>
        <w:spacing w:after="0" w:line="20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weakness in sales strategy, productivity and execution could negatively impact our results of operations.</w:t>
      </w:r>
    </w:p>
    <w:p>
      <w:pPr>
        <w:spacing w:after="0" w:line="238"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the continued services and performance of our senior management, as well as our ability to hire, retain and motivate qualified personnel.</w:t>
      </w:r>
    </w:p>
    <w:p>
      <w:pPr>
        <w:spacing w:after="0" w:line="175" w:lineRule="exact"/>
        <w:rPr>
          <w:rFonts w:ascii="Times New Roman" w:cs="Times New Roman" w:eastAsia="Times New Roman" w:hAnsi="Times New Roman"/>
          <w:sz w:val="18"/>
          <w:szCs w:val="18"/>
          <w:color w:val="auto"/>
        </w:rPr>
      </w:pPr>
    </w:p>
    <w:p>
      <w:pPr>
        <w:ind w:left="660" w:right="78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channel partners for substantially all of our billings, revenue and a small number of distributors represents a large percentage of our revenue and accounts receivable.</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 concentration of shipments at the end of the quarter could cause our billings and revenue to fall below expected levels.</w:t>
      </w:r>
    </w:p>
    <w:p>
      <w:pPr>
        <w:spacing w:after="0" w:line="238"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significantly on revenue from FortiGuard security subscription and FortiCare technical support services, and revenue from these services may decline or fluctuate.</w:t>
      </w:r>
    </w:p>
    <w:p>
      <w:pPr>
        <w:spacing w:after="0" w:line="202"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indebtedness and may incur other debt in the future, which may adversely affect our financial condition and future financial results.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 a majority of billings, revenue and cash flow from sales outside of the United States.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executing our strategy to increase our sales to large- and medium-sized end-customers.</w:t>
      </w:r>
    </w:p>
    <w:p>
      <w:pPr>
        <w:spacing w:after="0" w:line="238" w:lineRule="exact"/>
        <w:rPr>
          <w:rFonts w:ascii="Times New Roman" w:cs="Times New Roman" w:eastAsia="Times New Roman" w:hAnsi="Times New Roman"/>
          <w:sz w:val="18"/>
          <w:szCs w:val="18"/>
          <w:color w:val="auto"/>
        </w:rPr>
      </w:pPr>
    </w:p>
    <w:p>
      <w:pPr>
        <w:ind w:left="660" w:right="44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our revenue is generated by sales to government organizations and other customers, which are subject to a number of regulatory requirements, challenges and risks.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in our market and we may not maintain or improve our competitive position.</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right="2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order components from third-party manufacturers based on our forecasts of future demand and targeted inventory levels, which exposes us to the risk of both product shortages, may result in lost sales and higher expenses, including excess inventory charges and costs related to future purchase commitments, and may require us to sell our products at discounts or offer various other incentives.</w:t>
      </w:r>
    </w:p>
    <w:p>
      <w:pPr>
        <w:spacing w:after="0" w:line="182"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 parties to provide various components for our products and build our products and are susceptible to manufacturing delays, capacity constraints and cost increases.</w:t>
      </w:r>
    </w:p>
    <w:p>
      <w:pPr>
        <w:spacing w:after="0" w:line="189" w:lineRule="exact"/>
        <w:rPr>
          <w:rFonts w:ascii="Times New Roman" w:cs="Times New Roman" w:eastAsia="Times New Roman" w:hAnsi="Times New Roman"/>
          <w:sz w:val="18"/>
          <w:szCs w:val="18"/>
          <w:color w:val="auto"/>
        </w:rPr>
      </w:pPr>
    </w:p>
    <w:p>
      <w:pPr>
        <w:ind w:left="660" w:hanging="328"/>
        <w:spacing w:after="0" w:line="24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susceptible to defects or vulnerabilities in our products or services, as well as reputational harm from the failure or misuse of our products or services, and any actual or perceived defects or vulnerabilities in our products or services or the failure of our products or services to detect or prevent a security incident, or the failure to help secure our customers or cause our products or services to allow unauthorized access to our customers network, could harm our operational results and reputation more significantly as compared to certain other companies given we are a security company.</w:t>
      </w:r>
    </w:p>
    <w:p>
      <w:pPr>
        <w:spacing w:after="0" w:line="198" w:lineRule="exact"/>
        <w:rPr>
          <w:rFonts w:ascii="Times New Roman" w:cs="Times New Roman" w:eastAsia="Times New Roman" w:hAnsi="Times New Roman"/>
          <w:sz w:val="18"/>
          <w:szCs w:val="18"/>
          <w:color w:val="auto"/>
        </w:rPr>
      </w:pPr>
    </w:p>
    <w:p>
      <w:pPr>
        <w:ind w:left="660" w:right="200" w:hanging="328"/>
        <w:spacing w:after="0" w:line="245"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acquire and integrate other businesses, products or technologies, or to successfully invest in and form successful strategic alliances with other businesses, could seriously harm our competitive position and could negatively affect our financial condition and results of operations. In addition, any additional future impairment of the value of our investment in Linksys Holdings, Inc. (“Linksys”) could negatively affect our financial condition and results of operations.</w:t>
      </w:r>
    </w:p>
    <w:p>
      <w:pPr>
        <w:spacing w:after="0" w:line="20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and regulators’ expectations of our performance relating to environmental, social and governance factors may impose additional costs and expose us to new risks.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fluctuations in currency exchange rates, which could negatively affect our financial condition and results of operations.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rights may be difficult to enforce and we may be subject to claims by others that we infringe their proprietary technology.</w:t>
      </w:r>
    </w:p>
    <w:p>
      <w:pPr>
        <w:spacing w:after="0" w:line="238"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common stock may be volatile, which volatility may be exacerbated by share repurchases under our Share Repurchase Program (the “Repurchase Program”).</w:t>
      </w:r>
    </w:p>
    <w:p>
      <w:pPr>
        <w:spacing w:after="0" w:line="17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contained in our certificate of incorporation and bylaws, as well as provisions of Delaware law, could impair a takeover attempt.</w:t>
      </w:r>
    </w:p>
    <w:p>
      <w:pPr>
        <w:spacing w:after="0" w:line="202" w:lineRule="exact"/>
        <w:rPr>
          <w:rFonts w:ascii="Times New Roman" w:cs="Times New Roman" w:eastAsia="Times New Roman" w:hAnsi="Times New Roman"/>
          <w:sz w:val="18"/>
          <w:szCs w:val="18"/>
          <w:color w:val="auto"/>
        </w:rPr>
      </w:pPr>
    </w:p>
    <w:p>
      <w:pPr>
        <w:ind w:left="660" w:right="20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uncertainty and weakening product demand caused by political instability, changes in trade agreements, wars and foreign conflicts, such as the war in Ukraine and the Israel-Hamas war or tensions between China and Taiwan, could adversely affect our business and financial performance.</w:t>
      </w:r>
    </w:p>
    <w:p>
      <w:pPr>
        <w:spacing w:after="0" w:line="200" w:lineRule="exact"/>
        <w:rPr>
          <w:sz w:val="20"/>
          <w:szCs w:val="20"/>
          <w:color w:val="auto"/>
        </w:rPr>
      </w:pPr>
    </w:p>
    <w:p>
      <w:pPr>
        <w:spacing w:after="0" w:line="3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Fortinet is a leader in cybersecurity and the convergence of networking and security. Our mission is to secure people, devices and data everywhere. Our integrated platform, the Fortinet Security Fabric, spans secure networking, unified Secure Access Service Edge (“SASE”) and AI-driven security operations to deliver cybersecurity where our customers need it. As of December 31, 2023, over a half million customers trusted our solutions, including enterprises such as in the financial services, retail and operational technology market verticals, communication and security service providers, government organizations and small and medium-sized businesses. As a global company headquartered in Sunnyvale, California with a large international customer base, the majority of our research and development is in the United States and Canada with a global footprint of support and centers of excellence around the world. As of December 31, 2023, we held 957 U.S. patents and 1,299 global patents and we are recognized in over 80 enterprise analyst reports demonstrating both our vision and execution across networking and security products.</w:t>
      </w:r>
    </w:p>
    <w:p>
      <w:pPr>
        <w:spacing w:after="0" w:line="201" w:lineRule="exact"/>
        <w:rPr>
          <w:sz w:val="20"/>
          <w:szCs w:val="20"/>
          <w:color w:val="auto"/>
        </w:rPr>
      </w:pPr>
    </w:p>
    <w:p>
      <w:pPr>
        <w:ind w:left="660" w:hanging="328"/>
        <w:spacing w:after="0" w:line="23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Secure Networking</w:t>
      </w:r>
      <w:r>
        <w:rPr>
          <w:rFonts w:ascii="Times New Roman" w:cs="Times New Roman" w:eastAsia="Times New Roman" w:hAnsi="Times New Roman"/>
          <w:sz w:val="18"/>
          <w:szCs w:val="18"/>
          <w:color w:val="auto"/>
        </w:rPr>
        <w:t>—Our Secure Networking solutions focus on the convergence of networking and security via our network firewall and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switches, access points and other secure connectivity solutions. FortiOS is our networking and security operating system that is consistent across our firewalls and secure connectivity solutions and supports over 30 functions that can be delivered via a physical, virtual, cloud or Software as a Service (“SaaS”) solution. When delivered via our network firewall appliances, functionality is accelerated through our proprietary Application-Specific Integrated Circuits (“ASIC”) technology. These proprietary ASICs, combined with off-the-shelf central processing units (“CPUs”) and ASICs, allow our systems to scale, run multiple applications at higher performance, lower power consumption and perform more processor-intensive operations, such as inspecting encrypted traffic, including streaming video. The Network Firewall solution consists of FortiGate data centers, hyperscale and distributed firewalls, as well as encrypted applications (secure sockets layer (“SSL”) inspection, Virtual Private Network and IPsec connectivity). Our ability to converge networking and security also enables the ethernet to become an extension of a company’s security infrastructure through FortiSwitch and FortiLink. Our wireless local area network (“LAN”) solution leverages secure networking to provide secure wireless access for the enterprise LAN edge. FortiExtender secures 5G/LTE and remote ethernet extenders to connect and secure any branch environment. The Secure Connectivity solution includes FortiSwitch Secure Ethernet Switches, FortiAP Wireless Local Area Network Access Points and FortiExtender 5G Connectivity Gateways, among other products.</w:t>
      </w:r>
    </w:p>
    <w:p>
      <w:pPr>
        <w:spacing w:after="0" w:line="229" w:lineRule="exact"/>
        <w:rPr>
          <w:rFonts w:ascii="Times New Roman" w:cs="Times New Roman" w:eastAsia="Times New Roman" w:hAnsi="Times New Roman"/>
          <w:sz w:val="18"/>
          <w:szCs w:val="18"/>
          <w:color w:val="auto"/>
        </w:rPr>
      </w:pPr>
    </w:p>
    <w:p>
      <w:pPr>
        <w:ind w:left="660" w:right="20" w:hanging="328"/>
        <w:spacing w:after="0" w:line="25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Unified Secure Access Service Edge (SASE)</w:t>
      </w:r>
      <w:r>
        <w:rPr>
          <w:rFonts w:ascii="Times New Roman" w:cs="Times New Roman" w:eastAsia="Times New Roman" w:hAnsi="Times New Roman"/>
          <w:sz w:val="18"/>
          <w:szCs w:val="18"/>
          <w:color w:val="auto"/>
        </w:rPr>
        <w:t>—As applications move to the cloud and work from anywhere becomes established, cloud delivery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needed to enable secure access to applications on any cloud. The Fortinet Unified SASE solution is a single-vendor SASE solution that includes Firewall, SD-WAN, Secure Web Gateway, Cloud Access Services Broker, Data Loss Prevention, Zero Trust Network Access and cloud security, including Web Application Firewalls, Virtualized Firewalls and Cloud-Native Firewalls, among other products. These functions are delivered through our FortiOS operating systems, which can deploy the full SASE stack through the cloud or on our ASIC-driven appliances. All functions can be managed through a unified management console.</w:t>
      </w:r>
    </w:p>
    <w:p>
      <w:pPr>
        <w:spacing w:after="0" w:line="209" w:lineRule="exact"/>
        <w:rPr>
          <w:rFonts w:ascii="Times New Roman" w:cs="Times New Roman" w:eastAsia="Times New Roman" w:hAnsi="Times New Roman"/>
          <w:sz w:val="18"/>
          <w:szCs w:val="18"/>
          <w:color w:val="auto"/>
        </w:rPr>
      </w:pPr>
    </w:p>
    <w:p>
      <w:pPr>
        <w:ind w:left="660" w:right="20" w:hanging="328"/>
        <w:spacing w:after="0" w:line="25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Security Operations (SecOps)</w:t>
      </w:r>
      <w:r>
        <w:rPr>
          <w:rFonts w:ascii="Times New Roman" w:cs="Times New Roman" w:eastAsia="Times New Roman" w:hAnsi="Times New Roman"/>
          <w:sz w:val="18"/>
          <w:szCs w:val="18"/>
          <w:color w:val="auto"/>
        </w:rPr>
        <w:t>—Fortinet’s Security Operations solutions comply with the National Institute of Standards and Technology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(“NIST”) cybersecurity framework of identify, protect, detect, respond and recover, and are delivered as a platform that automates detection and response to accelerate discovery and remediation. The SecOps solution includes FortiAI generative AI assistant, FortiSIEM Security Information and Event Management, FortiSOAR Security Orchestration, Automation and Response, FortiEDR Endpoint Detection and Response, FortiXDR Extended Detection and Response, FortiMDR Managed Detection and Response Service, FortiNDR Network Detection and Response, FortiRecon Digital Risk Protection, FortiDeceptor Deception technology, FortiGuard SoCaaS, FortiSandbox Sandboxing Services and FortiGuard Incident Response Services, among other products.</w:t>
      </w:r>
    </w:p>
    <w:p>
      <w:pPr>
        <w:spacing w:after="0" w:line="21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FortiGuard Labs is our cybersecurity threat intelligence and research organization comprised of experienced threat hunters, researchers, analysts, engineers and data scientists who develop and utilize machine learning and AI technologies to provide timely protection updates and actionable threat intelligence for the benefit of our customers. </w:t>
      </w:r>
      <w:r>
        <w:rPr>
          <w:rFonts w:ascii="Times New Roman" w:cs="Times New Roman" w:eastAsia="Times New Roman" w:hAnsi="Times New Roman"/>
          <w:sz w:val="18"/>
          <w:szCs w:val="18"/>
          <w:b w:val="1"/>
          <w:bCs w:val="1"/>
          <w:color w:val="auto"/>
        </w:rPr>
        <w:t>FortiGuard Security Services</w:t>
      </w:r>
      <w:r>
        <w:rPr>
          <w:rFonts w:ascii="Times New Roman" w:cs="Times New Roman" w:eastAsia="Times New Roman" w:hAnsi="Times New Roman"/>
          <w:sz w:val="18"/>
          <w:szCs w:val="18"/>
          <w:color w:val="auto"/>
        </w:rPr>
        <w:t xml:space="preserve"> are a suite of AI-powered security capabilities that are natively integrated as part of the Fortinet Security Fabric to deliver coordinated detection and enforcement across the entire attack surface. The portfolio consists of FortiGuard application security services, content security services, device security services, NOC/SOC security services and web security services.</w:t>
      </w:r>
    </w:p>
    <w:p>
      <w:pPr>
        <w:spacing w:after="0" w:line="206"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FortiCare Technical Support Service </w:t>
      </w:r>
      <w:r>
        <w:rPr>
          <w:rFonts w:ascii="Times New Roman" w:cs="Times New Roman" w:eastAsia="Times New Roman" w:hAnsi="Times New Roman"/>
          <w:sz w:val="18"/>
          <w:szCs w:val="18"/>
          <w:color w:val="auto"/>
        </w:rPr>
        <w:t>is a per-device support service, which provides customers access to experts to ensure efficient and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and maintenance of their Fortinet capabilities. Global technical support is offered 24x7 with flexible add-ons, including enhanced Service Level Agreements (“SLAs”) and premium hardware replacement through in-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country depots. Organizations have the flexibility to procure different levels of service for different devices based on their availability needs. We offer three per-device support options tailored to the needs of our enterprise customers: FortiCare Premium, FortiCare Elite and FortiCare Essential. The FortiCare Elite service aims to provide 15-minute response times for key product families.</w:t>
      </w:r>
    </w:p>
    <w:p>
      <w:pPr>
        <w:spacing w:after="0" w:line="189"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We also offer training services to our end-customers and channel partners through our training team and authorized training partners. We have also implemented a training certification program, Network Security Expert (“NSE”), to help ensure an understanding of our products and services. Since 2020, Fortinet has also offered a number of free online training courses to help address prevalent industry-wide cybersecurity skills gaps and shortages.</w:t>
      </w:r>
    </w:p>
    <w:p>
      <w:pPr>
        <w:spacing w:after="0" w:line="211"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we generated total revenue of $5.30 billion and net income of $1.15 billion. See Part II, Item 8 of this Annual Report on Form 10-K for more information on our consolidated balance sheets as of December 31, 2023 and 2022 and our consolidated statements of income, comprehensive income, equity (deficit), and cash flows for each of the three years ended December 31, 2023, 2022 and 2021.</w:t>
      </w:r>
    </w:p>
    <w:p>
      <w:pPr>
        <w:spacing w:after="0" w:line="203"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We were incorporated in Delaware in November 2000. Our principal executive office is located at 909 Kifer Road, Sunnyvale, California 94086 and our telephone number at that location is (408) 235-7700.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 Background: The Trends Driving the Need for a Platform Approach</w:t>
      </w:r>
    </w:p>
    <w:p>
      <w:pPr>
        <w:spacing w:after="0" w:line="229" w:lineRule="exact"/>
        <w:rPr>
          <w:sz w:val="20"/>
          <w:szCs w:val="20"/>
          <w:color w:val="auto"/>
        </w:rPr>
      </w:pPr>
    </w:p>
    <w:p>
      <w:pPr>
        <w:ind w:right="160" w:firstLine="648"/>
        <w:spacing w:after="0" w:line="230" w:lineRule="auto"/>
        <w:rPr>
          <w:sz w:val="20"/>
          <w:szCs w:val="20"/>
          <w:color w:val="auto"/>
        </w:rPr>
      </w:pPr>
      <w:r>
        <w:rPr>
          <w:rFonts w:ascii="Times New Roman" w:cs="Times New Roman" w:eastAsia="Times New Roman" w:hAnsi="Times New Roman"/>
          <w:sz w:val="18"/>
          <w:szCs w:val="18"/>
          <w:color w:val="auto"/>
        </w:rPr>
        <w:t xml:space="preserve">Modern networks are increasingly complex, spanning many edges as well as a mix of cloud and on-premises deployments. Fortinet </w:t>
      </w:r>
      <w:r>
        <w:rPr>
          <w:rFonts w:ascii="Times New Roman" w:cs="Times New Roman" w:eastAsia="Times New Roman" w:hAnsi="Times New Roman"/>
          <w:sz w:val="18"/>
          <w:szCs w:val="18"/>
          <w:color w:val="211F22"/>
        </w:rPr>
        <w:t>was founded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1F22"/>
        </w:rPr>
        <w:t>with the mission of providing a converged networking and security approach that empowers organizations to adopt new technologies without worrying about how it would impact their ability to manage and secure their environments. The escalating threat landscape has resulted in a significant increase in the demand for secure networking solutions. In fact, we believe the demand for secure networking will overtake the pure networking market by 2030. At the same time, businesses contend with an escalating threat landscape, a cybersecurity skills shortage, and siloed security tools that do not work well together. They need to consolidate point products to gain better visibility and faster threat response times.</w:t>
      </w:r>
    </w:p>
    <w:p>
      <w:pPr>
        <w:spacing w:after="0" w:line="214" w:lineRule="exact"/>
        <w:rPr>
          <w:sz w:val="20"/>
          <w:szCs w:val="20"/>
          <w:color w:val="auto"/>
        </w:rPr>
      </w:pPr>
    </w:p>
    <w:p>
      <w:pPr>
        <w:ind w:right="260" w:firstLine="648"/>
        <w:spacing w:after="0" w:line="236" w:lineRule="auto"/>
        <w:rPr>
          <w:sz w:val="20"/>
          <w:szCs w:val="20"/>
          <w:color w:val="auto"/>
        </w:rPr>
      </w:pPr>
      <w:r>
        <w:rPr>
          <w:rFonts w:ascii="Times New Roman" w:cs="Times New Roman" w:eastAsia="Times New Roman" w:hAnsi="Times New Roman"/>
          <w:sz w:val="18"/>
          <w:szCs w:val="18"/>
          <w:color w:val="auto"/>
        </w:rPr>
        <w:t>A platform approach</w:t>
      </w:r>
      <w:r>
        <w:rPr>
          <w:rFonts w:ascii="Times New Roman" w:cs="Times New Roman" w:eastAsia="Times New Roman" w:hAnsi="Times New Roman"/>
          <w:sz w:val="18"/>
          <w:szCs w:val="18"/>
          <w:color w:val="211F22"/>
        </w:rPr>
        <w:t>–what we call the Fortinet Security Fabric–has emerged to address these challenges and support enterprises in reducing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1F22"/>
        </w:rPr>
        <w:t>complexity and improving risk mitigation. The concept of an integrated cybersecurity platform that converges networking and security and consolidates point products is what guides how we design our products and advise our customers and partners</w:t>
      </w:r>
      <w:r>
        <w:rPr>
          <w:rFonts w:ascii="Times New Roman" w:cs="Times New Roman" w:eastAsia="Times New Roman" w:hAnsi="Times New Roman"/>
          <w:sz w:val="18"/>
          <w:szCs w:val="18"/>
          <w:color w:val="000000"/>
        </w:rPr>
        <w: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243"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Our end-customers are located in over 100 countries and include small, medium and large enterprises and government organizations across a wide range of industries, including financial services, government, manufacturing, retail, technology, education, healthcare and telecommunications. An end-customer deployment may involve as few as one or as many as dozens of different types of integrated products and services from across our broad portfolio that spans secure networking, unified SASE, and security operations. Customers may also access our products via the cloud through certain cloud providers such as Amazon Web Services, Microsoft Azure and Google Cloud. Often, our customers also purchase our FortiGuard security subscription services and FortiCare technical support services. Refer to Note 16 Segment Information in Part II, Item 8 of this Annual Report on Form 10-K for distributor customers that accounted for 10% or more of our revenue or net accounts receivable.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43"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We primarily sell our products and services through a two-tier distribution model. We sell to distributors that sell to resellers and to service providers and managed security service providers (“MSSPs”), who, in turn, sell products and/or services to end-customers. In certain cases, we sell directly to large service providers and major systems integrators. We work with many technology distributors, including Arrow Electronics, Inc., Exclusive, Ingram Micro and TD Synnex (formerly Tech Data Corporation and Synnex Corporation, separately). In addition, we provide our cloud-based subscription offerings through Fortinet-owned data centers, as well as data centers operated under co-location arrangements globally, and via public cloud providers.</w:t>
      </w:r>
    </w:p>
    <w:p>
      <w:pPr>
        <w:spacing w:after="0" w:line="225"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support our channel partners with a dedicated team of experienced channel account managers, sales professionals and sales engineers who provide business planning, joint marketing strategy, pre-sales and operational sales support. Additionally, our sales teams help drive and support large enterprise and service provider sales through a direct touch model. Our sales professionals and engineers typically work closely with our channel partners and directly engage with large end-customers to address their unique security and deployment requirements. To support our broadly dispersed global channel and end-customer base, we have sales professionals in over 100 countries around the world.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140" w:firstLine="648"/>
        <w:spacing w:after="0"/>
        <w:rPr>
          <w:sz w:val="20"/>
          <w:szCs w:val="20"/>
          <w:color w:val="auto"/>
        </w:rPr>
      </w:pPr>
      <w:r>
        <w:rPr>
          <w:rFonts w:ascii="Times New Roman" w:cs="Times New Roman" w:eastAsia="Times New Roman" w:hAnsi="Times New Roman"/>
          <w:sz w:val="18"/>
          <w:szCs w:val="18"/>
          <w:color w:val="auto"/>
        </w:rPr>
        <w:t>Our marketing strategy is focused on building our brand, driving thought leadership with emphasis on the criticality of cybersecurity platform adoption and the convergence of security and networking as well as driving end-customer demand for our security solutions. We use a combination of internal marketing professionals and a network of regional and global channel partners. Our internal marketing organization is responsible for messaging, branding, demand generation, product marketing, channel marketing, partner incentives and promotions, event marketing, digital marketing, communications, analyst relations, public relations, and sales enablement. We focus our resources on campaigns, programs, and activities that can be leveraged by partners worldwide to extend our marketing reach, such as sales tools and collateral, product awards and technical certifications, media engagement, training, regional seminars and conferences, webinars, and various other demand-generation activities.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and Suppliers</w:t>
      </w:r>
    </w:p>
    <w:p>
      <w:pPr>
        <w:spacing w:after="0" w:line="25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outsource the manufacturing of our security appliance products to a variety of contract manufacturers and original design manufacturers. Our current manufacturing partners include ADLINK Technology, Inc. (“ADLINK”), IBASE Technology, Inc. (“IBASE”), Micro-Star International Co. (“Micro-Star”), Senao Networks, Inc. (“Senao”), Wistron Corporation (“Wistron”), and a number of other manufacturers. Approximately 95% of our hardware is manufactured in Taiwan. We submit purchase orders to our contract manufacturers that describe the type and quantities of our products to be manufactured, the delivery date and other delivery terms. Once our products are manufactured, they are sent to either our warehouse in California or to our logistics partner in Taoyuan City, Taiwan, where accessory packaging and quality-control testing are performed. We believe that outsourcing our manufacturing and a substantial portion of our logistics enables us to focus resources on our core competencies. Our proprietary ASICs, which are key to the performance of our appliances, are built by contract manufacturers including Toshiba America Electronic Components, Inc. (“Toshiba America”) and Renesas Electronics America, Inc. (“Renesas”). These contract manufacturers use foundries in Taiwan and Japan operated by either Taiwan Semiconductor Manufacturing Company Limited (“TSMC”) or by the contract manufacturer itself.</w:t>
      </w:r>
    </w:p>
    <w:p>
      <w:pPr>
        <w:spacing w:after="0" w:line="22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components included in our products are sourced from various suppliers by us or, more frequently, by our contract manufacturers. Some of the components important to our business, including certain CPUs from Intel Corporation (“Intel”) and Advanced Micro Devices, Inc. (“AMD”), network and wireless chips from Broadcom Inc. (“Broadcom”), Marvell Technology Group Ltd. (“Marvell”), Qualcomm Incorporated (“Qualcomm”) and Intel and memory devices from Intel, Micron Technology (“Micron”), ADATA Technology Co., Ltd. (“ADATA”), Toshiba Corporation (“Toshiba”), Samsung Electronics Co., Ltd. (“Samsung”), and Western Digital Technologies, Inc. (“Western Digital”), are available from limited or sole sources of supply.</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 long-term contracts related to the manufacturing of our ASICs or other components that guarantee any capacity or pricing terms.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43"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auto"/>
        </w:rPr>
        <w:t>We focus our research and development efforts on developing new hardware and software products and services, and adding new features to existing products, services and operating systems. Our development strategy is to identify features, products and systems for both software and hardware that are, or are expected to be, important to our end-customers. Our success in designing, developing, manufacturing and selling new or enhanced products will depend on a variety of factors, including identification of market demand for new products or new features, components selection, timely implementation of product design and development, product performance, quality, ease of use, costs of development, bill of materials, effective manufacturing and assembly processes and sales and marketing.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rely primarily on patent, trademark, copyright and trade secrets laws, confidentiality procedures and contractual provisions to protect our technology. We periodically have discussions with third parties regarding licensing Fortinet’s intellectual property (“IP”) and have sometimes taken legal action against competitors to protect our IP, and as a result third parties have paid us fees in return for licenses or covenants-not-to-sue related to Fortinet IP. As of December 31, 2023, we had 1,299 U.S. and foreign-issued patents and 252 pending U.S. and foreign patent applications. We also license software from third parties for inclusion in our products, including open source software and other software.</w:t>
      </w:r>
    </w:p>
    <w:p>
      <w:pPr>
        <w:spacing w:after="0" w:line="21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Despite our efforts to protect our rights in our technology, unauthorized parties may attempt to copy aspects of our products or obtain and use information and technology that we regard as proprietary. We generally enter into confidentiality agreements with our employees, consultants, vendors and customers, and generally limit access to and distribution of our proprietary information. However, we cannot provide assurance that the steps we take will prevent misappropriation of our technology. In addition, the laws of some foreign countries do not protect our proprietary rights to as great an extent as the laws</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United States, and many foreign countries do not enforce these laws as diligently as government agencies and private parties in the United States.</w:t>
      </w:r>
    </w:p>
    <w:p>
      <w:pPr>
        <w:spacing w:after="0" w:line="25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industry is characterized by the existence of a large number of patents and frequent claims and related litigation regarding patent and other IP rights. Third parties have asserted, are currently asserting and may in the future assert patent, copyright, trademark or other IP rights against us, our channel partners or our end-customers. Successful claims of infringement by a third-party could prevent us from distributing certain products or performing certain services or require us to pay substantial damages (including treble damages if we are found to have willfully infringed patents or copyrights), royalties or other fees. Even if third parties offer a license to their technology, the terms of any offered license may not be acceptable and the failure to obtain a license or the costs associated with any license could cause our business, operating results or financial condition to be materially and adversely affected. In certain instances, we indemnify our end-customers, distributors and resellers against claims that our products infringe the IP of third parties.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w:t>
      </w:r>
    </w:p>
    <w:p>
      <w:pPr>
        <w:spacing w:after="0" w:line="243"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We are subject to regulation by various federal, state, regional, local and foreign governmental agencies, including agencies responsible for monitoring and enforcing employment and labor laws, workplace safety, security, product safety, product labeling, environmental laws, consumer protection laws, anti-bribery laws, data privacy laws, import and export controls, federal securities laws and tax laws and regulations. Many of the laws and regulations that are or may be applicable to our business are changing or being tested in courts and could be interpreted in ways that could adversely impact our business. In addition, the application and interpretation of these laws and regulations often are uncertain, particularly in the industry in which we operate. We believe we take reasonable steps designed to ensure we are in compliance with current laws and regulations and do not expect continued compliance to have a material impact on our capital expenditures, earnings, or competitive position. We continue to monitor existing and pending laws and regulations and while the impact of regulatory changes cannot be predicted with certainty, we do not currently expect compliance to have a material adverse effect.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56"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For information regarding seasonality in our sales, see the section entitled “Management’s Discussion and Analysis of Financial Condition and Results of Operations—Seasonality, Cyclicality and Quarterly Revenue Trends” in Part II, Item 7 of this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56"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markets for our products are extremely competitive and are characterized by rapid technological change. The principal competitive factors in our markets include:</w:t>
      </w:r>
    </w:p>
    <w:p>
      <w:pPr>
        <w:spacing w:after="0" w:line="162"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security performance, throughput, features, effectiveness, interoperability and reliability;</w:t>
      </w:r>
    </w:p>
    <w:p>
      <w:pPr>
        <w:spacing w:after="0" w:line="27" w:lineRule="exact"/>
        <w:rPr>
          <w:rFonts w:ascii="Times New Roman" w:cs="Times New Roman" w:eastAsia="Times New Roman" w:hAnsi="Times New Roman"/>
          <w:sz w:val="18"/>
          <w:szCs w:val="18"/>
          <w:color w:val="auto"/>
        </w:rPr>
      </w:pPr>
    </w:p>
    <w:p>
      <w:pPr>
        <w:ind w:left="1300" w:hanging="644"/>
        <w:spacing w:after="0" w:line="236"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and integration of new networking and security features and technological expertise;</w:t>
      </w: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industry standards and security and other certifications;</w:t>
      </w:r>
    </w:p>
    <w:p>
      <w:pPr>
        <w:spacing w:after="0" w:line="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of products and services and total cost of ownership;</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service and support across varied and complex customer segments and use cases;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distribution capabilities;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financial stability;</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of product line;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factor of the solution;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competitive differentiators.</w:t>
      </w:r>
    </w:p>
    <w:p>
      <w:pPr>
        <w:spacing w:after="0" w:line="220" w:lineRule="exact"/>
        <w:rPr>
          <w:sz w:val="20"/>
          <w:szCs w:val="20"/>
          <w:color w:val="auto"/>
        </w:rPr>
      </w:pPr>
    </w:p>
    <w:p>
      <w:pPr>
        <w:ind w:right="180" w:firstLine="648"/>
        <w:spacing w:after="0" w:line="245" w:lineRule="auto"/>
        <w:rPr>
          <w:sz w:val="20"/>
          <w:szCs w:val="20"/>
          <w:color w:val="auto"/>
        </w:rPr>
      </w:pPr>
      <w:r>
        <w:rPr>
          <w:rFonts w:ascii="Times New Roman" w:cs="Times New Roman" w:eastAsia="Times New Roman" w:hAnsi="Times New Roman"/>
          <w:sz w:val="18"/>
          <w:szCs w:val="18"/>
          <w:color w:val="auto"/>
        </w:rPr>
        <w:t>Among others, our competitors include Aruba Networks, Inc. (“Aruba”), Check Point Software Technologies Ltd. (“Check Point”), Cisco Systems, Inc. (“Cisco”), CrowdStrike Holdings, Inc. (“CrowdStrike”), F5 Networks, Inc. (“F5 Networks”), Huawei Technologies Co., Ltd. (“Huawei”), Juniper Networks, Inc. (“Juniper”), Palo Alto Networks, Inc. (“Palo Alto Networks”), SonicWALL, Inc. (“SonicWALL”), Sophos Group Plc (“Sophos”), VMware, Inc. (“VMware”) and Zscaler, Inc. (“Zscaler”).</w:t>
      </w:r>
    </w:p>
    <w:p>
      <w:pPr>
        <w:spacing w:after="0" w:line="221"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believe we compete favorably based on our products’ security performance, throughput, reliability, breadth and ability to work together, our ability to add and integrate new networking and security features and our technological expertise. Several competitors are significantly larger, have greater financial, technical, marketing, distribution, customer support and other resources, are more established than we are, and have significantly better brand recognition. Some of these larger competitors have substantially broader product offerings and leverage their relationships based on other products or incorporate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functionality into existing products in a manner that discourages users from purchasing our products. Based in part on these competitive pressures, we may lower prices or attempt to add incremental features and functionalities to our products.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Conditions in our markets could change rapidly and significantly as a result of technological advancements, market consolidation, supply chain</w:t>
      </w:r>
    </w:p>
    <w:p>
      <w:pPr>
        <w:spacing w:after="0" w:line="36"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8"/>
          <w:szCs w:val="18"/>
          <w:color w:val="auto"/>
        </w:rPr>
        <w:t>constraints, price list or discount changes or inflation. The development and market acceptance of alternative technologies could decrease the demand for our products or render them obsolete. Our competitors may introduce products that are less costly, provide superior performance, are better marketed, or achieve greater market acceptance than our products. Additionally, our larger competitors often have broader product lines and are better positioned to withstand a significant reduction in capital spending by end-customers, and will therefore not be as susceptible to downturns in a particular market. The above competitive pressures are likely to continue to impact our business. We may not be able to compete successfully in the future, and competition may harm our business.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Management</w:t>
      </w:r>
    </w:p>
    <w:p>
      <w:pPr>
        <w:spacing w:after="0" w:line="256"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2023, our total headcount was 13,568 employees, approximately 30% of whom were employed in the United States and approximately 70% of whom were employed outside of the United States.</w:t>
      </w:r>
    </w:p>
    <w:p>
      <w:pPr>
        <w:spacing w:after="0" w:line="189"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Our employees are the foundation of our innovation and cybersecurity leadership for the benefit of our customers. We understand there is a shortage of highly skilled employees for security companies like ours, and we believe that our success and competitive advantage depends largely on our ability to continue to attract and retain highly skilled employees with diverse backgrounds and experiences. We believe we offer fair, competitive compensation and benefits, and we encourage a culture of fairness and meritocracy. Our compensation programs for our employees include base pay, incentive compensation, opportunities for equity ownership where local statutes allow and employee benefits that promote well-being across different aspects of our employees’ lives, which may include health and welfare insurance, retirement benefits and paid time off.</w:t>
      </w:r>
    </w:p>
    <w:p>
      <w:pPr>
        <w:spacing w:after="0" w:line="21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As a global company, much of our success is rooted in the diversity of our teams and our commitment to diversity, equity and inclusion (“DEI”). Such commitment starts at the top, with a highly skilled and diverse board of directors. As of December 31, 2023, women represented 25% of the members of our board of directors, and approximately 50% of our board of directors was from underrepresented communities. We value diversity at all levels and continue to focus on enhancing our DEI initiatives across our workforce.</w:t>
      </w:r>
    </w:p>
    <w:p>
      <w:pPr>
        <w:spacing w:after="0" w:line="20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are also committed to community engagement and social responsibility with regards to our employees and beyond, and our board of directors has active oversight of such initiatives. Examples of our initiatives focused on our employees include our company matching program for employee charitable contributions and the free security training programs we offer to help with career development for our employees, in addition to the general public.</w:t>
      </w:r>
    </w:p>
    <w:p>
      <w:pPr>
        <w:spacing w:after="0" w:line="20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Our culture is defined by our commitment to ethics and integrity. We reinforce our ethical “tone at the top” through clear policies including our Code of Business Conduct and Ethics, regular compliance training for our employees, quarterly meetings of our cross-functional Ethics Committee, clear messaging from our executives, enforcement of company policies and oversight by our board of directors. In addition, our Chief Executive Officer regularly communicates the importance of Fortinet’s core values of openness, teamwork and innovation.</w:t>
      </w:r>
    </w:p>
    <w:p>
      <w:pPr>
        <w:spacing w:after="0" w:line="207"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None of our U.S. employees are represented by a labor union. Our employees in certain European and Latin American countries, however, have the right to be represented by external labor organizations if they maintain up-to-date union membership. We have not experienced any work stoppages, and we consider our relations with our employees to be good.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w:t>
      </w:r>
    </w:p>
    <w:p>
      <w:pPr>
        <w:spacing w:after="0" w:line="243"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We are committed to responsible environmental, social and governance (“ESG”) practices and having a positive impact on the sustainability of our society and planet. Fortinet is a member of the Dow Jones Sustainability Indices — World and North America, for the second consecutive year. Our approach to ESG is based on a strong corporate governance structure, starting with the Social Responsibility Committee of our board of directors, which provides oversight of our Corporate Social Responsibility (“CSR”) strategy, initiatives and execution related to ESG matters. Our senior leadership sponsors the integration of CSR priorities throughout our business operations. In addition, our CSR team, along with our internal cross-functional employee CSR Committee, engage with internal and external stakeholders to lead CSR execution, communications and disclosure.</w:t>
      </w:r>
    </w:p>
    <w:p>
      <w:pPr>
        <w:spacing w:after="0" w:line="207" w:lineRule="exact"/>
        <w:rPr>
          <w:sz w:val="20"/>
          <w:szCs w:val="20"/>
          <w:color w:val="auto"/>
        </w:rPr>
      </w:pPr>
    </w:p>
    <w:p>
      <w:pPr>
        <w:ind w:right="140" w:firstLine="648"/>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Environmental. </w:t>
      </w:r>
      <w:r>
        <w:rPr>
          <w:rFonts w:ascii="Times New Roman" w:cs="Times New Roman" w:eastAsia="Times New Roman" w:hAnsi="Times New Roman"/>
          <w:sz w:val="18"/>
          <w:szCs w:val="18"/>
          <w:color w:val="auto"/>
        </w:rPr>
        <w:t>We recognize that environmental considerations such as climate change, resource scarcity and the energy crisis are top priorities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future of our planet. We are committed to helping address climate change impacts and minimizing the environmental footprint of our solutions, operations and our broader value chain. We are engaged on a</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8"/>
          <w:szCs w:val="18"/>
          <w:color w:val="auto"/>
        </w:rPr>
        <w:t>decarbonization path to reach net zero for our Scope 1 and Scope 2 emissions by 2030, and formally signed on to the Science-Based Target Initiative commitment in September 2022. In 2023, we obtained the ISO14001 certification for our largest company-owned warehouse in Union City, California, and have continued to be a leader on energy efficiency with the launch of our SP5 ASIC and our FortiGate-90G model. We submitted our survey on environment to CDP, which is a not-for-profit charity organization that runs the global disclosure system for companies to manage their environmental impacts. We also disclosed for the first time our Scope 3 emissions, across all 12 relevant categories, as part of our annual reporting on sustainability.</w:t>
      </w:r>
    </w:p>
    <w:p>
      <w:pPr>
        <w:spacing w:after="0" w:line="197"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Social. </w:t>
      </w:r>
      <w:r>
        <w:rPr>
          <w:rFonts w:ascii="Times New Roman" w:cs="Times New Roman" w:eastAsia="Times New Roman" w:hAnsi="Times New Roman"/>
          <w:sz w:val="18"/>
          <w:szCs w:val="18"/>
          <w:color w:val="auto"/>
        </w:rPr>
        <w:t>We are committed to building an inclusive, equitable and diverse workforce within our organization and across the security industry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help empower individuals to reach their full potential. We continue to focus on skilling, upskilling and reskilling individuals and are on track to reach our goal of training one million people in cybersecurity by 2026 with over 430,000 individuals trained as of the end of 2023. As part of our Education Outreach Program, which focuses on creating a more diverse cybersecurity talent pool, we launched the Veterans Program Advisory Council to help build on the Veterans Program's success in providing more cybersecurity training pathways for military veterans across the United States, the United Kingdom, Canada, Australia and New Zealand. We offered our Security Awareness Curriculum at no cost to primary and secondary schools across the same countries. We continued to expand partnerships with educational institutions and now have over 650 Authorized Academic Partners in 99 countries or territories across the world. Internally, we continue to foster a culture of diversity and inclusion through our DEI Council, which meets quarterly, Employee Resource Groups and various campaigns and activities that engage our broader workforce.</w:t>
      </w:r>
    </w:p>
    <w:p>
      <w:pPr>
        <w:spacing w:after="0" w:line="210" w:lineRule="exact"/>
        <w:rPr>
          <w:sz w:val="20"/>
          <w:szCs w:val="20"/>
          <w:color w:val="auto"/>
        </w:rPr>
      </w:pPr>
    </w:p>
    <w:p>
      <w:pPr>
        <w:ind w:right="180" w:firstLine="648"/>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Governance. </w:t>
      </w:r>
      <w:r>
        <w:rPr>
          <w:rFonts w:ascii="Times New Roman" w:cs="Times New Roman" w:eastAsia="Times New Roman" w:hAnsi="Times New Roman"/>
          <w:sz w:val="18"/>
          <w:szCs w:val="18"/>
          <w:color w:val="auto"/>
        </w:rPr>
        <w:t>Our approach to responsible business is based on strong corporate governance practices that aim to ensure accountability while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meeting our responsibilities across our value chain, starting with our employees. Our board of directors regularly reviews our governance practices. Our Codes of Conduct apply to employees, partners and suppliers, and we have compliance trainings and controls in place. In 2023, we established a risk management committee and steering committee to further enhance our anti-corruption program and we employ a thorough screening process for partners and suppliers, including continuous monitoring in high-risk zones, and resolution process for risk mitigation.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w:t>
      </w:r>
    </w:p>
    <w:p>
      <w:pPr>
        <w:spacing w:after="0" w:line="25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web site is located at https://www.fortinet.com, and our investor relations web site is located at https://investor.fortinet.com. The information posted on our website is not incorporated by reference into this Annual Report on Form 10-K. Our Annual Report on Form 10-K, Quarterly Reports on Form 10-Q, Current Reports on Form 8-K and amendments to reports filed or furnished pursuant to Sections 13(a) and 15(d) of the Securities Act of 1933, as amended (the “Securities Act”), are available free of charge on our investor relations web site as soon as reasonably practicable after we electronically file such material with, or furnish it to, the Securities and Exchange Commission (the “SEC”). You may also access all of our public filings through the SEC’s website at https://www.sec.gov.</w:t>
      </w:r>
    </w:p>
    <w:p>
      <w:pPr>
        <w:spacing w:after="0" w:line="214"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and press and earnings releases, as part of our investor relations website. The contents of these websites are not intended to be incorporated by reference into this report or in any other report or document we file.</w:t>
      </w:r>
    </w:p>
    <w:p>
      <w:pPr>
        <w:spacing w:after="0" w:line="20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54"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Investors should carefully consider the following risks and all other information contained in this Annual Report on Form 10-K, including our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substantially, and investors may lose some or all of their investment. We have summarized risks immediately below and encourage investors to carefully read the entirety of this Risk Factors section.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Financial Position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are likely to vary significantly and be unpredictable.</w:t>
      </w:r>
    </w:p>
    <w:p>
      <w:pPr>
        <w:spacing w:after="0" w:line="22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Our operating results have historically varied from period to period, and we expect that they will continue to do so as a result of a number of factors, many of which are outside of our control or may be difficult to predict, including:</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300" w:right="80" w:hanging="644"/>
        <w:spacing w:after="0" w:line="258" w:lineRule="auto"/>
        <w:tabs>
          <w:tab w:leader="none" w:pos="1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including macroeconomic and regional economic challenges resulting, for example, from a recession or other economic downturn, increased inflation or possible stagflation in certain geographies, rising interest rates, the war in Ukraine, the Israel-Hamas war, tensions between China and Taiwan, or other factors;</w:t>
      </w:r>
    </w:p>
    <w:p>
      <w:pPr>
        <w:spacing w:after="0" w:line="169"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strategy, productivity and execution, and our ability to attract and retain new end-customers or sell additional products and services to our existing end-customers, including customer demand for platform solutions like ours versus point solutions;</w:t>
      </w:r>
    </w:p>
    <w:p>
      <w:pPr>
        <w:spacing w:after="0" w:line="189" w:lineRule="exact"/>
        <w:rPr>
          <w:rFonts w:ascii="Times New Roman" w:cs="Times New Roman" w:eastAsia="Times New Roman" w:hAnsi="Times New Roman"/>
          <w:sz w:val="18"/>
          <w:szCs w:val="18"/>
          <w:color w:val="auto"/>
        </w:rPr>
      </w:pPr>
    </w:p>
    <w:p>
      <w:pPr>
        <w:ind w:left="1300" w:right="760" w:hanging="644"/>
        <w:spacing w:after="0" w:line="266" w:lineRule="auto"/>
        <w:tabs>
          <w:tab w:leader="none" w:pos="1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anticipate market changes related to cloud-based solutions and to sell, support and meet service level agreements related to cloud-based solutions;</w:t>
      </w:r>
    </w:p>
    <w:p>
      <w:pPr>
        <w:spacing w:after="0" w:line="175" w:lineRule="exact"/>
        <w:rPr>
          <w:rFonts w:ascii="Times New Roman" w:cs="Times New Roman" w:eastAsia="Times New Roman" w:hAnsi="Times New Roman"/>
          <w:sz w:val="18"/>
          <w:szCs w:val="18"/>
          <w:color w:val="auto"/>
        </w:rPr>
      </w:pPr>
    </w:p>
    <w:p>
      <w:pPr>
        <w:jc w:val="both"/>
        <w:ind w:left="1300" w:right="40" w:hanging="644"/>
        <w:spacing w:after="0" w:line="245" w:lineRule="auto"/>
        <w:tabs>
          <w:tab w:leader="none" w:pos="1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component shortages, including chips and other components, and product inventory shortages, including those caused by factors outside of our control, such as epidemics and pandemics, supply chain disruptions, inflation and other cost increases, international trade disputes or tariffs, natural disasters, health emergencies, power outages, civil unrest, labor disruption, international conflicts, terrorism, wars, such as the war in Ukraine and the Israel-Hamas war, and critical infrastructure attacks;</w:t>
      </w:r>
    </w:p>
    <w:p>
      <w:pPr>
        <w:spacing w:after="0" w:line="2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management, including future inventory purchase order commitments;</w:t>
      </w:r>
    </w:p>
    <w:p>
      <w:pPr>
        <w:spacing w:after="0" w:line="238" w:lineRule="exact"/>
        <w:rPr>
          <w:rFonts w:ascii="Times New Roman" w:cs="Times New Roman" w:eastAsia="Times New Roman" w:hAnsi="Times New Roman"/>
          <w:sz w:val="18"/>
          <w:szCs w:val="18"/>
          <w:color w:val="auto"/>
        </w:rPr>
      </w:pPr>
    </w:p>
    <w:p>
      <w:pPr>
        <w:ind w:left="1300" w:right="120" w:hanging="644"/>
        <w:spacing w:after="0" w:line="250" w:lineRule="auto"/>
        <w:tabs>
          <w:tab w:leader="none" w:pos="1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products and services, which may render forecasts inaccurate, increase backlog or future inventory purchase order commitments and lead to price decreases;</w:t>
      </w:r>
    </w:p>
    <w:p>
      <w:pPr>
        <w:spacing w:after="0" w:line="203" w:lineRule="exact"/>
        <w:rPr>
          <w:rFonts w:ascii="Times New Roman" w:cs="Times New Roman" w:eastAsia="Times New Roman" w:hAnsi="Times New Roman"/>
          <w:sz w:val="18"/>
          <w:szCs w:val="18"/>
          <w:color w:val="auto"/>
        </w:rPr>
      </w:pPr>
    </w:p>
    <w:p>
      <w:pPr>
        <w:ind w:left="1300" w:right="40" w:hanging="644"/>
        <w:spacing w:after="0" w:line="242" w:lineRule="auto"/>
        <w:tabs>
          <w:tab w:leader="none" w:pos="1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supply chain shortages, including component and other shortages, our backlog has fluctuated over past quarters and any decrease in growth or negative growth of in-quarter billings and revenue may not be reflected by our aggregate billings and revenue. As we have fulfilled, shipped and billed during a quarter to satisfy backlog, this has increased our aggregate billings and revenue during any particular quarter, and as the supply chain challenges normalize, the growth comparisons versus prior quarters where backlog contributed more to billings have become more challenging and may become increasingly challenging;</w:t>
      </w:r>
    </w:p>
    <w:p>
      <w:pPr>
        <w:spacing w:after="0" w:line="21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cost increases and any lack of market acceptance of our price increases designed to help offset any supplier cost increases;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our reduction of operations in Russia;</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channel partner and end-customer orders and our reliance on a concentration of shipments at the end of each quarter;</w:t>
      </w:r>
    </w:p>
    <w:p>
      <w:pPr>
        <w:spacing w:after="0" w:line="252" w:lineRule="exact"/>
        <w:rPr>
          <w:rFonts w:ascii="Times New Roman" w:cs="Times New Roman" w:eastAsia="Times New Roman" w:hAnsi="Times New Roman"/>
          <w:sz w:val="18"/>
          <w:szCs w:val="18"/>
          <w:color w:val="auto"/>
        </w:rPr>
      </w:pPr>
    </w:p>
    <w:p>
      <w:pPr>
        <w:ind w:left="1300" w:right="100" w:hanging="644"/>
        <w:spacing w:after="0" w:line="258" w:lineRule="auto"/>
        <w:tabs>
          <w:tab w:leader="none" w:pos="1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the global economy, disruption of global supply chains and creation of significant volatility and disruption of the financial markets due to factors such as increased inflation or possible stagflation in certain geographies, increasing or decreasing interest rates, the war in Ukraine and the Israel-Hamas war and other factors;</w:t>
      </w:r>
    </w:p>
    <w:p>
      <w:pPr>
        <w:spacing w:after="0" w:line="182" w:lineRule="exact"/>
        <w:rPr>
          <w:rFonts w:ascii="Times New Roman" w:cs="Times New Roman" w:eastAsia="Times New Roman" w:hAnsi="Times New Roman"/>
          <w:sz w:val="18"/>
          <w:szCs w:val="18"/>
          <w:color w:val="auto"/>
        </w:rPr>
      </w:pPr>
    </w:p>
    <w:p>
      <w:pPr>
        <w:ind w:left="1300" w:right="200" w:hanging="644"/>
        <w:spacing w:after="0" w:line="265" w:lineRule="auto"/>
        <w:tabs>
          <w:tab w:leader="none" w:pos="1295" w:val="left"/>
        </w:tabs>
        <w:numPr>
          <w:ilvl w:val="0"/>
          <w:numId w:val="6"/>
        </w:numPr>
        <w:rPr>
          <w:rFonts w:ascii="Arial" w:cs="Arial" w:eastAsia="Arial" w:hAnsi="Arial"/>
          <w:sz w:val="18"/>
          <w:szCs w:val="18"/>
          <w:color w:val="auto"/>
        </w:rPr>
      </w:pPr>
      <w:r>
        <w:rPr>
          <w:rFonts w:ascii="Times New Roman" w:cs="Times New Roman" w:eastAsia="Times New Roman" w:hAnsi="Times New Roman"/>
          <w:sz w:val="18"/>
          <w:szCs w:val="18"/>
          <w:color w:val="auto"/>
        </w:rPr>
        <w:t>any actual or perceived vulnerabilities in our products or services, and any actual or perceived breach of our network or our customers’ networks;</w:t>
      </w:r>
    </w:p>
    <w:p>
      <w:pPr>
        <w:spacing w:after="0" w:line="149" w:lineRule="exact"/>
        <w:rPr>
          <w:rFonts w:ascii="Arial" w:cs="Arial" w:eastAsia="Arial" w:hAnsi="Arial"/>
          <w:sz w:val="18"/>
          <w:szCs w:val="18"/>
          <w:color w:val="auto"/>
        </w:rPr>
      </w:pPr>
    </w:p>
    <w:p>
      <w:pPr>
        <w:ind w:left="1300" w:right="20" w:hanging="644"/>
        <w:spacing w:after="0" w:line="250" w:lineRule="auto"/>
        <w:tabs>
          <w:tab w:leader="none" w:pos="1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shipments, which may depend on factors such as inventory levels, logistics, manufacturing or shipping delays, our ability to ship products on schedule and our ability to accurately forecast inventory requirements and our suppliers’ ability to deliver components and finished goods;</w:t>
      </w:r>
    </w:p>
    <w:p>
      <w:pPr>
        <w:spacing w:after="0" w:line="217" w:lineRule="exact"/>
        <w:rPr>
          <w:rFonts w:ascii="Times New Roman" w:cs="Times New Roman" w:eastAsia="Times New Roman" w:hAnsi="Times New Roman"/>
          <w:sz w:val="18"/>
          <w:szCs w:val="18"/>
          <w:color w:val="auto"/>
        </w:rPr>
      </w:pPr>
    </w:p>
    <w:p>
      <w:pPr>
        <w:jc w:val="both"/>
        <w:ind w:left="1300" w:right="40" w:hanging="644"/>
        <w:spacing w:after="0" w:line="258" w:lineRule="auto"/>
        <w:tabs>
          <w:tab w:leader="none" w:pos="1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expenses, unforeseen liabilities or write-downs and any negative impact on results of operations from any acquisition or equity investment consummated, as well as accounting risks, integration risks related to product plans and products and risks of negative impact by such acquisitions and equity investments on our financial results;</w:t>
      </w:r>
    </w:p>
    <w:p>
      <w:pPr>
        <w:spacing w:after="0" w:line="182" w:lineRule="exact"/>
        <w:rPr>
          <w:rFonts w:ascii="Times New Roman" w:cs="Times New Roman" w:eastAsia="Times New Roman" w:hAnsi="Times New Roman"/>
          <w:sz w:val="18"/>
          <w:szCs w:val="18"/>
          <w:color w:val="auto"/>
        </w:rPr>
      </w:pPr>
    </w:p>
    <w:p>
      <w:pPr>
        <w:ind w:left="1300" w:right="640" w:hanging="644"/>
        <w:spacing w:after="0" w:line="266" w:lineRule="auto"/>
        <w:tabs>
          <w:tab w:leader="none" w:pos="1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expectations of our performance relating to environmental, social and governance (“ESG”) and commitment to carbon neutrality;</w:t>
      </w:r>
    </w:p>
    <w:p>
      <w:pPr>
        <w:spacing w:after="0" w:line="189" w:lineRule="exact"/>
        <w:rPr>
          <w:rFonts w:ascii="Times New Roman" w:cs="Times New Roman" w:eastAsia="Times New Roman" w:hAnsi="Times New Roman"/>
          <w:sz w:val="18"/>
          <w:szCs w:val="18"/>
          <w:color w:val="auto"/>
        </w:rPr>
      </w:pPr>
    </w:p>
    <w:p>
      <w:pPr>
        <w:ind w:left="1300" w:hanging="644"/>
        <w:spacing w:after="0" w:line="266" w:lineRule="auto"/>
        <w:tabs>
          <w:tab w:leader="none" w:pos="1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customer agreements which contain service-level agreements, under which we guarantee specified availability of our platform and solutions;</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security requirements that may be inconsistently enforced in certain jurisdictions;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as a result of certain events or changes in circumstances;</w:t>
      </w:r>
    </w:p>
    <w:p>
      <w:pPr>
        <w:spacing w:after="0" w:line="238"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products sold and the mix of revenue between products and services, as well as the degree to which products and services are bundled and sold together for a package price;</w:t>
      </w:r>
    </w:p>
    <w:p>
      <w:pPr>
        <w:spacing w:after="0" w:line="202" w:lineRule="exact"/>
        <w:rPr>
          <w:rFonts w:ascii="Times New Roman" w:cs="Times New Roman" w:eastAsia="Times New Roman" w:hAnsi="Times New Roman"/>
          <w:sz w:val="18"/>
          <w:szCs w:val="18"/>
          <w:color w:val="auto"/>
        </w:rPr>
      </w:pPr>
    </w:p>
    <w:p>
      <w:pPr>
        <w:ind w:left="1300" w:right="500" w:hanging="644"/>
        <w:spacing w:after="0" w:line="266"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purchasing practices and budgeting cycles of our channel partners and end-customers, including the effect of the end of product lifecycles or refresh cycles;</w:t>
      </w:r>
    </w:p>
    <w:p>
      <w:pPr>
        <w:spacing w:after="0" w:line="175" w:lineRule="exact"/>
        <w:rPr>
          <w:rFonts w:ascii="Times New Roman" w:cs="Times New Roman" w:eastAsia="Times New Roman" w:hAnsi="Times New Roman"/>
          <w:sz w:val="18"/>
          <w:szCs w:val="18"/>
          <w:color w:val="auto"/>
        </w:rPr>
      </w:pPr>
    </w:p>
    <w:p>
      <w:pPr>
        <w:ind w:left="1300" w:right="80" w:hanging="644"/>
        <w:spacing w:after="0" w:line="245"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decreases in demand by channel partners or end-customers, including any such decreases caused by factors outside of our control such as natural disasters and health emergencies, including earthquakes, droughts, fires, power outages, typhoons, floods, pandemics or epidemics and manmade events such as civil unrest, labor disruption, international trade disputes, international conflicts, terrorism, wars, such as the war in Ukraine and the Israel-Hamas war, and critical infrastructure attacks;</w:t>
      </w:r>
    </w:p>
    <w:p>
      <w:pPr>
        <w:spacing w:after="0" w:line="221" w:lineRule="exact"/>
        <w:rPr>
          <w:rFonts w:ascii="Times New Roman" w:cs="Times New Roman" w:eastAsia="Times New Roman" w:hAnsi="Times New Roman"/>
          <w:sz w:val="18"/>
          <w:szCs w:val="18"/>
          <w:color w:val="auto"/>
        </w:rPr>
      </w:pPr>
    </w:p>
    <w:p>
      <w:pPr>
        <w:ind w:left="1300" w:right="60" w:hanging="644"/>
        <w:spacing w:after="0" w:line="258"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organization, generally or in a particular geographic region, including the time it takes to hire sales personnel, the timing of hiring and our ability to hire and retain effective sales personnel, as well as our efforts to align our sales capacity and market demand;</w:t>
      </w:r>
    </w:p>
    <w:p>
      <w:pPr>
        <w:spacing w:after="0" w:line="182" w:lineRule="exact"/>
        <w:rPr>
          <w:rFonts w:ascii="Times New Roman" w:cs="Times New Roman" w:eastAsia="Times New Roman" w:hAnsi="Times New Roman"/>
          <w:sz w:val="18"/>
          <w:szCs w:val="18"/>
          <w:color w:val="auto"/>
        </w:rPr>
      </w:pPr>
    </w:p>
    <w:p>
      <w:pPr>
        <w:ind w:left="1300" w:hanging="644"/>
        <w:spacing w:after="0" w:line="242"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productivity and sales execution risk related to effectively selling to all segments of the market, including enterprise and small- and medium-sized businesses, government organizations and service providers, and to selling our broad security product and services portfolio, including, among other execution risks, risks associated with the complexity and distraction in selling to all segments, increased competition and unpredictability of timing to close larger enterprise and large organization deals, and the risk that our sales representatives do not effectively sell products and services;</w:t>
      </w:r>
    </w:p>
    <w:p>
      <w:pPr>
        <w:spacing w:after="0" w:line="211" w:lineRule="exact"/>
        <w:rPr>
          <w:rFonts w:ascii="Times New Roman" w:cs="Times New Roman" w:eastAsia="Times New Roman" w:hAnsi="Times New Roman"/>
          <w:sz w:val="18"/>
          <w:szCs w:val="18"/>
          <w:color w:val="auto"/>
        </w:rPr>
      </w:pPr>
    </w:p>
    <w:p>
      <w:pPr>
        <w:ind w:left="1300" w:right="40" w:hanging="644"/>
        <w:spacing w:after="0"/>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risk associated with our efforts to capture the opportunities related to our identified growth drivers, such as risk associated with our ability to capitalize on the convergence of networking and security, vendor consolidation of various cyber security solutions, SD-WAN, infrastructure security, security operations, SASE and other cloud security solutions, endpoint protection, and IoT and OT security opportunities;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seasonal buying patterns of our end-customers;</w:t>
      </w:r>
    </w:p>
    <w:p>
      <w:pPr>
        <w:spacing w:after="0" w:line="238"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level of our investments in sales and marketing, and the impact of such investments on our operating expenses, operating margin and the productivity, capacity, tenure and effectiveness of execution of our sales and marketing teams;</w:t>
      </w:r>
    </w:p>
    <w:p>
      <w:pPr>
        <w:spacing w:after="0" w:line="148" w:lineRule="exact"/>
        <w:rPr>
          <w:rFonts w:ascii="Times New Roman" w:cs="Times New Roman" w:eastAsia="Times New Roman" w:hAnsi="Times New Roman"/>
          <w:sz w:val="18"/>
          <w:szCs w:val="18"/>
          <w:color w:val="auto"/>
        </w:rPr>
      </w:pPr>
    </w:p>
    <w:p>
      <w:pPr>
        <w:ind w:left="1300" w:right="460" w:hanging="644"/>
        <w:spacing w:after="0" w:line="250"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revenue recognition for our sales, including any impacts resulting from extension of payment terms to distributors and fluctuations in backlog levels, which could result in more variability and less predictability in our quarter-to-quarter revenue and operating results;</w:t>
      </w:r>
    </w:p>
    <w:p>
      <w:pPr>
        <w:spacing w:after="0" w:line="17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perceived threats to network security, which may fluctuate from period to period;</w:t>
      </w:r>
    </w:p>
    <w:p>
      <w:pPr>
        <w:spacing w:after="0" w:line="21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requirements, market needs or buying practices and patterns of our distributors, resellers or end-customers;</w:t>
      </w:r>
    </w:p>
    <w:p>
      <w:pPr>
        <w:spacing w:after="0" w:line="184" w:lineRule="exact"/>
        <w:rPr>
          <w:rFonts w:ascii="Times New Roman" w:cs="Times New Roman" w:eastAsia="Times New Roman" w:hAnsi="Times New Roman"/>
          <w:sz w:val="18"/>
          <w:szCs w:val="18"/>
          <w:color w:val="auto"/>
        </w:rPr>
      </w:pPr>
    </w:p>
    <w:p>
      <w:pPr>
        <w:ind w:left="1300" w:right="280" w:hanging="644"/>
        <w:spacing w:after="0" w:line="250"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growth rates of the network security market in particular and other security and networking markets, such as SD-WAN, OT, switches, access points, security operations, SASE and other cloud solutions for which we and our competitors sell products and services;</w:t>
      </w:r>
    </w:p>
    <w:p>
      <w:pPr>
        <w:spacing w:after="0" w:line="176" w:lineRule="exact"/>
        <w:rPr>
          <w:rFonts w:ascii="Times New Roman" w:cs="Times New Roman" w:eastAsia="Times New Roman" w:hAnsi="Times New Roman"/>
          <w:sz w:val="18"/>
          <w:szCs w:val="18"/>
          <w:color w:val="auto"/>
        </w:rPr>
      </w:pPr>
    </w:p>
    <w:p>
      <w:pPr>
        <w:ind w:left="1300" w:right="300" w:hanging="644"/>
        <w:spacing w:after="0" w:line="282"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 and service introductions or enhancements by us or our competitors, or any other change in the competitive landscape of our industry, including consolidation among our competitors, partners or end-customers;</w:t>
      </w:r>
    </w:p>
    <w:p>
      <w:pPr>
        <w:spacing w:after="0" w:line="134" w:lineRule="exact"/>
        <w:rPr>
          <w:rFonts w:ascii="Times New Roman" w:cs="Times New Roman" w:eastAsia="Times New Roman" w:hAnsi="Times New Roman"/>
          <w:sz w:val="18"/>
          <w:szCs w:val="18"/>
          <w:color w:val="auto"/>
        </w:rPr>
      </w:pPr>
    </w:p>
    <w:p>
      <w:pPr>
        <w:ind w:left="1300" w:right="220" w:hanging="644"/>
        <w:spacing w:after="0" w:line="258"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deferral of orders from distributors, resellers or end-customers in anticipation of new products or product enhancements announced by us or our competitors, price decreases or changes in our registration policies, or the acceleration of orders in response to our announced or expected price list increases;</w:t>
      </w:r>
    </w:p>
    <w:p>
      <w:pPr>
        <w:spacing w:after="0" w:line="169" w:lineRule="exact"/>
        <w:rPr>
          <w:rFonts w:ascii="Times New Roman" w:cs="Times New Roman" w:eastAsia="Times New Roman" w:hAnsi="Times New Roman"/>
          <w:sz w:val="18"/>
          <w:szCs w:val="18"/>
          <w:color w:val="auto"/>
        </w:rPr>
      </w:pPr>
    </w:p>
    <w:p>
      <w:pPr>
        <w:ind w:left="1300" w:right="100" w:hanging="644"/>
        <w:spacing w:after="0" w:line="250"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decreases in our billings, revenue and expenses caused by fluctuations in foreign currency exchange rates or a strengthening of the U.S. dollar, as a significant portion of our expenses is incurred and paid in currencies other than the U.S. dollar, and the impact such fluctuations may have on the actual prices that our partners and customers are willing to pay for our products and services;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existing laws and regulations;</w:t>
      </w:r>
    </w:p>
    <w:p>
      <w:pPr>
        <w:spacing w:after="0" w:line="238"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permits, clearances and certifications that are applicable to our ability to conduct business with the U.S. federal government, other foreign and local governments and other industries and sectors;</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litigation fees and costs, settlements, judgments and other equitable and legal relief granted related to litigation;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cloud-based security solutions on our billings, revenue, operating margins and free cash flow;</w:t>
      </w:r>
    </w:p>
    <w:p>
      <w:pPr>
        <w:spacing w:after="0" w:line="225" w:lineRule="exact"/>
        <w:rPr>
          <w:rFonts w:ascii="Times New Roman" w:cs="Times New Roman" w:eastAsia="Times New Roman" w:hAnsi="Times New Roman"/>
          <w:sz w:val="18"/>
          <w:szCs w:val="18"/>
          <w:color w:val="auto"/>
        </w:rPr>
      </w:pPr>
    </w:p>
    <w:p>
      <w:pPr>
        <w:ind w:left="1300" w:right="660" w:hanging="644"/>
        <w:spacing w:after="0" w:line="266"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potential end-customers to purchase network security solutions from newer technology providers, from larger, more established security vendors or from their primary network equipment vendors;</w:t>
      </w:r>
    </w:p>
    <w:p>
      <w:pPr>
        <w:spacing w:after="0" w:line="16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competition and increased competitiveness in our market, including the competitive pressure caused by product refresh cycles;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both increase revenue and manage and control operating expenses in order to maintain or improve our operating margins;</w:t>
      </w:r>
    </w:p>
    <w:p>
      <w:pPr>
        <w:spacing w:after="0" w:line="21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renewal rates or attach rates for our services;</w:t>
      </w:r>
    </w:p>
    <w:p>
      <w:pPr>
        <w:spacing w:after="0" w:line="21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timing of our billings, collection for our contracts or the contractual term of service sold;</w:t>
      </w:r>
    </w:p>
    <w:p>
      <w:pPr>
        <w:spacing w:after="0" w:line="238" w:lineRule="exact"/>
        <w:rPr>
          <w:rFonts w:ascii="Times New Roman" w:cs="Times New Roman" w:eastAsia="Times New Roman" w:hAnsi="Times New Roman"/>
          <w:sz w:val="18"/>
          <w:szCs w:val="18"/>
          <w:color w:val="auto"/>
        </w:rPr>
      </w:pPr>
    </w:p>
    <w:p>
      <w:pPr>
        <w:ind w:left="1300" w:right="100" w:hanging="644"/>
        <w:spacing w:after="0" w:line="266"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estimated annual effective tax rates and the tax treatment of research and development expenses and the related impact of cash from operations;</w:t>
      </w:r>
    </w:p>
    <w:p>
      <w:pPr>
        <w:spacing w:after="0" w:line="202"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circumstances and challenges in business conditions, including decreased demand, which may negatively impact our channel partners’ ability to sell the current inventory they hold and negatively impact their future purchases of products from us;</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demand for cloud-based services and the uncertainty associated with transitioning to providing such services;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shift or migration from physical appliances that deliver on-premises network security to cloud and SaaS-based security services;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channel partners having insufficient financial resources to withstand changes and challenges in business conditions;</w:t>
      </w:r>
    </w:p>
    <w:p>
      <w:pPr>
        <w:spacing w:after="0" w:line="211" w:lineRule="exact"/>
        <w:rPr>
          <w:rFonts w:ascii="Times New Roman" w:cs="Times New Roman" w:eastAsia="Times New Roman" w:hAnsi="Times New Roman"/>
          <w:sz w:val="18"/>
          <w:szCs w:val="18"/>
          <w:color w:val="auto"/>
        </w:rPr>
      </w:pPr>
    </w:p>
    <w:p>
      <w:pPr>
        <w:ind w:left="1300" w:hanging="644"/>
        <w:spacing w:after="0" w:line="266"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channel or termination of our relationship with important channel partners, including as a result of consolidation among distributors and resellers of security solutions;</w:t>
      </w:r>
    </w:p>
    <w:p>
      <w:pPr>
        <w:spacing w:after="0" w:line="162" w:lineRule="exact"/>
        <w:rPr>
          <w:rFonts w:ascii="Times New Roman" w:cs="Times New Roman" w:eastAsia="Times New Roman" w:hAnsi="Times New Roman"/>
          <w:sz w:val="18"/>
          <w:szCs w:val="18"/>
          <w:color w:val="auto"/>
        </w:rPr>
      </w:pPr>
    </w:p>
    <w:p>
      <w:pPr>
        <w:ind w:left="1300" w:right="180" w:hanging="644"/>
        <w:spacing w:after="0" w:line="266"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credit or other difficulties confronting our key suppliers and channel partners, which could affect their ability to purchase or pay for products and services and which could disrupt our supply or distribution chain;</w:t>
      </w:r>
    </w:p>
    <w:p>
      <w:pPr>
        <w:spacing w:after="0" w:line="202" w:lineRule="exact"/>
        <w:rPr>
          <w:rFonts w:ascii="Times New Roman" w:cs="Times New Roman" w:eastAsia="Times New Roman" w:hAnsi="Times New Roman"/>
          <w:sz w:val="18"/>
          <w:szCs w:val="18"/>
          <w:color w:val="auto"/>
        </w:rPr>
      </w:pPr>
    </w:p>
    <w:p>
      <w:pPr>
        <w:ind w:left="1300" w:right="640" w:hanging="644"/>
        <w:spacing w:after="0" w:line="266"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 changes and uncertainty with respect to immigration laws, trade policy and tariffs, including increased tariffs applicable to countries where we manufacture our products, foreign imports and tax laws related to international commerce;</w:t>
      </w:r>
    </w:p>
    <w:p>
      <w:pPr>
        <w:spacing w:after="0" w:line="189" w:lineRule="exact"/>
        <w:rPr>
          <w:rFonts w:ascii="Times New Roman" w:cs="Times New Roman" w:eastAsia="Times New Roman" w:hAnsi="Times New Roman"/>
          <w:sz w:val="18"/>
          <w:szCs w:val="18"/>
          <w:color w:val="auto"/>
        </w:rPr>
      </w:pPr>
    </w:p>
    <w:p>
      <w:pPr>
        <w:jc w:val="both"/>
        <w:ind w:left="1300" w:right="20" w:hanging="644"/>
        <w:spacing w:after="0" w:line="258"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 social instability, including geo-political instability and uncertainty, such as that caused by the war in Ukraine, the Israel-Hamas war, tensions between China and Taiwan, and any disruption or negative impact on our ability to sell to, ship product to and support customers in certain regions based on trade restrictions, embargoes and export control law restrictions;</w:t>
      </w:r>
    </w:p>
    <w:p>
      <w:pPr>
        <w:spacing w:after="0" w:line="19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in domestic and foreign markets;</w:t>
      </w:r>
    </w:p>
    <w:p>
      <w:pPr>
        <w:spacing w:after="0" w:line="252"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as well as the significant costs that may be incurred to adopt and comply with these new pronouncements;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300" w:right="500" w:hanging="644"/>
        <w:spacing w:after="0" w:line="266"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impairments or acceleration of depreciation of our existing real estate due to our current real estate investments and future acquisition and development plans; and</w:t>
      </w:r>
    </w:p>
    <w:p>
      <w:pPr>
        <w:spacing w:after="0" w:line="202" w:lineRule="exact"/>
        <w:rPr>
          <w:rFonts w:ascii="Times New Roman" w:cs="Times New Roman" w:eastAsia="Times New Roman" w:hAnsi="Times New Roman"/>
          <w:sz w:val="18"/>
          <w:szCs w:val="18"/>
          <w:color w:val="auto"/>
        </w:rPr>
      </w:pPr>
    </w:p>
    <w:p>
      <w:pPr>
        <w:ind w:left="1300" w:right="480" w:hanging="644"/>
        <w:spacing w:after="0" w:line="266"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changes, such as with respect to privacy, information and cybersecurity, exports, the environment, regional component bans, and requirements for local manufacture.</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Any one of the factors above or the cumulative effect of some of the factors referred to above may result in significant fluctuations in our quarterly financial and other operating results. This variability and unpredictability could result in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over the near term. Accordingly, in the event of revenue shortfalls, we are generally unable to mitigate the negative impact on margins in the short term.</w:t>
      </w:r>
    </w:p>
    <w:p>
      <w:pPr>
        <w:spacing w:after="0" w:line="210" w:lineRule="exact"/>
        <w:rPr>
          <w:sz w:val="20"/>
          <w:szCs w:val="20"/>
          <w:color w:val="auto"/>
        </w:rPr>
      </w:pPr>
    </w:p>
    <w:p>
      <w:pPr>
        <w:jc w:val="both"/>
        <w:ind w:right="4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Adverse economic conditions, such as a possible recession and possible impacts of inflation or stagflation, increasing or decreasing interest rates, reduced information technology spending, including firewall and other security spending, or any economic downturn or recession, may adversely impact our business.</w:t>
      </w:r>
    </w:p>
    <w:p>
      <w:pPr>
        <w:spacing w:after="0" w:line="168" w:lineRule="exact"/>
        <w:rPr>
          <w:sz w:val="20"/>
          <w:szCs w:val="20"/>
          <w:color w:val="auto"/>
        </w:rPr>
      </w:pPr>
    </w:p>
    <w:p>
      <w:pPr>
        <w:ind w:right="60" w:firstLine="648"/>
        <w:spacing w:after="0" w:line="243" w:lineRule="auto"/>
        <w:rPr>
          <w:sz w:val="20"/>
          <w:szCs w:val="20"/>
          <w:color w:val="auto"/>
        </w:rPr>
      </w:pPr>
      <w:r>
        <w:rPr>
          <w:rFonts w:ascii="Times New Roman" w:cs="Times New Roman" w:eastAsia="Times New Roman" w:hAnsi="Times New Roman"/>
          <w:sz w:val="18"/>
          <w:szCs w:val="18"/>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and regional economic conditions and spending environments, based on a downturn in the economy, a possible recession and the effects of ongoing or increased inflation or possible stagflation in certain geographies, increasing or decreasing interest rates, geopolitical instability and uncertainty, a reduction in information technology spending regardless of macroeconomic conditions, the effects of epidemics and pandemics and the impact of the war in Ukraine and the Israel-Hamas war each could have a material adverse impacts on our financial condition and results of operations and our business, including resulting in longer sales cycles, lower prices for our products and services, increased component costs, higher default rates among our channel partners, reduced unit sales, lower prices and slower or declining growth. These can negatively impact our business by putting downward pressure on growth if we are unable to achieve the increases in product prices necessary to appropriately offset the additional costs in a manner sufficient to maintain margins. Any of these impacts may materially and adversely affect our business, financial condition, results of operations and liquidity.</w:t>
      </w:r>
    </w:p>
    <w:p>
      <w:pPr>
        <w:spacing w:after="0" w:line="226"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The existence of inflation in certain economies has resulted in, and may continue to result in, increasing or decreasing interest rates and capital costs, increased component or shipping costs, increased costs of labor, weakening exchange rates and other similar effects. Although we take measures to mitigate risks such as those associated with inflation, the mitigating measures may not be effective or their impact may not offset the increased cost of inflation in a timely manner. Inflation, an economic downturn, a recession and any other economic challenges may also adversely impact spending patterns by our distributors, resellers and end-customers.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billings, revenue and free cash flow growth may slow or may not continue, and our operating margins may decline.</w:t>
      </w:r>
    </w:p>
    <w:p>
      <w:pPr>
        <w:spacing w:after="0" w:line="229"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We may experience slowing growth or a decrease in billings, revenue, operating margin and free cash flow for a number of reasons, including a slowdown in demand for our products or services, a shift in demand from products to services, decrease in services revenue growth, increased competition, execution challenges including sales execution challenges and lack of optimal sales productivity, worldwide or regional economic challenges based on inflation or possible stagflation, a regional recession or a recession in the global economy, rising interest rates, the war in Ukraine and the Israel-Hamas war, a decrease in the growth of our overall market or softness in demand in certain geographies or industry verticals, such as the service provider industry, changes in our strategic opportunities, execution risks, lower sales productivity and our failure for any reason to continue to capitalize on sales and growth opportunities due to other risks identified in the risk factors described in this periodic report. Our expenses as a percentage of total revenue may be higher than expected if our revenue is lower than expected. If our investments in sales and marketing and other functional areas do not result in expected billings and revenue growth, we may experience margin declines. In addition, we may not be able to sustain our historical profitability levels in future periods if we fail to increase billings, revenue or deferred revenue, and do not appropriately manage our cost structure, free cash flow, or encounter unanticipated liabilities. As a result, any failure by us to maintain profitability and margins and continue our billings, revenue and free cash flow growth could cause the price of our common stock to materially decline.</w:t>
      </w:r>
    </w:p>
    <w:p>
      <w:pPr>
        <w:spacing w:after="0" w:line="215"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real estate investments, including construction or acquisition of new data centers, data center expansions or office buildings, could involve significant risks to our business.</w:t>
      </w:r>
    </w:p>
    <w:p>
      <w:pPr>
        <w:spacing w:after="0" w:line="172"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In order to sustain our growth in certain of our existing and new markets, we may expand existing data centers, lease new facilities or acquire suitable land, with or without structures, to build new data centers or office buildings. These projects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expose us to risks which could have an adverse effect on our results of operations and financial condition. The current global supply chain and inflation issues have exacerbated many of these construction risks and created additional risks for our business. Some of the risks associated with construction projects include:</w:t>
      </w:r>
    </w:p>
    <w:p>
      <w:pPr>
        <w:spacing w:after="0" w:line="204"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delays;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availability and delays for data center equipment, including items such as generators and switchgear;</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budget changes;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prices for and delays in obtaining building supplies, raw materials and data center equipment;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availability, labor disputes and work stoppages with contractors, subcontractors and other third parties;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environmental issues and geological problems;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related to permitting and approvals to open from public agencies and utility companies;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lack of power access;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inability for any reason to meet customer requirements;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expectations regarding ESG;</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site readiness leading to our failure to meet commitments made to customers; and</w:t>
      </w:r>
    </w:p>
    <w:p>
      <w:pPr>
        <w:spacing w:after="0" w:line="238"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customer requirements that would necessitate alternative data center design, making our sites less desirable or leading to increased costs in order to make necessary modifications or retrofits.</w:t>
      </w:r>
    </w:p>
    <w:p>
      <w:pPr>
        <w:spacing w:after="0" w:line="189" w:lineRule="exact"/>
        <w:rPr>
          <w:sz w:val="20"/>
          <w:szCs w:val="20"/>
          <w:color w:val="auto"/>
        </w:rPr>
      </w:pPr>
    </w:p>
    <w:p>
      <w:pPr>
        <w:ind w:right="500" w:firstLine="648"/>
        <w:spacing w:after="0" w:line="245" w:lineRule="auto"/>
        <w:rPr>
          <w:sz w:val="20"/>
          <w:szCs w:val="20"/>
          <w:color w:val="auto"/>
        </w:rPr>
      </w:pPr>
      <w:r>
        <w:rPr>
          <w:rFonts w:ascii="Times New Roman" w:cs="Times New Roman" w:eastAsia="Times New Roman" w:hAnsi="Times New Roman"/>
          <w:sz w:val="18"/>
          <w:szCs w:val="18"/>
          <w:color w:val="auto"/>
        </w:rPr>
        <w:t>All construction-related projects require us to carefully select and rely on the experience of one or more designers, general contractors and associated subcontractors during the design and construction process. Should a designer, general contractor, significant subcontractor or key supplier experience financial problems or other problems during the design or construction process, we could experience significant delays, increased costs to complete the project and/or other negative impacts to our expected returns.</w:t>
      </w:r>
    </w:p>
    <w:p>
      <w:pPr>
        <w:spacing w:after="0" w:line="194"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18"/>
          <w:szCs w:val="18"/>
          <w:color w:val="auto"/>
        </w:rPr>
        <w:t>We have broad insurance programs covering our properties and operating activities with limits of liability, deductibles and self-insured retentions that we believe are comparable to similarly situated companies. We believe the policy specifications and insured limits of these policies are adequate and appropriate. There are, however, certain types of extraordinary losses which may not be adequately covered under our insurance program. In addition, we could sustain losses due to insurance deductibles, self-insured retention, uninsured claims or casualties or losses in excess of applicable coverage. If an uninsured loss or a loss in excess of insured limits occurs, we could lose all or a portion of the capital we have invested in a property, as well as the anticipated future revenue from the property. In such an event, we might nevertheless remain obligated for any mortgage debt or other financial obligations related to the property. Material losses in excess of insurance proceeds may occur in the future. Such events could materially and adversely affect our financial condition and results of operations.</w:t>
      </w:r>
    </w:p>
    <w:p>
      <w:pPr>
        <w:spacing w:after="0" w:line="214"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Additionally, under various federal, state and local environmental laws, ordinances and regulations, a current or previous owner or operator of real property may be liable for the costs of removal or remediation of hazardous or toxic substances on, under or in that property. Those laws often impose liability even if the owner or operator did not cause or know of the presence of hazardous or toxic substances and even if the storage of those substances was in violation of a customer’s lease. In addition, the presence of hazardous or toxic substances, or the failure of the owner to address their presence on the property, may adversely affect the owner’s ability to borrow using that real property as collateral. Any environmental issues related to our real estate activities could materially and adversely affect our financial condition and results of operations.</w:t>
      </w:r>
    </w:p>
    <w:p>
      <w:pPr>
        <w:spacing w:after="0" w:line="22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86"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Our future performance depends on the continued services and continuing contributions of our senior management to execute on our business plan and to identify and pursue new opportunities and product innovations. The loss of services of members of senior management, particularly Ken Xie, our Co-Founder, Chief Executive Officer and Chairman, or Michael Xie, our Co-Founder, President and Chief Technology Officer, or of any of our senior sales leaders or functional area leaders, could significantly delay or prevent the achievement of our development and strategic objectives. The loss of the services or the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distraction of our senior management for any reason could adversely affect our business, financial condition and results of operations.</w:t>
      </w:r>
    </w:p>
    <w:p>
      <w:pPr>
        <w:spacing w:after="0" w:line="23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channel partners for substantially all of our revenue. If our partners fail to perform, our ability to sell our products and services will be limited, and if we fail to optimize our channel partner model going forward, our operating results may be harmed. Additionally, a small number of distributors represents a large percentage of our revenue and accounts receivable, and one distributor accounted for 33% of our total net accounts receivable as of December 31, 2023.</w:t>
      </w:r>
    </w:p>
    <w:p>
      <w:pPr>
        <w:spacing w:after="0" w:line="174" w:lineRule="exact"/>
        <w:rPr>
          <w:sz w:val="20"/>
          <w:szCs w:val="20"/>
          <w:color w:val="auto"/>
        </w:rPr>
      </w:pPr>
    </w:p>
    <w:p>
      <w:pPr>
        <w:ind w:right="100" w:firstLine="648"/>
        <w:spacing w:after="0" w:line="237" w:lineRule="auto"/>
        <w:rPr>
          <w:sz w:val="20"/>
          <w:szCs w:val="20"/>
          <w:color w:val="auto"/>
        </w:rPr>
      </w:pPr>
      <w:r>
        <w:rPr>
          <w:rFonts w:ascii="Times New Roman" w:cs="Times New Roman" w:eastAsia="Times New Roman" w:hAnsi="Times New Roman"/>
          <w:sz w:val="18"/>
          <w:szCs w:val="18"/>
          <w:color w:val="auto"/>
        </w:rPr>
        <w:t>A significant portion of our sales is generated through a limited number of distributors, and substantially all of our revenue is from sales by our channel partners, including distributors and resellers. We depend on our channel partners to generate a significant portion of our sales opportunities and to manage our sales process. To the extent our channel partners are unsuccessful in selling our products, or if we are unable to enter into arrangements with and retain a sufficient number of high-quality channel partners in each of the regions in which we sell products, we are unable to keep them motivated to sell our products, or our channel partners shift focus to other vendors and/or our competitors, our ability to sell our products and operating results may be harmed. The termination of our relationship with any significant channel partner may adversely impact our sales and operating results. If we change our partner strategy, such as if we start engaging in more sales directly with customers, and if we terminate partners or partners terminate or reduce selling on our behalf based on changes in our strategy or for any other reason, this could harm our results.</w:t>
      </w:r>
    </w:p>
    <w:p>
      <w:pPr>
        <w:spacing w:after="0" w:line="22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addition, a small number of channel partners represents a large percentage of our revenue and gross accounts receivable. We are exposed to the credit and liquidity risk of some of our channel partners and to credit exposure in weakened markets, which could result in material losses. Our dependence on a limited number of key channel partners means that our billings, revenue and operating results may be harmed by the inability of these key channel partners to successfully sell our products and services, or if any of these key channel partners is unable or unwilling to pay us, terminates its relationship with us or goes out of business. Although we have programs in place that are designed to monitor and mitigate credit and liquidity risks, we cannot guarantee these programs will be effective in reducing our credit risks. If we are unable to adequately control these risks, our business, operating results, and financial condition could be harmed. If channel partners fail to pay us under the terms of our agreements or we are otherwise unable to collect on our accounts receivable from these channel partners, we may be adversely affected both from the inability to collect amounts due and the cost of enforcing the terms of our contracts, including litigation. Our channel partners may seek bankruptcy protection or other similar relief and fail to pay amounts due to us, or pay those amounts more slowly, either of which could adversely affect our operating results, financial position, and cash flow. We may be further impacted by consolidation of our existing channel partners. In such instances, we may experience changes to our overall business and operational relationships due to dealing with a larger combined entity, and our ability to maintain such relationships on favorable contractual terms may be more limited. We may also become increasingly dependent on a more limited number of channel partners, as consolidation increases the relative proportion of our business for which each channel partner is responsible, which may magnify the risks described in the preceding paragraphs.</w:t>
      </w:r>
    </w:p>
    <w:p>
      <w:pPr>
        <w:spacing w:after="0" w:line="211"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Six distributor customers accounted for 70% and 69% of our total net accounts receivable in the aggregate as of December 31, 2023 and 2022, respectively. See Note 16. Segment Information in Part II, Item 8 of this Annual Report on Form 10-K for distributor customers that accounted for 10% or more of our revenue or net accounts receivable. Our largest distributors may experience financial difficulties, face liquidity risk or other financial challenges, which may harm our ability to collect on our accounts receivable.</w:t>
      </w:r>
    </w:p>
    <w:p>
      <w:pPr>
        <w:spacing w:after="0" w:line="221" w:lineRule="exact"/>
        <w:rPr>
          <w:sz w:val="20"/>
          <w:szCs w:val="20"/>
          <w:color w:val="auto"/>
        </w:rPr>
      </w:pPr>
    </w:p>
    <w:p>
      <w:pPr>
        <w:jc w:val="both"/>
        <w:ind w:right="200" w:firstLine="648"/>
        <w:spacing w:after="0" w:line="272" w:lineRule="auto"/>
        <w:rPr>
          <w:sz w:val="20"/>
          <w:szCs w:val="20"/>
          <w:color w:val="auto"/>
        </w:rPr>
      </w:pPr>
      <w:r>
        <w:rPr>
          <w:rFonts w:ascii="Times New Roman" w:cs="Times New Roman" w:eastAsia="Times New Roman" w:hAnsi="Times New Roman"/>
          <w:sz w:val="17"/>
          <w:szCs w:val="17"/>
          <w:color w:val="auto"/>
        </w:rPr>
        <w:t>We provide channel partners with specific programs to assist them with selling our products and incentivize them to sell our products, but there can be no assurance that these programs will be effective. In addition, our channel partners may be unsuccessful in marketing, selling and supporting our products and services and may purchase more inventory than they can sell. Our channel partners generally do not have minimum purchase requirements.</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Some of our channel partners may have insufficient financial resources to withstand changes and challenges in business conditions. Moreover, many of our channel partners are privately held, including some of our largest partners, and we may not have sufficient information to assess their financial condition. If our channel partners’ financial condition or operations weaken, their ability to sell our products and services could be negatively impacted. Our channel partners may also market, sell and support products and services that are competitive with ours, and may devote more resources to the marketing, sales and support of such products, or may decide to cease selling our products and services altogether in favor of a competitor’s products and services. They may also have incentives to promote our competitors’ products to the detriment of our own, or they may cease selling our products altogether. We cannot ensure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w:t>
      </w:r>
    </w:p>
    <w:p>
      <w:pPr>
        <w:spacing w:after="0" w:line="20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Any new sales channel partner will require extensive training and may take several months or more to achieve productivity. Our channel partner sales structure could subject us to lawsuits, potential liability and reputational harm if, for</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8"/>
          <w:szCs w:val="18"/>
          <w:color w:val="auto"/>
        </w:rPr>
        <w:t>example, any of our channel partners misrepresent the functionality of our products or services to end-customers, our service provider customers suffer a cyber event impacting end-users, or our channel partners violate laws or our corporate policies. We depend on our global channel partners to comply with applicable legal and regulatory requirements. To the extent that they fail to do so, that could have a material adverse effect on our business, operating results and financial condition. If we fail to optimize our channel partner model or fail to manage existing sales channels, our business will be seriously harmed.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Reliance on a concentration of shipments at the end of the quarter could cause our billings and revenue to fall below expected levels.</w:t>
      </w:r>
    </w:p>
    <w:p>
      <w:pPr>
        <w:spacing w:after="0" w:line="256"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As a result of customer 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We typically arrange for a logistics partner to pick up the last shipment of our products a few hours prior to the end of the quarter, and a delay in the arrival of the logistics partner or other factors such as a power outage could prevent us from shipping and billing for a material amount of products for which we have orders. Further, it is possible that the dollar value of these products intended to be shipped late on the last day of the quarter may be material. Additionally, our service billings are dependent on the completion of certain automated processes by our internal business management systems, some of which cannot be performed until after the related products have been shipped. If we do not have enough time after shipping our products for our systems to perform these processes prior to the end of the quarter, we have system issues that prevent processing in time to realize service billings in a quarter, or there are delays in deals closing or deals are lost, we will not be able to bill and realize billings for those services until possibly the following quarter at the earliest, which may materially negatively impact our billings for a particular quarter. We implemented a cloud-based quoting tool to help provide our sales team with the ability to have faster quote generation, reduce quote errors and increase sales productivity. Our ability to integrate the data from this tool into our order processing may cause order processing delays that could have an effect on our financial results. Our billings and revenue for any quarter could fall below our expectations or those of securities analysts and investors, resulting in a decline in our stock price, if expected orders at the end of any quarter are delayed or deals are lost for any reason or our ability to fulfill orders at the end of any quarter is hindered for any reason, including, among others:</w:t>
      </w:r>
    </w:p>
    <w:p>
      <w:pPr>
        <w:spacing w:after="0" w:line="230"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anticipated purchase orders to materialize;</w:t>
      </w:r>
    </w:p>
    <w:p>
      <w:pPr>
        <w:spacing w:after="0" w:line="252" w:lineRule="exact"/>
        <w:rPr>
          <w:rFonts w:ascii="Times New Roman" w:cs="Times New Roman" w:eastAsia="Times New Roman" w:hAnsi="Times New Roman"/>
          <w:sz w:val="18"/>
          <w:szCs w:val="18"/>
          <w:color w:val="auto"/>
        </w:rPr>
      </w:pPr>
    </w:p>
    <w:p>
      <w:pPr>
        <w:ind w:left="1300" w:right="500" w:hanging="644"/>
        <w:spacing w:after="0" w:line="282"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logistics partners’ failure or inability to ship products prior to quarter-end to fulfill purchase orders received near the end of the quarter;</w:t>
      </w:r>
    </w:p>
    <w:p>
      <w:pPr>
        <w:spacing w:after="0" w:line="175" w:lineRule="exact"/>
        <w:rPr>
          <w:rFonts w:ascii="Times New Roman" w:cs="Times New Roman" w:eastAsia="Times New Roman" w:hAnsi="Times New Roman"/>
          <w:sz w:val="18"/>
          <w:szCs w:val="18"/>
          <w:color w:val="auto"/>
        </w:rPr>
      </w:pPr>
    </w:p>
    <w:p>
      <w:pPr>
        <w:ind w:left="1300" w:right="20" w:hanging="644"/>
        <w:spacing w:after="0" w:line="250"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manufacturing or shipping based on power outages, system failures, labor disputes or constraints, excessive demand, natural disasters or widespread public health problems including pandemics and epidemics;</w:t>
      </w:r>
    </w:p>
    <w:p>
      <w:pPr>
        <w:spacing w:after="0" w:line="21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accurately forecast our inventory requirements and to appropriately manage inventory to meet demand;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release new products on schedule;</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our systems related to order review and processing; and</w:t>
      </w:r>
    </w:p>
    <w:p>
      <w:pPr>
        <w:spacing w:after="0" w:line="252"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shipments due to trade compliance requirements, labor disputes or logistics changes at shipping ports, airline strikes, severe weather or otherwise.</w:t>
      </w:r>
    </w:p>
    <w:p>
      <w:pPr>
        <w:spacing w:after="0" w:line="18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significantly on revenue from FortiGuard and other security subscription and FortiCare technical support services, and revenue from these services may decline or fluctuate. Because we recognize revenue from these services over the term of the relevant service period, downturns or upturns in sales of FortiGuard and other security subscription and FortiCare technical support services are not immediately reflected in full in our operating results.</w:t>
      </w:r>
    </w:p>
    <w:p>
      <w:pPr>
        <w:spacing w:after="0" w:line="194" w:lineRule="exact"/>
        <w:rPr>
          <w:sz w:val="20"/>
          <w:szCs w:val="20"/>
          <w:color w:val="auto"/>
        </w:rPr>
      </w:pPr>
    </w:p>
    <w:p>
      <w:pPr>
        <w:ind w:right="120" w:firstLine="648"/>
        <w:spacing w:after="0" w:line="229" w:lineRule="auto"/>
        <w:rPr>
          <w:sz w:val="20"/>
          <w:szCs w:val="20"/>
          <w:color w:val="auto"/>
        </w:rPr>
      </w:pPr>
      <w:r>
        <w:rPr>
          <w:rFonts w:ascii="Times New Roman" w:cs="Times New Roman" w:eastAsia="Times New Roman" w:hAnsi="Times New Roman"/>
          <w:sz w:val="18"/>
          <w:szCs w:val="18"/>
          <w:color w:val="auto"/>
        </w:rPr>
        <w:t>Our FortiGuard and other security subscription and FortiCare technical support services revenue has historically accounted for a significant percentage of our total revenue. Revenue from the sale of new, or from the renewal of existing, FortiGuard and other security subscription and FortiCare technical support service contracts may decline and fluctuate as a result of a number of factors, including fluctuations in purchases of secure networking, unified SASE and security operations, changes in the sales mix between products and services, end-customers’ level of satisfaction with our products and services, the prices of our products and services, the prices of products and services offered by our competitors, reductions in our customers’ spending levels and the timing of revenue recognition with respect to these arrangements. If our sales of new, or renewals of existing, FortiGuard and other security subscription and FortiCare technical support service contracts decline, our revenue and revenue growth may decline and our business could suffer. In addition, in the event significant customers require payment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40"/>
        <w:spacing w:after="0" w:line="228" w:lineRule="auto"/>
        <w:rPr>
          <w:sz w:val="20"/>
          <w:szCs w:val="20"/>
          <w:color w:val="auto"/>
        </w:rPr>
      </w:pPr>
      <w:r>
        <w:rPr>
          <w:rFonts w:ascii="Times New Roman" w:cs="Times New Roman" w:eastAsia="Times New Roman" w:hAnsi="Times New Roman"/>
          <w:sz w:val="18"/>
          <w:szCs w:val="18"/>
          <w:color w:val="auto"/>
        </w:rPr>
        <w:t>terms for FortiGuard and other security subscription and FortiCare technical support services in arrears or for shorter periods of time than annually, such as monthly or quarterly, this may negatively impact our billings and revenue. Furthermore, we recognize FortiGuard and other security subscription and FortiCare technical support services revenue ratably over the term of the service period, which is typically from one to five years. As a result, much of the FortiGuard and other security subscription and FortiCare technical support services revenue we report each quarter is the recognition of deferred revenue from FortiGuard and other security subscription and FortiCare technical support services contracts entered into during previous quarters or years. Consequently, a decline in new or renewed FortiGuard and other security subscription and FortiCare technical support services contracts in any one quarter will not be fully reflected in revenue in that quarter but will negatively affect our revenue in future quarters. Accordingly, the effect of significant downturns in sales of new, or renewals of existing, FortiGuard and other security subscriptions and FortiCare technical support services is not reflected in full in our statements of income until future periods. Our FortiGuard and other security subscription and FortiCare technical support services revenue also makes it difficult for us to rapidly increase our revenue through additional service sales in any period, as revenue from new and renewal support services contracts must be recognized over the applicable service term.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hire, retain and motivate qualified personnel, our business will suffer.</w:t>
      </w:r>
    </w:p>
    <w:p>
      <w:pPr>
        <w:spacing w:after="0" w:line="21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future success depends, in part, on our ability to continue to attract and retain highly skilled personnel. The loss of the services of any of our key personnel, the inability to attract or retain qualified personnel, any failure to have in place and execute an effective succession plan for key executives or delays in hiring required personnel, particularly in engineering, sales and marketing, may seriously harm our business, financial condition and results of operations. From time to time, we experience turnover in our management-level personnel. For example, in December 2023, our Chief Revenue Officer announced his upcoming retirement after 19 years at Fortinet. None of our key employees has an employment agreement for a specific term, and any of our employees may terminate their employment at any time. Our ability to continue to attract and retain highly skilled personnel will be critical to our future success.</w:t>
      </w:r>
    </w:p>
    <w:p>
      <w:pPr>
        <w:spacing w:after="0" w:line="216"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Competition for highly skilled personnel is frequently intense, especially for qualified sales, support and engineering employees in network security and especially in the locations where we have a substantial presence and need for highly skilled personnel, such as the San Francisco Bay Area and the Vancouver, Canada area. We may not be successful in attracting, assimilating or retaining qualified personnel to fulfill our current or future needs. In addition, to the extent we hire personnel from competitors, we may be subject to allegations that they have been improperly solicited or divulged proprietary or other confidential information. Changes in immigration laws, including changes to the rules regarding H1-B visas, may also harm our ability to attract personnel from other countries. Our inability to hire properly qualified and effective sales, support and engineering employees could harm our growth and our ability to effectively support growth.</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indebtedness and may incur other debt in the future, which may adversely affect our financial condition and future financial results.</w:t>
      </w:r>
    </w:p>
    <w:p>
      <w:pPr>
        <w:spacing w:after="0" w:line="243"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we had an aggregate of $992.3 million of indebtedness outstanding under our Senior Notes. Under the agreements governing our indebtedness, we are permitted to incur additional debt. This debt, and any debt that we may incur in the future, may adversely affect our financial condition and future financial results by, among other things:</w:t>
      </w:r>
    </w:p>
    <w:p>
      <w:pPr>
        <w:spacing w:after="0" w:line="203"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downturns in our business, to competitive pressures and to adverse economic and industry conditions;</w:t>
      </w:r>
    </w:p>
    <w:p>
      <w:pPr>
        <w:spacing w:after="0" w:line="252" w:lineRule="exact"/>
        <w:rPr>
          <w:rFonts w:ascii="Times New Roman" w:cs="Times New Roman" w:eastAsia="Times New Roman" w:hAnsi="Times New Roman"/>
          <w:sz w:val="18"/>
          <w:szCs w:val="18"/>
          <w:color w:val="auto"/>
        </w:rPr>
      </w:pPr>
    </w:p>
    <w:p>
      <w:pPr>
        <w:ind w:left="660" w:right="260" w:hanging="4"/>
        <w:spacing w:after="0" w:line="282" w:lineRule="auto"/>
        <w:tabs>
          <w:tab w:leader="none" w:pos="13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portion of our expected cash from operations to service our indebtedness, thereby reducing the amount of expected cash flow available for other purposes, including capital expenditures, share repurchases and acquisitions; and</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businesses and our industries;</w:t>
      </w:r>
    </w:p>
    <w:p>
      <w:pPr>
        <w:spacing w:after="0" w:line="25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If we are unable to generate sufficient cash flow from operations in the future to service our debt, we may be required, among other things, to seek additional financing in the debt or equity markets, refinance or restructure all or a portion of our indebtedness, sell selected assets or reduce or delay planned capital, operating or investment expenditures. Such measures may not be sufficient to enable us to service our debt.</w:t>
      </w:r>
    </w:p>
    <w:p>
      <w:pPr>
        <w:spacing w:after="0" w:line="203"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Additionally, the agreements governing our indebtedness impose restrictions on us and require us to comply with certain covenants. If we breach any of these covenants and do not obtain a waiver from the noteholders, then, subject to applicable cure periods, any or all of our outstanding indebtedness may be declared immediately due and payable. There can be no assurance that any refinancing or additional financing would be available on terms that are favorable or acceptable to us, if at all.</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Under the terms of our outstanding Senior Notes, we may be required to repurchase the notes for cash prior to their maturity in connection with the occurrence of certain changes of control that are accompanied by certain downgrades in the credit ratings of the notes. The repayment obligations under the notes may have the effect of discouraging, delaying or preventing a takeover of our company. If we were required to pay the notes prior to their scheduled maturity, it could have a negative impact on our cash position and liquidity and impair our ability to invest financial resources in other strategic initiatives.</w:t>
      </w:r>
    </w:p>
    <w:p>
      <w:pPr>
        <w:spacing w:after="0" w:line="21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In addition, changes by any rating agency to our credit rating may negatively impact the value and liquidity of both our debt and equity securities, as well as affect our ability to obtain additional financing in the future and may negatively impact the terms of any such financing.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Sales and End-Customers</w:t>
      </w:r>
    </w:p>
    <w:p>
      <w:pPr>
        <w:spacing w:after="0" w:line="23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59"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We market and sell our products throughout the world and have established sales offices in many parts of the world. Our international sales have represented a majority of our total revenue in recent periods. Therefore, we are subject to risks associated with having worldwide operations. We are also subject to a number of risks typically associated with international sales and operations, including:</w:t>
      </w:r>
    </w:p>
    <w:p>
      <w:pPr>
        <w:spacing w:after="0" w:line="176" w:lineRule="exact"/>
        <w:rPr>
          <w:sz w:val="20"/>
          <w:szCs w:val="20"/>
          <w:color w:val="auto"/>
        </w:rPr>
      </w:pPr>
    </w:p>
    <w:p>
      <w:pPr>
        <w:ind w:left="1300" w:right="160" w:hanging="644"/>
        <w:spacing w:after="0" w:line="258"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the supply chain or in manufacturing or shipping, or decreases in demand by channel partners or end-customers, including any such disruption or decreases caused by factors outside of our control such as natural disasters and health emergencies, including earthquakes, droughts, fires, power outages, typhoons, floods, pandemics or epidemics and manmade events such as civil unrest, labor disruption, international trade disputes, international conflicts, terrorism, wars or other foreign conflicts, such as the war in Ukraine and the Israel-Hamas war or tensions between China and Taiwan, and critical infrastructure attacks;</w:t>
      </w:r>
    </w:p>
    <w:p>
      <w:pPr>
        <w:spacing w:after="0" w:line="210" w:lineRule="exact"/>
        <w:rPr>
          <w:rFonts w:ascii="Times New Roman" w:cs="Times New Roman" w:eastAsia="Times New Roman" w:hAnsi="Times New Roman"/>
          <w:sz w:val="18"/>
          <w:szCs w:val="18"/>
          <w:color w:val="auto"/>
        </w:rPr>
      </w:pPr>
    </w:p>
    <w:p>
      <w:pPr>
        <w:ind w:left="1300" w:right="200" w:hanging="644"/>
        <w:spacing w:after="0" w:line="258"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 or a strengthening of the U.S. dollar, as a significant portion of our expenses is incurred and paid in currencies other than the U.S. dollar, and the impact such fluctuations may have on the actual prices that our partners and customers are willing to pay for our products and services;</w:t>
      </w:r>
    </w:p>
    <w:p>
      <w:pPr>
        <w:spacing w:after="0" w:line="196" w:lineRule="exact"/>
        <w:rPr>
          <w:rFonts w:ascii="Times New Roman" w:cs="Times New Roman" w:eastAsia="Times New Roman" w:hAnsi="Times New Roman"/>
          <w:sz w:val="18"/>
          <w:szCs w:val="18"/>
          <w:color w:val="auto"/>
        </w:rPr>
      </w:pPr>
    </w:p>
    <w:p>
      <w:pPr>
        <w:ind w:left="1300" w:hanging="644"/>
        <w:spacing w:after="0" w:line="266"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or political instability in foreign markets, such as any economic or political instability caused by economic downturns and wars or other foreign conflicts, such as the war in Ukraine and the Israel-Hamas war, tensions between China and Taiwan and any expansions thereof;</w:t>
      </w:r>
    </w:p>
    <w:p>
      <w:pPr>
        <w:spacing w:after="0" w:line="20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global banking system;</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enforcing contracts and accounts receivable collection, including longer collection periods;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sales processes for larger deals;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foreign operations;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protection for Intellectual Property (“IP”) rights in some countries;</w:t>
      </w:r>
    </w:p>
    <w:p>
      <w:pPr>
        <w:spacing w:after="0" w:line="225"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compliance with foreign policies, laws and regulations and the risks and costs of non-compliance with such policies, laws and regulations;</w:t>
      </w:r>
    </w:p>
    <w:p>
      <w:pPr>
        <w:spacing w:after="0" w:line="188" w:lineRule="exact"/>
        <w:rPr>
          <w:rFonts w:ascii="Times New Roman" w:cs="Times New Roman" w:eastAsia="Times New Roman" w:hAnsi="Times New Roman"/>
          <w:sz w:val="18"/>
          <w:szCs w:val="18"/>
          <w:color w:val="auto"/>
        </w:rPr>
      </w:pPr>
    </w:p>
    <w:p>
      <w:pPr>
        <w:ind w:left="1300" w:right="960" w:hanging="644"/>
        <w:spacing w:after="0" w:line="266"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protectionist policies and penalties, and local laws, requirements, policies and perceptions that may adversely impact a U.S.-headquartered business’s sales in certain countries outside of the United States;</w:t>
      </w:r>
    </w:p>
    <w:p>
      <w:pPr>
        <w:spacing w:after="0" w:line="162" w:lineRule="exact"/>
        <w:rPr>
          <w:rFonts w:ascii="Times New Roman" w:cs="Times New Roman" w:eastAsia="Times New Roman" w:hAnsi="Times New Roman"/>
          <w:sz w:val="18"/>
          <w:szCs w:val="18"/>
          <w:color w:val="auto"/>
        </w:rPr>
      </w:pPr>
    </w:p>
    <w:p>
      <w:pPr>
        <w:ind w:left="1300" w:right="100" w:hanging="644"/>
        <w:spacing w:after="0" w:line="266"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complying with, and the risks, reputational damage and other costs of non-compliance with, U.S. or other foreign laws and regulations for foreign operations, including the U.S. Foreign Corrupt Practices Act, the United Kingdom Bribery Act 2010, the General Data Protection Regulation (the “GDPR”), import and</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export control laws, trade laws and regulations, tariffs and retaliatory measures, trade barriers and economic sanctions;</w:t>
      </w:r>
    </w:p>
    <w:p>
      <w:pPr>
        <w:spacing w:after="0" w:line="252" w:lineRule="exact"/>
        <w:rPr>
          <w:sz w:val="20"/>
          <w:szCs w:val="20"/>
          <w:color w:val="auto"/>
        </w:rPr>
      </w:pPr>
    </w:p>
    <w:p>
      <w:pPr>
        <w:ind w:left="1300" w:right="280" w:hanging="644"/>
        <w:spacing w:after="0" w:line="282"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regulatory or contractual limitations on our ability to sell our products in certain foreign markets, and the risks and costs of non-compliance;</w:t>
      </w:r>
    </w:p>
    <w:p>
      <w:pPr>
        <w:spacing w:after="0" w:line="188" w:lineRule="exact"/>
        <w:rPr>
          <w:rFonts w:ascii="Times New Roman" w:cs="Times New Roman" w:eastAsia="Times New Roman" w:hAnsi="Times New Roman"/>
          <w:sz w:val="18"/>
          <w:szCs w:val="18"/>
          <w:color w:val="auto"/>
        </w:rPr>
      </w:pPr>
    </w:p>
    <w:p>
      <w:pPr>
        <w:ind w:left="1300" w:right="200" w:hanging="644"/>
        <w:spacing w:after="0" w:line="261"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risks of unfair or corrupt business practices in certain geographies and of improper or fraudulent sales or sales-related arrangements, such as sales “side agreements” to allow return rights, that could disrupt the sales team through terminations of employment or otherwise, and may adversely impact financial results as compared to those already reported or forecasted and result in restatements of financial statements and irregularities in financial statements;</w:t>
      </w:r>
    </w:p>
    <w:p>
      <w:pPr>
        <w:spacing w:after="0" w:line="20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implement and maintain adequate internal controls to properly manage our international sales and operations;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unrest, changes and uncertainty associated with terrorism, hostilities, war or natural disasters;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communication and integration problems resulting from cultural differences and geographic dispersion; and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tariff, employment and other laws.</w:t>
      </w:r>
    </w:p>
    <w:p>
      <w:pPr>
        <w:spacing w:after="0" w:line="225"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Product and service sales and employee and contractor matters may be subject to foreign governmental regulations, which vary substantially from country to country. Further, we may be unable to keep up to date with changes in government requirements as they change over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litigation, regulatory action, costs of investigation, delays in revenue recognition, delays in financial reporting, financial reporting misstatements, fines, penalties or the prohibition of the importation or exportation of our products and services, any of which could have a material adverse effect on our business and results of operations.</w:t>
      </w:r>
    </w:p>
    <w:p>
      <w:pPr>
        <w:spacing w:after="0" w:line="199"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we believe reasonably ensures that we are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spacing w:after="0" w:line="20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continuing to execute our strategy to increase our sales to large and medium-sized end-customers, our results of operations may suffer.</w:t>
      </w:r>
    </w:p>
    <w:p>
      <w:pPr>
        <w:spacing w:after="0" w:line="15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An important part of our growth strategy is to increase sales of our products to large- and medium-sized businesses, service providers and government organizations. While we have increased sales in recent periods to large- and medium-sized businesses, our sales volume varies by quarter and there is a risk as to our level of success selling to these target customers. Such sales involve unique sales skillsets, processes and structures, are often more complex and feature a longer contract term and may be at higher discount levels. We also have experienced uneven traction selling to certain government organizations and service providers and MSSPs, and there can be no assurance that we will be successful selling to these customers. Sales to these organizations involve risks that may not be present, or that are present to a lesser extent, with sales to smaller entities. These risks include:</w:t>
      </w:r>
    </w:p>
    <w:p>
      <w:pPr>
        <w:spacing w:after="0" w:line="214" w:lineRule="exact"/>
        <w:rPr>
          <w:sz w:val="20"/>
          <w:szCs w:val="20"/>
          <w:color w:val="auto"/>
        </w:rPr>
      </w:pPr>
    </w:p>
    <w:p>
      <w:pPr>
        <w:ind w:left="1300" w:right="220" w:hanging="644"/>
        <w:spacing w:after="0" w:line="282"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competitors that traditionally target large and medium-sized businesses, service providers and government organizations and that may already have purchase commitments from those end-customers;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purchasing power and leverage held by large end-customers in negotiating contractual arrangements;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300" w:right="140" w:hanging="644"/>
        <w:spacing w:after="0" w:line="266"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the capital resources or purchasing behavior of large end-customers, including changes in the volume and frequency of their purchases and changes in the mix of products and services, willingness to change to cloud delivery model and related payment terms;</w:t>
      </w:r>
    </w:p>
    <w:p>
      <w:pPr>
        <w:spacing w:after="0" w:line="175" w:lineRule="exact"/>
        <w:rPr>
          <w:rFonts w:ascii="Times New Roman" w:cs="Times New Roman" w:eastAsia="Times New Roman" w:hAnsi="Times New Roman"/>
          <w:sz w:val="18"/>
          <w:szCs w:val="18"/>
          <w:color w:val="auto"/>
        </w:rPr>
      </w:pPr>
    </w:p>
    <w:p>
      <w:pPr>
        <w:ind w:left="1300" w:right="880" w:hanging="644"/>
        <w:spacing w:after="0" w:line="282"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support requirements in our support service contracts, including stricter support response times, more complex requirements and increased penalties for any failure to meet support requirements;</w:t>
      </w:r>
    </w:p>
    <w:p>
      <w:pPr>
        <w:spacing w:after="0" w:line="188" w:lineRule="exact"/>
        <w:rPr>
          <w:rFonts w:ascii="Times New Roman" w:cs="Times New Roman" w:eastAsia="Times New Roman" w:hAnsi="Times New Roman"/>
          <w:sz w:val="18"/>
          <w:szCs w:val="18"/>
          <w:color w:val="auto"/>
        </w:rPr>
      </w:pPr>
    </w:p>
    <w:p>
      <w:pPr>
        <w:ind w:left="1300" w:right="100" w:hanging="644"/>
        <w:spacing w:after="0" w:line="282"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sales cycles and the associated risk that deals are delayed and that substantial time and resources may be spent on a potential end-customer that elects not to purchase our products and services;</w:t>
      </w:r>
    </w:p>
    <w:p>
      <w:pPr>
        <w:spacing w:after="0" w:line="188" w:lineRule="exact"/>
        <w:rPr>
          <w:rFonts w:ascii="Times New Roman" w:cs="Times New Roman" w:eastAsia="Times New Roman" w:hAnsi="Times New Roman"/>
          <w:sz w:val="18"/>
          <w:szCs w:val="18"/>
          <w:color w:val="auto"/>
        </w:rPr>
      </w:pPr>
    </w:p>
    <w:p>
      <w:pPr>
        <w:ind w:left="1300" w:right="60" w:hanging="644"/>
        <w:spacing w:after="0" w:line="282"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requirements from these customers that we have certain third-party security or other certifications, which we may not have, the lack of which may adversely affect our ability to successfully sell to such customers;</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as to timing to close large deals and any delays in closing those deals; and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ramp-up periods for enterprise sales personnel as compared to other sales personnel.</w:t>
      </w:r>
    </w:p>
    <w:p>
      <w:pPr>
        <w:spacing w:after="0" w:line="225"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Large and medium-sized businesses, service providers and MSSPs and government organizations often undertake a significant evaluation process that results in a lengthy sales cycle, in some cases longer than 12 months. Although we have a channel sales model, our sales representatives typically engage in direct interaction with end-customers, along with our distributors and resellers, in connection with sales to large- and medium-sized end-customers. We may spend substantial time, effort and money in our sales efforts without being successful in producing any sales. In addition, purchases by large- and medium-sized businesses, service providers and government organizations are frequently subject to budget constraints, multiple approvals and unplanned administrative, processing and other delays; in light of current economic conditions and regulations in place by various government authorities, some of these sales cycles are being further extended. Furthermore, service providers and MSSPs represent our largest industry vertical and consolidation or continued changes in buying behavior by larger customers within this industry could negatively impact our business. Large- and medium-sized businesses, service providers and MSSPs and government organizations typically have longer implementation cycles, require greater product functionality and scalability, expect a broader range of services, including design, implementation and post go-live services, demand that vendors take on a larger share of risks, require acceptance provisions that can lead to a delay in revenue recognition and expect greater payment flexibility from vendors. In addition, large- and medium-sized businesses, service providers and government organizations may require that our products and services be sold differently from how we offer our products and services, which could negatively impact our operating results. Our large business and service provider customers may also become more deliberate in their purchases as they plan their next-generation network security architecture, leading them to take more time in making purchasing decisions or to purchase based only on their immediate needs. All these factors can add further risk to business conducted with these customers. In addition, if sales expected from a large- and medium-sized end-customer for a particular quarter are not realized in that quarter or at all, our business, operating results and financial condition could be materially and adversely affected.</w:t>
      </w:r>
    </w:p>
    <w:p>
      <w:pPr>
        <w:spacing w:after="0" w:line="22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increase the effectiveness of our sales organization, we may have difficulty adding new end-customers or increasing sales to our existing end-customers and our business may be adversely affected.</w:t>
      </w:r>
    </w:p>
    <w:p>
      <w:pPr>
        <w:spacing w:after="0" w:line="172" w:lineRule="exact"/>
        <w:rPr>
          <w:sz w:val="20"/>
          <w:szCs w:val="20"/>
          <w:color w:val="auto"/>
        </w:rPr>
      </w:pPr>
    </w:p>
    <w:p>
      <w:pPr>
        <w:ind w:firstLine="648"/>
        <w:spacing w:after="0" w:line="226" w:lineRule="auto"/>
        <w:rPr>
          <w:sz w:val="20"/>
          <w:szCs w:val="20"/>
          <w:color w:val="auto"/>
        </w:rPr>
      </w:pPr>
      <w:r>
        <w:rPr>
          <w:rFonts w:ascii="Times New Roman" w:cs="Times New Roman" w:eastAsia="Times New Roman" w:hAnsi="Times New Roman"/>
          <w:sz w:val="18"/>
          <w:szCs w:val="18"/>
          <w:color w:val="auto"/>
        </w:rPr>
        <w:t>Although we have a channel sales model, sales in our industry are complex and members of our sales organization often engage in direct interaction with our prospective end-customers, particularly for larger deals involving larger end-customers. Therefore, we continue to be substantially dependent on our sales organization to obtain new end-customers and sell additional products and services to our existing end-customers. There is significant competition for sales personnel with the skills and technical knowledge that we require, including experienced enterprise sales employees and others. Our ability to grow our revenue depends, in large part, on our success in recruiting, training and retaining sufficient numbers of sales personnel to support our growth and on the effectiveness of our sales strategy, sales execution, and sales personnel selling successfully in different contexts, each of which has its own different complexities, approaches and competitive landscapes, such as managing and growing the channel business for sales to small businesses and more actively selling to the end-customer for sales to larger organizations. New hires require substantial training and may take significant time before they achieve full productivity. Our recent hires and planned hires may not become productive as quickly as we expect, and we may be unable to hire or retain sufficient numbers of qualified individuals in the markets where we do business or plan to do business. Furthermore, hiring sales personnel in new countries requires additional setup and upfront costs that we may not recover if the sales personnel fail to achieve full productivity. If our sales employees do not become fully productive on the timelines that we have projected, our revenue may not increase at anticipated levels and our ability to achieve long-term projections may be negatively impacted. If we are unable to hire and train sufficient numbers of effective sales personnel, the sales personnel are not successful in obtaining new end-customers or increasing sales to our existing customer base or sales personnel do not</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ind w:right="80"/>
        <w:spacing w:after="0" w:line="242" w:lineRule="auto"/>
        <w:rPr>
          <w:sz w:val="20"/>
          <w:szCs w:val="20"/>
          <w:color w:val="auto"/>
        </w:rPr>
      </w:pPr>
      <w:r>
        <w:rPr>
          <w:rFonts w:ascii="Times New Roman" w:cs="Times New Roman" w:eastAsia="Times New Roman" w:hAnsi="Times New Roman"/>
          <w:sz w:val="18"/>
          <w:szCs w:val="18"/>
          <w:color w:val="auto"/>
        </w:rPr>
        <w:t>effectively sell our unified SASE and security operations technology solutions, our business, operating results and prospects may be adversely affected. If we do not hire properly qualified and effective sales employees and organize our sales team effectively to capture the opportunities in the various customer segments we are targeting, our growth and ability to effectively support growth may be harmed.</w:t>
      </w:r>
    </w:p>
    <w:p>
      <w:pPr>
        <w:spacing w:after="0" w:line="197"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In addition, in light of macroeconomic trends and in the event of sales execution challenges for any reason, we may face excess sales capacity, low sales productivity generally, and a decline in productivity in our sales organization. If we are not able to align our sales capacity and market demand, or if the productivity of our sales organization decreases, our operating results and financial condition could be harmed.</w:t>
      </w:r>
    </w:p>
    <w:p>
      <w:pPr>
        <w:spacing w:after="0" w:line="213"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Unless we continue to develop better market awareness of our company and our products, and to improve lead generation and sales enablement, our revenue may not continue to grow.</w:t>
      </w:r>
    </w:p>
    <w:p>
      <w:pPr>
        <w:spacing w:after="0" w:line="185"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Increased market awareness of our capabilities and products and increased lead generation are essential to our continued growth and our success in all of our markets, particularly the market for sales to large businesses, service providers and government organizations. While we have increased our investments in sales and marketing, it is not clear that these investments will continue to result in increased revenue. If our investments in additional sales personnel or our marketing programs are not successful in continuing to create market awareness of our company and products or increasing lead generation, in growing billings for our broad product suite or if we experience turnover and disruption in our sales and marketing teams, we may not be able to achieve sustained growth, and our business, financial condition and results of operations may be adversely affected.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sales are to government organizations, which subjects us to a number of regulatory requirements, challenges and risks.</w:t>
      </w:r>
    </w:p>
    <w:p>
      <w:pPr>
        <w:spacing w:after="0" w:line="243" w:lineRule="exact"/>
        <w:rPr>
          <w:sz w:val="20"/>
          <w:szCs w:val="20"/>
          <w:color w:val="auto"/>
        </w:rPr>
      </w:pPr>
    </w:p>
    <w:p>
      <w:pPr>
        <w:ind w:right="280" w:firstLine="648"/>
        <w:spacing w:after="0" w:line="242" w:lineRule="auto"/>
        <w:rPr>
          <w:sz w:val="20"/>
          <w:szCs w:val="20"/>
          <w:color w:val="auto"/>
        </w:rPr>
      </w:pPr>
      <w:r>
        <w:rPr>
          <w:rFonts w:ascii="Times New Roman" w:cs="Times New Roman" w:eastAsia="Times New Roman" w:hAnsi="Times New Roman"/>
          <w:sz w:val="18"/>
          <w:szCs w:val="18"/>
          <w:color w:val="auto"/>
        </w:rPr>
        <w:t>Sales to U.S. and foreign federal, state and local government organizations are subject to a number of risks. Because of public sector budgetary cycles and laws or regulations governing public procurements, such sales often require significant upfront time and expense without any assurance of winning a sale.</w:t>
      </w:r>
    </w:p>
    <w:p>
      <w:pPr>
        <w:spacing w:after="0" w:line="224"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Government demand, sales and payment for our products and services may be negatively impacted by numerous factors and requirements unique to selling to government agencies, such as:</w:t>
      </w:r>
    </w:p>
    <w:p>
      <w:pPr>
        <w:spacing w:after="0" w:line="175" w:lineRule="exact"/>
        <w:rPr>
          <w:sz w:val="20"/>
          <w:szCs w:val="20"/>
          <w:color w:val="auto"/>
        </w:rPr>
      </w:pPr>
    </w:p>
    <w:p>
      <w:pPr>
        <w:ind w:left="1300" w:right="200" w:hanging="644"/>
        <w:spacing w:after="0" w:line="250"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policies, laws and regulations have in the past, and may in the future, require us to obtain and maintain certain security and other certifications in order to sell our products and services into certain government organizations, and such certifications may be costly and time-consuming to obtain and maintain;</w:t>
      </w:r>
    </w:p>
    <w:p>
      <w:pPr>
        <w:spacing w:after="0" w:line="203" w:lineRule="exact"/>
        <w:rPr>
          <w:rFonts w:ascii="Times New Roman" w:cs="Times New Roman" w:eastAsia="Times New Roman" w:hAnsi="Times New Roman"/>
          <w:sz w:val="18"/>
          <w:szCs w:val="18"/>
          <w:color w:val="auto"/>
        </w:rPr>
      </w:pPr>
    </w:p>
    <w:p>
      <w:pPr>
        <w:ind w:left="1300" w:right="460" w:hanging="644"/>
        <w:spacing w:after="0" w:line="266"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authorizations and requirements unique to government agencies, with funding or purchasing reductions or delays adversely affecting public sector demand for our products; and</w:t>
      </w:r>
    </w:p>
    <w:p>
      <w:pPr>
        <w:spacing w:after="0" w:line="189" w:lineRule="exact"/>
        <w:rPr>
          <w:rFonts w:ascii="Times New Roman" w:cs="Times New Roman" w:eastAsia="Times New Roman" w:hAnsi="Times New Roman"/>
          <w:sz w:val="18"/>
          <w:szCs w:val="18"/>
          <w:color w:val="auto"/>
        </w:rPr>
      </w:pPr>
    </w:p>
    <w:p>
      <w:pPr>
        <w:ind w:left="1300" w:right="140" w:hanging="644"/>
        <w:spacing w:after="0" w:line="245"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matters, including tariff and trade disputes, government shutdowns, impact of the war in Ukraine and the Israel-Hamas war, tensions between China and Taiwan and trade protectionism and other political dynamics that may adversely affect our ability to sell in certain locations or obtain the requisite permits and clearances required for certain purchases by government organizations of our products and services.</w:t>
      </w:r>
    </w:p>
    <w:p>
      <w:pPr>
        <w:spacing w:after="0" w:line="208" w:lineRule="exact"/>
        <w:rPr>
          <w:sz w:val="20"/>
          <w:szCs w:val="20"/>
          <w:color w:val="auto"/>
        </w:rPr>
      </w:pPr>
    </w:p>
    <w:p>
      <w:pPr>
        <w:ind w:right="340" w:firstLine="648"/>
        <w:spacing w:after="0"/>
        <w:rPr>
          <w:sz w:val="20"/>
          <w:szCs w:val="20"/>
          <w:color w:val="auto"/>
        </w:rPr>
      </w:pPr>
      <w:r>
        <w:rPr>
          <w:rFonts w:ascii="Times New Roman" w:cs="Times New Roman" w:eastAsia="Times New Roman" w:hAnsi="Times New Roman"/>
          <w:sz w:val="18"/>
          <w:szCs w:val="18"/>
          <w:color w:val="auto"/>
        </w:rPr>
        <w:t>In addition, if we do not have certain certifications, this may restrict our ability to sell to certain government customers until we have obtained certain certifications and we may not obtain the certifications in a timely manner or at all. For example, certain of our competitors may have decided to become certified under the U.S. Federal Risk and Authorization Management Program (“FedRAMP”), and until the time that we also certify under FedRAMP, we risk losing sales for government deals to certified competitors for deals where FedRAMP certification is a requirement.</w:t>
      </w:r>
    </w:p>
    <w:p>
      <w:pPr>
        <w:spacing w:after="0" w:line="212" w:lineRule="exact"/>
        <w:rPr>
          <w:sz w:val="20"/>
          <w:szCs w:val="20"/>
          <w:color w:val="auto"/>
        </w:rPr>
      </w:pPr>
    </w:p>
    <w:p>
      <w:pPr>
        <w:ind w:right="120" w:firstLine="648"/>
        <w:spacing w:after="0" w:line="238" w:lineRule="auto"/>
        <w:rPr>
          <w:sz w:val="20"/>
          <w:szCs w:val="20"/>
          <w:color w:val="auto"/>
        </w:rPr>
      </w:pPr>
      <w:r>
        <w:rPr>
          <w:rFonts w:ascii="Times New Roman" w:cs="Times New Roman" w:eastAsia="Times New Roman" w:hAnsi="Times New Roman"/>
          <w:sz w:val="18"/>
          <w:szCs w:val="18"/>
          <w:color w:val="auto"/>
        </w:rPr>
        <w:t>The rules and regulations applicable to sales to government organizations may also negatively impact sales to other organizations. For example, government organizations may have contractual or other legal rights to terminate contracts with our distributors and resellers for convenience or due to a default, and any such termination may adversely impact our future results of operations. If the distributor receives a significant portion of its revenue from sales to government organizations, the financial health of the distributor could be substantially harmed, which could negatively affect our future sales to such distributor. Governments routinely investigate, review and audit government vendors’ administrative and other processes, and any unfavorable investigation, audit, other review or unfavorable determination related to any government clearance or certification could result in the government’s refusing to continue buying our products and services, a limitation and reduction of government purchases of our products and services, a reduction of revenue or fines, or civil or criminal liability if the investigation, audit or other review uncovers improper, illegal or otherwise concerning activities. Any such penalties could adversely impact our results of operations in a material way. Further, any refusal to grant certain certifications or clearances by one government agency, or any decision by one government agency that our products do not meet certain standards, may</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reduce business opportunities and cause reputational harm and cause concern with other government agencies, governments and businesses and cause them to not buy our products and services and/or lead to a decrease in demand for our products generally.</w:t>
      </w:r>
    </w:p>
    <w:p>
      <w:pPr>
        <w:spacing w:after="0" w:line="189"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Finally, some governments, including the U.S. federal government, may require certain products to be manufactured in, and services to be provided from, certain identified countries which may be high-cost locations. We may not manufacture all products or provide all services in locations that meet such requirements and consequently our products and services may not be eligible for certain government purchases.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 Customers, Products and Services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in our market and we may not maintain or improve our competitive position.</w:t>
      </w:r>
    </w:p>
    <w:p>
      <w:pPr>
        <w:spacing w:after="0" w:line="216" w:lineRule="exact"/>
        <w:rPr>
          <w:sz w:val="20"/>
          <w:szCs w:val="20"/>
          <w:color w:val="auto"/>
        </w:rPr>
      </w:pPr>
    </w:p>
    <w:p>
      <w:pPr>
        <w:jc w:val="both"/>
        <w:ind w:right="40" w:firstLine="648"/>
        <w:spacing w:after="0" w:line="250" w:lineRule="auto"/>
        <w:rPr>
          <w:sz w:val="20"/>
          <w:szCs w:val="20"/>
          <w:color w:val="auto"/>
        </w:rPr>
      </w:pPr>
      <w:r>
        <w:rPr>
          <w:rFonts w:ascii="Times New Roman" w:cs="Times New Roman" w:eastAsia="Times New Roman" w:hAnsi="Times New Roman"/>
          <w:sz w:val="18"/>
          <w:szCs w:val="18"/>
          <w:color w:val="auto"/>
        </w:rPr>
        <w:t>The market for network security products is intensely competitive and dynamic, and we expect competition to continue to intensify. We face many competitors across the different cybersecurity markets. Our competitors include companies such as Aruba, Check Point, Cisco, CrowdStrike, F5 Networks, Huawei, Juniper, Palo Alto Networks, SonicWALL, Sophos, VMware and Zscaler.</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Some of our existing and potential competitors enjoy competitive advantages such as:</w:t>
      </w:r>
    </w:p>
    <w:p>
      <w:pPr>
        <w:spacing w:after="0" w:line="212"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name recognition and/or longer operating histories;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sales and marketing budgets and resources;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distribution and established relationships with distribution partners and end-customers;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larger customer bases;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customer support resources;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resources to make acquisitions;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stronger U.S. government relationships;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labor and development costs;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greater financial, technical and other resources.</w:t>
      </w:r>
    </w:p>
    <w:p>
      <w:pPr>
        <w:spacing w:after="0" w:line="225" w:lineRule="exact"/>
        <w:rPr>
          <w:sz w:val="20"/>
          <w:szCs w:val="20"/>
          <w:color w:val="auto"/>
        </w:rPr>
      </w:pPr>
    </w:p>
    <w:p>
      <w:pPr>
        <w:ind w:right="60" w:firstLine="648"/>
        <w:spacing w:after="0" w:line="247" w:lineRule="auto"/>
        <w:rPr>
          <w:sz w:val="20"/>
          <w:szCs w:val="20"/>
          <w:color w:val="auto"/>
        </w:rPr>
      </w:pPr>
      <w:r>
        <w:rPr>
          <w:rFonts w:ascii="Times New Roman" w:cs="Times New Roman" w:eastAsia="Times New Roman" w:hAnsi="Times New Roman"/>
          <w:sz w:val="18"/>
          <w:szCs w:val="18"/>
          <w:color w:val="auto"/>
        </w:rPr>
        <w:t>In addition, certain of our larger competitors have broader product offerings, and leverage their relationships based on other products or incorporate functionality into existing products in a manner that discourages customers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security threat are often able to deliver these specialized security products to the market more quickly than we can.</w:t>
      </w:r>
    </w:p>
    <w:p>
      <w:pPr>
        <w:spacing w:after="0" w:line="19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Conditions in our markets could change rapidly and significantly as a result of technological advancements or continuing market consolidation. Our competitors and potential competitors may also be able to develop products or services, and leverage new business models, that are equal or superior to ours, achieve greater market acceptance of their products and services, disrupt our markets, and increase sales by utilizing different distribution channels than we do. For example, certain of our competitors are focusing on delivering security services from the cloud which include cloud-based security providers, such as CrowdStrike and Zscaler. In addition, current or potential competitors may be acquired by third parties with greater available resources, and new competitors may arise pursuant to acquisitions of network security companies or divisions. As a result of such acquisitions, competition in our market may continue to increase and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As our customers refresh the security products bought in prior years, they may seek to consolidate vendors, which may result in current customers choosing to purchase products from our competitors on an ongoing basis. Due to budget constraints or economic downturns, organizations may be more willing to incrementally add solutions to their existing network security infrastructure from competitors than to</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replace it with our solutions. These competitive pressures in our market or our failure to compete effectively may result in price reductions, fewer customer orders, reduced revenue and gross margins and loss of market share.</w:t>
      </w:r>
    </w:p>
    <w:p>
      <w:pPr>
        <w:spacing w:after="0" w:line="19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Managing inventory of our products and product components is complex. We order components from third-party manufacturers based on our forecasts of future demand and targeted inventory levels, which exposes us to the risk of both product shortages, which may result in lost sales and higher expenses, and excess inventory, which may require us to sell our products at discounts and lead to write-offs.</w:t>
      </w:r>
    </w:p>
    <w:p>
      <w:pPr>
        <w:spacing w:after="0" w:line="188"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Managing our inventory is complex, especially in times of supply chain disruption. Our channel partners may increase orders during periods of product shortages, cancel orders or not place orders commensurate with our expectations if their inventory is too high, return products or take advantage of price protection (if any is available to the particular partner) or delay orders in anticipation of new products, and accurately forecasting inventory requirements and demand can be challenging. Our channel partners also may adjust their orders in response to the supply of our products and the products of our competitors that are available to them and in response to seasonal fluctuations in end-customer demand. If we cannot manufacture and ship our products due to, for example, global chip shortages, excessive demand on contract manufacturers capacity, natural disasters and health emergencies such as earthquakes, fires, power outages, typhoons, floods, cyber events, pandemics and epidemics or manmade events such as civil unrest, labor disruption, international trade disputes, international conflicts, terrorism, wars or other foreign conflicts, such as the war in Ukraine and the Israel-Hamas war or tensions between China and Taiwan, and critical infrastructure attacks, our business and financial results could be materially and adversely impacted. The conflicts in the Middle East highlights potential risks associated with geopolitical instability in the region, including disruption to shipping routes, longer lead times for components and products, increased insurance costs for vessels passing through conflict zones, potential increased costs for shipping and products, and potential delays and interruptions in the supply chain. We may face challenges in sourcing materials, fulfilling orders, and managing logistics efficiently, which could ultimately affect our operations, financial performance and overall business continuity.</w:t>
      </w:r>
    </w:p>
    <w:p>
      <w:pPr>
        <w:spacing w:after="0" w:line="216"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In response to component shortages in previous periods, we increased our purchase order commitments. Our suppliers may require us to accept or pay for components and finished goods regardless of our level of sales in a particular period, which may negatively impact our operating results and financial condition. For additional information and a further discussion of impacts and risks related to our purchase commitments with our suppliers, refer to Note 12. Commitments and Contingencies in Part II, Item 8 of this Annual Report on Form 10-K.</w:t>
      </w:r>
    </w:p>
    <w:p>
      <w:pPr>
        <w:spacing w:after="0" w:line="221"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Inventory management remains an area of focus as we balance the need to maintain inventory levels that are sufficient to ensure competitive lead times against the risk of inventory obsolescence because of rapidly changing technology, product transitions, customer requirements or excess inventory levels. If we ultimately determine that we have excess inventory, we may have to reduce our prices and write-down inventory, which in turn could result in lower gross margins. Alternatively, insufficient inventory levels may lead to shortages that result in delayed billings and revenue or loss of sales opportunities altogether as potential end-customers turn to competitors’ products that are readily available. For example, we have in the past experienced inventory shortages and excesses due to the variance in demand for certain products from forecasted amounts. Our inventory management systems and related supply chain visibility tools may be inadequate to enable us to effectively manage inventory. If we are unable to effectively manage our inventory and that of our channel partners, our results of operations could be adversely affected.</w:t>
      </w:r>
    </w:p>
    <w:p>
      <w:pPr>
        <w:spacing w:after="0" w:line="21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new products, services and enhancements do not achieve sufficient market acceptance, our results of operations and competitive position will suffer.</w:t>
      </w:r>
    </w:p>
    <w:p>
      <w:pPr>
        <w:spacing w:after="0" w:line="18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spend substantial amounts of time and money to develop internally and acquire new products and services and enhance versions of our existing products and services in order to incorporate additional features, improved functionality or other enhancements in order to meet our customers’ rapidly evolving demands for network security in our highly competitive industry. When we develop a new product or service, or an enhanced version of an existing product or service, we typically incur expenses and expend resources upfront to market, promote and sell the new offering. Therefore, when we develop and introduce new or enhanced products or services, they must achieve high levels of market acceptance in order to justify the amount of our investment in developing and bringing them to market.</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new products, services or enhancements could fail to attain sufficient market acceptance for many reasons, including:</w:t>
      </w:r>
    </w:p>
    <w:p>
      <w:pPr>
        <w:spacing w:after="0" w:line="225"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releasing our new products, services or enhancements to the market;</w:t>
      </w:r>
    </w:p>
    <w:p>
      <w:pPr>
        <w:spacing w:after="0" w:line="225" w:lineRule="exact"/>
        <w:rPr>
          <w:rFonts w:ascii="Times New Roman" w:cs="Times New Roman" w:eastAsia="Times New Roman" w:hAnsi="Times New Roman"/>
          <w:sz w:val="18"/>
          <w:szCs w:val="18"/>
          <w:color w:val="auto"/>
        </w:rPr>
      </w:pPr>
    </w:p>
    <w:p>
      <w:pPr>
        <w:ind w:left="1300" w:right="240" w:hanging="644"/>
        <w:spacing w:after="0" w:line="282" w:lineRule="auto"/>
        <w:tabs>
          <w:tab w:leader="none" w:pos="12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accurately predict market demand in terms of product and service functionality and to supply products and services that meet this demand in a timely fashion;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have the appropriate research and development expertise and focus to make our top strategic products and services successful;</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sales force and partners to focus on selling new products and services;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interoperate effectively with the networks or applications of our prospective end-customers;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protect against new types of attacks or techniques used by hackers;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defects, vulnerabilities, errors or failures;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about their performance or effectiveness;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or anticipated introduction of competing products and services by our competitors;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business conditions for our end-customers, causing them to delay IT purchases;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regulatory requirements around security;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reluctance of customers to purchase products or services incorporating open source software.</w:t>
      </w:r>
    </w:p>
    <w:p>
      <w:pPr>
        <w:spacing w:after="0" w:line="225"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If our new products, services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service or enhancement.</w:t>
      </w:r>
    </w:p>
    <w:p>
      <w:pPr>
        <w:spacing w:after="0" w:line="19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changing end-customer needs, and expanding regulatory requirements and standards, our competitive position and prospects may be harmed.</w:t>
      </w:r>
    </w:p>
    <w:p>
      <w:pPr>
        <w:spacing w:after="0" w:line="188"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of the requirements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time-consuming research and development processes. For example, we enter into development agreements with third parties. If our development projects are not successfully completed, or are not completed in a timely fashion, our product development could be delayed and our business generally could suffer. Costs for development can be substantial and our profitability may be harmed if we are unable to recover these costs.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releasing and making available on a timely basis new products and services or enhancements that can respond adequately to new security threats, our competitive position and business prospects may be harmed.</w:t>
      </w:r>
    </w:p>
    <w:p>
      <w:pPr>
        <w:spacing w:after="0" w:line="214"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Moreover, business models based on a subscription cloud-based software service have become increasingly in demand by our end-customers and adopted by other providers, including our competitors. While we have introduced additional cloud-based solutions and will continue to do so, most of our platform is currently deployed on premise, and therefore, as customers demand that solutions be provided through a subscription cloud-based business model, we are making additional investments in our infrastructure and personnel to be able to more fully provide our platform through a subscription cloud-based model in order to maintain the competitiveness of our platform. Such investments involve expanding our data centers, servers and networks, and increasing our technical operations and engineering teams and this results in added cost and risks associated with managing new business models, such as obligations to deliver certain functionality and features and to meet certain service level agreements related to cloud-based solutions. There is also a risk that we are slower to offer these solutions than competitors. The risks are compounded by the uncertainty concerning the future success of any of our particular subscription</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cloud-based business models and the future demand for our subscription cloud-based models by customers. Additionally, if we are unable to meet the demand to provide our services effectively through a subscription cloud-based model, we may lose customers to competitors.</w:t>
      </w:r>
    </w:p>
    <w:p>
      <w:pPr>
        <w:spacing w:after="0" w:line="199"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our products may be limited by market perception that individual products from one vendor that provide multiple layers of security protection in one product are inferior to point products from multiple vendors.</w:t>
      </w:r>
    </w:p>
    <w:p>
      <w:pPr>
        <w:spacing w:after="0" w:line="15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Sales of many of our products depend on increased demand for incorporating broad security functionality into one appliance. If the market for these products fails to grow as we anticipate, our business will be seriously harmed. Target customers may view “all-in-one” network security solutions as inferior to security solutions from multiple vendors because of, among other things, their perception that such products of ours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our solutions create a “single point of failure” in their networks, which means that an error, vulnerability or failure of our product may place the entire network at risk. In addition, the market perception that “all-in-one” solutions may be suitable only for small and medium-sized businesses because such solution lacks the performance capabilities and functionality of other solutions may harm our sales to large businesses, service provider and government organization end-customers. If the foregoing concerns and perceptions become prevalent, even if there is no factual basis for these concerns and perceptions, or if other issues arise with our market in general, demand for multi-security functionality products could be severely limited, which would limit our growth and harm our business, financial condition and results of operations. Further, a successful and publicized targeted attack against us, exposing a “single point of failure”, could significantly increase these concerns and perceptions and may harm our business and results of operations.</w:t>
      </w:r>
    </w:p>
    <w:p>
      <w:pPr>
        <w:spacing w:after="0" w:line="21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Large, well-established providers of networking equipment, such as Cisco,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213"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and third-party manufacturing cost increases could result in lower gross margins and free cash flow.</w:t>
      </w:r>
    </w:p>
    <w:p>
      <w:pPr>
        <w:spacing w:after="0" w:line="188"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We outsource the manufacturing of our security appliance products to contract manufacturing partners and original design manufacturing partners, including manufacturers with facilities located in Taiwan and other countries outside the United States such as ADLINK, IBASE, Micro-Star, Senao and Wistron. Our reliance on our third-party manufacturers reduces our control over the manufacturing process, exposing us to risks, including reduced control over quality assurance, costs, supply and timing and possible tariffs. Any manufacturing disruption related to our third-party manufacturers or their component suppliers for any reason, including global chip shortages, natural disasters and health emergencies such as earthquakes, fires, power outages, typhoons, floods, health pandemics and epidemics and manmade events such as civil unrest, labor disruption, cyber events, international trade disputes, international conflicts, terrorism, wars, such as the war in Ukraine and the Israel-Hamas war, and critical infrastructure attacks,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 Further, certain components for our products come from Taiwan and approximately 95%</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of our hardware is manufactured in Taiwan. Any increase in tensions between China and Taiwan, including threats of military actions or escalation of military activities, could adversely affect our manufacturing operations in Taiwan.</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These manufacturers fulfill our supply requirements on the basis of individual purchase orders. We have no long-term contracts or arrangements with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or shipping interruptions for any reason, such as a natural disaster, epidemics, pandemics, capacity shortages, quality problems or strike or other labor disruption at one of our manufacturing partners or locations or at shipping ports or locations, would severely affect sales of our product lines manufactured by that manufacturing partner. Furthermore, manufacturing cost increases for any reason could result in lower gross margins.</w:t>
      </w:r>
    </w:p>
    <w:p>
      <w:pPr>
        <w:spacing w:after="0" w:line="188"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Our proprietary ASIC, which are key to the performance of our appliances, are built by contract manufacturers including Renesas and Toshiba America. These contract manufacturers use foundries operated by TSMC or Renesas on a purchase-order basis, and these foundries do not guarantee their capacity and could delay orders or increase their pricing. Accordingly, the foundries are not obligated to continue to fulfill our supply requirements, and due to the long lead time that a new foundry would require, we could suffer inventory shortages of our ASIC as well as increased costs. In addition to our proprietary ASIC, we also purchase off-the-shelf ASICs or integrated circuits from vendors for which we have experienced, and may continue to experience, long lead times. Our suppliers may also prioritize orders by other companies that order higher volumes or more profitable products. If any of these manufacturers materially delays its supply of ASICs or specific product models to us, or requires us to find an alternate supplier and we are not able to do so on a timely and reasonable basis, or if these foundries materially increase their prices for fabrication of our ASICs, our business would be harmed.</w:t>
      </w:r>
    </w:p>
    <w:p>
      <w:pPr>
        <w:spacing w:after="0" w:line="219"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In addition, our reliance on third-party manufacturers and foundries limits our control over environmental regulatory requirements such as the hazardous substance content of our products and therefore our ability to ensure compliance with the Restriction of Hazardous Substances Directive (the “EU RoHS”) adopted in the European Union (the “EU”) and other similar laws. It also exposes us to the risk that certain minerals and metals, known as “conflict minerals”, that are contained in our products have originated in the Democratic Republic of the Congo or an adjoining country. As a result of the passage of the Dodd-Frank Wall Street Reform and Consumer Protection Act of 2010 (“Dodd-Frank”), the Securities and Exchange Commission (the “SEC”) adopted disclosure requirements for public companies whose products contain conflict minerals that are necessary to the functionality or production of such products. Under these rules, we are required to obtain sourcing data from suppliers, perform supply chain due diligence, and file annually with the SEC a specialized disclosure report on Form SD covering the prior calendar year. We have incurred and expect to incur additional costs to comply with the rules, including costs related to efforts to determine the origin, source and chain of custody of the conflict minerals used in our products and the adoption of conflict minerals-related governance policies, processes and controls. Moreover, the implementation of these compliance measures could adversely affect the sourcing, availability and pricing of materials used in the manufacture of our products to the extent that there may be only a limited number of suppliers that are able to meet our sourcing requirements, which would make it more difficult to obtain such materials in sufficient quantities or at competitive prices. We may also encounter customers who require that all of the components of our products be certified as conflict-free. If we are not able to meet customer requirements, such customers may choose to not purchase our products, which could impact our sales and the value of portions of our inventory.</w:t>
      </w:r>
    </w:p>
    <w:p>
      <w:pPr>
        <w:spacing w:after="0" w:line="219"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some of the key components in our products come from limited sources of supply, we are susceptible to supply shortages, long or uncertain lead times for components, and supply changes, each of which could disrupt or delay our scheduled product deliveries to our customers, result in inventory shortage, cause loss of sales and customers or increase component costs resulting in lower gross margins and free cash flow.</w:t>
      </w:r>
    </w:p>
    <w:p>
      <w:pPr>
        <w:spacing w:after="0" w:line="188" w:lineRule="exact"/>
        <w:rPr>
          <w:sz w:val="20"/>
          <w:szCs w:val="20"/>
          <w:color w:val="auto"/>
        </w:rPr>
      </w:pPr>
    </w:p>
    <w:p>
      <w:pPr>
        <w:ind w:right="120" w:firstLine="648"/>
        <w:spacing w:after="0" w:line="237" w:lineRule="auto"/>
        <w:rPr>
          <w:sz w:val="20"/>
          <w:szCs w:val="20"/>
          <w:color w:val="auto"/>
        </w:rPr>
      </w:pPr>
      <w:r>
        <w:rPr>
          <w:rFonts w:ascii="Times New Roman" w:cs="Times New Roman" w:eastAsia="Times New Roman" w:hAnsi="Times New Roman"/>
          <w:sz w:val="18"/>
          <w:szCs w:val="18"/>
          <w:color w:val="auto"/>
        </w:rPr>
        <w:t>We and our contract manufacturers currently purchase several key parts and components used in the manufacture of our products from limited sources of supply. We are therefore subject to the risk of shortages and long or uncertain lead times in the supply of these components and the risk that component suppliers may discontinue or modify components used in our products. We have in the past experienced shortages and long or uncertain lead times for certain components. Our limited source components for particular appliances and suppliers of those components include specific types of CPUs from Intel and AMD, network and wireless chips from Broadcom, Marvell, Qualcomm and Intel, and memory devices from Intel, Micron, ADATA, Toshiba, Samsung and Western Digital. We also may face shortages in the supply of the capacitors and resistors that are used in the manufacturing of our products, which may persist for an indefinite period of time. The introduction by component suppliers of new versions of their products, particularly if not anticipated by us or our contract manufacturers, could</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204"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Although we have increased our purchase order commitments to support long-term customer demand, if we are unable to obtain sufficient quantities of any of these components on commercially reasonable terms or in a timely manner, or if we are unable to obtain alternative sources for these components, shipments of our products could be delayed or halted entirely or we may be required to redesign our products. Any of these events could result in a cancellation of orders, lost sales, reduced gross margins or damage to our end customer relationships, which would adversely impact our business, financial condition, results of operations and prospects. Additionally, if actual demand does not directly match with our demand forecasts, due to our purchase order commitments, we could be required to accept or pay for components and finished goods. This may result in us discounting our products or excess or obsolete inventory, which we would be required to write down to its estimated realizable value, which in turn could result in lower gross margins. Our reliance on a limited number of suppliers involves several additional risks, including:</w:t>
      </w:r>
    </w:p>
    <w:p>
      <w:pPr>
        <w:spacing w:after="0" w:line="228" w:lineRule="exact"/>
        <w:rPr>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inability to obtain an adequate supply of required parts or components when required;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or other difficulties faced by our suppliers;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or misappropriation of our IP;</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increases;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 component to meet environmental or other regulatory requirements;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delivery obligations in a timely fashion;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in component quality; and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ship products on a timely basis.</w:t>
      </w:r>
    </w:p>
    <w:p>
      <w:pPr>
        <w:spacing w:after="0" w:line="22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occurrence of any of these events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spacing w:after="0" w:line="20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offer retroactive price protection to certain of our major distributors in North America, and if we fail to balance their inventory with end-customer demand for our products, our allowance for price protection may be inadequate, which could adversely affect our results of operations.</w:t>
      </w:r>
    </w:p>
    <w:p>
      <w:pPr>
        <w:spacing w:after="0" w:line="18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provide certain of our major distributors in North America with price protection rights for inventories of our products held by them. If we reduce the list price of our products, as we have recently done, certain distributors in North America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certain of our major distributors’ inventories in North America. If future price protection adjustments are higher than expected, our future results of operations could be materially and adversely affected.</w:t>
      </w:r>
    </w:p>
    <w:p>
      <w:pPr>
        <w:spacing w:after="0" w:line="20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sales prices of our products and services may decrease, which may reduce our gross profits and operating margin and may adversely impact our financial results and the trading price of our common stock.</w:t>
      </w:r>
    </w:p>
    <w:p>
      <w:pPr>
        <w:spacing w:after="0" w:line="159"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The sales prices for our products and services may decline for a variety of reasons or our product mix may change, resulting in lower growth and margins based on a number of factors, including competitive pricing pressures, discounts or promotional programs we offer, a change in our mix of products and services and anticipation of the introduction of new products and services. We have recently conducted such price decreases. Competition continues to increase in the market segments in which we participate, and we expect competition to further increase in the future, thereby leading to increased pricing pressures. Larger competitors with more diverse product offerings may reduce the price of products and services that compete with ours in order to promote the sale of other products or services or may bundle them with other products or</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services. Additionally, although we price our products and services worldwide in U.S. dollars, currency fluctuations in certain countries and regions have in the past, and may in the future, negatively impact actual prices that partners and customers are willing to pay in those countries and regions. Furthermore, we anticipate that the sales prices and gross profits for our products or services will decrease over product life cycles. We cannot ensure that we will be successful in developing and introducing new offerings with enhanced functionality on a timely basis, or that our product and service offerings, if introduced, will enable us to maintain our prices, gross profits and operating margin at levels that will allow us to maintain profitability.</w:t>
      </w:r>
    </w:p>
    <w:p>
      <w:pPr>
        <w:spacing w:after="0" w:line="17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possible or perceived defects, errors or vulnerabilities in our products or services, the failure of our products or services to detect or prevent a security incident, or the misuse of our products could harm our operational results and reputation.</w:t>
      </w:r>
    </w:p>
    <w:p>
      <w:pPr>
        <w:spacing w:after="0" w:line="17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7"/>
          <w:szCs w:val="17"/>
          <w:color w:val="auto"/>
        </w:rPr>
        <w:t>Our products and services are complex, and they have contained and may contain defects, errors or vulnerabilities that are not detected until after their commercial release and deployment by our customers. Defects, errors or vulnerabilities may impede or block network traffic, cause our products or services to be vulnerable to electronic break-ins, cause them to fail to help secure our customers or cause our products or services to allow unauthorized access to our customers’ networks. Following a review in accordance with our publicly available Product Security Incident Response Team policy, our Product Security Incident Response Team publicly posts on our FortiGuard Labs website known product vulnerabilities, including critical vulnerabilities, and methods for customers to mitigate the risk of vulnerabilities. There can be no assurance, however, that such posts will be sufficiently timely, accurate or</w:t>
      </w:r>
    </w:p>
    <w:p>
      <w:pPr>
        <w:spacing w:after="0" w:line="4"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18"/>
          <w:szCs w:val="18"/>
          <w:color w:val="auto"/>
        </w:rPr>
        <w:t>complete or that those customers will take steps to mitigate the risk of vulnerabilities, and certain customers may be negatively impacted. Additionally, any perception that our products have vulnerabilities, whether or not accurate, and any actual vulnerabilities may harm our operational results and reputation, more significantly as compared to certain other companies in other industries because we are a security company. Our products are also susceptible to errors, defects, logic flaws, vulnerabilities and inserted vulnerabilities that may arise in, or be included in our products in, different stages of our supply chain, manufacturing and shipment processes, and a threat actor’s exploitation of these weaknesses may be difficult to anticipate, prevent, and detect. If we are unable to maintain an effective supply chain security risk management and products security program, then the security and integrity of our products and the updates to those products that our customers receive could be exploited by third parties or insiders. Different customers deploy and use our products in different ways, and certain deployments and usages may subject our products to adverse conditions that may negatively impact the effectiveness and useful lifetime of our products. Our networks and products, including cloud-based technology, could be targeted by attacks specifically designed to disrupt our business and harm our operational results and reputation. We cannot ensure that our products will prevent all adverse security events. Because the techniques used by malicious adversaries to access or sabotage networks change frequently and generally are not recognized until launched against a target, we may be unable to anticipate these techniques. In addition, defects or errors in our FortiGuard and other security subscription or FortiCare updates or our Fortinet appliances and operating systems could result in a failure of our FortiGuard and other security subscription services to effectively or correctly update end-customers’ Fortinet appliances and cloud-based products and thereby leave customers vulnerable to attacks. Furthermore, our solutions may also fail to detect or prevent viruses, worms, ransomware attacks or similar threats due to a number of reasons such as the evolving nature of such threats and the continual emergence of new threats that we may fail to anticipate or add to our FortiGuard databases in time to protect our end-customers’ networks. Our data centers and networks and those of our hosting vendors and cloud service providers may also experience technical failures and downtime, and may fail to distribute appropriate updates, or fail to meet the increased requirements of our customer base. Any such technical failure, downtime or failures in general may temporarily or permanently expose our end-customers’ networks, leaving their networks unprotected against the latest security threats.</w:t>
      </w:r>
    </w:p>
    <w:p>
      <w:pPr>
        <w:spacing w:after="0" w:line="213" w:lineRule="exact"/>
        <w:rPr>
          <w:sz w:val="20"/>
          <w:szCs w:val="20"/>
          <w:color w:val="auto"/>
        </w:rPr>
      </w:pPr>
    </w:p>
    <w:p>
      <w:pPr>
        <w:ind w:right="140" w:firstLine="648"/>
        <w:spacing w:after="0" w:line="237" w:lineRule="auto"/>
        <w:rPr>
          <w:sz w:val="20"/>
          <w:szCs w:val="20"/>
          <w:color w:val="auto"/>
        </w:rPr>
      </w:pPr>
      <w:r>
        <w:rPr>
          <w:rFonts w:ascii="Times New Roman" w:cs="Times New Roman" w:eastAsia="Times New Roman" w:hAnsi="Times New Roman"/>
          <w:sz w:val="18"/>
          <w:szCs w:val="18"/>
          <w:color w:val="auto"/>
        </w:rPr>
        <w:t>An actual, possible or perceived security incident or infection of the network of one of our end-customers, regardless of whether the incident is attributable to the failure of our products or services to prevent or detect the security incident, or any actual or perceived security risk in our supply chain, could adversely affect the market’s perception of our security products and services, cause customers and customer prospects not to buy from us and, in some instances, subject us to potential liability that is not contractually limited. We may not be able to correct any security flaws or vulnerabilities promptly, or at all. Our products may also be misused or misconfigured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 party. Any actual, possible or perceived defects, errors or vulnerabilities in our products, or misuse of our products, could result in:</w:t>
      </w:r>
    </w:p>
    <w:p>
      <w:pPr>
        <w:spacing w:after="0" w:line="199" w:lineRule="exact"/>
        <w:rPr>
          <w:sz w:val="20"/>
          <w:szCs w:val="20"/>
          <w:color w:val="auto"/>
        </w:rPr>
      </w:pPr>
    </w:p>
    <w:p>
      <w:pPr>
        <w:ind w:left="1300" w:right="120" w:hanging="644"/>
        <w:spacing w:after="0" w:line="282" w:lineRule="auto"/>
        <w:tabs>
          <w:tab w:leader="none" w:pos="12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expenditure of significant financial and product development resources in efforts to analyze, correct, eliminate or work around errors or defects or to address and eliminate vulnerabilities;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existing or potential end-customers or channel partners;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or lost revenue;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attain market acceptance;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and harm to our reputation; and</w:t>
      </w:r>
    </w:p>
    <w:p>
      <w:pPr>
        <w:spacing w:after="0" w:line="225" w:lineRule="exact"/>
        <w:rPr>
          <w:rFonts w:ascii="Times New Roman" w:cs="Times New Roman" w:eastAsia="Times New Roman" w:hAnsi="Times New Roman"/>
          <w:sz w:val="18"/>
          <w:szCs w:val="18"/>
          <w:color w:val="auto"/>
        </w:rPr>
      </w:pPr>
    </w:p>
    <w:p>
      <w:pPr>
        <w:ind w:left="1300" w:right="640" w:hanging="644"/>
        <w:spacing w:after="0" w:line="282"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requirements, litigation, regulatory inquiries or investigations that may be costly and harm our reputation and, in some instances, subject us to potential liability that is not contractually limited.</w:t>
      </w:r>
    </w:p>
    <w:p>
      <w:pPr>
        <w:spacing w:after="0" w:line="185"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uniform resource locator (“URL”) database for our web filtering service may fail to keep pace with the rapid growth of URLs and may not categorize websites in accordance with our end-customers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expectations.</w:t>
      </w:r>
    </w:p>
    <w:p>
      <w:pPr>
        <w:spacing w:after="0" w:line="18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could impair the market acceptance of our products, which in turn could harm our business, financial condition and results of operations.</w:t>
      </w:r>
    </w:p>
    <w:p>
      <w:pPr>
        <w:spacing w:after="0" w:line="21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could impair the growth of our business.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False detection of vulnerabilities, viruses or security incidents or false identification of spam or spyware could adversely affect our business.</w:t>
      </w:r>
    </w:p>
    <w:p>
      <w:pPr>
        <w:spacing w:after="0" w:line="25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FortiGuard and other security subscription services may falsely detect, report and act on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FortiGuard and other security subscription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In addition, our threat researchers periodically identify vulnerabilities in various third-party products, and, if these identifications are perceived to be incorrect or are in fact incorrect, this could harm our business. Any such false identification or perceived false identification of important files, applications or vulnerabilities could result in negative publicity, loss of end-customers and sales, increased costs to remedy any problem and costly litigation.</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ability to sell our products is dependent on our quality control processes and the quality of our technical support services, and our failure to offer high-quality technical support services could have a material adverse effect on our sales and results of operations.</w:t>
      </w:r>
    </w:p>
    <w:p>
      <w:pPr>
        <w:spacing w:after="0" w:line="19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Once our products are deployed within our end-customers’ networks, our end-customers depend on our technical support services, as well as the support of our channel partners and other third parties, to resolve any issues relating to our products. If we, our channel partners or other third parties do not effectively assist our customers in planning, deploying and operational proficiency for our products, succeed in helping our customers quickly resolve post-deployment issues and provide effective ongoing support, our ability to sell additional products and services to existing customers could be adversely affected and our reputation with potential customers could be damaged. Many large end-customers, and service provider or government organization end-customers, require higher levels of support than smaller end-customers because of their more complex deployments and more demanding environments and business models. If we, our channel partners or other third parties fail to meet the requirements of our larger end-customers, it may be more difficult to execute on our strategy to increase our penetration with large businesses, service providers and government organizations. Our failure to maintain high-quality support services could have a material adverse effect on our business, financial condition and results of operations and may subject us to litigation, reputational damage, loss of customers and additional costs.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warranty claims, product returns, product liability and product defects.</w:t>
      </w:r>
    </w:p>
    <w:p>
      <w:pPr>
        <w:spacing w:after="0" w:line="25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Our products are very complex and, despite testing prior to their release, have contained and may contain undetected defects or errors, especially when first introduced or when new versions are released. Product errors have affected the performance and effectiveness of our products and could delay the development or release of new products or new versions of products, adversely affect our reputation and our end-customers’ willingness to buy products from us, result in litigation and disputes with customers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litigation, litigation costs and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90"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Although we generally have limitation of liability provisions in our standard terms and conditions of sale, they may not fully or effectively protect us from claims if exceptions apply or if the provisions are deemed unenforceable, and in some circumstances, we may be required to indemnify a customer in full, without limitation, for certain liabilities, including liabilities that are not contractually limited. The sale and support of our products also entail the risk of product liability claims. We maintain insurance to protect against certain claims associated with the use of our products, but our insurance coverage may not adequately cover any claim asserted against us, if at all, and in some instances may subject us to potential liability that is not contractually limited. In addition, even claims that ultimately are unsuccessful could result in our expenditure of funds in litigation and divert management’s time and other resources.</w:t>
      </w:r>
    </w:p>
    <w:p>
      <w:pPr>
        <w:spacing w:after="0" w:line="21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availability of our cloud-based subscription services does not meet our service-level commitments to our customers, our current and future revenue may be negatively impacted.</w:t>
      </w:r>
    </w:p>
    <w:p>
      <w:pPr>
        <w:spacing w:after="0" w:line="172"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We typically commit to our customers that our cloud-based subscription services will maintain a minimum service-level of availability. If we are unable to meet these commitments, this could negatively impact our business. We rely on public cloud providers, such as Amazon Web Services, Microsoft Azure and Google Cloud, co-location providers, such as Equinix, and our own data centers and points of presence (“PoPs”), and any availability interruption in any of these cloud solutions could result in us not meeting our service-level commitments to our customers. In some cases, we may not have a contractual right with our public cloud or co-location providers that compensates us for any losses due to availability interruptions in our cloud-based subscription services. Further, any failure to meet our service-level commitments could damage our reputation and adoption of our cloud-based subscription services, and we could face loss of revenue from reduced future subscriptions and reduced sales and face additional costs associated with any failure to meet service-level agreements. Any service-level failures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Systems and Technology</w:t>
      </w:r>
    </w:p>
    <w:p>
      <w:pPr>
        <w:spacing w:after="0" w:line="23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our internal enterprise IT networks, on which we conduct internal business and interface externally, our operational networks, through which we connect to customers, vendors and partners systems and provide services, or our research and development networks, our back-end labs and cloud stacks hosted in our data centers, colocation vendors or public cloud providers, through which we research, develop and host products and services, are compromised, public perception of our products and services may be harmed, our customers may be breached and harmed, we may become subject to liability, and our business, operating results and stock price may be adversely impacted.</w:t>
      </w:r>
    </w:p>
    <w:p>
      <w:pPr>
        <w:spacing w:after="0" w:line="197"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Our success depends on the market’s confidence in our ability to provide effective network security protection. Despite our efforts and processes to prevent breaches of our internal networks, systems and websites, we are still vulnerable to computer viruses, break-ins, phishing attacks, ransomware attacks, attempts to overload our servers with denial-of-service, vulnerabilities in vendor hardware and software that we leverage, advanced persistent threats from sophisticated actors and other cyber-attacks and similar disruptions from unauthorized access to our internal networks, systems or websites. Our security measures may also be breached due to employee error, malfeasance or otherwise, which breaches may be more difficult to detect than outsider threats, and the existing programs and trainings we have in place to prevent such insider threats may not be effective or sufficient. Third parties may also attempt to fraudulently induce our employees to transfer funds or disclose information in order to gain access to our networks and confidential information. Third parties may also send our customers or others malware or malicious emails that falsely indicate that we are the source, potentially causing lost confidence in us and reputational harm. We cannot guarantee that the measures we have taken to protect our networks, systems and websites will provide adequate security. Moreover, because we provide network security products, we may be a more attractive target for attacks by computer hackers and any security breaches and other security incidents involving us may result in more harm to our reputation and brand than companies that do not sell network security solutions. Hackers and malicious parties may be able to develop and deploy viruses, worms, ransomware and other malicious software programs that attack our products and customers, that impersonate our update servers in an effort to access customer networks and negatively impact customers, or otherwise exploit any security vulnerabilities of our products, or attempt to fraudulently induce our employees, customers or others to disclose passwords or other sensitive information or unwittingly provide access to our internal networks, systems or data. Moreover, the threat landscape continues to evolve as a result of new technologies, including artificial intelligence (“AI”), and malicious parties may use AI to help attack our solutions, systems, and our customers.</w:t>
      </w:r>
    </w:p>
    <w:p>
      <w:pPr>
        <w:spacing w:after="0" w:line="212" w:lineRule="exact"/>
        <w:rPr>
          <w:sz w:val="20"/>
          <w:szCs w:val="20"/>
          <w:color w:val="auto"/>
        </w:rPr>
      </w:pPr>
    </w:p>
    <w:p>
      <w:pPr>
        <w:ind w:right="100" w:firstLine="648"/>
        <w:spacing w:after="0" w:line="237" w:lineRule="auto"/>
        <w:rPr>
          <w:sz w:val="20"/>
          <w:szCs w:val="20"/>
          <w:color w:val="auto"/>
        </w:rPr>
      </w:pPr>
      <w:r>
        <w:rPr>
          <w:rFonts w:ascii="Times New Roman" w:cs="Times New Roman" w:eastAsia="Times New Roman" w:hAnsi="Times New Roman"/>
          <w:sz w:val="18"/>
          <w:szCs w:val="18"/>
          <w:color w:val="auto"/>
        </w:rPr>
        <w:t>For example, from time to time, we have discovered that unauthorized parties have targeted us using sophisticated techniques, including by stealing technical data and attempting to steal private encryption keys, in an effort to both impersonate our products and threat intelligence update services and possibly attempt other attack methodologies. Using these techniques, these unauthorized parties have tried, and may in the future try, to gain access to certain of our and our customers’ systems. We have also, for example, discovered that unauthorized parties have targeted vulnerabilities in our product software and infrastructure in an effort to gain entry into our customers’ networks. In addition, in general threat actors use dark web forums to sell organizations’ stolen credentials. If threat actors sell valid credentials used by our customers to access our services, it is possible that unauthorized third parties may use such stolen credentials to try to gain access to our services</w:t>
      </w:r>
      <w:r>
        <w:rPr>
          <w:rFonts w:ascii="Times New Roman" w:cs="Times New Roman" w:eastAsia="Times New Roman" w:hAnsi="Times New Roman"/>
          <w:sz w:val="18"/>
          <w:szCs w:val="18"/>
          <w:color w:val="008080"/>
        </w:rPr>
        <w:t>.</w:t>
      </w:r>
      <w:r>
        <w:rPr>
          <w:rFonts w:ascii="Times New Roman" w:cs="Times New Roman" w:eastAsia="Times New Roman" w:hAnsi="Times New Roman"/>
          <w:sz w:val="18"/>
          <w:szCs w:val="18"/>
          <w:color w:val="auto"/>
        </w:rPr>
        <w:t xml:space="preserve"> These and other hacking efforts against us and our customers may be ongoing and may happen in the future.</w:t>
      </w:r>
    </w:p>
    <w:p>
      <w:pPr>
        <w:spacing w:after="0" w:line="228"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Although we take numerous measures and implement multiple layers of security to protect our networks, we cannot guarantee that our security products, processes and services will secure against all threats. Further, we cannot be sure that third parties have not been, or will not in the future be, successful in improperly accessing our systems and our customers’ systems, which could negatively impact us and our customers. An actual breach could significantly harm us and our customers, and an actual or perceived breach, or any other actual or perceived data security incident, threat or vulnerability, that involves our supply chains, networks, systems or websites and/or our customers’ supply chains, networks, systems or websites could adversely affect the market perception of our products and services and investor confidence in our company. Any breach of our networks, systems or websites could impair our ability to operate our business, including our ability to provide FortiGuard and other security subscription and FortiCare technical support services to our end-customers, lead to interruptions or system slowdowns, cause loss of critical data or lead to the unauthorized disclosure or use of confidential, proprietary or sensitive information. We could also be subject to liability and litigation and reputational harm and our channel partners and end-customers may be harmed, lose confidence in us and decrease or cease using our products and services. Any breach of our internal networks, systems or websites could have an adverse effect on our business, operating results and stock price.</w:t>
      </w:r>
    </w:p>
    <w:p>
      <w:pPr>
        <w:spacing w:after="0" w:line="205"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In addition, there has been a general increase in phishing attempts and spam emails as well as social engineering attempts from hackers, and many of our employees continue to work remotely which may pose additional data security risks in the event remote work environments are not as secure as office environments. Any security incident could negatively impact our reputation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appropriately manage any future growth, including through the expansion of our real estate facilities, or are unable to improve our systems, processes and controls, our operating results will be negatively affected.</w:t>
      </w:r>
    </w:p>
    <w:p>
      <w:pPr>
        <w:spacing w:after="0" w:line="159"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18"/>
          <w:szCs w:val="18"/>
          <w:color w:val="auto"/>
        </w:rPr>
        <w:t>We rely heavily on information technology to help manage critical functions such as order configuration, pricing and quoting, revenue recognition, financial forecasts, inventory and supply chain management and trade compliance reviews. In addition, we have been slow to adopt and implement certain automated functions, which could have a negative impact on our business. For example, our order processing relies on both manual data entry of customer purchase orders received through email and electronic data interchange (EDI). Due to the use of manual processes and the fact that we may receive a large amount of our orders in the last few weeks of any given quarter, an interruption in our email service or other systems could result in delayed order fulfillment and decreased billings and revenue for that quarter.</w:t>
      </w:r>
    </w:p>
    <w:p>
      <w:pPr>
        <w:spacing w:after="0" w:line="205"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To manage any future growth effectively, we must continue to improve and expand our information technology and financial, operating, security and administrative systems and controls, and our business continuity and disaster recovery plans and processes. We must also continue to manage headcount, capital and processes in an efficient manner. We may not be able to successfully implement requisite improvements to these systems, controls and processes, such as system capacity, access, security and change management controls, in a timely or efficient manner. Our failure to improve our systems and processes, or their failure to operate in the intended manner, whether as a result of the significant growth of our business or otherwise, may result in our inability to manage the growth of our business and to accurately forecast our revenue, expenses and earnings, or to prevent certain losses. Moreover, the failure of our systems and processes could undermine our ability to provide accurate, timely and reliable reports on our financial and operating results and could impact the effectiveness of our internal control over financial reporting.</w:t>
      </w:r>
    </w:p>
    <w:p>
      <w:pPr>
        <w:spacing w:after="0" w:line="219" w:lineRule="exact"/>
        <w:rPr>
          <w:sz w:val="20"/>
          <w:szCs w:val="20"/>
          <w:color w:val="auto"/>
        </w:rPr>
      </w:pPr>
    </w:p>
    <w:p>
      <w:pPr>
        <w:ind w:right="460" w:firstLine="648"/>
        <w:spacing w:after="0" w:line="258" w:lineRule="auto"/>
        <w:rPr>
          <w:sz w:val="20"/>
          <w:szCs w:val="20"/>
          <w:color w:val="auto"/>
        </w:rPr>
      </w:pPr>
      <w:r>
        <w:rPr>
          <w:rFonts w:ascii="Times New Roman" w:cs="Times New Roman" w:eastAsia="Times New Roman" w:hAnsi="Times New Roman"/>
          <w:sz w:val="18"/>
          <w:szCs w:val="18"/>
          <w:color w:val="auto"/>
        </w:rPr>
        <w:t>In addition, our systems, processes and controls may not prevent or detect all errors, omissions, malfeasance or fraud, such as corruption and improper “side agreements” that may impact revenue recognition or result in financial liability. Our productivity and the quality of our products and services may also be adversely affected if we do not integrate and train our new employees quickly and effectively. Any future growth would add complexity to our organization and require effective coordination throughout our organization. Failure to ensure appropriate systems, processes and controls and to manage any future growth effectively could result in increased costs and harm our reputation and results of operations.</w:t>
      </w:r>
    </w:p>
    <w:p>
      <w:pPr>
        <w:spacing w:after="0" w:line="210"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18"/>
          <w:szCs w:val="18"/>
          <w:color w:val="auto"/>
        </w:rPr>
        <w:t>We have expanded our office real estate holdings to meet our projected growing need for office space. These plans will require significant capital expenditure over the next several years and involve certain risks, including impairment charges and acceleration of depreciation, changes in future business strategy that may decrease the need for expansion (such as a decrease in headcount or increase in work from home) and risks related to construction. Future changes in growth or fluctuations in cash flow may also negatively impact our ability to pay for these projects or free cash flow. Additionally, inaccuracies in our projected capital expenditures could negatively impact our business, operating results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difficulties maintaining and expanding our internal business management systems.</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maintenance of our internal business management systems, such as our Enterprise Resource Planning (“ERP”) and Customer Relationship Management (“CRM”) systems, has required, and will continue to require, the investment of significant financial and human resources. In addition, we may choose to upgrade or expand the functionality of our internal systems, leading to additional costs. Deficiencies in our design or maintenance of our internal systems may adversely affect our ability to sell products and services, forecast orders, process orders, ship products, provide services and customer support, send invoices and track payments, fulfill contractual obligations, accurately maintain books and records, provide accurate, timely and reliable reports on our financial and operating results or otherwise operate our business. Additionally, if any of our internal systems does not operate as intended, the effectiveness of our internal control over financial reporting could be adversely affected or our ability to assess it adequately could be delayed. Further, we may expand the scope of our ERP and CRM systems. Our operating results may be adversely affected if these upgrades or expansions are delayed or if the systems do not function as intended or are not sufficient to meet our operating requirements.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artificial intelligence initiatives, which could adversely affect our business, reputation, or financial results.</w:t>
      </w:r>
    </w:p>
    <w:p>
      <w:pPr>
        <w:spacing w:after="0" w:line="243"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AI presents new risks and challenges that may affect our business. We have made, and expect to continue to make investments to integrate AI and machine learning technology into our solutions. AI presents risks, challenges, and potentially unintended consequences that could impact our ability to effectively use of AI successfully in our business. Given the nature of AI technology, we face an evolving regulatory landscape and significant competition from other companies. Our AI efforts may not be successful and our competitors may incorporate AI into their products more quickly or more successfully than us, which</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could impair our ability to compete effectively and adversely affect our financial results. Data practices by us or others that result in controversy could also impair the acceptance of AI solutions. This in turn could undermine confidence in the decisions, predictions, analysis, and effectiveness of our AI-related initiatives. The rapid evolution of AI, including potential government regulation of AI, may require significant additional resources related to AI in our solutions. Our AI-related initiatives may result in new or enhanced governmental or regulatory scrutiny, including regarding the use of AI in our solutions and the marketing of products using AI, litigation, customer reporting or documentation requirements, ethical or social concerns, or other complications. For example, AI technologies, including generative AI, may create content that appears correct but is factually inaccurate or flawed, or contains copyrighted or other protected material, and if our customers or others use this flawed content to their detriment, we may be exposed to brand or reputational harm, competitive harm, or legal liability. Any of the foregoing could adversely affect our business, reputation, or financial results.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proprietary rights may be difficult to enforce and we may be subject to claims by others that we infringe their propriety technology.</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rely primarily on patent, trademark, copyright and trade secrets laws and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and may make it more difficult and costly to prosecute patent applications. As a result, we may not be able to obtain adequate patent protection or effectively enforce our issued patents.</w:t>
      </w:r>
    </w:p>
    <w:p>
      <w:pPr>
        <w:spacing w:after="0" w:line="19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guarantee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legal action by us may be necessary to enforce our patents and other IP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21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contain third-party open-source software components, and failure to comply with the terms of the underlying open-source software licenses could restrict our ability to sell our products.</w:t>
      </w:r>
    </w:p>
    <w:p>
      <w:pPr>
        <w:spacing w:after="0" w:line="159"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Our products contain software modules licensed to us by third-party authors under “open source” licenses, including but not limited to, the GNU Public License, the GNU Lesser Public License, the BSD License, the Apache License, the MIT X License and the Mozilla Public License. From time to time, there have been claims against companies that distribute or use open-source software in their products and services, asserting that open-source software infringes the claimants’ IP rights. We could be subject to suits by parties claiming infringement of IP rights in what we believe to be licensed open-source software. Use and distribution of open-source software may entail greater risks than use of third-party commercial software, as, for example, open-source licensors generally do not provide warranties or other contractual protections regarding infringement claims or the quality of the code. Some open-source licenses contain requirements that we make available source code for modifications or derivative works we create based upon the type of open-source software we use. If we combine our proprietary software with open-source software in a certain manner, we could, under certain open-source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Although we monitor our use of open source software to avoid subjecting our products to conditions we do not intend, the terms of many open source licenses have not been interpreted by U.S. courts, and there is a risk that these licenses could be construed in a way that, for example, could impose unanticipated conditions or restrictions on our ability to commercialize our products. In this event, we could be required to seek licenses from third parties to continue offering our products, to make our proprietary code generally available in source code form, to re-engineer our products or to discontinue the sale of our products if re-engineering could not be accomplished on a timely basis, any of which requirements could adversely affect our business, operating results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Claims by others that we infringe their proprietary technology or other litigation matters could harm our business.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Patent and other IP disputes are common in the network security industry. Third parties are currently asserting, have asserted and may in the future assert claims of infringement of IP rights against us. Third parties have also asserted such claims against our end-customers or channel partners whom we may indemnify against claims that our products infringe the IP rights of third parties. As the number of products and competitors in our market increases and overlaps occur, infringement claims may increase. Any claim of infringement by a third party, even those without merit, could cause us to incur substantial costs defending against the claim and could distract our management from our business. In addition, litigation may involve patent holding companies, non-practicing entities or other adverse patent owners who have no relevant product revenue and against whom our own patents may therefore provide little or no deterrence or protection.</w:t>
      </w:r>
    </w:p>
    <w:p>
      <w:pPr>
        <w:spacing w:after="0" w:line="18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210"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From time to time, we are subject to lawsuits claiming patent infringement. We are also subject to other litigation in addition to patent infringement claims, such as employment-related litigation and disputes, as well as general commercial litigation, such as the Alorica litigation, and could become subject to other forms of litigation and disputes, including stockholder litigation. If we are 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w:t>
      </w:r>
    </w:p>
    <w:p>
      <w:pPr>
        <w:spacing w:after="0" w:line="20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have several ongoing patent lawsuits, certain companies have sent us demand letters proposing that we license certain of their patents, and organizations have sent letters demanding that we provide indemnification for patent claims. Given this and the proliferation of lawsuits in our industry and other similar industries by both non-practicing entities and operating entities, and recent non-practicing entity and operating entity patent litigation against other companies in the security space, we expect that we will be sued for patent infringement in the future, regardless of the merits of any such lawsuits. The cost to defend such lawsuits and any settlement payment or adverse result in such lawsuits could have a material adverse effect on our results of operations and financial condition.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the availability of third-party licenses.</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Many of our products include software or other IP licensed from third parties. It may be necessary in the future to renew licenses relating to various aspects of these products or to seek new licenses for existing or new products. Licensors may claim we owe them additional license fees for past and future use of their software and other IP or that we cannot utilize such software or IP in our products going forward. There can be no assurance that the necessary licenses would be available on acceptable terms, if at all. The inability to obtain certain licenses or other rights or to obtain such licenses or rights on favorable terms or for reasonable pricing, or the need to engage in litigation regarding these matters, could result in delays in product releases until equivalent technology can be identified, licensed or developed, if at all, and integrated into our products and may result in significant license fees and have a material adverse effect on our business, operating results, and financial condition. Moreover, the inclusion in our products of software or other IP licensed from third parties on a non-exclusive basis could limit our ability to differentiate our products from those of our competitors.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also rely on technologies licensed from third parties in order to operate functions of our business. If any of these third parties allege that we have not properly paid for such licenses or that we have improperly used the technologies under such licenses, we may need to pay additional fees or obtain new licenses, and such licenses may not be available on terms acceptable to us or at all or may be costly. In any such case, or if we were required to redesign our internal operations to function with new technologies, our business, results of operations and financial condition could be harmed.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Related to Our Business and Financial Position</w:t>
      </w:r>
    </w:p>
    <w:p>
      <w:pPr>
        <w:spacing w:after="0" w:line="25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inability to successfully acquire and integrate other businesses, products or technologies, or to successfully invest in and form successful strategic alliances with other businesses, could seriously harm our competitive position and could negatively affect our financial condition and results of operations.</w:t>
      </w:r>
    </w:p>
    <w:p>
      <w:pPr>
        <w:spacing w:after="0" w:line="182"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In order to remain competitive, we may seek to acquire additional businesses, products, technologies or IP, such as patents, and to make equity investments in businesses coupled with strategic alliances. For any possible future acquisitions or investments, we may not be successful in negotiating the terms of the acquisition or investment or financing the acquisition or investment. For both our prior and future acquisitions, we may not be successful in effectively integrating the acquired business, product, technology, IP or sales force into our existing business and operations, and the acquisitions may negatively impact our financial results. We may have difficulty incorporating acquired technologies, IP or products with our existing product lines, integrating reporting systems and procedures, and maintaining uniform standards, controls, procedures and policies. For example, we may experience difficulties integrating an acquired company’s ERP or CRM systems, sales support and other processes and systems, with our current systems and processes. The results of certain businesses that we invest in, such as Linksys, are, or may in the future, be reflected in our operating results, and we depend</w:t>
      </w:r>
    </w:p>
    <w:p>
      <w:pPr>
        <w:spacing w:after="0" w:line="1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on these companies to provide us financial information in a timely manner in order to meet our financial reporting requirements. We may experience difficulty in timely obtaining financial information from the companies in which we have invested in order to meet our financial reporting requirements. Our due diligence for acquisitions and investments may fail to identify all of the problems, liabilities or other shortcomings or challenges of an acquired business, product or technology, including issues with IP, product quality or product architecture, regulatory compliance practices, environmental and sustainability compliance practices, revenue recognition or other accounting practices or employee or customer issues. We also may not accurately forecast the financial impact of an acquisition or an investment and alliance. In addition, any acquisitions and significant investments we are able to complete may be dilutive to revenue growth and earnings and may not result in any synergies or other benefits we had expected to achieve, which could negatively impact our operating results and result in impairment charges that could be substantial. We may have to pay cash, incur debt or issue equity securities to pay for any acquisition, each of which could affect our financial condition or the value of our capital stock and could result in dilution to our stockholders. Acquisitions or investments during a quarter may result in increased operating expenses and adversely affect our cash flows or our results of operations for that period and future periods compared to the results that we have previously forecasted or achieved. Further, completing a potential acquisition or investment and alliance and integrating acquired businesses, products, technologies or IP are challenging to do successfully and could significantly divert management time and resources.</w:t>
      </w:r>
    </w:p>
    <w:p>
      <w:pPr>
        <w:spacing w:after="0" w:line="216"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7"/>
          <w:szCs w:val="17"/>
          <w:color w:val="auto"/>
        </w:rPr>
        <w:t>Linksys sells predominantly into the consumer Wi-Fi market, and its sales have declined since our investment. Because we are accounting for our Linksys investment using the equity method of accounting, we are required to assess the investment for other-than-temporary impairment (“OTTI”) when events or circumstances suggest that the carrying amount of the investment may be impaired. We have analyzed whether there should be an OTTI of the value of our investment in Linksys and during the three months ended December 31, 2022 we recorded an OTTI charge of $22.2 million. In evaluating</w:t>
      </w:r>
    </w:p>
    <w:p>
      <w:pPr>
        <w:spacing w:after="0" w:line="1"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8"/>
          <w:szCs w:val="18"/>
          <w:color w:val="auto"/>
        </w:rPr>
        <w:t>OTTI, we considered factors such as Linksys</w:t>
      </w:r>
      <w:r>
        <w:rPr>
          <w:rFonts w:ascii="Times New Roman" w:cs="Times New Roman" w:eastAsia="Times New Roman" w:hAnsi="Times New Roman"/>
          <w:sz w:val="21"/>
          <w:szCs w:val="21"/>
          <w:color w:val="008080"/>
        </w:rPr>
        <w:t>’</w:t>
      </w:r>
      <w:r>
        <w:rPr>
          <w:rFonts w:ascii="Times New Roman" w:cs="Times New Roman" w:eastAsia="Times New Roman" w:hAnsi="Times New Roman"/>
          <w:sz w:val="18"/>
          <w:szCs w:val="18"/>
          <w:color w:val="auto"/>
        </w:rPr>
        <w:t xml:space="preserve"> financial results and operating history, our ability and intent to hold the investment until its fair value recovers, the implied revenue valuation multiples compared to guideline public companies, Linksys’ ability to achieve milestones and any notable operational and strategic changes. We intend to continue to analyze our investment in Linksys to determine whether any further impairment is appropriate. If any further decline in fair value is determined to be other-than-temporary, we will adjust the carrying value of the investment to its fair value and record the impairment expense in our consolidated statements of income. The cost basis of the investment is not adjusted for subsequent recoveries in fair value. We may experience additional volatility to our statements of operations due to the underlying operating results of Linksys or impairments of our Linksys investment. This volatility could be material to our results in any given quarter and may cause our stock price to decline.</w:t>
      </w:r>
    </w:p>
    <w:p>
      <w:pPr>
        <w:spacing w:after="0" w:line="21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laws and regulations applicable to our business could subject us to fines and penalties and could also cause us to lose end-customers or negatively impact our ability to contract.</w:t>
      </w:r>
    </w:p>
    <w:p>
      <w:pPr>
        <w:spacing w:after="0" w:line="172"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Our business is subject to regulation by various federal, state, regional, local and foreign governmental agencies, including agencies responsible for monitoring and enforcing employment and labor laws, workplace safety, product safety, product labeling, environmental laws, consumer protection laws, anti-bribery laws, data privacy laws, import and export controls, federal securities laws and tax laws and regulations. In certain jurisdictions, these regulatory requirements may be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more stringent than in the United States. Non-compliance with applicable regulations or requirements could subject us to investigations, sanctions, enforcement actions, disgorgement of profits, fines, damages and civil and criminal penalties or injunctions. If any governmental sanctions are imposed, or if we do not prevail in any possible civil or criminal litigation, our business, operating results and financial condition could be adversely affected. In addition, responding to any action will likely result in a significant diversion of management’s attention and resources and an increase in professional fees. Enforcement actions and sanctions could harm our business, operating results and financial condition.</w:t>
      </w:r>
    </w:p>
    <w:p>
      <w:pPr>
        <w:spacing w:after="0" w:line="197"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For example, the GDPR imposes stringent data handling requirements on companies that operate in the EU or receive or process personal data about individuals in the EU in certain contexts. Non-compliance with the GDPR could result in data protection audits and significant penalties, heavy fines imposed on us and bans on other businesses’ use of our services. Compliance with, and the other burdens imposed by, the GDPR and local regulatory authorities may limit our ability to operate or expand our business in the EU and could adversely impact our operating results. In July 2020, the European Court of Justice issued a judgment declaring invalid the EU-U.S. Privacy Shield Framework (the “Privacy Shield”) as a mechanism for the transfer of GDPR-regulated personal data to recipients in the United States and calling into question the validity of certain popular alternative mechanisms for addressing GDPR restrictions on transfers to the United States and other areas where we operate. The Privacy Shield has now been replaced with the EU-U.S. Data Privacy Framework following certain changes to U.S. law intended to address the concerns underlying that court decision with respect to transfers of personal data to the United States. However, there remains a possibility that our business could be negatively impacted by restrictions on transfers of GDPR-regulated personal data (including transfers made by our customers) to other areas we operate. In addition, it is possible that the updates to U.S. law may ultimately be deemed insufficient in a court case similar to the one that invalidated Privacy Shield. The mere possibility of this outcome, and our reliance on global data transfers within our corporate family and between us and our service providers, may create challenges for us to compete with companies that may be able to offer services in which personal data never exits the EU, thereby avoiding risks of noncompliance with GDPR data transfer restrictions.</w:t>
      </w:r>
    </w:p>
    <w:p>
      <w:pPr>
        <w:spacing w:after="0" w:line="215"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Additionally, we may be subject to other legal regimes throughout the world governing data handling, protection and privacy. For example, in June 2018, California passed the California Consumer Privacy Act (the “CCPA”), which provides new data privacy rights for consumers and new operational requirements for companies and became effective on January 1, 2020. The CCPA was expanded pursuant to the California Privacy Rights Act, which was passed in 2020 and became effective in 2023. Other states have since passed similar laws, adding to the complexity of compliance with overlapping and sometimes conflicting requirements. The costs of compliance with and the penalties for violations of the GDPR, the CCPA and other laws, along with other burdens imposed by these regulations, may limit the use and adoption of our products and services and could have an adverse impact on our business. For example, our sales cycles may lengthen and face an increased risk of failure as customers take more time to vet our services for compliance with these legal requirements and to negotiate data-related contract terms with us, causing delays or loss of revenue.</w:t>
      </w:r>
    </w:p>
    <w:p>
      <w:pPr>
        <w:spacing w:after="0" w:line="214" w:lineRule="exact"/>
        <w:rPr>
          <w:sz w:val="20"/>
          <w:szCs w:val="20"/>
          <w:color w:val="auto"/>
        </w:rPr>
      </w:pPr>
    </w:p>
    <w:p>
      <w:pPr>
        <w:ind w:right="60" w:firstLine="648"/>
        <w:spacing w:after="0"/>
        <w:rPr>
          <w:sz w:val="20"/>
          <w:szCs w:val="20"/>
          <w:color w:val="auto"/>
        </w:rPr>
      </w:pPr>
      <w:r>
        <w:rPr>
          <w:rFonts w:ascii="Times New Roman" w:cs="Times New Roman" w:eastAsia="Times New Roman" w:hAnsi="Times New Roman"/>
          <w:sz w:val="18"/>
          <w:szCs w:val="18"/>
          <w:color w:val="auto"/>
        </w:rPr>
        <w:t>Selling our solutions to the U.S. government, whether directly or through channel partners, also subjects us to certain regulatory and contractual requirements, government permit and clearance requirements and other risks. Failure to comply with these requirements or to obtain and maintain government permits and clearances required to do certain business, by either us or our channel partners, could subject us to investigations, fines, suspension, limitations on business or debarment from doing business with the U.S. government or one of its divisions, as well as other penalties, damages and reputational harms, which could have an adverse effect on our business, operating results, financial condition and prospects. Any violations of regulatory and contractual requirements could result in us being suspended or debarred from future government contracting. Any of these outcomes could have an adverse effect on our revenue, operating results, financial condition and prospects.</w:t>
      </w:r>
    </w:p>
    <w:p>
      <w:pPr>
        <w:spacing w:after="0" w:line="212"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The landscape of laws, regulations, and industry standards related to cybersecurity is evolving globally. We may be subject to increased compliance burdens by regulators and customers with respect to our products and services, as well as additional costs to oversee and monitor security risks. Many jurisdictions have enacted laws mandating companies to inform individuals, stockholders, regulatory authorities, and others of security incidents. For example, the SEC recently adopted cybersecurity risk management and disclosure rules, which require the disclosure of information pertaining to cybersecurity incidents and cybersecurity risk management, strategy, and governance. In addition, certain of our customer agreements may require us to promptly report security incidents involving their data on our systems or those of subcontractors processing such data on our behalf. This mandatory disclosure can be costly, harm our reputation, erode customer trust, reduce demand, and require significant resources to mitigate issues stemming from actual or perceived security incidents</w:t>
      </w:r>
    </w:p>
    <w:p>
      <w:pPr>
        <w:spacing w:after="0" w:line="25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These laws, regulations and other requirements impose added costs on our business, and failure to comply with these or other applicable</w:t>
      </w:r>
    </w:p>
    <w:p>
      <w:pPr>
        <w:spacing w:after="0" w:line="27"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8"/>
          <w:szCs w:val="18"/>
          <w:color w:val="auto"/>
        </w:rPr>
        <w:t>regulations and requirements, including non-compliance in the past, could lead to claims for damages from our channel partners, penalties, termination of contracts, loss of exclusive rights in our IP and temporary suspension, permanent debarment from government contracting, or other limitations on doing business. Any such damages, penalties, disruptions or limitations in our ability to do business could have an adverse effect on our business and operating results.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subject us to liability or restrictions on sales, and that could impair our ability to compete in international markets.</w:t>
      </w:r>
    </w:p>
    <w:p>
      <w:pPr>
        <w:spacing w:after="0" w:line="198"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Because we incorporate encryption technology into our products, certain of our products are subject to U.S. export controls and may be exported outside the United States only with the required export license or through an export license exception, or may be prohibited altogether from export to certain countries. If we were to fail to comply with U.S. export laws,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(e.g., for stocking orders placed by our partners), we may also be adversely affected through reputational harm and penalties and we may not be able to provide support related to appliances shipped pursuant to such orders. Obtaining the necessary export license for a particular sale may be time-consuming and may result in the delay or loss of sales opportunities.</w:t>
      </w:r>
    </w:p>
    <w:p>
      <w:pPr>
        <w:spacing w:after="0" w:line="21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Furthermore, U.S. export control laws and economic sanctions prohibit the shipment of certain products to U.S. embargoed or sanctioned countries, governments and persons, such as the sanctions and trade restrictions that have been implemented against Russia and Belarus.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210"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Efforts to withdraw from or materially modify international trade agreements, to change tax provisions related to global manufacturing and sales or to impose new tariffs, economic sanctions or related legislation, any of which could adversely affect our financial condition and results of operations.</w:t>
      </w:r>
    </w:p>
    <w:p>
      <w:pPr>
        <w:spacing w:after="0" w:line="185"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Our business benefits directly and indirectly from free trade agreements, and we also rely on various corporate tax provisions related to international commerce, as we develop, market and sell our products and services globally. Efforts to withdraw from or materially modify international trade agreements, or to change corporate tax policy related to international commerce, could adversely affect our financial condition and results of operations as could the continuing uncertainty regarding whether such actions will be taken.</w:t>
      </w:r>
    </w:p>
    <w:p>
      <w:pPr>
        <w:spacing w:after="0" w:line="207"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Moreover, efforts to implement changes related to export or import regulations (including the imposition of new border taxes or tariffs on foreign imports), trade barriers, economic sanctions and other related policies could harm our results of operations. For example, in recent years, the United States has imposed additional import tariffs on certain goods from different countries and on most goods imported from China. As a result, China and other countries imposed retaliatory tariffs on goods exported from the United States and both the United States and foreign countries have threatened to alter or leave current trade agreements. While we do not currently expect these tariffs to have a significant effect on our raw material and product import costs, if the United States expands increased tariffs, or retaliatory trade measures are taken by other countries in response to the tariffs, the cost of our products could increase, our operations could be disrupted or we could be required to raise our prices, which may result in the loss of customers and harm to our reputation and operating performance.</w:t>
      </w:r>
    </w:p>
    <w:p>
      <w:pPr>
        <w:spacing w:after="0" w:line="21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Any modification in these areas, any shift in the enforcement or scope of existing regulations or any change in the countries, governments, persons or technologies targeted by such regulations, could result in decreased use of our products by, or in our decreased ability to export or sell our products to, existing or potential end-customers with international operations and could result in increased costs. Any decreased use of our products or limitation on our ability to export or sell our products would likely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requirements, our business, financial condition, operating results and reputation could be adversely affected.</w:t>
      </w:r>
    </w:p>
    <w:p>
      <w:pPr>
        <w:spacing w:after="0" w:line="243"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We are subject to various environmental laws and regulations, including laws governing the hazardous material content of our products, laws relating to our real property and future expansion plans and laws concerning the recycling of Electrical and Electronic Equipment (“EEE”). The laws and regulations to which we are subject include the EU RoHS Directive, EU Regulation 1907/2006 – Registration, Evaluation, Authorization and Restriction of Chemicals (the “REACH” Regulation) and the EU Waste Electrical and Electronic Equipment Directive (the “WEEE Directive”), as well as the implementing legislation of the EU member states. Similar laws and regulations have been passed or are pending in China, South Korea, Taiwan, Japan, Norway, Saudi Arabia and the UAE and may be enacted in other regions, including in the United States, and we are, or may in the future be, subject to these laws and regulations. These legal and regulatory regimes, including the laws, rules and regulations thereunder, evolve frequently and may be modified, interpreted and applied in an inconsistent manner from one jurisdiction to another, and may conflict with one another. Moreover, the timing and effect of these laws and regulations on our business may be uncertain. To the extent we have not complied with such laws, rules and regulations, we could be subject to significant fines, revocation of licenses, limitations on our products and services, reputational harm and other regulatory consequences, each of which may be significant and could adversely affect our business, operating results and financial condition. These laws and regulations may also impact our suppliers, which could have, among other things, an adverse impact on the costs of components in our products.</w:t>
      </w:r>
    </w:p>
    <w:p>
      <w:pPr>
        <w:spacing w:after="0" w:line="23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EU RoHS Directive and the similar laws of other jurisdictions ban or restrict the presence of certain hazardous substances such as lead, mercury, cadmium, hexavalent chromium and certain fire-retardant plastic additives in electrical equipment, including our products. We have incurred costs to comply with these laws, including research and development costs and costs associated with assuring the supply of compliant components. We expect to continue to incur costs related to environmental laws and regulations in the future. With respect to the EU RoHS, we and our competitors rely on exemptions for lead and other substances in network infrastructure equipment. It is possible one or more of these use exemptions will be revoked in the future. Additionally, although some of the EU RoHS exemptions have been extended, it is possible that some of these exemptions may expire in the future without being extended. If this exemption is revoked or expires without extension,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and/or disrupt our operations or logistics.</w:t>
      </w:r>
    </w:p>
    <w:p>
      <w:pPr>
        <w:spacing w:after="0" w:line="202"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7"/>
          <w:szCs w:val="17"/>
          <w:color w:val="auto"/>
        </w:rPr>
        <w:t>As part of the Circular Economy Action Plan, the European Commission amended the EU Waste Framework Directive (“WFD”) to include a number of measures related to waste prevention and recycling, whereby we are responsible for submitting product data to a Substances of Concern In articles as such or in complex objects (Products) (“SCIP”) database containing information on Substances of Very High Concern (“SVHC”) in articles and in complex objects. The SCIP database is established under the WFD and managed by the European Chemicals Agency (“ECHA”). We have incurred costs in order to comply with this new requirement. Similar laws and regulations have been passed or are pending in the European Economic Area and the UK.</w:t>
      </w:r>
    </w:p>
    <w:p>
      <w:pPr>
        <w:spacing w:after="0" w:line="197" w:lineRule="exact"/>
        <w:rPr>
          <w:sz w:val="20"/>
          <w:szCs w:val="20"/>
          <w:color w:val="auto"/>
        </w:rPr>
      </w:pPr>
    </w:p>
    <w:p>
      <w:pPr>
        <w:ind w:right="160" w:firstLine="648"/>
        <w:spacing w:after="0" w:line="239" w:lineRule="auto"/>
        <w:rPr>
          <w:sz w:val="20"/>
          <w:szCs w:val="20"/>
          <w:color w:val="auto"/>
        </w:rPr>
      </w:pPr>
      <w:r>
        <w:rPr>
          <w:rFonts w:ascii="Times New Roman" w:cs="Times New Roman" w:eastAsia="Times New Roman" w:hAnsi="Times New Roman"/>
          <w:sz w:val="18"/>
          <w:szCs w:val="18"/>
          <w:color w:val="auto"/>
        </w:rPr>
        <w:t>The EU’s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 including the United States.</w:t>
      </w:r>
    </w:p>
    <w:p>
      <w:pPr>
        <w:spacing w:after="0" w:line="211" w:lineRule="exact"/>
        <w:rPr>
          <w:sz w:val="20"/>
          <w:szCs w:val="20"/>
          <w:color w:val="auto"/>
        </w:rPr>
      </w:pPr>
    </w:p>
    <w:p>
      <w:pPr>
        <w:ind w:right="80" w:firstLine="648"/>
        <w:spacing w:after="0" w:line="231" w:lineRule="auto"/>
        <w:rPr>
          <w:sz w:val="20"/>
          <w:szCs w:val="20"/>
          <w:color w:val="auto"/>
        </w:rPr>
      </w:pPr>
      <w:r>
        <w:rPr>
          <w:rFonts w:ascii="Times New Roman" w:cs="Times New Roman" w:eastAsia="Times New Roman" w:hAnsi="Times New Roman"/>
          <w:sz w:val="18"/>
          <w:szCs w:val="18"/>
          <w:color w:val="auto"/>
        </w:rPr>
        <w:t>Our failure to comply with these and future environmental rules and regulations could result in decreased demand for our products and services resulting in reduced sales of our products, increased demand for competitive products and services that result in lower emissions than our products, increased costs, substantial product inventory write-offs, reputational damage, penalties and other sanctions, any of which could harm our business and financial condition. To date, our expenditures for environmental compliance have not had a material impact on our operating results or cash flows, and, although we cannot predict the future impact of such laws or regulations, they will likely result in additional costs. New laws may result in increased penalties associated with violations or require us to change the content of our products or how they are manufactured, which could have a material adverse effect on our business, operating results and financial condition.</w:t>
      </w:r>
    </w:p>
    <w:p>
      <w:pPr>
        <w:spacing w:after="0" w:line="208"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Investors’ expectations of our performance relating to environmental, social and governance factors may impose additional costs and expose us to new risks.</w:t>
      </w:r>
    </w:p>
    <w:p>
      <w:pPr>
        <w:spacing w:after="0" w:line="185"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18"/>
          <w:szCs w:val="18"/>
          <w:color w:val="auto"/>
        </w:rPr>
        <w:t>There is an increasing focus from certain investors, employees, customers and other stakeholders concerning corporate responsibility, specifically related to ESG matters. Some investors may use these non-financial performance factors to guide their investment strategies and, in some cases, may choose not to invest in us if they believe our policies and actions relating to corporate responsibility are inadequate. The growing investor demand for measurement of non-financial performance is addressed by third-party providers of sustainability assessment and ratings on companies. The criteria by which our corporate</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responsibility practices are assessed may change due to the constant evolution of the sustainability landscape, which could result in greater expectations of us and cause us to undertake costly initiatives to satisfy such new criteria. For example, in 2023, California passed three separate climate bills governing disclosure of greenhouse gas emissions data, climate-related financials risks and details around emissions-related claims and carbon offsets. If we elect not to or are unable to satisfy such new criteria, investors may conclude that our policies and/or actions with respect to corporate social responsibility are inadequate and we may be subject to fines from regulatory authorities. We may face reputational damage in the event that we do not meet the ESG standards set by various constituencies.</w:t>
      </w:r>
    </w:p>
    <w:p>
      <w:pPr>
        <w:spacing w:after="0" w:line="211"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Furthermore, in the event that we communicate certain initiatives and goals regarding ESG matters, such as our commitment to target Net-Zero on Scope 1 and Scope 2 emissions resulting from our owned facilities worldwide by 2030 or our commitment to the Paris Agreement via the Science Based Targets Initiative, we could fail, or be perceived to fail, in our achievement of such initiatives or goals, or we could be criticized for the scope, target and timelines of such initiatives or goals. If we fail to satisfy the expectations of investors, customers, employees, and other stakeholders or our initiatives are not executed as planned, our reputation and business, operating results and financial condition could be adversely impacted. In addition, the SEC has also proposed a draft rule that requires climate disclosures in financial filings. To the extent the SEC proposal becomes effective for our company, we will be required to establish additional internal controls, engage additional consultants and incur additional costs related to evaluating, managing and reporting on our environmental impact and climate-related risks and opportunities. If we fail to implement sufficient oversight or accurately capture and disclose on environmental matters, our reputation, business, operating results and financial condition may be materially adversely affected.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Finance, Accounting and Tax Matters</w:t>
      </w:r>
    </w:p>
    <w:p>
      <w:pPr>
        <w:spacing w:after="0" w:line="23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Operations—Critical Accounting Policies and Estimates” in this Annual Report on Form 10-K,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consolidated financial statements include those related to revenue recognition, deferred contract costs and commission expense, accounting for business combinations, contingent liabilities and accounting for income taxes.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negatively affect our financial condition and results of operations.</w:t>
      </w:r>
    </w:p>
    <w:p>
      <w:pPr>
        <w:spacing w:after="0" w:line="243" w:lineRule="exact"/>
        <w:rPr>
          <w:sz w:val="20"/>
          <w:szCs w:val="20"/>
          <w:color w:val="auto"/>
        </w:rPr>
      </w:pPr>
    </w:p>
    <w:p>
      <w:pPr>
        <w:ind w:right="100" w:firstLine="648"/>
        <w:spacing w:after="0" w:line="239" w:lineRule="auto"/>
        <w:rPr>
          <w:sz w:val="20"/>
          <w:szCs w:val="20"/>
          <w:color w:val="auto"/>
        </w:rPr>
      </w:pPr>
      <w:r>
        <w:rPr>
          <w:rFonts w:ascii="Times New Roman" w:cs="Times New Roman" w:eastAsia="Times New Roman" w:hAnsi="Times New Roman"/>
          <w:sz w:val="18"/>
          <w:szCs w:val="18"/>
          <w:color w:val="auto"/>
        </w:rPr>
        <w:t>A significant portion of our operating expenses are incurred outside the United States. These expenses are denominated in foreign currencies and are subject to fluctuations due to changes in foreign currency exchange rates, particularly changes in the Euro, Japanese yen, Canadian dollar and British pound. A weakening of the U.S. dollar compared to foreign currencies would negatively affect our expenses and operating results, which are expressed in U.S. dollars. Additionally, fluctuations in the exchange rate of the Canadian dollar may negatively impact our development plans in Burnaby, Canada. While we are not currently engaged in material hedging activities, we have been hedging currency exposures relating to certain balance sheet</w:t>
      </w:r>
    </w:p>
    <w:p>
      <w:pPr>
        <w:spacing w:after="0" w:line="2"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accounts through the use of forward exchange contracts. If we stop hedging against any of these risks or if our attempts to hedge against these currency exposures are not successful, our financial condition and results of operations could be adversely affected. Our sales contracts are primarily denominated in U.S. dollars and therefore, while substantially all of our revenue is not subject to foreign currency risk, it does not serve as a hedge to our foreign currency-denominated operating expenses. In addition, a strengthening of the U.S. dollar may increase the real cost of our products to our customers outside of the United States, which may also adversely affect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subject to changes in our tax rates, the adoption of new U.S. or international tax legislation, exposure to additional tax liabilities or impacts from the timing of tax payments.</w:t>
      </w:r>
    </w:p>
    <w:p>
      <w:pPr>
        <w:spacing w:after="0" w:line="186" w:lineRule="exact"/>
        <w:rPr>
          <w:sz w:val="20"/>
          <w:szCs w:val="20"/>
          <w:color w:val="auto"/>
        </w:rPr>
      </w:pPr>
    </w:p>
    <w:p>
      <w:pPr>
        <w:ind w:right="160" w:firstLine="648"/>
        <w:spacing w:after="0" w:line="312" w:lineRule="auto"/>
        <w:rPr>
          <w:sz w:val="20"/>
          <w:szCs w:val="20"/>
          <w:color w:val="auto"/>
        </w:rPr>
      </w:pPr>
      <w:r>
        <w:rPr>
          <w:rFonts w:ascii="Times New Roman" w:cs="Times New Roman" w:eastAsia="Times New Roman" w:hAnsi="Times New Roman"/>
          <w:sz w:val="17"/>
          <w:szCs w:val="17"/>
          <w:color w:val="auto"/>
        </w:rPr>
        <w:t>We are subject to taxes in the United States and numerous foreign jurisdictions, where a number of our subsidiaries are organized. Our provision for income taxes is subject to volatility and could be adversely affected by several factors, many of which are outside of our control. These include:</w:t>
      </w:r>
    </w:p>
    <w:p>
      <w:pPr>
        <w:spacing w:after="0" w:line="167" w:lineRule="exact"/>
        <w:rPr>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earnings in countries with differing statutory tax rates or withholding taxes;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pricing adjustments;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to corporate tax rates;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non-deductible expenses for tax purposes, including certain stock-based compensation expense;</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availability of tax credits and/or tax deductions;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tax payments;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costs related to intercompany realignments;</w:t>
      </w:r>
    </w:p>
    <w:p>
      <w:pPr>
        <w:spacing w:after="0" w:line="252" w:lineRule="exact"/>
        <w:rPr>
          <w:rFonts w:ascii="Times New Roman" w:cs="Times New Roman" w:eastAsia="Times New Roman" w:hAnsi="Times New Roman"/>
          <w:sz w:val="18"/>
          <w:szCs w:val="18"/>
          <w:color w:val="auto"/>
        </w:rPr>
      </w:pPr>
    </w:p>
    <w:p>
      <w:pPr>
        <w:ind w:left="1300" w:right="240" w:hanging="644"/>
        <w:spacing w:after="0" w:line="282"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assessments resulting from income tax audits or any related tax interest or penalties that could significantly affect our provision for income taxes for the period in which the settlement takes place; and</w:t>
      </w:r>
    </w:p>
    <w:p>
      <w:pPr>
        <w:spacing w:after="0" w:line="188" w:lineRule="exact"/>
        <w:rPr>
          <w:rFonts w:ascii="Times New Roman" w:cs="Times New Roman" w:eastAsia="Times New Roman" w:hAnsi="Times New Roman"/>
          <w:sz w:val="18"/>
          <w:szCs w:val="18"/>
          <w:color w:val="auto"/>
        </w:rPr>
      </w:pPr>
    </w:p>
    <w:p>
      <w:pPr>
        <w:ind w:left="1300" w:right="840" w:hanging="644"/>
        <w:spacing w:after="0" w:line="282"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court decisions, tax rulings, and interpretations of or changes to tax laws, and regulations by international, federal or local governmental authorities.</w:t>
      </w:r>
    </w:p>
    <w:p>
      <w:pPr>
        <w:spacing w:after="0" w:line="175" w:lineRule="exact"/>
        <w:rPr>
          <w:sz w:val="20"/>
          <w:szCs w:val="20"/>
          <w:color w:val="auto"/>
        </w:rPr>
      </w:pPr>
    </w:p>
    <w:p>
      <w:pPr>
        <w:ind w:right="120" w:firstLine="648"/>
        <w:spacing w:after="0" w:line="242" w:lineRule="auto"/>
        <w:rPr>
          <w:sz w:val="20"/>
          <w:szCs w:val="20"/>
          <w:color w:val="auto"/>
        </w:rPr>
      </w:pPr>
      <w:r>
        <w:rPr>
          <w:rFonts w:ascii="Times New Roman" w:cs="Times New Roman" w:eastAsia="Times New Roman" w:hAnsi="Times New Roman"/>
          <w:sz w:val="18"/>
          <w:szCs w:val="18"/>
          <w:color w:val="auto"/>
        </w:rPr>
        <w:t>We have open tax years that could be subject to the examination by the Internal Revenue Service (the “IRS”) and other tax authorities. We currently have ongoing tax audits in the United Kingdom, Canada, Germany and several other foreign jurisdictions. The focus of all of these audits is the allocation of profits among our legal entities. We regularly assess the likelihood of adverse outcomes resulting from such examinations to determine the adequacy of our provision for income taxes. Although we believe that our estimates are reasonable, the ultimate tax outcome may differ from the amounts recorded in our consolidated financial statements and may materially affect our financial results.</w:t>
      </w:r>
    </w:p>
    <w:p>
      <w:pPr>
        <w:spacing w:after="0" w:line="22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we believe reasonably ensures that we are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spacing w:after="0" w:line="21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Significant judgment is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2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72"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Forecasts of our income tax position and effective tax rate are complex, subject to uncertainty and periodic updates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jurisdiction. If the mix of profits and losses, our ability to use tax credits or our effective tax rate in a given jurisdiction differs from our estimate, our actual tax rate could be materially different than forecasted, which could have a material impact on our results of business, financial condition and results of operations. Additionally, our actual tax rate may be subject to further uncertainty due to potential changes in U.S. and foreign tax rules.</w:t>
      </w:r>
    </w:p>
    <w:p>
      <w:pPr>
        <w:spacing w:after="0" w:line="21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 authorities may impose tax assessments or judgments against us that could materially impact our tax liability and/or our effective income tax rate.</w:t>
      </w:r>
    </w:p>
    <w:p>
      <w:pPr>
        <w:spacing w:after="0" w:line="21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Organisation for Economic Co-operation and Development (the “OECD”), an international association comprised of 38 countries, including the United States, has issued and continues to issue guidelines and proposals that change various aspects of the existing framework under which our tax obligations are determined in many of the countries in which we do business. Due to our extensive international business activities, any changes in the taxation of such activities could increase our tax obligations in many countries and may increase our worldwide effective tax 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52"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Sarbanes-Oxley Act of 2002 (“Sarbanes-Oxley”), Dodd-Frank and other rules implemented by the SEC and The Nasdaq Stock Market impose various requirements on public companies, including requiring changes in corporate governance practices. These requirements, as well as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Sarbanes-Oxley requires, among other things, that we assess the effectiveness of our internal control over financial reporting annually, and of our disclosure controls and procedures quarterly. Although our most recent assessment, testing and evaluation resulted in our conclusion that, as of December 31, 2023, our internal controls over financial reporting were effective, we cannot predict the outcome of our testing in 2024 or future periods and there can be no assurance that, in the future, our internal controls over financial reporting will be effective or deemed effective. We may incur additional expenses and commitment of management’s time in connection with further evaluations, both of which could materially increase our operating expenses and accordingly reduce our operating results.</w:t>
      </w:r>
    </w:p>
    <w:p>
      <w:pPr>
        <w:spacing w:after="0" w:line="21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or industry analysts stop publishing research or reports about our business, issue unfavorable commentary, downgrade our shares of common stock or publish inaccurate information, our stock price and trading volume could decline.</w:t>
      </w:r>
    </w:p>
    <w:p>
      <w:pPr>
        <w:spacing w:after="0" w:line="172"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The trading market for our common stock is influenced in part by the research and reports that equity research and industry analysts publish about us or our business. If one or more of these analysts ceases coverage of our company or fails to publish reports on us regularly, we could lose visibility in the financial markets, which in turn could cause our stock price or trading volume to decline. Furthermore, if one or more of these analysts downgrades our stock or issues unfavorable commentary about our business, the price of our stock could decline. We have in the past experienced downgrades and may in the future experience downgrades. In addition, these analysts may publish their own financial projections, which may vary widely and may not accurately predict the results we actually achieve, which in turn could cause our share price to decline if our actual results do not match their projections. If one of these analysts were to publish inaccurate negative information about us or our business, our stock price could decline. Moreover, if securities analysts publish inaccurate positive information, stockholders could buy our stock and the stock price may later decline.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may be volatile, which may be exacerbated by share repurchases under our Share Repurchase Program.</w:t>
      </w:r>
    </w:p>
    <w:p>
      <w:pPr>
        <w:spacing w:after="0" w:line="229"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The market price of our common stock may be subject to wide fluctuations in response to, among other things, the risk factors described in this periodic report, news about us and our financial results, news about our competitors and their results, and other factors such as rumors or fluctuations in the valuation of companies perceived by investors to be comparable to us. For example, during 2023, the closing price of our common stock ranged from $47.45 to $80.28 per share.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60" w:firstLine="693"/>
        <w:spacing w:after="0" w:line="261" w:lineRule="auto"/>
        <w:rPr>
          <w:sz w:val="20"/>
          <w:szCs w:val="20"/>
          <w:color w:val="auto"/>
        </w:rPr>
      </w:pPr>
      <w:r>
        <w:rPr>
          <w:rFonts w:ascii="Times New Roman" w:cs="Times New Roman" w:eastAsia="Times New Roman" w:hAnsi="Times New Roman"/>
          <w:sz w:val="18"/>
          <w:szCs w:val="18"/>
          <w:color w:val="auto"/>
        </w:rPr>
        <w:t>Furthermore,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0" w:lineRule="exact"/>
        <w:rPr>
          <w:sz w:val="20"/>
          <w:szCs w:val="20"/>
          <w:color w:val="auto"/>
        </w:rPr>
      </w:pPr>
    </w:p>
    <w:p>
      <w:pPr>
        <w:jc w:val="both"/>
        <w:ind w:right="700" w:firstLine="648"/>
        <w:spacing w:after="0" w:line="258" w:lineRule="auto"/>
        <w:rPr>
          <w:sz w:val="20"/>
          <w:szCs w:val="20"/>
          <w:color w:val="auto"/>
        </w:rPr>
      </w:pPr>
      <w:r>
        <w:rPr>
          <w:rFonts w:ascii="Times New Roman" w:cs="Times New Roman" w:eastAsia="Times New Roman" w:hAnsi="Times New Roman"/>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9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 repurchases under the Repurchase Program could increase the volatility of the trading price of our common stock, could diminish our cash reserves, could occur at non-optimal prices and may not result in the most effective use of our capital.</w:t>
      </w:r>
    </w:p>
    <w:p>
      <w:pPr>
        <w:spacing w:after="0" w:line="172"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In February 2023, our board of directors approved an extension of the Repurchase Program to February 29, 2024. In April 2023 and July 2023, our board of directors approved $1.0 billion and $500.0 million increases in the authorized stock repurchase amount under the Repurchase Program, respectively. As of December 31, 2023, $529.1 million remained available for future share repurchases under the Repurchase Program. In January 2024, our board of directors approved a $500.0 million increase in the authorized stock repurchase amount under the Repurchase Program, bringing the aggregate amount authorized to be repurchased to $7.25 billion of our outstanding common stock. As of February 23, 2024, approximately $1.03 billion remained available for future share repurchases. In February 2024, our board of directors approved an extension of the Repurchase Program to February 28, 2025. Share repurchases under the Repurchase Program could affect the price of our common stock, increase stock price volatility and diminish our cash reserves. In addition, an announcement of the reduction, suspension or termination of the Repurchase Program could result in a decrease in the trading price of our common stock. Moreover, our stock price could decline, resulting in repurchases made at non-optimal prices. Our failure to repurchase our stock at optimal prices may be perceived by investors as an inefficient use of our cash and cash equivalents, which could result in litigation that may have an adverse effect on our business, operating results and financial condition. In addition, while our board of directors carefully considers various alternative uses of our cash and cash equivalents in determining whether to authorize stock repurchases, there can be no assurance that the decision by our board of directors to repurchase stock would result in the most effective uses of our cash and cash equivalents, and there may be alternative uses of our cash and cash equivalents that would be more effective, such as investing in growing our business organically or through acquisitions.</w:t>
      </w:r>
    </w:p>
    <w:p>
      <w:pPr>
        <w:spacing w:after="0" w:line="22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certificate of incorporation and bylaws, as well as provisions of Delaware law, could impair a takeover attempt.</w:t>
      </w:r>
    </w:p>
    <w:p>
      <w:pPr>
        <w:spacing w:after="0" w:line="15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89" w:lineRule="exact"/>
        <w:rPr>
          <w:sz w:val="20"/>
          <w:szCs w:val="20"/>
          <w:color w:val="auto"/>
        </w:rPr>
      </w:pPr>
    </w:p>
    <w:p>
      <w:pPr>
        <w:ind w:left="1300" w:right="360" w:hanging="644"/>
        <w:spacing w:after="0" w:line="282"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liability of, and providing indemnification to, our directors and officers;</w:t>
      </w:r>
    </w:p>
    <w:p>
      <w:pPr>
        <w:spacing w:after="0" w:line="225"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notice of stockholder proposals for business to be conducted at meetings of our stockholders and for nominations of candidates for election to our board of directors;</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certain litigation matters may only be brought against us in state or federal courts in the State of Delaware;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the procedures for the conduct and scheduling of board and stockholder meetings; and</w:t>
      </w:r>
    </w:p>
    <w:p>
      <w:pPr>
        <w:spacing w:after="0" w:line="225" w:lineRule="exact"/>
        <w:rPr>
          <w:rFonts w:ascii="Times New Roman" w:cs="Times New Roman" w:eastAsia="Times New Roman" w:hAnsi="Times New Roman"/>
          <w:sz w:val="18"/>
          <w:szCs w:val="18"/>
          <w:color w:val="auto"/>
        </w:rPr>
      </w:pPr>
    </w:p>
    <w:p>
      <w:pPr>
        <w:ind w:left="1300" w:right="480" w:hanging="644"/>
        <w:spacing w:after="0" w:line="282"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the board of directors with the express power to postpone previously scheduled annual meetings and to cancel previously scheduled special meetings.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addition, our amended and restated bylaws provide that unless we consent in writing to the selection of an alternative forum, to the fullest extent permitted by law, the federal district courts of the United States shall be the exclusive forum for the resolution of any complaint asserting a cause of action arising under the Securities Act. Any person or entity purchasing or otherwise acquiring any interest in any of our securities shall be deemed to have notice of and consented to this provision. This provision, as well as provisions providing that certain litigation matters may only be brought against us in state or federal courts in the State of Delaware, may limit a stockholder’s ability to bring a claim in a judicial forum that it finds favorable for disputes with us or any of our directors, officers or other employees, which may discourage lawsuits against us and our directors, officers and other employees.</w:t>
      </w:r>
    </w:p>
    <w:p>
      <w:pPr>
        <w:spacing w:after="0" w:line="214"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Delaware General Corporation Law, which prevents stockholders holding more than 15% of our outstanding common stock from engaging in certain business combinations without approval of the holders of a substantial majority of all of our outstanding common stock.</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Any provision of our certificate of incorporation,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03"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However, these anti-takeover provisions will not have the effect of preventing activist stockholders from seeking to increase short-term stockholder value through actions such as nominating board candidates and requesting that we pursue strategic combinations or other transactions. These actions could disrupt our operations, be costly and time-consuming and divert the attention of our management and employees. In addition, perceived uncertainties as to our future direction as a result of activist stockholder actions could result in the loss of potential business opportunities, as well as other negative business consequences. Actions of an activist stockholder may also cause fluctuations in our stock price based on speculative market perceptions or other factors that do not necessarily reflect our business. Further, we may incur significant expenses in retaining professionals to advise and assist us on activist stockholder matters, including legal, financial, communications advisors and solicitation experts, which may negatively impact our future financial results.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52"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Global economic uncertainty, an economic downturn, the possibility of a recession, inflation, rising interest rates, weakening product demand caused by political instability, changes in trade agreements and conflicts such as the war in Ukraine and the Israel-Hamas war, could adversely affect our business and financial performance.</w:t>
      </w:r>
    </w:p>
    <w:p>
      <w:pPr>
        <w:spacing w:after="0" w:line="20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Economic uncertainty in various global markets caused by political instability and conflict, such as the war in Ukraine and the Israel-Hamas war, and economic challenges caused by the economic downturn, any resulting recession, inflation or rise in interest rates has resulted, and may continue to result, in weakened demand for our products and services and difficulty in forecasting our financial results and managing inventory levels. Political developments impacting government spending and international trade, including potential government shutdowns and trade disputes and tariffs may negatively impact markets and cause weaker macroeconomic conditions. The effects of these events may continue due to potential U.S. government shutdowns and the transition in administrations, and the United States’ ongoing trade disputes with Russia, China and other countries. The continuing effect of any or all of these events could adversely impact demand for our products, harm our operations and weaken our financial results.</w:t>
      </w:r>
    </w:p>
    <w:p>
      <w:pPr>
        <w:spacing w:after="0" w:line="202"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In addition, the U.S. capital markets have experienced and continue to experience extreme volatility and disruption. Inflation rates in the United States significantly increased in 2022 resulting in federal action to increase interest rates, adversely affecting capital markets activity. Further deterioration of the macroeconomic environment and regulatory action may adversely affect our business, operating results and financial condition. Moreover, there has been recent turmoil in the global banking system. For example, in March 2023, Silicon Valley Bank (“SVB”) was put into receivership by the Federal Deposit Insurance Corporation and subsequently sold. Other banks at risk of failure have been subsequently sold, including First Republic Bank in May 2023, and there is concern that more banks could be at risk of the same fate. Although we only had an immaterial amount of our cash directly at SVB, there is no guarantee that the federal government would guarantee all depositors as they did with SVB depositors in the event of further bank closures. Continued instability in the global banking system may negatively impact us or our customers, including our customers’ ability to pay for our platform, and adversely impact our business and financial condition. Moreover, events such as the closure of SVB, in addition to global macroeconomic conditions discussed above, may cause further turbulence and uncertainty in the capital markets and economy.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earthquakes, drought, fire, power outages, typhoon, floods, virus outbreaks and other broad health-related challenges, cyber events and other catastrophic events, and to interruption by manmade problems such as civil unrest, war, labor disruption, critical infrastructure attack and terrorism.</w:t>
      </w:r>
    </w:p>
    <w:p>
      <w:pPr>
        <w:spacing w:after="0" w:line="182"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18"/>
          <w:szCs w:val="18"/>
          <w:color w:val="auto"/>
        </w:rPr>
        <w:t>A significant natural disaster, such as an earthquake, drought, fire, power outage, flood, viral outbreak or other catastrophic event, could have a material adverse impact on our business, operating results and financial condition. Our corporate headquarters are located in the San Francisco Bay Area, a region known for seismic activity, and our research and development and data center in Burnaby, Canada, from which we deliver to customers our FortiGuard and other security subscription updates, is subject to the risk of flooding and is also in a region known for seismic activity. Any earthquake in the Bay Area or Burnaby, or flooding in Burnaby, could materially negatively impact our ability to provide products and services, such as FortiCare support and FortiGuard subscription services and could otherwise materially negatively impact our business. In addition, natural disasters could affect our manufacturing vendors, suppliers or logistics providers’ ability to perform services, such as obtaining product components and manufacturing products, or performing or assisting with shipments, on a timely basis, as well as our customers’ ability to order from us and our employees’ ability to perform their duties. For example, a typhoon in Taiwan could materially negatively impact our ability to manufacture and ship products and could result in delays and reductions in billings and revenue, or the effects of epidemics and pandemics may negatively impact our ability to manufacture and ship products, possibly in a material way, and could result in delays and reductions in billings and revenue, also possibly in a material way. The impact of climate change could affect economies in ways that negatively impact us and our results of operations. In the event our or our service providers’ information technology systems or manufacturing or logistics abilities are hindered by any of the events discussed above, shipments could be delayed, resulting in our missing financial targets, such as revenue and shipment targets, for a particular quarter. In addition, regional instability, international disputes, wars, such as the war in Ukraine and the Israel-Hamas war and any expansion thereof, and other acts of aggression, civil and political unrest, labor disruptions, rebellions, acts of terrorism and other geo-political unrest could cause disruptions in our business or the business of our manufacturers, suppliers, logistics providers, partners or end-customers, or of the economy as a whole. Given our typical concentration of sales at the end of each quarter, any disruption in the business of our manufacturers, logistics providers, partners or end-customers that impacts sales at the end of our quarter could have a significant adverse impact on our quarterly results. To the extent that any of the above results in security risks to our customers, delays or cancellations of customer orders, the delay of the manufacture, deployment or shipment of our products or interruption or downtime of our services, our business, financial condition and results of operations would be adversely affected.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financial accounting standards may cause adverse unexpected fluctuations and affect our reported results of operations.</w:t>
      </w:r>
    </w:p>
    <w:p>
      <w:pPr>
        <w:spacing w:after="0" w:line="2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 change in accounting standards or practices, and varying interpretations of existing or new accounting pronouncements, as well as significant costs incurred or that may be incurred to adopt and to comply with these new pronouncements,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could have an adverse effect on our business, our ability to meet our reporting obligations and compliance with internal control requirements.</w:t>
      </w:r>
    </w:p>
    <w:p>
      <w:pPr>
        <w:spacing w:after="0" w:line="197"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Management will continue to make judgments and assumptions based on our interpretation of new standards. If our circumstances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 Further, marketable equity investments are required to be measured at fair value (with subsequent changes in fair value recognized in net income), which may increase the volatility of our earnings.</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1C.</w:t>
        <w:tab/>
        <w:t>Cybersecurity</w:t>
      </w:r>
    </w:p>
    <w:p>
      <w:pPr>
        <w:spacing w:after="0" w:line="243" w:lineRule="exact"/>
        <w:rPr>
          <w:sz w:val="20"/>
          <w:szCs w:val="20"/>
          <w:color w:val="auto"/>
        </w:rPr>
      </w:pPr>
    </w:p>
    <w:p>
      <w:pPr>
        <w:ind w:right="180" w:firstLine="648"/>
        <w:spacing w:after="0" w:line="237" w:lineRule="auto"/>
        <w:rPr>
          <w:sz w:val="20"/>
          <w:szCs w:val="20"/>
          <w:color w:val="auto"/>
        </w:rPr>
      </w:pPr>
      <w:r>
        <w:rPr>
          <w:rFonts w:ascii="Times New Roman" w:cs="Times New Roman" w:eastAsia="Times New Roman" w:hAnsi="Times New Roman"/>
          <w:sz w:val="18"/>
          <w:szCs w:val="18"/>
          <w:color w:val="221E1F"/>
        </w:rPr>
        <w:t xml:space="preserve">Our board of directors recognizes the critical importance of maintaining the trust and confidence of our customers, end users, business partners, stockholders and employees. Our board of directors is actively involved in oversight of our risk management program, and information and product security represent an important component of our overall approach to enterprise risk management (“ERM”). Our risks from cybersecurity threats are considered in conjunction with other risks in our ERM program. In addition, </w:t>
      </w:r>
      <w:r>
        <w:rPr>
          <w:rFonts w:ascii="Times New Roman" w:cs="Times New Roman" w:eastAsia="Times New Roman" w:hAnsi="Times New Roman"/>
          <w:sz w:val="18"/>
          <w:szCs w:val="18"/>
          <w:color w:val="000000"/>
        </w:rPr>
        <w:t>we leverage a cybersecurity-specific risk assessment process and strategy</w:t>
      </w:r>
      <w:r>
        <w:rPr>
          <w:rFonts w:ascii="Times New Roman" w:cs="Times New Roman" w:eastAsia="Times New Roman" w:hAnsi="Times New Roman"/>
          <w:sz w:val="18"/>
          <w:szCs w:val="18"/>
          <w:color w:val="221E1F"/>
        </w:rPr>
        <w:t xml:space="preserve"> </w:t>
      </w:r>
      <w:r>
        <w:rPr>
          <w:rFonts w:ascii="Times New Roman" w:cs="Times New Roman" w:eastAsia="Times New Roman" w:hAnsi="Times New Roman"/>
          <w:sz w:val="18"/>
          <w:szCs w:val="18"/>
          <w:color w:val="000000"/>
        </w:rPr>
        <w:t xml:space="preserve">based on the NIST Cybersecurity Framework to manage risks to organizational operations and assets, individuals and other organizations associated with the operation and use of systems. Risk assessments are periodically conducted to identify threats and vulnerabilities, and then used to determine the likelihood and impact for each risk using a qualitative risk assessment methodology. </w:t>
      </w:r>
      <w:r>
        <w:rPr>
          <w:rFonts w:ascii="Times New Roman" w:cs="Times New Roman" w:eastAsia="Times New Roman" w:hAnsi="Times New Roman"/>
          <w:sz w:val="18"/>
          <w:szCs w:val="18"/>
          <w:color w:val="221E1F"/>
        </w:rPr>
        <w:t>In general, we seek to address cybersecurity risks through a broad,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21E1F"/>
        </w:rPr>
        <w:t>cross-functional approach that is focused on</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221E1F"/>
        </w:rPr>
        <w:t>preserving the confidentiality, security and availability of the information that we collect and store by identifying, preventing and mitigating cybersecurity threats and effectively responding to cybersecurity incidents when they occur.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1E1F"/>
        </w:rPr>
        <w:t>Governance</w:t>
      </w:r>
    </w:p>
    <w:p>
      <w:pPr>
        <w:spacing w:after="0" w:line="24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The Audit Committee of our board of directors (the “Audit Committee”) is responsible for reviewing with management our cybersecurity and other information technology risks, controls and processes, including the processes used to prevent or mitigate cybersecurity risks and respond to cybersecurity events. Our executives with responsibility over cybersecurity provide quarterly reports to the Audit Committee as well as to the Chief Executive Officer and other members of our senior management as appropriate. These reports include updates on our cyber risks and threats, the status of projects to strengthen our information security systems, assessments of the information security program and the emerging threat landscape. Our program is regularly evaluated by internal and external experts with the results of those reviews reported to senior management and the Audit Committee. We also actively engage with key vendors, and intelligence and law enforcement communities as part of our continuing efforts to evaluate and enhance the effectiveness of our information security policies and procedures. The Audit Committee also receives prompt and timely information regarding any cybersecurity threat or incident that meets established reporting thresholds, as well as ongoing updates regarding any such threat or incident until it has been mitigated, resolved or otherwise addressed.</w:t>
      </w:r>
    </w:p>
    <w:p>
      <w:pPr>
        <w:spacing w:after="0" w:line="21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7"/>
          <w:szCs w:val="17"/>
          <w:color w:val="auto"/>
        </w:rPr>
        <w:t xml:space="preserve">We believe our systems and processes with respect to the management of risks associated with cybersecurity threats are adequate. We have experienced, and may in the future experience, adverse impacts to our operations as a result of cybersecurity incidents. However, to date, cybersecurity threats, including as a result of any previous cybersecurity incidents, have not materially affected our business strategy, operating results, and/or financial condition. If we were to experience a material cybersecurity incident in the future, such incident may have a material effect, including on our business strategy, operating results or financial condition. For more information regarding cybersecurity risks that we face and potential impacts on our business related thereto, see our risk factors, including our risk factor titled </w:t>
      </w:r>
      <w:r>
        <w:rPr>
          <w:rFonts w:ascii="Times New Roman" w:cs="Times New Roman" w:eastAsia="Times New Roman" w:hAnsi="Times New Roman"/>
          <w:sz w:val="17"/>
          <w:szCs w:val="17"/>
          <w:i w:val="1"/>
          <w:iCs w:val="1"/>
          <w:color w:val="auto"/>
        </w:rPr>
        <w:t>“If our internal enterprise IT networks, on which we conduct internal business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interface externally, our operational networks, through which we connect to customers, vendors and partners systems and provide services, or our research and development networks, our back-end labs and cloud stacks hosted in our data centers, colocation vendors or public cloud providers, through which we research, develop and host products and services, are compromised, public perception of our products and services may be harmed, our customers may be breached and harmed, we may become subject to liability, and our business, operating results and stock price may be adversely impacted.”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1E1F"/>
        </w:rPr>
        <w:t>Risk Management and Strategy</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one of the critical elements of our overall ERM approach, our cybersecurity program is focused on the following key areas:</w:t>
      </w:r>
    </w:p>
    <w:p>
      <w:pPr>
        <w:spacing w:after="0" w:line="235" w:lineRule="exact"/>
        <w:rPr>
          <w:sz w:val="20"/>
          <w:szCs w:val="20"/>
          <w:color w:val="auto"/>
        </w:rPr>
      </w:pPr>
    </w:p>
    <w:p>
      <w:pPr>
        <w:ind w:right="20" w:firstLine="648"/>
        <w:spacing w:after="0" w:line="231" w:lineRule="auto"/>
        <w:rPr>
          <w:sz w:val="20"/>
          <w:szCs w:val="20"/>
          <w:color w:val="auto"/>
        </w:rPr>
      </w:pPr>
      <w:r>
        <w:rPr>
          <w:rFonts w:ascii="Times New Roman" w:cs="Times New Roman" w:eastAsia="Times New Roman" w:hAnsi="Times New Roman"/>
          <w:sz w:val="18"/>
          <w:szCs w:val="18"/>
          <w:b w:val="1"/>
          <w:bCs w:val="1"/>
          <w:color w:val="auto"/>
        </w:rPr>
        <w:t xml:space="preserve">Governance: </w:t>
      </w:r>
      <w:r>
        <w:rPr>
          <w:rFonts w:ascii="Times New Roman" w:cs="Times New Roman" w:eastAsia="Times New Roman" w:hAnsi="Times New Roman"/>
          <w:sz w:val="18"/>
          <w:szCs w:val="18"/>
          <w:color w:val="auto"/>
        </w:rPr>
        <w:t>As discussed in more detail above under the heading, “Governance,” our board of directors’ oversight of cybersecurity 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is supported by the Audit Committee, which regularly interacts with executives with responsibility for cybersecurity, our Chief Executive Officer, Chief Technology Officer and President, Chief Financial Officer, Chief Operating Officer/General Counsel and other members of management. Management is promptly updated regarding any significant security events and the Audit Committee regularly reviews updates from our information security and product security leaders about cyber threat response preparedness, security controls and procedures, security program maturity milestones, risk and approaches to risk mitigation and the current and emerging threat landscape. In addition, all members of our board of directors receive management’s cybersecurity updates to the Audit Committee as part of their regular attendance at meetings of our board of directors.</w:t>
      </w:r>
    </w:p>
    <w:p>
      <w:pPr>
        <w:spacing w:after="0" w:line="198" w:lineRule="exact"/>
        <w:rPr>
          <w:sz w:val="20"/>
          <w:szCs w:val="20"/>
          <w:color w:val="auto"/>
        </w:rPr>
      </w:pPr>
    </w:p>
    <w:p>
      <w:pPr>
        <w:ind w:right="120" w:firstLine="648"/>
        <w:spacing w:after="0" w:line="243" w:lineRule="auto"/>
        <w:rPr>
          <w:sz w:val="20"/>
          <w:szCs w:val="20"/>
          <w:color w:val="auto"/>
        </w:rPr>
      </w:pPr>
      <w:r>
        <w:rPr>
          <w:rFonts w:ascii="Times New Roman" w:cs="Times New Roman" w:eastAsia="Times New Roman" w:hAnsi="Times New Roman"/>
          <w:sz w:val="18"/>
          <w:szCs w:val="18"/>
          <w:b w:val="1"/>
          <w:bCs w:val="1"/>
          <w:color w:val="auto"/>
        </w:rPr>
        <w:t xml:space="preserve">Collaborative Approach: </w:t>
      </w:r>
      <w:r>
        <w:rPr>
          <w:rFonts w:ascii="Times New Roman" w:cs="Times New Roman" w:eastAsia="Times New Roman" w:hAnsi="Times New Roman"/>
          <w:sz w:val="18"/>
          <w:szCs w:val="18"/>
          <w:color w:val="auto"/>
        </w:rPr>
        <w:t>We have implemented a broad, cross-functional approach to identifying, preventing and mitigating cybersecurity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threats and incidents, while also implementing controls and procedures that provide for the prompt escalation of certain cybersecurity incidents so that decisions regarding the public disclosure and reporting of such incidents can be made by management in a timely manner. In addition, we manage a cross-functional program across our engineering, manufacturing and technical services teams, together with our suppliers and channel partners, designed to ensure the proper security of our products from design through manufacture and shipment.</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Information Security: </w:t>
      </w:r>
      <w:r>
        <w:rPr>
          <w:rFonts w:ascii="Times New Roman" w:cs="Times New Roman" w:eastAsia="Times New Roman" w:hAnsi="Times New Roman"/>
          <w:sz w:val="18"/>
          <w:szCs w:val="18"/>
          <w:color w:val="auto"/>
        </w:rPr>
        <w:t>We implement organizational, administrative and technical measures based on commercially reasonable procedures using:</w:t>
      </w:r>
    </w:p>
    <w:p>
      <w:pPr>
        <w:spacing w:after="0" w:line="2" w:lineRule="exact"/>
        <w:rPr>
          <w:sz w:val="20"/>
          <w:szCs w:val="20"/>
          <w:color w:val="auto"/>
        </w:rPr>
      </w:pPr>
    </w:p>
    <w:p>
      <w:pPr>
        <w:ind w:left="220" w:hanging="212"/>
        <w:spacing w:after="0"/>
        <w:tabs>
          <w:tab w:leader="none" w:pos="2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standard information security measures prescribed for use by NIST; (ii) security measures aligned with the ISO/IEC 27000 series of standards,</w:t>
      </w:r>
    </w:p>
    <w:p>
      <w:pPr>
        <w:jc w:val="both"/>
        <w:ind w:right="260" w:firstLine="8"/>
        <w:spacing w:after="0" w:line="239" w:lineRule="auto"/>
        <w:tabs>
          <w:tab w:leader="none" w:pos="3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Sarbanes-Oxley and SSAE 18/ISAE 3402; (iv) privacy regulations such as the GDPR and the CCPA; (v) business continuity management measures aligned with the ISO/IEC 22301 standard; and (vi) other generally recognized industry standards, in each case, designed to safeguard the confidentiality, integrity, and availability of our infrastructure and data and the resiliency of our operations.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Technical Safeguards: </w:t>
      </w:r>
      <w:r>
        <w:rPr>
          <w:rFonts w:ascii="Times New Roman" w:cs="Times New Roman" w:eastAsia="Times New Roman" w:hAnsi="Times New Roman"/>
          <w:sz w:val="18"/>
          <w:szCs w:val="18"/>
          <w:color w:val="auto"/>
        </w:rPr>
        <w:t>We deploy technical safeguards that are designed to protect our information systems from cybersecurity threats,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firewalls, intrusion prevention and detection systems, anti-malware functionality and access controls, which are evaluated and improved through vulnerability assessments and cybersecurity threat intelligence.</w:t>
      </w:r>
    </w:p>
    <w:p>
      <w:pPr>
        <w:spacing w:after="0" w:line="198" w:lineRule="exact"/>
        <w:rPr>
          <w:sz w:val="20"/>
          <w:szCs w:val="20"/>
          <w:color w:val="auto"/>
        </w:rPr>
      </w:pPr>
    </w:p>
    <w:p>
      <w:pPr>
        <w:ind w:right="140" w:firstLine="648"/>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Incident Response and Recovery Planning: </w:t>
      </w:r>
      <w:r>
        <w:rPr>
          <w:rFonts w:ascii="Times New Roman" w:cs="Times New Roman" w:eastAsia="Times New Roman" w:hAnsi="Times New Roman"/>
          <w:sz w:val="18"/>
          <w:szCs w:val="18"/>
          <w:color w:val="auto"/>
        </w:rPr>
        <w:t>We have established and maintains broad incident response and recovery plans that help enable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and orderly management of, and response to, any identified security incidents, including escalation and internal and external-notification steps, allowing the incident response team to respond in a timely manner and enlist appropriate personnel and third-party experts. We maintain a process to promptly assess and assign severity levels to any identified security incidents in order to prioritize their importance and promptly direct resources to those issues of potentially greater impact. The notification plan establishes steps to alert external stakeholders as appropriate, including law enforcement, regulatory bodies, investors, customers and other business partners.</w:t>
      </w:r>
    </w:p>
    <w:p>
      <w:pPr>
        <w:spacing w:after="0" w:line="208" w:lineRule="exact"/>
        <w:rPr>
          <w:sz w:val="20"/>
          <w:szCs w:val="20"/>
          <w:color w:val="auto"/>
        </w:rPr>
      </w:pPr>
    </w:p>
    <w:p>
      <w:pPr>
        <w:ind w:right="100" w:firstLine="648"/>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Third-Party Risk Management: </w:t>
      </w:r>
      <w:r>
        <w:rPr>
          <w:rFonts w:ascii="Times New Roman" w:cs="Times New Roman" w:eastAsia="Times New Roman" w:hAnsi="Times New Roman"/>
          <w:sz w:val="18"/>
          <w:szCs w:val="18"/>
          <w:color w:val="auto"/>
        </w:rPr>
        <w:t>We maintain a broad, risk-based approach to identifying and overseeing cybersecurity risks presented by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including vendors, service providers and other external users of our systems, as well as the systems of third parties that could adversely impact our business in the event of a cybersecurity incident affecting those third-party systems. In addition, our Trusted Supplier Program is designed to ensure manufacturing partners undergo a selection and qualification process that adheres to NIST 800-161.</w:t>
      </w:r>
    </w:p>
    <w:p>
      <w:pPr>
        <w:spacing w:after="0" w:line="204" w:lineRule="exact"/>
        <w:rPr>
          <w:sz w:val="20"/>
          <w:szCs w:val="20"/>
          <w:color w:val="auto"/>
        </w:rPr>
      </w:pPr>
    </w:p>
    <w:p>
      <w:pPr>
        <w:ind w:right="220"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Education and Awareness: </w:t>
      </w:r>
      <w:r>
        <w:rPr>
          <w:rFonts w:ascii="Times New Roman" w:cs="Times New Roman" w:eastAsia="Times New Roman" w:hAnsi="Times New Roman"/>
          <w:sz w:val="18"/>
          <w:szCs w:val="18"/>
          <w:color w:val="auto"/>
        </w:rPr>
        <w:t>We provide regular, mandatory training for personnel and contractors regarding cybersecurity threats as a means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equip Fortinet personnel with effective tools to address cybersecurity threats and to communicate Fortinet’s evolving information security policies, standards, processes and practices.</w:t>
      </w:r>
    </w:p>
    <w:p>
      <w:pPr>
        <w:spacing w:after="0" w:line="199"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b w:val="1"/>
          <w:bCs w:val="1"/>
          <w:color w:val="221E1F"/>
        </w:rPr>
        <w:t xml:space="preserve">Risk and Readiness Assessments: </w:t>
      </w:r>
      <w:r>
        <w:rPr>
          <w:rFonts w:ascii="Times New Roman" w:cs="Times New Roman" w:eastAsia="Times New Roman" w:hAnsi="Times New Roman"/>
          <w:sz w:val="18"/>
          <w:szCs w:val="18"/>
          <w:color w:val="221E1F"/>
        </w:rPr>
        <w:t>We engage in the periodic assessment and testing of our policies, standards, process</w:t>
      </w:r>
      <w:r>
        <w:rPr>
          <w:rFonts w:ascii="Times New Roman" w:cs="Times New Roman" w:eastAsia="Times New Roman" w:hAnsi="Times New Roman"/>
          <w:sz w:val="18"/>
          <w:szCs w:val="18"/>
          <w:color w:val="000000"/>
        </w:rPr>
        <w:t>es and practices that are</w:t>
      </w:r>
      <w:r>
        <w:rPr>
          <w:rFonts w:ascii="Times New Roman" w:cs="Times New Roman" w:eastAsia="Times New Roman" w:hAnsi="Times New Roman"/>
          <w:sz w:val="18"/>
          <w:szCs w:val="18"/>
          <w:b w:val="1"/>
          <w:bCs w:val="1"/>
          <w:color w:val="221E1F"/>
        </w:rPr>
        <w:t xml:space="preserve"> </w:t>
      </w:r>
      <w:r>
        <w:rPr>
          <w:rFonts w:ascii="Times New Roman" w:cs="Times New Roman" w:eastAsia="Times New Roman" w:hAnsi="Times New Roman"/>
          <w:sz w:val="18"/>
          <w:szCs w:val="18"/>
          <w:color w:val="000000"/>
        </w:rPr>
        <w:t>designed to identify vulnerabilities and weaknesses, address cybersecurity threats and test its readiness to respond to cyber security incidents. These efforts include a wide range of activities, including threat modeling, a variety of vulnerability and configuration scans, penetration testing, audits, tabletop exercises and other exercises focused on evaluating the effectiveness of our cybersecurity measures and planning. We regularly engage third parties to perform assessments on our cybersecurity measures, including information security maturity assessments, audits and independent reviews of our information security control environment and operating effectiveness and penetration tests. The results of such assessments, audits and reviews are reported to the Audit Committee and our board of directors and to our management, and we adjust its cybersecurity policies, standards, processes and practices as necessary based on the information provided by these assessments, audits and reviews</w:t>
      </w:r>
      <w:r>
        <w:rPr>
          <w:rFonts w:ascii="Times New Roman" w:cs="Times New Roman" w:eastAsia="Times New Roman" w:hAnsi="Times New Roman"/>
          <w:sz w:val="18"/>
          <w:szCs w:val="18"/>
          <w:color w:val="221E1F"/>
        </w:rPr>
        <w: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Insurance: </w:t>
      </w:r>
      <w:r>
        <w:rPr>
          <w:rFonts w:ascii="Times New Roman" w:cs="Times New Roman" w:eastAsia="Times New Roman" w:hAnsi="Times New Roman"/>
          <w:sz w:val="18"/>
          <w:szCs w:val="18"/>
          <w:color w:val="auto"/>
        </w:rPr>
        <w:t>We maintain information security risk insurance coverage.</w:t>
      </w:r>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43" w:lineRule="exact"/>
        <w:rPr>
          <w:sz w:val="20"/>
          <w:szCs w:val="20"/>
          <w:color w:val="auto"/>
        </w:rPr>
      </w:pPr>
    </w:p>
    <w:p>
      <w:pPr>
        <w:jc w:val="both"/>
        <w:ind w:right="120" w:firstLine="648"/>
        <w:spacing w:after="0" w:line="250" w:lineRule="auto"/>
        <w:rPr>
          <w:sz w:val="20"/>
          <w:szCs w:val="20"/>
          <w:color w:val="auto"/>
        </w:rPr>
      </w:pPr>
      <w:r>
        <w:rPr>
          <w:rFonts w:ascii="Times New Roman" w:cs="Times New Roman" w:eastAsia="Times New Roman" w:hAnsi="Times New Roman"/>
          <w:sz w:val="18"/>
          <w:szCs w:val="18"/>
          <w:color w:val="auto"/>
        </w:rPr>
        <w:t>Our corporate headquarters is located in Sunnyvale, California and comprises approximately 395,000 square feet of building space on 21 acres of land. Refer to Note 17, Subsequent Events, in Part II, Item 8 of this Annual Report on Form 10-K for the January 2024 purchase of an additional 480,000 square feet in Santa Clara, CA which is located in close proximity to corporate headquarters.</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Along with our corporate headquarters, as of December 31, 2023, we operated the following facilities: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Owned Square Footage</w:t>
            </w:r>
          </w:p>
        </w:tc>
        <w:tc>
          <w:tcPr>
            <w:tcW w:w="6260" w:type="dxa"/>
            <w:vAlign w:val="bottom"/>
            <w:shd w:val="clear" w:color="auto" w:fill="CCEEFF"/>
          </w:tcPr>
          <w:p>
            <w:pPr>
              <w:jc w:val="right"/>
              <w:ind w:right="2411"/>
              <w:spacing w:after="0"/>
              <w:rPr>
                <w:sz w:val="20"/>
                <w:szCs w:val="20"/>
                <w:color w:val="auto"/>
              </w:rPr>
            </w:pPr>
            <w:r>
              <w:rPr>
                <w:rFonts w:ascii="Times New Roman" w:cs="Times New Roman" w:eastAsia="Times New Roman" w:hAnsi="Times New Roman"/>
                <w:sz w:val="16"/>
                <w:szCs w:val="16"/>
                <w:b w:val="1"/>
                <w:bCs w:val="1"/>
                <w:color w:val="auto"/>
              </w:rPr>
              <w:t>Description of Use</w:t>
            </w:r>
          </w:p>
        </w:tc>
      </w:tr>
      <w:tr>
        <w:trPr>
          <w:trHeight w:val="223"/>
        </w:trPr>
        <w:tc>
          <w:tcPr>
            <w:tcW w:w="2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Burnaby and Ottawa, Canada</w:t>
            </w:r>
          </w:p>
        </w:tc>
        <w:tc>
          <w:tcPr>
            <w:tcW w:w="100" w:type="dxa"/>
            <w:vAlign w:val="bottom"/>
          </w:tcPr>
          <w:p>
            <w:pPr>
              <w:spacing w:after="0"/>
              <w:rPr>
                <w:sz w:val="19"/>
                <w:szCs w:val="19"/>
                <w:color w:val="auto"/>
              </w:rPr>
            </w:pP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560,000</w:t>
            </w:r>
          </w:p>
        </w:tc>
        <w:tc>
          <w:tcPr>
            <w:tcW w:w="120" w:type="dxa"/>
            <w:vAlign w:val="bottom"/>
          </w:tcPr>
          <w:p>
            <w:pPr>
              <w:spacing w:after="0"/>
              <w:rPr>
                <w:sz w:val="19"/>
                <w:szCs w:val="19"/>
                <w:color w:val="auto"/>
              </w:rPr>
            </w:pPr>
          </w:p>
        </w:tc>
        <w:tc>
          <w:tcPr>
            <w:tcW w:w="6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Datacenter operations, support functions and research and development</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Union City, California</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20" w:type="dxa"/>
            <w:vAlign w:val="bottom"/>
            <w:shd w:val="clear" w:color="auto" w:fill="CCEEFF"/>
          </w:tcPr>
          <w:p>
            <w:pPr>
              <w:spacing w:after="0"/>
              <w:rPr>
                <w:sz w:val="19"/>
                <w:szCs w:val="19"/>
                <w:color w:val="auto"/>
              </w:rPr>
            </w:pPr>
          </w:p>
        </w:tc>
        <w:tc>
          <w:tcPr>
            <w:tcW w:w="6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Manufacturing assembly and operations</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Plano &amp; Frisco, Texas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120" w:type="dxa"/>
            <w:vAlign w:val="bottom"/>
          </w:tcPr>
          <w:p>
            <w:pPr>
              <w:spacing w:after="0"/>
              <w:rPr>
                <w:sz w:val="19"/>
                <w:szCs w:val="19"/>
                <w:color w:val="auto"/>
              </w:rPr>
            </w:pPr>
          </w:p>
        </w:tc>
        <w:tc>
          <w:tcPr>
            <w:tcW w:w="6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Office space and datacenter operations</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Torija, Spain</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20" w:type="dxa"/>
            <w:vAlign w:val="bottom"/>
            <w:shd w:val="clear" w:color="auto" w:fill="CCEEFF"/>
          </w:tcPr>
          <w:p>
            <w:pPr>
              <w:spacing w:after="0"/>
              <w:rPr>
                <w:sz w:val="19"/>
                <w:szCs w:val="19"/>
                <w:color w:val="auto"/>
              </w:rPr>
            </w:pPr>
          </w:p>
        </w:tc>
        <w:tc>
          <w:tcPr>
            <w:tcW w:w="6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Future development of datacenter operations</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Chicago, Illinois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Pr>
          <w:p>
            <w:pPr>
              <w:spacing w:after="0"/>
              <w:rPr>
                <w:sz w:val="19"/>
                <w:szCs w:val="19"/>
                <w:color w:val="auto"/>
              </w:rPr>
            </w:pPr>
          </w:p>
        </w:tc>
        <w:tc>
          <w:tcPr>
            <w:tcW w:w="6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Office space and retail</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Sunrise, Florida</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shd w:val="clear" w:color="auto" w:fill="CCEEFF"/>
          </w:tcPr>
          <w:p>
            <w:pPr>
              <w:spacing w:after="0"/>
              <w:rPr>
                <w:sz w:val="19"/>
                <w:szCs w:val="19"/>
                <w:color w:val="auto"/>
              </w:rPr>
            </w:pPr>
          </w:p>
        </w:tc>
        <w:tc>
          <w:tcPr>
            <w:tcW w:w="6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Office space</w:t>
            </w:r>
          </w:p>
        </w:tc>
      </w:tr>
      <w:tr>
        <w:trPr>
          <w:trHeight w:val="234"/>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Valbonne, France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20" w:type="dxa"/>
            <w:vAlign w:val="bottom"/>
          </w:tcPr>
          <w:p>
            <w:pPr>
              <w:spacing w:after="0"/>
              <w:rPr>
                <w:sz w:val="20"/>
                <w:szCs w:val="20"/>
                <w:color w:val="auto"/>
              </w:rPr>
            </w:pPr>
          </w:p>
        </w:tc>
        <w:tc>
          <w:tcPr>
            <w:tcW w:w="6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Sales and support functions</w:t>
            </w:r>
          </w:p>
        </w:tc>
      </w:tr>
    </w:tbl>
    <w:p>
      <w:pPr>
        <w:spacing w:after="0" w:line="314"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We also own additional building space in Sunnyvale and Union City, California, and Sydney, Australia, for future development of approximately 450,000 square feet in the aggregate.</w:t>
      </w:r>
    </w:p>
    <w:p>
      <w:pPr>
        <w:spacing w:after="0" w:line="175" w:lineRule="exact"/>
        <w:rPr>
          <w:sz w:val="20"/>
          <w:szCs w:val="20"/>
          <w:color w:val="auto"/>
        </w:rPr>
      </w:pPr>
    </w:p>
    <w:p>
      <w:pPr>
        <w:ind w:right="600" w:firstLine="648"/>
        <w:spacing w:after="0" w:line="250" w:lineRule="auto"/>
        <w:rPr>
          <w:sz w:val="20"/>
          <w:szCs w:val="20"/>
          <w:color w:val="auto"/>
        </w:rPr>
      </w:pPr>
      <w:r>
        <w:rPr>
          <w:rFonts w:ascii="Times New Roman" w:cs="Times New Roman" w:eastAsia="Times New Roman" w:hAnsi="Times New Roman"/>
          <w:sz w:val="18"/>
          <w:szCs w:val="18"/>
          <w:color w:val="auto"/>
        </w:rPr>
        <w:t>We maintain additional leased offices throughout the world, predominantly used as sales and support offices, and leased data center spaces throughout the world operated under co-location arrangements. We believe that our existing properties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are sufficient and suitable to meet our current needs. We intend to expand our facilities, develop unoccupied space, or add new facilities to support our future growth and enter new product markets, and we believe that suitable additional or alternative space will be available or can be developed as needed to accommodate ongoing operations and any such growth. However, we expect to incur additional operating expenses and capital expenditures in connection with such new or expanded facilities.</w:t>
      </w:r>
    </w:p>
    <w:p>
      <w:pPr>
        <w:spacing w:after="0" w:line="221"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For information regarding the geographical location of our property and equipment, refer to Note 16 to our consolidated financial statements in Part II, Item 8 of this Annual Report on Form 10-K.</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43" w:lineRule="exact"/>
        <w:rPr>
          <w:sz w:val="20"/>
          <w:szCs w:val="20"/>
          <w:color w:val="auto"/>
        </w:rPr>
      </w:pPr>
    </w:p>
    <w:p>
      <w:pPr>
        <w:ind w:right="340" w:firstLine="648"/>
        <w:spacing w:after="0" w:line="239" w:lineRule="auto"/>
        <w:rPr>
          <w:sz w:val="20"/>
          <w:szCs w:val="20"/>
          <w:color w:val="auto"/>
        </w:rPr>
      </w:pPr>
      <w:r>
        <w:rPr>
          <w:rFonts w:ascii="Times New Roman" w:cs="Times New Roman" w:eastAsia="Times New Roman" w:hAnsi="Times New Roman"/>
          <w:sz w:val="18"/>
          <w:szCs w:val="18"/>
          <w:color w:val="auto"/>
        </w:rPr>
        <w:t>We are subject to various claims, complaints and legal actions that arise from time to time in the ordinary course of business. We accrue for contingencies when we believe that a loss is probable and that we can reasonably estimate the amount of any such loss. There can be no assurance that existing or future legal proceedings arising in the ordinary course of business or otherwise will not have a material adverse effect on our business, consolidated financial position, results of operations or cash flows. Refer to Note 12. Commitments and Contingencies in Part II, Item 8 of this Annual Report on Form 10-K for additional information.</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4"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All share and per share amounts presented in this Part II have been retroactively adjusted to reflect the five-for-one forward stock split of our common stock effective June 22, 2022.</w:t>
      </w:r>
    </w:p>
    <w:p>
      <w:pPr>
        <w:spacing w:after="0" w:line="17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“FTNT.”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Record</w:t>
      </w:r>
    </w:p>
    <w:p>
      <w:pPr>
        <w:spacing w:after="0" w:line="256"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As of February 22, 2024, there were 45 holders of record of our common stock. A substantially greater number of holders of our common stock are “street name” or beneficial holders, whose shares are held by banks, brokers and other financial institutions.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do not anticipate paying any cash dividends in the foreseeable future. Any future determination to declare cash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Authorized for Issuance Under Equity Compensation Plans</w:t>
      </w:r>
    </w:p>
    <w:p>
      <w:pPr>
        <w:spacing w:after="0" w:line="25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definitive proxy statement with respect to our 2024 Annual Meeting of Stockholders to be filed with the Securities and Exchange Commission (the “SEC”) within 120 days after the end of the fiscal year covered by this Annual Report on Form 10-K.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Performance Graph</w:t>
      </w:r>
    </w:p>
    <w:p>
      <w:pPr>
        <w:spacing w:after="0" w:line="25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This performance graph shall not be deemed “filed” for purposes of Section 18 of the Securities and Exchange Act of 1934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“Exchange Act”), or incorporated by reference into any filing of Fortinet under the Securities Act of 1933, as amended (the “Securities Act”), or the Exchange Act, except as shall be expressly set forth by specific reference in such filing.</w:t>
      </w:r>
    </w:p>
    <w:p>
      <w:pPr>
        <w:sectPr>
          <w:pgSz w:w="11900" w:h="16838" w:orient="portrait"/>
          <w:cols w:equalWidth="0" w:num="1">
            <w:col w:w="11200"/>
          </w:cols>
          <w:pgMar w:left="320" w:top="11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following graph compares the cumulative five-year total return for our common stock, the Standard &amp; Poor’s 500 Stock Index (the “S&amp;P 500 Index”) and the NASDAQ Computer Index. Such returns are based on historical results and are not intended to suggest future performance. Data for the S&amp;P 500 Index and the NASDAQ Computer Index assume reinvestment of dividends.</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COMPARISON OF CUMULATIVE TOTAL RETURN*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Among Fortinet, Inc., the S&amp;P 500 Index and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NASDAQ Computer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5715</wp:posOffset>
            </wp:positionV>
            <wp:extent cx="5863590" cy="25888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63590"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1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120" w:type="dxa"/>
            <w:vAlign w:val="bottom"/>
          </w:tcPr>
          <w:p>
            <w:pPr>
              <w:spacing w:after="0"/>
              <w:rPr>
                <w:sz w:val="16"/>
                <w:szCs w:val="16"/>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1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1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120" w:type="dxa"/>
            <w:vAlign w:val="bottom"/>
          </w:tcPr>
          <w:p>
            <w:pPr>
              <w:spacing w:after="0"/>
              <w:rPr>
                <w:sz w:val="16"/>
                <w:szCs w:val="16"/>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rPr>
              <w:t>December</w:t>
            </w:r>
          </w:p>
        </w:tc>
      </w:tr>
      <w:tr>
        <w:trPr>
          <w:trHeight w:val="214"/>
        </w:trPr>
        <w:tc>
          <w:tcPr>
            <w:tcW w:w="46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2018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Fortinet, Inc.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S&amp;P 500 Index</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NASDAQ Computer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r>
    </w:tbl>
    <w:p>
      <w:pPr>
        <w:spacing w:after="0" w:line="126" w:lineRule="exact"/>
        <w:rPr>
          <w:sz w:val="20"/>
          <w:szCs w:val="20"/>
          <w:color w:val="auto"/>
        </w:rPr>
      </w:pPr>
    </w:p>
    <w:p>
      <w:pPr>
        <w:ind w:left="80" w:right="520" w:hanging="7"/>
        <w:spacing w:after="0" w:line="261" w:lineRule="auto"/>
        <w:tabs>
          <w:tab w:leader="none" w:pos="188"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that $100 was invested on December 31, 2018 in stock or index, including reinvestment of dividends. Stockholder returns over the indicated period should not be considered indicative of future stockholder returns.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Unregistered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 and Affiliated Purchasers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54"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In January 2016, our board of directors approved our Share Repurchase Program (the “Repurchase Program”), which authorized the repurchase of up to $200.0 million of our outstanding common stock through December 31, 2017. From 2016 through 2022, our board of directors approved increases to our Repurchase Program by various amounts and extended the term to February 28, 2023. In February 2023, our board of directors approved an extension of the Repurchase Program to February 29, 2024. In April 2023 and July 2023, our board of directors approved $1.0 billion and $500.0 million increases in the authorized stock repurchase amount under the Repurchase Program, respectively, bringing the aggregate amount authorized to be repurchased to $6.75 billion. Under the Repurchase Program, share repurchases may be made by us from time to time in privately negotiated transactions or in open market transactions. The Repurchase Program does not require us to purchase a minimum number of shares, and may be suspended, modified or discontinued at any time without prior notice. Since its inception, we have repurchased 238.6 million shares of our common stock under the Repurchase Program for an aggregate purchase price of $6.22 billion.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with respect to the shares of common stock we repurchased under the Repurchase Program during the three months ended December 31, 2023 (in millions, except average price paid per share amounts):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6"/>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2"/>
                <w:szCs w:val="12"/>
                <w:color w:val="auto"/>
              </w:rPr>
            </w:pPr>
          </w:p>
        </w:tc>
        <w:tc>
          <w:tcPr>
            <w:tcW w:w="10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00" w:type="dxa"/>
            <w:vAlign w:val="bottom"/>
          </w:tcPr>
          <w:p>
            <w:pPr>
              <w:spacing w:after="0"/>
              <w:rPr>
                <w:sz w:val="12"/>
                <w:szCs w:val="12"/>
                <w:color w:val="auto"/>
              </w:rPr>
            </w:pPr>
          </w:p>
        </w:tc>
        <w:tc>
          <w:tcPr>
            <w:tcW w:w="19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c>
          <w:tcPr>
            <w:tcW w:w="0" w:type="dxa"/>
            <w:vAlign w:val="bottom"/>
          </w:tcPr>
          <w:p>
            <w:pPr>
              <w:spacing w:after="0"/>
              <w:rPr>
                <w:sz w:val="1"/>
                <w:szCs w:val="1"/>
                <w:color w:val="auto"/>
              </w:rPr>
            </w:pPr>
          </w:p>
        </w:tc>
      </w:tr>
      <w:tr>
        <w:trPr>
          <w:trHeight w:val="148"/>
        </w:trPr>
        <w:tc>
          <w:tcPr>
            <w:tcW w:w="4040" w:type="dxa"/>
            <w:vAlign w:val="bottom"/>
            <w:gridSpan w:val="2"/>
            <w:vMerge w:val="restart"/>
          </w:tcPr>
          <w:p>
            <w:pPr>
              <w:ind w:left="17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 or Program</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148"/>
        </w:trPr>
        <w:tc>
          <w:tcPr>
            <w:tcW w:w="4040" w:type="dxa"/>
            <w:vAlign w:val="bottom"/>
            <w:gridSpan w:val="2"/>
            <w:vMerge w:val="continue"/>
          </w:tcPr>
          <w:p>
            <w:pPr>
              <w:spacing w:after="0"/>
              <w:rPr>
                <w:sz w:val="12"/>
                <w:szCs w:val="12"/>
                <w:color w:val="auto"/>
              </w:rPr>
            </w:pPr>
          </w:p>
        </w:tc>
        <w:tc>
          <w:tcPr>
            <w:tcW w:w="1940" w:type="dxa"/>
            <w:vAlign w:val="bottom"/>
          </w:tcPr>
          <w:p>
            <w:pPr>
              <w:jc w:val="right"/>
              <w:ind w:right="556"/>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Paid per Share</w:t>
            </w: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3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 October 31, 2023</w:t>
            </w:r>
          </w:p>
        </w:tc>
        <w:tc>
          <w:tcPr>
            <w:tcW w:w="12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w:t>
            </w:r>
          </w:p>
        </w:tc>
        <w:tc>
          <w:tcPr>
            <w:tcW w:w="1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w:t>
            </w:r>
          </w:p>
        </w:tc>
        <w:tc>
          <w:tcPr>
            <w:tcW w:w="0" w:type="dxa"/>
            <w:vAlign w:val="bottom"/>
          </w:tcPr>
          <w:p>
            <w:pPr>
              <w:spacing w:after="0"/>
              <w:rPr>
                <w:sz w:val="1"/>
                <w:szCs w:val="1"/>
                <w:color w:val="auto"/>
              </w:rPr>
            </w:pPr>
          </w:p>
        </w:tc>
      </w:tr>
      <w:tr>
        <w:trPr>
          <w:trHeight w:val="229"/>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 November 30, 2023</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529.1</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 December 31, 2023</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529.1</w:t>
            </w:r>
          </w:p>
        </w:tc>
        <w:tc>
          <w:tcPr>
            <w:tcW w:w="0" w:type="dxa"/>
            <w:vAlign w:val="bottom"/>
          </w:tcPr>
          <w:p>
            <w:pPr>
              <w:spacing w:after="0"/>
              <w:rPr>
                <w:sz w:val="1"/>
                <w:szCs w:val="1"/>
                <w:color w:val="auto"/>
              </w:rPr>
            </w:pPr>
          </w:p>
        </w:tc>
      </w:tr>
      <w:tr>
        <w:trPr>
          <w:trHeight w:val="223"/>
        </w:trPr>
        <w:tc>
          <w:tcPr>
            <w:tcW w:w="404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53.29</w:t>
            </w:r>
          </w:p>
        </w:tc>
        <w:tc>
          <w:tcPr>
            <w:tcW w:w="12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540" w:firstLine="567"/>
        <w:spacing w:after="0" w:line="245" w:lineRule="auto"/>
        <w:rPr>
          <w:sz w:val="20"/>
          <w:szCs w:val="20"/>
          <w:color w:val="auto"/>
        </w:rPr>
      </w:pPr>
      <w:r>
        <w:rPr>
          <w:rFonts w:ascii="Times New Roman" w:cs="Times New Roman" w:eastAsia="Times New Roman" w:hAnsi="Times New Roman"/>
          <w:sz w:val="18"/>
          <w:szCs w:val="18"/>
          <w:color w:val="auto"/>
        </w:rPr>
        <w:t>In January 2024, our board of directors approved a $500.0 million increase in the authorized stock repurchase amount under the Repurchase Program, bringing the aggregate amount authorized to be repurchased to $7.25 billion of our outstanding common stock. As of February 23, 2024, approximately $1.03 billion remained available for future share repurchases. In February 2024, our board of directors approved an extension of the Repurchase Program to February 28, 2025.</w:t>
      </w:r>
    </w:p>
    <w:p>
      <w:pPr>
        <w:spacing w:after="0" w:line="31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4" w:lineRule="exact"/>
        <w:rPr>
          <w:sz w:val="20"/>
          <w:szCs w:val="20"/>
          <w:color w:val="auto"/>
        </w:rPr>
      </w:pPr>
    </w:p>
    <w:p>
      <w:pPr>
        <w:jc w:val="both"/>
        <w:ind w:right="20" w:firstLine="648"/>
        <w:spacing w:after="0" w:line="298" w:lineRule="auto"/>
        <w:rPr>
          <w:sz w:val="20"/>
          <w:szCs w:val="20"/>
          <w:color w:val="auto"/>
        </w:rPr>
      </w:pPr>
      <w:r>
        <w:rPr>
          <w:rFonts w:ascii="Times New Roman" w:cs="Times New Roman" w:eastAsia="Times New Roman" w:hAnsi="Times New Roman"/>
          <w:sz w:val="17"/>
          <w:szCs w:val="17"/>
          <w:i w:val="1"/>
          <w:iCs w:val="1"/>
          <w:color w:val="auto"/>
        </w:rPr>
        <w:t>In addition to historical information, this Annual Report on Form 10-K contains forward-looking statements within the meaning of Section 27A of the Securities Act and Section 21E of the Exchange Act. These statements include, among other things, statements concerning our expectations regarding:</w:t>
      </w:r>
    </w:p>
    <w:p>
      <w:pPr>
        <w:spacing w:after="0" w:line="176" w:lineRule="exact"/>
        <w:rPr>
          <w:sz w:val="20"/>
          <w:szCs w:val="20"/>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continued growth and market share gains;</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variability in sales in certain product and service categories from year to year and between quarters;</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expected impact of sales from certain products and services;</w:t>
      </w:r>
    </w:p>
    <w:p>
      <w:pPr>
        <w:spacing w:after="0" w:line="252" w:lineRule="exact"/>
        <w:rPr>
          <w:rFonts w:ascii="Times New Roman" w:cs="Times New Roman" w:eastAsia="Times New Roman" w:hAnsi="Times New Roman"/>
          <w:sz w:val="18"/>
          <w:szCs w:val="18"/>
          <w:i w:val="1"/>
          <w:iCs w:val="1"/>
          <w:color w:val="auto"/>
        </w:rPr>
      </w:pPr>
    </w:p>
    <w:p>
      <w:pPr>
        <w:ind w:left="1300" w:right="280" w:hanging="644"/>
        <w:spacing w:after="0" w:line="284" w:lineRule="auto"/>
        <w:tabs>
          <w:tab w:leader="none" w:pos="1295"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increasing or decreasing inflation or stagflation, and changing interest rates in many geographies and changes in currency exchange rates and currency regulations;</w:t>
      </w:r>
    </w:p>
    <w:p>
      <w:pPr>
        <w:spacing w:after="0" w:line="18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competition in our markets;</w:t>
      </w:r>
    </w:p>
    <w:p>
      <w:pPr>
        <w:spacing w:after="0" w:line="252" w:lineRule="exact"/>
        <w:rPr>
          <w:rFonts w:ascii="Times New Roman" w:cs="Times New Roman" w:eastAsia="Times New Roman" w:hAnsi="Times New Roman"/>
          <w:sz w:val="18"/>
          <w:szCs w:val="18"/>
          <w:i w:val="1"/>
          <w:iCs w:val="1"/>
          <w:color w:val="auto"/>
        </w:rPr>
      </w:pPr>
    </w:p>
    <w:p>
      <w:pPr>
        <w:ind w:left="1300" w:right="500" w:hanging="644"/>
        <w:spacing w:after="0" w:line="284" w:lineRule="auto"/>
        <w:tabs>
          <w:tab w:leader="none" w:pos="1295"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macroeconomic, geopolitical factors and other disruption on our manufacturing or sales, including public health issues, wars and natural disasters;</w:t>
      </w:r>
    </w:p>
    <w:p>
      <w:pPr>
        <w:spacing w:after="0" w:line="18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real estate investments, management of future growth including expansions and enhancements of current properties;</w:t>
      </w:r>
    </w:p>
    <w:p>
      <w:pPr>
        <w:spacing w:after="0" w:line="22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government regulation, tariffs and other policies;</w:t>
      </w:r>
    </w:p>
    <w:p>
      <w:pPr>
        <w:spacing w:after="0" w:line="252" w:lineRule="exact"/>
        <w:rPr>
          <w:rFonts w:ascii="Times New Roman" w:cs="Times New Roman" w:eastAsia="Times New Roman" w:hAnsi="Times New Roman"/>
          <w:sz w:val="18"/>
          <w:szCs w:val="18"/>
          <w:color w:val="auto"/>
        </w:rPr>
      </w:pPr>
    </w:p>
    <w:p>
      <w:pPr>
        <w:ind w:left="1300" w:right="560" w:hanging="644"/>
        <w:spacing w:after="0" w:line="284" w:lineRule="auto"/>
        <w:tabs>
          <w:tab w:leader="none" w:pos="12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drivers of long-term growth and operating leverage, such as pricing of our products and services, sales productivity, pipeline and capacity, functionality, value and technology improvements in our service offerings;</w:t>
      </w:r>
    </w:p>
    <w:p>
      <w:pPr>
        <w:spacing w:after="0" w:line="185" w:lineRule="exact"/>
        <w:rPr>
          <w:rFonts w:ascii="Times New Roman" w:cs="Times New Roman" w:eastAsia="Times New Roman" w:hAnsi="Times New Roman"/>
          <w:sz w:val="18"/>
          <w:szCs w:val="18"/>
          <w:color w:val="auto"/>
        </w:rPr>
      </w:pPr>
    </w:p>
    <w:p>
      <w:pPr>
        <w:ind w:left="1300" w:hanging="644"/>
        <w:spacing w:after="0" w:line="261" w:lineRule="auto"/>
        <w:tabs>
          <w:tab w:leader="none" w:pos="12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growing our solution sales through channel partners to businesses, service providers and government organizations, our ability to execute these sales and the complexity of providing solutions to all segments (including the increased competition and unpredictability of timing associated with sales to larger enterprises), the impact of sales to these organizations on our long-term growth, expansion and operating results, and the effectiveness of our sales organization;</w:t>
      </w:r>
    </w:p>
    <w:p>
      <w:pPr>
        <w:spacing w:after="0" w:line="206" w:lineRule="exact"/>
        <w:rPr>
          <w:rFonts w:ascii="Times New Roman" w:cs="Times New Roman" w:eastAsia="Times New Roman" w:hAnsi="Times New Roman"/>
          <w:sz w:val="18"/>
          <w:szCs w:val="18"/>
          <w:color w:val="auto"/>
        </w:rPr>
      </w:pPr>
    </w:p>
    <w:p>
      <w:pPr>
        <w:ind w:left="1300" w:right="660" w:hanging="644"/>
        <w:spacing w:after="0" w:line="284" w:lineRule="auto"/>
        <w:tabs>
          <w:tab w:leader="none" w:pos="1295"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successfully anticipate market changes related to cloud-based solutions and to sell, support and meet service level agreements related to cloud-based solutions;</w:t>
      </w:r>
    </w:p>
    <w:p>
      <w:pPr>
        <w:spacing w:after="0" w:line="18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growth expectations for the secure networking market;</w:t>
      </w:r>
    </w:p>
    <w:p>
      <w:pPr>
        <w:spacing w:after="0" w:line="252" w:lineRule="exact"/>
        <w:rPr>
          <w:rFonts w:ascii="Times New Roman" w:cs="Times New Roman" w:eastAsia="Times New Roman" w:hAnsi="Times New Roman"/>
          <w:sz w:val="18"/>
          <w:szCs w:val="18"/>
          <w:i w:val="1"/>
          <w:iCs w:val="1"/>
          <w:color w:val="auto"/>
        </w:rPr>
      </w:pPr>
    </w:p>
    <w:p>
      <w:pPr>
        <w:ind w:left="1300" w:right="300" w:hanging="644"/>
        <w:spacing w:after="0" w:line="284" w:lineRule="auto"/>
        <w:tabs>
          <w:tab w:leader="none" w:pos="1295"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supply chain constraints, component availability and other factors affecting our manufacturing capacity, delivery, cost and inventory management;</w:t>
      </w:r>
    </w:p>
    <w:p>
      <w:pPr>
        <w:spacing w:after="0" w:line="18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forecasts of future demand and targeted inventory levels, including changing market drivers and demands;</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effect of backlog from prior quarters, including its effect on growth of in-quarter billings and revenue;</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instability in the global banking system;</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hire properly qualified and effective sales, support and engineering employees;</w:t>
      </w:r>
    </w:p>
    <w:p>
      <w:pPr>
        <w:spacing w:after="0" w:line="252" w:lineRule="exact"/>
        <w:rPr>
          <w:rFonts w:ascii="Times New Roman" w:cs="Times New Roman" w:eastAsia="Times New Roman" w:hAnsi="Times New Roman"/>
          <w:sz w:val="18"/>
          <w:szCs w:val="18"/>
          <w:color w:val="auto"/>
        </w:rPr>
      </w:pPr>
    </w:p>
    <w:p>
      <w:pPr>
        <w:ind w:left="1300" w:hanging="644"/>
        <w:spacing w:after="0" w:line="267" w:lineRule="auto"/>
        <w:tabs>
          <w:tab w:leader="none" w:pos="1295"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and expectations related to acquisitions and equity interests in private and public companies, including integration issues related to go-to-market plans, product plans, employees of such companies, controls and processes and the acquired technology, and risks of negative impact by such acquisitions and equity investments on our financial results;</w:t>
      </w:r>
    </w:p>
    <w:p>
      <w:pPr>
        <w:spacing w:after="0" w:line="200"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trends in revenue, cost of revenue and gross margin, including expectations regarding product revenue and service revenue growth;</w:t>
      </w:r>
    </w:p>
    <w:p>
      <w:pPr>
        <w:sectPr>
          <w:pgSz w:w="11900" w:h="16838" w:orient="portrait"/>
          <w:cols w:equalWidth="0" w:num="1">
            <w:col w:w="11180"/>
          </w:cols>
          <w:pgMar w:left="320" w:top="11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300" w:right="80" w:hanging="644"/>
        <w:spacing w:after="0" w:line="284" w:lineRule="auto"/>
        <w:tabs>
          <w:tab w:leader="none" w:pos="12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trends in our operating expenses, including sales and marketing expense, research and development expense, general and administrative expense, and expectations regarding these expenses;</w:t>
      </w:r>
    </w:p>
    <w:p>
      <w:pPr>
        <w:spacing w:after="0" w:line="18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expected impact of plans and strategy for the acceleration of our points of presence (“PoP”) deployment;</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expectations that our operating expenses will increase year over year in absolute dollars during 2024;</w:t>
      </w:r>
    </w:p>
    <w:p>
      <w:pPr>
        <w:spacing w:after="0" w:line="252" w:lineRule="exact"/>
        <w:rPr>
          <w:rFonts w:ascii="Times New Roman" w:cs="Times New Roman" w:eastAsia="Times New Roman" w:hAnsi="Times New Roman"/>
          <w:sz w:val="18"/>
          <w:szCs w:val="18"/>
          <w:i w:val="1"/>
          <w:iCs w:val="1"/>
          <w:color w:val="auto"/>
        </w:rPr>
      </w:pPr>
    </w:p>
    <w:p>
      <w:pPr>
        <w:ind w:left="1300" w:right="100" w:hanging="644"/>
        <w:spacing w:after="0" w:line="284" w:lineRule="auto"/>
        <w:tabs>
          <w:tab w:leader="none" w:pos="1295"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expectations that proceeds from the exercise of stock options in future years will be adversely impacted by the increased mix of restricted stock units and performance stock units versus stock options granted or a decline in our stock price;</w:t>
      </w:r>
    </w:p>
    <w:p>
      <w:pPr>
        <w:spacing w:after="0" w:line="185" w:lineRule="exact"/>
        <w:rPr>
          <w:rFonts w:ascii="Times New Roman" w:cs="Times New Roman" w:eastAsia="Times New Roman" w:hAnsi="Times New Roman"/>
          <w:sz w:val="18"/>
          <w:szCs w:val="18"/>
          <w:i w:val="1"/>
          <w:iCs w:val="1"/>
          <w:color w:val="auto"/>
        </w:rPr>
      </w:pPr>
    </w:p>
    <w:p>
      <w:pPr>
        <w:ind w:left="1300" w:right="100" w:hanging="644"/>
        <w:spacing w:after="0" w:line="284" w:lineRule="auto"/>
        <w:tabs>
          <w:tab w:leader="none" w:pos="1295"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expectations regarding uncertain tax benefits and our effective domestic and global tax rates, the impact of interpretations of or changes to tax law, and the timing of tax payments;</w:t>
      </w:r>
    </w:p>
    <w:p>
      <w:pPr>
        <w:spacing w:after="0" w:line="185" w:lineRule="exact"/>
        <w:rPr>
          <w:rFonts w:ascii="Times New Roman" w:cs="Times New Roman" w:eastAsia="Times New Roman" w:hAnsi="Times New Roman"/>
          <w:sz w:val="18"/>
          <w:szCs w:val="18"/>
          <w:i w:val="1"/>
          <w:iCs w:val="1"/>
          <w:color w:val="auto"/>
        </w:rPr>
      </w:pPr>
    </w:p>
    <w:p>
      <w:pPr>
        <w:ind w:left="1300" w:hanging="644"/>
        <w:spacing w:after="0" w:line="284" w:lineRule="auto"/>
        <w:tabs>
          <w:tab w:leader="none" w:pos="1295"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expectations regarding spending related to real estate acquisitions and development, including data center, office building and warehouse investments, as well as other capital expenditures and to the impact on free cash flow and expenses;</w:t>
      </w:r>
    </w:p>
    <w:p>
      <w:pPr>
        <w:spacing w:after="0" w:line="18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estimates of a range of 2024 spending on capital expenditures;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outcomes and liabilities in litigation;</w:t>
      </w:r>
    </w:p>
    <w:p>
      <w:pPr>
        <w:spacing w:after="0" w:line="252" w:lineRule="exact"/>
        <w:rPr>
          <w:rFonts w:ascii="Times New Roman" w:cs="Times New Roman" w:eastAsia="Times New Roman" w:hAnsi="Times New Roman"/>
          <w:sz w:val="18"/>
          <w:szCs w:val="18"/>
          <w:color w:val="auto"/>
        </w:rPr>
      </w:pPr>
    </w:p>
    <w:p>
      <w:pPr>
        <w:ind w:left="1300" w:right="260" w:hanging="644"/>
        <w:spacing w:after="0" w:line="284" w:lineRule="auto"/>
        <w:tabs>
          <w:tab w:leader="none" w:pos="12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intentions regarding share repurchases and the sufficiency of our existing cash, cash equivalents and investments to meet our cash needs, including our debt servicing requirements, for at least the next 12 months;</w:t>
      </w:r>
    </w:p>
    <w:p>
      <w:pPr>
        <w:spacing w:after="0" w:line="18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statements regarding our future operations, financial condition and prospects and business strategies; and</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adoption and impact of new accounting standards.</w:t>
      </w:r>
    </w:p>
    <w:p>
      <w:pPr>
        <w:spacing w:after="0" w:line="252"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i w:val="1"/>
          <w:iCs w:val="1"/>
          <w:color w:val="auto"/>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Annual Report on Form 10-K and, in particular, the risks discussed under the heading “Risk Factors” in Part I, Item 1A of this Annual Report on Form 10-K and those discussed in other documents we file with the SEC. We undertake no obligation, and specifically disclaim any obligation, to revise or publicly release the results of any revision to these and any other forward-looking statements. Given these risks and uncertainties, readers are cautioned not to place undue reliance on such forward-looking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243" w:lineRule="exact"/>
        <w:rPr>
          <w:sz w:val="20"/>
          <w:szCs w:val="20"/>
          <w:color w:val="auto"/>
        </w:rPr>
      </w:pPr>
    </w:p>
    <w:p>
      <w:pPr>
        <w:ind w:right="100" w:firstLine="648"/>
        <w:spacing w:after="0" w:line="239" w:lineRule="auto"/>
        <w:rPr>
          <w:sz w:val="20"/>
          <w:szCs w:val="20"/>
          <w:color w:val="auto"/>
        </w:rPr>
      </w:pPr>
      <w:r>
        <w:rPr>
          <w:rFonts w:ascii="Times New Roman" w:cs="Times New Roman" w:eastAsia="Times New Roman" w:hAnsi="Times New Roman"/>
          <w:sz w:val="18"/>
          <w:szCs w:val="18"/>
          <w:color w:val="auto"/>
        </w:rPr>
        <w:t>Fortinet is a leader in cybersecurity and the convergence of networking and security. Our mission is to secure people, devices and data everywhere. Our integrated platform, the Fortinet Security Fabric, spans secure networking, unified SASE and AI-driven security operations to deliver cybersecurity where our customers need it. As of December 31, 2023, over a half million customers trusted our solutions, including enterprises such as in the financial services, retail and operational technology market verticals, communication and security service providers, government organizations and small and medium-sized businesses. As a global company headquartered in Sunnyvale, California with a large international customer base, the majority of our research and development is in the United States and Canada with a global footprint of support and centers of excellence around the world. As of December 31, 2023, we held 957 U.S. patents and 1,299 global patents and we are recognized in over 80 enterprise analyst reports demonstrating both our vision and execution across networking and security products.</w:t>
      </w:r>
    </w:p>
    <w:p>
      <w:pPr>
        <w:spacing w:after="0" w:line="210" w:lineRule="exact"/>
        <w:rPr>
          <w:sz w:val="20"/>
          <w:szCs w:val="20"/>
          <w:color w:val="auto"/>
        </w:rPr>
      </w:pPr>
    </w:p>
    <w:p>
      <w:pPr>
        <w:ind w:left="660" w:right="20" w:hanging="328"/>
        <w:spacing w:after="0" w:line="238"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Secure Networking</w:t>
      </w:r>
      <w:r>
        <w:rPr>
          <w:rFonts w:ascii="Times New Roman" w:cs="Times New Roman" w:eastAsia="Times New Roman" w:hAnsi="Times New Roman"/>
          <w:sz w:val="18"/>
          <w:szCs w:val="18"/>
          <w:color w:val="auto"/>
        </w:rPr>
        <w:t>—Our Secure Networking solutions focus on the convergence of networking and security via our network firewall and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switches, access points and other secure connectivity solutions. FortiOS is our networking and security operating system that is consistent across our firewalls and secure connectivity solutions and supports over 30 functions that can be delivered via a physical, virtual, cloud or SaaS solution. When delivered via our network firewall appliances, functionality is accelerated through our proprietary ASIC technology. These proprietary ASICs, combined with off-the-shelf CPUs and ASICs, allow our systems to scale, run multiple applications at higher performance, lower power consumption and perform more processor-intensive operations, such as inspecting encrypted traffic, including streaming video. The Network Firewall solution consists of FortiGate data centers, hyperscale and distributed firewalls, as well as encrypted applications (SSL inspection, Virtual Private Network and</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660" w:right="20"/>
        <w:spacing w:after="0" w:line="242" w:lineRule="auto"/>
        <w:rPr>
          <w:sz w:val="20"/>
          <w:szCs w:val="20"/>
          <w:color w:val="auto"/>
        </w:rPr>
      </w:pPr>
      <w:r>
        <w:rPr>
          <w:rFonts w:ascii="Times New Roman" w:cs="Times New Roman" w:eastAsia="Times New Roman" w:hAnsi="Times New Roman"/>
          <w:sz w:val="18"/>
          <w:szCs w:val="18"/>
          <w:color w:val="auto"/>
        </w:rPr>
        <w:t>IPsec connectivity). Our ability to converge networking and security also enables the ethernet to become an extension of a company’s security infrastructure through FortiSwitch and FortiLink. Our wireless LAN solution leverages secure networking to provide secure wireless access for the enterprise LAN edge. FortiExtender secures 5G/LTE and remote ethernet extenders to connect and secure any branch environment. The Secure Connectivity solution includes FortiSwitch Secure Ethernet Switches, FortiAP Wireless Local Area Network Access Points and FortiExtender 5G Connectivity Gateways, among other products.</w:t>
      </w:r>
    </w:p>
    <w:p>
      <w:pPr>
        <w:spacing w:after="0" w:line="208" w:lineRule="exact"/>
        <w:rPr>
          <w:sz w:val="20"/>
          <w:szCs w:val="20"/>
          <w:color w:val="auto"/>
        </w:rPr>
      </w:pPr>
    </w:p>
    <w:p>
      <w:pPr>
        <w:ind w:left="660" w:right="20" w:hanging="328"/>
        <w:spacing w:after="0" w:line="231"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Unified Secure Access Service Edge (SASE)</w:t>
      </w:r>
      <w:r>
        <w:rPr>
          <w:rFonts w:ascii="Times New Roman" w:cs="Times New Roman" w:eastAsia="Times New Roman" w:hAnsi="Times New Roman"/>
          <w:sz w:val="18"/>
          <w:szCs w:val="18"/>
          <w:color w:val="auto"/>
        </w:rPr>
        <w:t>—As applications move to the cloud and work from anywhere becomes established, cloud delivery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needed to enable secure access to applications on any cloud. The Fortinet Unified SASE solution is a single-vendor SASE solution that includes Firewall, SD-WAN, Secure Web Gateway, Cloud Access Services Broker, Data Loss Prevention, Zero Trust Network Access and cloud security, including Web Application Firewalls, Virtualized Firewalls and Cloud-Native Firewalls, among other products. These functions are delivered through our FortiOS operating systems, which can deploy the full SASE stack through the cloud or on our ASIC-driven appliances. All functions can be managed through a unified management console.</w:t>
      </w:r>
    </w:p>
    <w:p>
      <w:pPr>
        <w:spacing w:after="0" w:line="195" w:lineRule="exact"/>
        <w:rPr>
          <w:rFonts w:ascii="Times New Roman" w:cs="Times New Roman" w:eastAsia="Times New Roman" w:hAnsi="Times New Roman"/>
          <w:sz w:val="18"/>
          <w:szCs w:val="18"/>
          <w:color w:val="auto"/>
        </w:rPr>
      </w:pPr>
    </w:p>
    <w:p>
      <w:pPr>
        <w:ind w:left="660" w:hanging="328"/>
        <w:spacing w:after="0" w:line="259" w:lineRule="auto"/>
        <w:tabs>
          <w:tab w:leader="none" w:pos="65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Security Operations (SecOps)</w:t>
      </w:r>
      <w:r>
        <w:rPr>
          <w:rFonts w:ascii="Times New Roman" w:cs="Times New Roman" w:eastAsia="Times New Roman" w:hAnsi="Times New Roman"/>
          <w:sz w:val="17"/>
          <w:szCs w:val="17"/>
          <w:color w:val="auto"/>
        </w:rPr>
        <w:t>—Fortinet’s Security Operations solutions comply with the NIST cybersecurity framework of identify, protect,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detect, respond and recover, and are delivered as a platform that automates detection and response to accelerate discovery and remediation. The SecOps solution includes FortiAI generative AI assistant, FortiSIEM Security Information and Event Management, FortiSOAR Security Orchestration, Automation and Response, FortiEDR Endpoint Detection and Response, FortiXDR Extended Detection and Response, FortiMDR Managed Detection and Response Service, FortiNDR Network Detection and Response, FortiRecon Digital Risk Protection, FortiDeceptor Deception technology, FortiGuard SoCaaS, FortiSandbox Sandboxing Services and FortiGuard Incident Response Services, among other products.</w:t>
      </w:r>
    </w:p>
    <w:p>
      <w:pPr>
        <w:spacing w:after="0" w:line="196"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18"/>
          <w:szCs w:val="18"/>
          <w:color w:val="auto"/>
        </w:rPr>
        <w:t>FortiGuard Labs is our cybersecurity threat intelligence and research organization comprised of experienced threat hunters, researchers, analysts, engineers and data scientists who develop and utilize machine learning and AI technologies to provide timely protection updates and actionable threat intelligence for the benefit of our customers. FortiGuard Security Services are a suite of AI-powered security capabilities that are natively integrated as part of the Fortinet Security Fabric to deliver coordinated detection and enforcement across the entire attack surface. The portfolio consists of FortiGuard application security services, content security services, device security services, NOC/SOC security services and web security services.</w:t>
      </w:r>
    </w:p>
    <w:p>
      <w:pPr>
        <w:spacing w:after="0" w:line="211"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FortiCare Technical Support Service is a per-device support service, which provides customers access to experts to ensure efficient and effective operations and maintenance of their Fortinet capabilities. Global technical support is offered 24x7 with flexible add-ons, including enhanced SLAs and premium hardware replacement through in-country depots. Organizations have the flexibility to procure different levels of service for different devices based on their availability needs. We offer three per-device support options tailored to the needs of our enterprise customers: FortiCare Premium, FortiCare Elite and FortiCare Essential. The FortiCare Elite service aims to provide 15-minute response times for key product families.</w:t>
      </w:r>
    </w:p>
    <w:p>
      <w:pPr>
        <w:spacing w:after="0" w:line="212"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We also offer training services to our end-customers and channel partners through our training team and authorized training partners. We have also implemented a training certification program, NSE, to help ensure an understanding of our products and services. Since 2020, Fortinet has also offered a number of free online training courses to help address prevalent industry-wide cybersecurity skills gaps and shortages.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Highlights</w:t>
      </w:r>
    </w:p>
    <w:p>
      <w:pPr>
        <w:spacing w:after="0" w:line="256"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was $5.30 billion in 2023, an increase of 20% compared to $4.42 billion in 2022.</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revenue was $1.93 billion in 2023, an increase of 8% compared to $1.78 billion in 2022.</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was $3.38 billion in 2023, an increase of 28% compared to $2.64 billion in 2022.</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gross profit was $4.07 billion in 2023, an increase of 22% compared to $3.33 billion in 2022.</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was $1.24 billion in 2023, an increase of 28% compared to $969.6 million in 2022.</w:t>
      </w:r>
    </w:p>
    <w:p>
      <w:pPr>
        <w:spacing w:after="0" w:line="252"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investments and marketable equity securities were $2.44 billion as of December 31, 2023, an increase of $183.9 million, or 8%, from December 31, 2022.</w:t>
      </w:r>
    </w:p>
    <w:p>
      <w:pPr>
        <w:spacing w:after="0" w:line="188"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debt, net of unamortized discount and debt issuance costs, was $992.3 million and $990.4 million as of December 31,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660" w:right="320" w:hanging="328"/>
        <w:spacing w:after="0" w:line="26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we repurchased 27.2 million shares of common stock under the Repurchase Program for an aggregate purchase price of $1.50 billion, which excludes a $10.9 million accrual related to the 1% excise tax imposed by the Inflation Reduction Act of 2022. In 2022, we repurchased 36.0 million shares of common stock for a total purchase price of $1.99 billion.</w:t>
      </w:r>
    </w:p>
    <w:p>
      <w:pPr>
        <w:spacing w:after="0" w:line="202"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 was $5.74 billion as of December 31, 2023, an increase of $1.09 billion, or 24%, from December 31, 2022. Short-term deferred revenue was $2.85 billion as of December 31, 2023, an increase of $499.4 million, or 21%, from December 31, 2022.</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from operating activities were $1.94 billion in 2023, an increase of $204.9 million, or 12%, compared to 2022.</w:t>
      </w:r>
    </w:p>
    <w:p>
      <w:pPr>
        <w:spacing w:after="0" w:line="25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revenue growth was driven primarily by service revenue. On a geographic basis, revenue continues to be diversified globally, which remains a key strength of our business.</w:t>
      </w:r>
    </w:p>
    <w:p>
      <w:pPr>
        <w:spacing w:after="0" w:line="18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In 2023, the Americas region, the Europe, Middle East and Africa (“EMEA”) region and the Asia Pacific (“APAC”) region contributed 41%, 39% and 20% of our total revenue, respectively, and increased 22%, 23% and 12% compared to 2022, respectively.</w:t>
      </w:r>
    </w:p>
    <w:p>
      <w:pPr>
        <w:spacing w:after="0" w:line="17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Product revenue growth was impacted by an elevated cyber threat landscape, the convergence of security and networking, the impact of certain historical pricing actions, improving supply chain dynamics and changes in the backlog balance. Product revenue growth rates decreased from 42% in 2022 to 8% in 2023 partially due to overall softening macroeconomic conditions. We expect that product revenue growth rates will continue to be impacted by overall macroeconomic conditions in 2024.</w:t>
      </w:r>
    </w:p>
    <w:p>
      <w:pPr>
        <w:spacing w:after="0" w:line="208"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color w:val="auto"/>
        </w:rPr>
        <w:t>Service revenue growth has accelerated over the past three years from 24% in 2021, to 26% in 2022, to 28% in 2023. Service revenue growth of 28% in 2023 was primarily driven by the strength of our security subscription revenue, which grew 33%. The increase was primarily due to the recognition of revenue from our growing deferred revenue balance related to FortiGuard and other security subscriptions delivered to on-premise and cloud-based environments. Security subscriptions outpaced technical support growth due to strength in secure networking subscriptions, SecOps and SASE. We expect our service revenue to continue to grow in 2024, with growth opportunities coming from our SecOps and SASE offerings. While service revenue is expected to grow, we anticipate that the growth rates will be impacted by overall macroeconomic conditions in 2024.</w:t>
      </w:r>
    </w:p>
    <w:p>
      <w:pPr>
        <w:spacing w:after="0" w:line="22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Our billings were diversified on a geographic basis. In 2023, seven countries represented approximately 50% of our billings and the remaining 50% in the aggregate were from over 100 countries that individually contributed less than 3% of our billings.</w:t>
      </w:r>
    </w:p>
    <w:p>
      <w:pPr>
        <w:spacing w:after="0" w:line="175"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Operating expenses as a percentage of revenue decreased approximately 0.2 percentage points in 2023 compared to 2022. Headcount increased 8% to 13,568 employees as of December 31, 2023, up from 12,595 as of December 31,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Macroeconomic Developments</w:t>
      </w:r>
    </w:p>
    <w:p>
      <w:pPr>
        <w:spacing w:after="0" w:line="243"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7"/>
          <w:szCs w:val="17"/>
          <w:color w:val="auto"/>
        </w:rPr>
        <w:t>Our overall performance depends in part on worldwide economic and geopolitical conditions, such as the war in Ukraine and the Israel-Hamas war or tensions between China and Taiwan, and their impact on customer behavior. Worsening economic conditions, including inflation, higher interest rates, slower growth, any recession, fluctuations in foreign exchange rates, instability in the global banking industry and other changes in economic conditions, may result in decreased sales productivity and growth and adversely affect our results of operations and financial performance. We have seen certain impacts on our business, results of operations, financial condition, cash flows, liquidity and capital and financial resources such as longer sales cycles, delayed purchases and increased commitments with certain suppliers and increased inventory and inventory purchase commitment reserves.</w:t>
      </w:r>
    </w:p>
    <w:p>
      <w:pPr>
        <w:spacing w:after="0" w:line="211"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Our days sales outstanding remained flat at 89 days for the years ended December 31, 2023 and 2022, primarily due to the sales linearity and certain geographies where extended payment terms are more prevalent. The accounts receivable allowance for credit losses was $8.2 million as of December 31, 2023, an increase of $4.6 million compared to $3.6 million as of December 31, 2022, primarily due to an increase in past due invoices over 60 and 90 days.</w:t>
      </w:r>
    </w:p>
    <w:p>
      <w:pPr>
        <w:spacing w:after="0" w:line="207"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Worsening economic conditions may have a material negative impact on our results in future periods and may negatively impact our billings, revenue and costs, and may decrease growth and profitability. The extent of the impact of economic conditions on our operational and financial performance will depend on ongoing developments, including those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discussed above and others identified in Part I, Item 1A “Risk Factors” in this Form 10-K. Given the dynamic nature of these circumstances, the full impact of worsening economic conditions on our business and operations, results of operations, financial condition, cash flows, liquidity and capital and financial resources cannot be reasonably estimated at this time.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Model</w:t>
      </w:r>
    </w:p>
    <w:p>
      <w:pPr>
        <w:spacing w:after="0" w:line="243" w:lineRule="exact"/>
        <w:rPr>
          <w:sz w:val="20"/>
          <w:szCs w:val="20"/>
          <w:color w:val="auto"/>
        </w:rPr>
      </w:pPr>
    </w:p>
    <w:p>
      <w:pPr>
        <w:ind w:right="40" w:firstLine="648"/>
        <w:spacing w:after="0" w:line="229" w:lineRule="auto"/>
        <w:rPr>
          <w:sz w:val="20"/>
          <w:szCs w:val="20"/>
          <w:color w:val="auto"/>
        </w:rPr>
      </w:pPr>
      <w:r>
        <w:rPr>
          <w:rFonts w:ascii="Times New Roman" w:cs="Times New Roman" w:eastAsia="Times New Roman" w:hAnsi="Times New Roman"/>
          <w:sz w:val="18"/>
          <w:szCs w:val="18"/>
          <w:color w:val="auto"/>
        </w:rPr>
        <w:t>We typically sell our security solutions to distributors that sell to networking security focused resellers and to certain service providers and managed security service providers (“MSSPs”), who, in turn, sell to end-customers or use our products and services to provide hosted solutions to other enterprises. At times, we also sell directly to certain large enterprise customers, large service providers and major systems integrators. In addition, we sell our software licenses and services via different cloud service provider platforms, both directly and through our channel partners. Our end-customers are located in over 100 countries and include small, medium and large enterprises and government organizations across a wide range of industries, including financial services, government, healthcare, manufacturing, retail, technology and telecommunications. An end-customer deployment may involve as few as one or as many as thousands of secure networking, unified SASE and security operations technology products, depending on the end-customer’s size and security requirements.</w:t>
      </w:r>
    </w:p>
    <w:p>
      <w:pPr>
        <w:spacing w:after="0" w:line="202" w:lineRule="exact"/>
        <w:rPr>
          <w:sz w:val="20"/>
          <w:szCs w:val="20"/>
          <w:color w:val="auto"/>
        </w:rPr>
      </w:pPr>
    </w:p>
    <w:p>
      <w:pPr>
        <w:ind w:right="220" w:firstLine="648"/>
        <w:spacing w:after="0" w:line="245" w:lineRule="auto"/>
        <w:rPr>
          <w:sz w:val="20"/>
          <w:szCs w:val="20"/>
          <w:color w:val="auto"/>
        </w:rPr>
      </w:pPr>
      <w:r>
        <w:rPr>
          <w:rFonts w:ascii="Times New Roman" w:cs="Times New Roman" w:eastAsia="Times New Roman" w:hAnsi="Times New Roman"/>
          <w:sz w:val="18"/>
          <w:szCs w:val="18"/>
          <w:color w:val="auto"/>
        </w:rPr>
        <w:t>Our customers purchase our hardware products, software licenses and cloud-delivered solutions, as well as our FortiGuard and other security subscription and FortiCare technical support services. We generally invoice network security at the time of our sale for the total price of the products and services. Standard payment terms are generally no more than 60 days, though we may offer extended payment terms to certain distributors or related to certain transactions.</w:t>
      </w:r>
    </w:p>
    <w:p>
      <w:pPr>
        <w:spacing w:after="0" w:line="208"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We also offer our products hosted in our own data centers, PoPs and through co-locations and major cloud service providers, including Amazon Web Services, Microsoft Azure and Google Cloud. We have also recognized revenue from customers who deploy our products in a bring-your-own-license (“BYOL”) arrangements at cloud service providers or at private clouds. In a BYOL arrangement, a customer purchases a software license through our channel partners and deploys the software in a cloud provider’s environment, in third-party clouds or in their private cloud.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Metrics</w:t>
      </w:r>
    </w:p>
    <w:p>
      <w:pPr>
        <w:spacing w:after="0" w:line="25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monitor several key metrics, including the key financial metrics set forth below, in order to help us evaluate growth trends, establish budgets, measure the effectiveness of our sales and marketing efforts, and assess operational efficiencies. The following table summarizes revenue, deferred revenue, billings (non-GAAP), net cash provided by operating activities, and free cash flow (non-GAAP). We discuss revenue below under “— Components of Operating Results,” and we discuss net cash provided by operating activities below under “—Liquidity and Capital Resources.” Deferred revenue, billings (non-GAAP), and free cash flow (non-GAAP) are discussed immediately below the following table.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jc w:val="center"/>
              <w:ind w:left="72"/>
              <w:spacing w:after="0"/>
              <w:rPr>
                <w:sz w:val="20"/>
                <w:szCs w:val="20"/>
                <w:color w:val="auto"/>
              </w:rPr>
            </w:pPr>
            <w:r>
              <w:rPr>
                <w:rFonts w:ascii="Times New Roman" w:cs="Times New Roman" w:eastAsia="Times New Roman" w:hAnsi="Times New Roman"/>
                <w:sz w:val="16"/>
                <w:szCs w:val="16"/>
                <w:b w:val="1"/>
                <w:bCs w:val="1"/>
                <w:color w:val="auto"/>
              </w:rPr>
              <w:t>Year Ended or As of December 31,</w:t>
            </w:r>
          </w:p>
        </w:tc>
        <w:tc>
          <w:tcPr>
            <w:tcW w:w="1180" w:type="dxa"/>
            <w:vAlign w:val="bottom"/>
            <w:tcBorders>
              <w:bottom w:val="single" w:sz="8" w:color="auto"/>
            </w:tcBorders>
          </w:tcPr>
          <w:p>
            <w:pPr>
              <w:spacing w:after="0"/>
              <w:rPr>
                <w:sz w:val="18"/>
                <w:szCs w:val="18"/>
                <w:color w:val="auto"/>
              </w:rPr>
            </w:pPr>
          </w:p>
        </w:tc>
      </w:tr>
      <w:tr>
        <w:trPr>
          <w:trHeight w:val="211"/>
        </w:trPr>
        <w:tc>
          <w:tcPr>
            <w:tcW w:w="60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49"/>
        </w:trPr>
        <w:tc>
          <w:tcPr>
            <w:tcW w:w="6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3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2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5,304.8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4,417.4</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3,342.2</w:t>
            </w: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02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5,735.0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4,640.3</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3,452.9</w:t>
            </w: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Billings (non-GAAP)</w:t>
            </w:r>
          </w:p>
        </w:tc>
        <w:tc>
          <w:tcPr>
            <w:tcW w:w="102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6,399.5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5,594.0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4,181.4</w:t>
            </w: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2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1,935.5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1,730.6</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1,499.7</w:t>
            </w: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 (non-GAAP)</w:t>
            </w:r>
          </w:p>
        </w:tc>
        <w:tc>
          <w:tcPr>
            <w:tcW w:w="102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1,731.4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1,203.8</w:t>
            </w:r>
          </w:p>
        </w:tc>
      </w:tr>
    </w:tbl>
    <w:p>
      <w:pPr>
        <w:spacing w:after="0" w:line="30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Deferred revenue. </w:t>
      </w:r>
      <w:r>
        <w:rPr>
          <w:rFonts w:ascii="Times New Roman" w:cs="Times New Roman" w:eastAsia="Times New Roman" w:hAnsi="Times New Roman"/>
          <w:sz w:val="18"/>
          <w:szCs w:val="18"/>
          <w:color w:val="auto"/>
        </w:rPr>
        <w:t>Our deferred revenue consists of amounts that have been invoiced but that have not yet been recognized as revenue.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of our deferred revenue balance consists of the unrecognized portion of service revenue from FortiGuard and other security subscriptions and FortiCare technical support service contracts, which is recognized as revenue ratably over the service term. We monitor our deferred revenue balance, short term and total deferred revenue growth and the mix of short-term and long-term deferred revenue because deferred revenue represents a significant portion of free cash flow and of revenue to be recognized in future periods. Deferred revenue was $5.74 billion as of December 31, 2023, an increase of $1.09 billion, or 24%, from December 31, 2022. Short term deferred revenue was $2.85 billion as of December 31, 2023, an increase of $499.4 million, or 21%, from December 31, 2022.</w:t>
      </w:r>
    </w:p>
    <w:p>
      <w:pPr>
        <w:spacing w:after="0" w:line="21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Billings (non-GAAP). </w:t>
      </w:r>
      <w:r>
        <w:rPr>
          <w:rFonts w:ascii="Times New Roman" w:cs="Times New Roman" w:eastAsia="Times New Roman" w:hAnsi="Times New Roman"/>
          <w:sz w:val="18"/>
          <w:szCs w:val="18"/>
          <w:color w:val="auto"/>
        </w:rPr>
        <w:t>We define billings as revenue recognized in accordance with generally accepted accounting principles in the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(“GAAP”) plus the change in deferred revenue from the beginning to the end of the period, less any deferred revenue balances acquired from business combination(s) and adjustment due to adoption of new accounting standard during the period. We consider billings to be a useful metric for management and investors because billings drive current and future revenue, which is an important indicator of the health and viability of our business. There are several</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limitations related to the use of billings instead of GAAP revenue. First, billings include amounts that have not yet been recognized as revenue and are impacted by the term of FortiGuard security subscription and FortiCare and other support agreements. Second, we may calculate billings in a manner that is different from peer companies that report similar financial measures. Management accounts for these limitations by providing specific information regarding GAAP revenue and evaluating billings together with GAAP revenue. Total billings were $6.40 billion in 2023, an increase of 14% compared to $5.59 billion in 2022.</w:t>
      </w:r>
    </w:p>
    <w:p>
      <w:pPr>
        <w:spacing w:after="0" w:line="21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During 2023, our billings and product revenue fell below our expectations due to a slowdown in secure networking growth, along with challenges in sales execution and marketing programs. In addition, we believe secure networking growth in the near term may be below historical growth rates. In response to the slowdown in the secure networking market, we plan to shift our marketing and sales teams’ focus towards the faster growing SecOps and Unified SASE markets over the next several quarters, while maintaining our continued focus on leading innovation in secure networking and the convergence of security and networking.</w:t>
      </w:r>
    </w:p>
    <w:p>
      <w:pPr>
        <w:spacing w:after="0" w:line="210"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We anticipate limited near-term growth in the secure networking market and shifting sales and marketing focus may result in certain risks, including go-to-market challenges, increased sales turnover and other execution challenges.</w:t>
      </w:r>
    </w:p>
    <w:p>
      <w:pPr>
        <w:spacing w:after="0" w:line="18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Our backlog has fluctuated over past quarters and any decrease in growth or negative growth of in-quarter billings and revenue may not be reflected by our aggregate billings and revenue. As we have fulfilled, shipped and billed during a quarter to satisfy backlog, this has increased our aggregate billings and revenue during any particular quarter, and as the supply chain challenges normalize, the growth comparisons versus prior quarters where backlog contributed more to billings have become more challenging.</w:t>
      </w:r>
    </w:p>
    <w:p>
      <w:pPr>
        <w:spacing w:after="0" w:line="207" w:lineRule="exact"/>
        <w:rPr>
          <w:sz w:val="20"/>
          <w:szCs w:val="20"/>
          <w:color w:val="auto"/>
        </w:rPr>
      </w:pPr>
    </w:p>
    <w:p>
      <w:pPr>
        <w:ind w:right="400" w:firstLine="648"/>
        <w:spacing w:after="0" w:line="275" w:lineRule="auto"/>
        <w:rPr>
          <w:sz w:val="20"/>
          <w:szCs w:val="20"/>
          <w:color w:val="auto"/>
        </w:rPr>
      </w:pPr>
      <w:r>
        <w:rPr>
          <w:rFonts w:ascii="Times New Roman" w:cs="Times New Roman" w:eastAsia="Times New Roman" w:hAnsi="Times New Roman"/>
          <w:sz w:val="18"/>
          <w:szCs w:val="18"/>
          <w:color w:val="auto"/>
        </w:rPr>
        <w:t>A reconciliation of revenue, the most directly comparable financial measure calculated and presented in accordance with GAAP, to billings is provided below:</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0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1"/>
        </w:trPr>
        <w:tc>
          <w:tcPr>
            <w:tcW w:w="60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49"/>
        </w:trPr>
        <w:tc>
          <w:tcPr>
            <w:tcW w:w="60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32"/>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Billings:</w:t>
            </w:r>
          </w:p>
        </w:tc>
        <w:tc>
          <w:tcPr>
            <w:tcW w:w="10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02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5,304.8</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3,342.2</w:t>
            </w:r>
          </w:p>
        </w:tc>
      </w:tr>
      <w:tr>
        <w:trPr>
          <w:trHeight w:val="229"/>
        </w:trPr>
        <w:tc>
          <w:tcPr>
            <w:tcW w:w="6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 Change in deferred revenue</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1,094.7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847.6</w:t>
            </w:r>
          </w:p>
        </w:tc>
      </w:tr>
      <w:tr>
        <w:trPr>
          <w:trHeight w:val="230"/>
        </w:trPr>
        <w:tc>
          <w:tcPr>
            <w:tcW w:w="6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Deferred revenue balance acquired in business combinations</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Adjustment due to adoption of ASU 2021-08</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Total billings (non-GAAP)</w:t>
            </w:r>
          </w:p>
        </w:tc>
        <w:tc>
          <w:tcPr>
            <w:tcW w:w="1020" w:type="dxa"/>
            <w:vAlign w:val="bottom"/>
            <w:tcBorders>
              <w:top w:val="single" w:sz="8" w:color="auto"/>
              <w:bottom w:val="single" w:sz="8" w:color="auto"/>
            </w:tcBorders>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6,399.5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5,594.0</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4,181.4</w:t>
            </w:r>
          </w:p>
        </w:tc>
      </w:tr>
      <w:tr>
        <w:trPr>
          <w:trHeight w:val="20"/>
        </w:trPr>
        <w:tc>
          <w:tcPr>
            <w:tcW w:w="60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Free cash flow (non-GAAP). </w:t>
      </w:r>
      <w:r>
        <w:rPr>
          <w:rFonts w:ascii="Times New Roman" w:cs="Times New Roman" w:eastAsia="Times New Roman" w:hAnsi="Times New Roman"/>
          <w:sz w:val="18"/>
          <w:szCs w:val="18"/>
          <w:color w:val="auto"/>
        </w:rPr>
        <w:t>We define free cash flow as net cash provided by operating activities minus purchases of property and equipment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excluding any significant non-recurring items. We believe free cash flow to be a liquidity measure that provides useful information to management and investors about the amount of cash generated by the business that, after capital expenditures, can be used for strategic opportunities, including repurchasing outstanding common stock, investing in our business, making strategic acquisitions, and strengthening the balance sheet. A limitation of using free cash flow rather than the GAAP measures of cash provided by or used in operating activities, investing activities, and financing activities is that free cash flow does not represent the total increase or decrease in the cash and cash equivalents balance for the period because it excludes cash flows from investing activities other than capital expenditures and cash flows from financing activities. Management accounts for this limitation by providing information about our capital expenditures and other investing and financing activities on the consolidated statements of cash flows and under “—Liquidity and Capital Resources” and by presenting cash flows from investing and financing activities in our reconciliation of free cash flow.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 as a comparative measure. A reconciliation of net cash provided by operating activities, the most directly comparable financial measure calculated and presented in accordance with GAAP, to free cash flow is provided below:</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0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1"/>
        </w:trPr>
        <w:tc>
          <w:tcPr>
            <w:tcW w:w="60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49"/>
        </w:trPr>
        <w:tc>
          <w:tcPr>
            <w:tcW w:w="6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3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1,935.5</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1,730.6</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1,499.7</w:t>
            </w:r>
          </w:p>
        </w:tc>
      </w:tr>
      <w:tr>
        <w:trPr>
          <w:trHeight w:val="229"/>
        </w:trPr>
        <w:tc>
          <w:tcPr>
            <w:tcW w:w="6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Purchases of property and equipment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w:t>
            </w: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 (non-GAAP)</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1,731.4</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1,203.8</w:t>
            </w: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48"/>
        </w:trPr>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(1,325.1)</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r>
        <w:trPr>
          <w:trHeight w:val="203"/>
        </w:trPr>
        <w:tc>
          <w:tcPr>
            <w:tcW w:w="60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8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(1,570.4)</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(2,130.3)</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82.8</w:t>
            </w:r>
          </w:p>
        </w:tc>
      </w:tr>
      <w:tr>
        <w:trPr>
          <w:trHeight w:val="20"/>
        </w:trPr>
        <w:tc>
          <w:tcPr>
            <w:tcW w:w="6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Operating Results</w:t>
      </w:r>
    </w:p>
    <w:p>
      <w:pPr>
        <w:spacing w:after="0" w:line="254" w:lineRule="exact"/>
        <w:rPr>
          <w:sz w:val="20"/>
          <w:szCs w:val="20"/>
          <w:color w:val="auto"/>
        </w:rPr>
      </w:pPr>
    </w:p>
    <w:p>
      <w:pPr>
        <w:ind w:right="3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We generate the majority of our revenue from sales of our hardware and software products and amortization of amounts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deferred revenue related to previous sales of FortiGuard security subscription and FortiCare technical support services. We also recognize revenue from cloud security solutions, professional services, and training.</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total revenue is comprised of:</w:t>
      </w:r>
    </w:p>
    <w:p>
      <w:pPr>
        <w:spacing w:after="0" w:line="237" w:lineRule="exact"/>
        <w:rPr>
          <w:sz w:val="20"/>
          <w:szCs w:val="20"/>
          <w:color w:val="auto"/>
        </w:rPr>
      </w:pPr>
    </w:p>
    <w:p>
      <w:pPr>
        <w:jc w:val="both"/>
        <w:ind w:left="1300" w:right="180" w:hanging="644"/>
        <w:spacing w:after="0" w:line="257" w:lineRule="auto"/>
        <w:tabs>
          <w:tab w:leader="none" w:pos="129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Product revenue</w:t>
      </w:r>
      <w:r>
        <w:rPr>
          <w:rFonts w:ascii="Times New Roman" w:cs="Times New Roman" w:eastAsia="Times New Roman" w:hAnsi="Times New Roman"/>
          <w:sz w:val="17"/>
          <w:szCs w:val="17"/>
          <w:color w:val="auto"/>
        </w:rPr>
        <w:t>. Product revenue is primarily generated from sales of our physical and virtual machine appliances. The majority of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product revenue continues to be generated by our secure networking product lines. Product revenue also includes revenue from sales of unified SASE and SecOps technologies. As a percentage of total revenue, our product revenue has varied from quarter to quarter.</w:t>
      </w:r>
    </w:p>
    <w:p>
      <w:pPr>
        <w:spacing w:after="0" w:line="182" w:lineRule="exact"/>
        <w:rPr>
          <w:rFonts w:ascii="Times New Roman" w:cs="Times New Roman" w:eastAsia="Times New Roman" w:hAnsi="Times New Roman"/>
          <w:sz w:val="17"/>
          <w:szCs w:val="17"/>
          <w:color w:val="auto"/>
        </w:rPr>
      </w:pPr>
    </w:p>
    <w:p>
      <w:pPr>
        <w:ind w:left="1300" w:right="120" w:hanging="644"/>
        <w:spacing w:after="0" w:line="239" w:lineRule="auto"/>
        <w:tabs>
          <w:tab w:leader="none" w:pos="12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Service revenue</w:t>
      </w:r>
      <w:r>
        <w:rPr>
          <w:rFonts w:ascii="Times New Roman" w:cs="Times New Roman" w:eastAsia="Times New Roman" w:hAnsi="Times New Roman"/>
          <w:sz w:val="18"/>
          <w:szCs w:val="18"/>
          <w:color w:val="auto"/>
        </w:rPr>
        <w:t>. Service revenue is generated primarily from FortiGuard security subscription services and FortiCare technical support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We recognize revenue from FortiGuard security subscription and FortiCare technical support services ratably over the service term. Our typical contractual support and subscription term is one to five years. We also generate our revenue from other services, for which we recognize revenue as the services are provided, and cloud-based services, for which we recognize revenue as the services are delivered or on a monthly usage basis. As a percentage of total revenue, we continue to expect service revenue to be higher than product revenue. Our service revenue growth rate depends significantly on the growth of our customer base, the expansion of our service bundle offerings, the mix of our product revenue, pricing actions, the expansion and introduction of new service offerings, the attach rate of service contracts to new product sales, and the renewal of service contracts by our existing customers.</w:t>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total cost of revenue is comprised of:</w:t>
      </w:r>
    </w:p>
    <w:p>
      <w:pPr>
        <w:spacing w:after="0" w:line="250" w:lineRule="exact"/>
        <w:rPr>
          <w:sz w:val="20"/>
          <w:szCs w:val="20"/>
          <w:color w:val="auto"/>
        </w:rPr>
      </w:pPr>
    </w:p>
    <w:p>
      <w:pPr>
        <w:jc w:val="both"/>
        <w:ind w:left="1300" w:right="40" w:hanging="644"/>
        <w:spacing w:after="0" w:line="273" w:lineRule="auto"/>
        <w:tabs>
          <w:tab w:leader="none" w:pos="129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Cost of product revenue</w:t>
      </w:r>
      <w:r>
        <w:rPr>
          <w:rFonts w:ascii="Times New Roman" w:cs="Times New Roman" w:eastAsia="Times New Roman" w:hAnsi="Times New Roman"/>
          <w:sz w:val="17"/>
          <w:szCs w:val="17"/>
          <w:color w:val="auto"/>
        </w:rPr>
        <w:t>. The majority of the cost of product revenue consists of third-party contract manufacturers’ costs and the costs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materials used in production. Our cost of product revenue also includes supplies, shipping costs, personnel costs associated with logistics and quality control, facility-related costs, excess and obsolete inventory costs, warranty costs and amortization of intangible assets.</w:t>
      </w:r>
    </w:p>
    <w:p>
      <w:pPr>
        <w:spacing w:after="0" w:line="1" w:lineRule="exact"/>
        <w:rPr>
          <w:rFonts w:ascii="Times New Roman" w:cs="Times New Roman" w:eastAsia="Times New Roman" w:hAnsi="Times New Roman"/>
          <w:sz w:val="17"/>
          <w:szCs w:val="17"/>
          <w:color w:val="auto"/>
        </w:rPr>
      </w:pP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Personnel costs include compensation benefits and stock-based compensation.</w:t>
      </w:r>
    </w:p>
    <w:p>
      <w:pPr>
        <w:spacing w:after="0" w:line="218" w:lineRule="exact"/>
        <w:rPr>
          <w:rFonts w:ascii="Times New Roman" w:cs="Times New Roman" w:eastAsia="Times New Roman" w:hAnsi="Times New Roman"/>
          <w:sz w:val="17"/>
          <w:szCs w:val="17"/>
          <w:color w:val="auto"/>
        </w:rPr>
      </w:pPr>
    </w:p>
    <w:p>
      <w:pPr>
        <w:ind w:left="1300" w:hanging="644"/>
        <w:spacing w:after="0" w:line="268" w:lineRule="auto"/>
        <w:tabs>
          <w:tab w:leader="none" w:pos="12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 of service revenue</w:t>
      </w:r>
      <w:r>
        <w:rPr>
          <w:rFonts w:ascii="Times New Roman" w:cs="Times New Roman" w:eastAsia="Times New Roman" w:hAnsi="Times New Roman"/>
          <w:sz w:val="18"/>
          <w:szCs w:val="18"/>
          <w:color w:val="auto"/>
        </w:rPr>
        <w:t>. Cost of service revenue is primarily comprised of personnel costs, third-party repair and contract fulfillment,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center costs, colocation expenses and cloud provider fees, supplies, facility-related costs and amortization of intangible assets.</w:t>
      </w:r>
    </w:p>
    <w:p>
      <w:pPr>
        <w:spacing w:after="0" w:line="186" w:lineRule="exact"/>
        <w:rPr>
          <w:sz w:val="20"/>
          <w:szCs w:val="20"/>
          <w:color w:val="auto"/>
        </w:rPr>
      </w:pPr>
    </w:p>
    <w:p>
      <w:pPr>
        <w:ind w:right="60" w:firstLine="648"/>
        <w:spacing w:after="0"/>
        <w:rPr>
          <w:sz w:val="20"/>
          <w:szCs w:val="20"/>
          <w:color w:val="auto"/>
        </w:rPr>
      </w:pPr>
      <w:r>
        <w:rPr>
          <w:rFonts w:ascii="Times New Roman" w:cs="Times New Roman" w:eastAsia="Times New Roman" w:hAnsi="Times New Roman"/>
          <w:sz w:val="18"/>
          <w:szCs w:val="18"/>
          <w:i w:val="1"/>
          <w:iCs w:val="1"/>
          <w:color w:val="auto"/>
        </w:rPr>
        <w:t>Gross margin</w:t>
      </w:r>
      <w:r>
        <w:rPr>
          <w:rFonts w:ascii="Times New Roman" w:cs="Times New Roman" w:eastAsia="Times New Roman" w:hAnsi="Times New Roman"/>
          <w:sz w:val="18"/>
          <w:szCs w:val="18"/>
          <w:color w:val="auto"/>
        </w:rPr>
        <w:t>. Gross profit as a percentage of revenue, or gross margin, has been and will continue to be affected by a variety of factors,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average sales price of our products, product costs, the mix of products sold and the mix of revenue between hardware products, software licenses and services and any excess inventory or other charges. Service revenue and software licenses have higher gross margins compared to hardware products. Overall gross margin in 2024 will be impacted by service and product revenue mix.</w:t>
      </w:r>
    </w:p>
    <w:p>
      <w:pPr>
        <w:spacing w:after="0" w:line="212"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 Our operating expenses consist of research and development, sales and marketing and general and administrative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Personnel costs are the most significant component of operating expenses and consist primarily of salaries, benefits, bonuses, sales commissions and stock-based compensation. We expect personnel costs to continue to increase in absolute dollars as we expand our workforce.</w:t>
      </w:r>
    </w:p>
    <w:p>
      <w:pPr>
        <w:spacing w:after="0" w:line="201" w:lineRule="exact"/>
        <w:rPr>
          <w:sz w:val="20"/>
          <w:szCs w:val="20"/>
          <w:color w:val="auto"/>
        </w:rPr>
      </w:pPr>
    </w:p>
    <w:p>
      <w:pPr>
        <w:ind w:left="1300" w:right="880" w:hanging="644"/>
        <w:spacing w:after="0" w:line="268" w:lineRule="auto"/>
        <w:tabs>
          <w:tab w:leader="none" w:pos="12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Research and development expense consists primarily of personnel costs. Additional research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expenses include ASIC and system prototypes and certification-related</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1300"/>
        <w:spacing w:after="0" w:line="242" w:lineRule="auto"/>
        <w:rPr>
          <w:sz w:val="20"/>
          <w:szCs w:val="20"/>
          <w:color w:val="auto"/>
        </w:rPr>
      </w:pPr>
      <w:r>
        <w:rPr>
          <w:rFonts w:ascii="Times New Roman" w:cs="Times New Roman" w:eastAsia="Times New Roman" w:hAnsi="Times New Roman"/>
          <w:sz w:val="18"/>
          <w:szCs w:val="18"/>
          <w:color w:val="auto"/>
        </w:rPr>
        <w:t>expenses, depreciation of property and equipment and facility-related expenses. The majority of our research and development is focused on software and hardware development. We record research and development expenses as incurred. As of December 31, 2023, approximately 80%, 8%, 4%, 3% and 3% of our research and development teams were located in North America, India, Japan, Taiwan and Israel, respectively. As of December 31, 2023, approximately two-thirds of our engineers worked on software development while the remainder worked on hardware development.</w:t>
      </w:r>
    </w:p>
    <w:p>
      <w:pPr>
        <w:spacing w:after="0" w:line="223" w:lineRule="exact"/>
        <w:rPr>
          <w:sz w:val="20"/>
          <w:szCs w:val="20"/>
          <w:color w:val="auto"/>
        </w:rPr>
      </w:pPr>
    </w:p>
    <w:p>
      <w:pPr>
        <w:ind w:left="1300" w:hanging="644"/>
        <w:spacing w:after="0" w:line="258" w:lineRule="auto"/>
        <w:tabs>
          <w:tab w:leader="none" w:pos="12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Sales and marketing expense is the largest component of our operating expenses and primarily consists of personnel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Additional sales and marketing expenses include product marketing, public relations, field marketing and events and channel marketing programs (e.g., partner cooperative marketing arrangements), as well as travel, depreciation of property and equipment and facility-related expenses. We intend to hire additional personnel focused on sales and marketing and expand our sales and marketing efforts worldwide in order to capture market share.</w:t>
      </w:r>
    </w:p>
    <w:p>
      <w:pPr>
        <w:spacing w:after="0" w:line="210" w:lineRule="exact"/>
        <w:rPr>
          <w:rFonts w:ascii="Times New Roman" w:cs="Times New Roman" w:eastAsia="Times New Roman" w:hAnsi="Times New Roman"/>
          <w:sz w:val="18"/>
          <w:szCs w:val="18"/>
          <w:color w:val="auto"/>
        </w:rPr>
      </w:pPr>
    </w:p>
    <w:p>
      <w:pPr>
        <w:ind w:left="1300" w:hanging="644"/>
        <w:spacing w:after="0" w:line="261" w:lineRule="auto"/>
        <w:tabs>
          <w:tab w:leader="none" w:pos="12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 consists of personnel costs, as well as professional fees, depreciation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and equipment and software and facility-related expenses. General and administrative personnel include our executive, finance, human resources, information technology and legal organizations. Our professional fees principally consist of outside legal, auditing, tax, information technology and other consulting costs.</w:t>
      </w:r>
    </w:p>
    <w:p>
      <w:pPr>
        <w:spacing w:after="0" w:line="193" w:lineRule="exact"/>
        <w:rPr>
          <w:sz w:val="20"/>
          <w:szCs w:val="20"/>
          <w:color w:val="auto"/>
        </w:rPr>
      </w:pPr>
    </w:p>
    <w:p>
      <w:pPr>
        <w:ind w:right="220" w:firstLine="648"/>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consists primarily of interest earned on our cash equivalents and investments. Historically, our interest-bearing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include corporate debt securities, certificates of deposit and term deposits, commercial paper, money market funds, U.S. government and agency securities and municipal bonds.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consists of interest expense due to the senior notes and other miscellaneous interest expense.</w:t>
      </w:r>
    </w:p>
    <w:p>
      <w:pPr>
        <w:spacing w:after="0" w:line="239"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i w:val="1"/>
          <w:iCs w:val="1"/>
          <w:color w:val="auto"/>
        </w:rPr>
        <w:t>Other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Other expense—net consists primarily of foreign exchange gains and losses related to foreign currency remeasurement, gains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losses due to the changes in fair value of our marketable equity securities, realized gains and losses of available-for-sale investments, net rental income from real estate, as well as the gain on the sale or the impairment of investments in privately held companies without readily determinable fair values, which are not accounted for under the equity method.</w:t>
      </w:r>
    </w:p>
    <w:p>
      <w:pPr>
        <w:spacing w:after="0" w:line="204"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We are subject to income taxes in the United States, as well as other tax jurisdictions or countries in which we conduct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Earnings from our non-U.S. activities are subject to income taxes in local countries and may be subject to U.S. income taxes. Our effective tax rate differs from the U.S. statutory rate primarily due to foreign income subject to different tax rates than in the U.S., federal research and development tax credit, state income taxes, withholding taxes, excess tax benefits related to stock-based compensation expense and the tax impacts of the foreign-derived intangible income (“FDII”) deduction.</w:t>
      </w:r>
    </w:p>
    <w:p>
      <w:pPr>
        <w:spacing w:after="0" w:line="208" w:lineRule="exact"/>
        <w:rPr>
          <w:sz w:val="20"/>
          <w:szCs w:val="20"/>
          <w:color w:val="auto"/>
        </w:rPr>
      </w:pPr>
    </w:p>
    <w:p>
      <w:pPr>
        <w:ind w:right="240" w:firstLine="648"/>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Loss from equity method investments. </w:t>
      </w:r>
      <w:r>
        <w:rPr>
          <w:rFonts w:ascii="Times New Roman" w:cs="Times New Roman" w:eastAsia="Times New Roman" w:hAnsi="Times New Roman"/>
          <w:sz w:val="18"/>
          <w:szCs w:val="18"/>
          <w:color w:val="auto"/>
        </w:rPr>
        <w:t>Loss from equity method investments consists of our proportionate share of the investees’ net loss,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of any basis differences, as well as any other-than-temporary impairment (“OTTI”) when events or circumstances suggest that the carrying amount of the investment may be impaired.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cost of revenue and expenses, and related disclosures. We base our estimates on historical experience and on various other assumptions that we believe to be reasonable under the circumstances. To the extent that there are material differences between these estimates and our actual results, our future financial statements will be affected.</w:t>
      </w:r>
    </w:p>
    <w:p>
      <w:pPr>
        <w:spacing w:after="0" w:line="210"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We believe that, of the significant accounting policies described in Note 1 to our consolidated financial statements included in Part II, Item 8 of this Annual Report on Form 10-K, the following accounting policies involve a greater degree of judgment and complexity. Accordingly, we believe these are the most critical to fully understand and evaluate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54"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Revenues are recognized when control of goods or services is transferred to our customers, in an amount that reflects the consideration we expect to be entitled to in exchange for those goods or services.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determine revenue recognition through the following steps:</w:t>
      </w:r>
    </w:p>
    <w:p>
      <w:pPr>
        <w:spacing w:after="0" w:line="252" w:lineRule="exact"/>
        <w:rPr>
          <w:sz w:val="20"/>
          <w:szCs w:val="20"/>
          <w:color w:val="auto"/>
        </w:rPr>
      </w:pPr>
    </w:p>
    <w:p>
      <w:pPr>
        <w:ind w:left="1300" w:hanging="320"/>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a contract or contracts with a customer;</w:t>
      </w:r>
    </w:p>
    <w:p>
      <w:pPr>
        <w:spacing w:after="0" w:line="27" w:lineRule="exact"/>
        <w:rPr>
          <w:rFonts w:ascii="Times New Roman" w:cs="Times New Roman" w:eastAsia="Times New Roman" w:hAnsi="Times New Roman"/>
          <w:sz w:val="18"/>
          <w:szCs w:val="18"/>
          <w:color w:val="auto"/>
        </w:rPr>
      </w:pPr>
    </w:p>
    <w:p>
      <w:pPr>
        <w:ind w:left="1300" w:right="140" w:hanging="320"/>
        <w:spacing w:after="0" w:line="250" w:lineRule="auto"/>
        <w:tabs>
          <w:tab w:leader="none" w:pos="12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a contract, including evaluation of performance obligations as to being distinct goods or services in a contract;</w:t>
      </w:r>
    </w:p>
    <w:p>
      <w:pPr>
        <w:ind w:left="1300" w:hanging="320"/>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a transaction price;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a transaction price to the performance obligations in a contract;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we satisfy a performance obligation.</w:t>
      </w:r>
    </w:p>
    <w:p>
      <w:pPr>
        <w:spacing w:after="0" w:line="23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sales contracts typically contain multiple deliverables, such as hardware, software license, security subscription, technical support services and other services, which are generally capable of being distinct and accounted for as separate performance obligations. Our hardware and software licenses have significant standalone functionalities and capabilities. Accordingly, the hardware and software licenses are distinct from the security subscription and technical support services, as a customer can benefit from the product without the services and the services are separately identifiable within a contract. We allocate a transaction price to each performance obligation based on relative standalone selling price. We establish standalone selling price using the prices charged for a deliverable when sold separately. If not observable through past transactions, we determine standalone selling price by considering multiple historical factors including, but not limited to, cost of products, gross margin objectives, pricing practices, geographies and the term of a service contract.</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Deferred Contract Costs and Commission Expense</w:t>
      </w:r>
    </w:p>
    <w:p>
      <w:pPr>
        <w:spacing w:after="0" w:line="25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defer contract costs that are recoverable and incremental to obtaining customer sales contracts. Contract costs, which primarily consist of sales commissions, are amortized on a systematic basis that is consistent with the transfer to the customer of the goods or services to which the asset relates. Costs for initial contracts that are not commensurate with commissions on renewal contracts are amortized on a straight-line basis over the period of benefit of five years. Estimates, assumptions, and judgments in accounting for deferred contract costs include, but are not limited to, identification of contract costs, anticipated billings and the expected period of benefit.</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54"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We include the results of operations of the businesses that we acquire as of the respective dates of acquisition. We allocate the fair value of the purchase price of our business acquisitions to the tangible and intangible assets acquired and liabilities assumed based on their estimated fair values. The excess of the purchase price over the fair values of these identifiable assets and liabilities is recorded as goodwill. We often continue to gather additional information throughout the measurement period, and if we make changes to the amounts recorded, such changes are recorded in the period in which they are identified.</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Contingent Liabilities</w:t>
      </w:r>
    </w:p>
    <w:p>
      <w:pPr>
        <w:spacing w:after="0" w:line="241" w:lineRule="exact"/>
        <w:rPr>
          <w:sz w:val="20"/>
          <w:szCs w:val="20"/>
          <w:color w:val="auto"/>
        </w:rPr>
      </w:pPr>
    </w:p>
    <w:p>
      <w:pPr>
        <w:ind w:right="60" w:firstLine="648"/>
        <w:spacing w:after="0" w:line="230" w:lineRule="auto"/>
        <w:rPr>
          <w:sz w:val="20"/>
          <w:szCs w:val="20"/>
          <w:color w:val="auto"/>
        </w:rPr>
      </w:pPr>
      <w:r>
        <w:rPr>
          <w:rFonts w:ascii="Times New Roman" w:cs="Times New Roman" w:eastAsia="Times New Roman" w:hAnsi="Times New Roman"/>
          <w:sz w:val="18"/>
          <w:szCs w:val="18"/>
          <w:color w:val="auto"/>
        </w:rPr>
        <w:t>From time to time, we are involved in disputes, litigation and other legal actions. However, there are many uncertainties associated with any litigation, and these actions or other third-party claims against us may cause us to incur substantial settlement charges, which are inherently difficult to estimate and could adversely affect our results of operations. We periodically review significant claims and litigation matters for the probability of an adverse outcome. We accrue for a loss contingency if a loss is probable and the amount of the loss can be reasonably estimated. These accruals are generally based on a range of possible outcomes that require significant judgement. Estimates can change as individual claims develop. The actual liability in any such matters may be materially different from our estimates, which could result in the need to adjust our liability and record additional expenses.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Accounting for Income Taxes</w:t>
      </w:r>
    </w:p>
    <w:p>
      <w:pPr>
        <w:spacing w:after="0" w:line="25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record income taxes using the asset and liability method, which requires the recognition of deferred tax assets and liabilities for the expected future tax consequences of events that have been recognized in our financial statements or tax returns. In addition, deferred tax assets are recorded for the future benefit of utilizing net operating losses and research and development credit carryforwards. Deferred tax assets and liabilities are measured using the currently enacted tax rates that</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apply to taxable income in effect for the years in which those tax assets and liabilities are expected to be realized or settled. Valuation allowances are provided when necessary to reduce deferred tax assets to the amount expected to be realized.</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taxes in each of the jurisdictions in which we operate. We estimate actual current tax exposure together with assessing temporary differences resulting from differing treatment of items, such as accruals and allowances not currently deductible for tax purposes. These differences result in deferred tax assets, which are included in our consolidated balance sheets. In general, deferred tax assets represent future tax benefits to be received when certain expenses previously recognized in our consolidated statements of income become deductible expenses under applicable income tax laws, or loss or credit carryforwards are utilized.</w:t>
      </w:r>
    </w:p>
    <w:p>
      <w:pPr>
        <w:spacing w:after="0" w:line="210"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We continue to assess the need for a valuation allowance on the deferred tax assets by evaluating both positive and negative evidence that may exist. Any adjustment to the valuation allowance on deferred tax assets would be recorded in the consolidated statements of income for the period that the adjustment is determined to be required.</w:t>
      </w:r>
    </w:p>
    <w:p>
      <w:pPr>
        <w:spacing w:after="0" w:line="21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recognize tax benefits from an uncertain tax position only if it is more likely than not, based on the technical merits of the position that the tax position will be sustained on examination by the tax authorities. The tax benefits recognized in the financial statements from such positions are then measured based on the largest benefit that has a greater than 50% likelihood of being realized upon ultimate settlement.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elected to account for the tax effect of the Global Intangible Low-Taxed Income (“GILTI”) as a current period expense.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5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and as a percentage of our total revenue for those periods. The period-to-period comparison of financial results is not necessarily indicative of financial results to be achieved in future periods.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5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Income Data:</w:t>
            </w:r>
          </w:p>
        </w:tc>
        <w:tc>
          <w:tcPr>
            <w:tcW w:w="7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Product</w:t>
            </w:r>
          </w:p>
        </w:tc>
        <w:tc>
          <w:tcPr>
            <w:tcW w:w="1720" w:type="dxa"/>
            <w:vAlign w:val="bottom"/>
            <w:gridSpan w:val="2"/>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1,927.3</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Service</w:t>
            </w:r>
          </w:p>
        </w:tc>
        <w:tc>
          <w:tcPr>
            <w:tcW w:w="7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3,377.5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2,636.9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revenue</w:t>
            </w:r>
          </w:p>
        </w:tc>
        <w:tc>
          <w:tcPr>
            <w:tcW w:w="7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5,304.8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Product</w:t>
            </w:r>
          </w:p>
        </w:tc>
        <w:tc>
          <w:tcPr>
            <w:tcW w:w="7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Service</w:t>
            </w:r>
          </w:p>
        </w:tc>
        <w:tc>
          <w:tcPr>
            <w:tcW w:w="7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cost of revenue</w:t>
            </w:r>
          </w:p>
        </w:tc>
        <w:tc>
          <w:tcPr>
            <w:tcW w:w="7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1,237.2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Product</w:t>
            </w:r>
          </w:p>
        </w:tc>
        <w:tc>
          <w:tcPr>
            <w:tcW w:w="7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1,163.7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Service</w:t>
            </w:r>
          </w:p>
        </w:tc>
        <w:tc>
          <w:tcPr>
            <w:tcW w:w="7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2,903.9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gross profit</w:t>
            </w:r>
          </w:p>
        </w:tc>
        <w:tc>
          <w:tcPr>
            <w:tcW w:w="7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4,067.6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Sales and marketing</w:t>
            </w:r>
          </w:p>
        </w:tc>
        <w:tc>
          <w:tcPr>
            <w:tcW w:w="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2,006.0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Gain on intellectual property matter</w:t>
            </w:r>
          </w:p>
        </w:tc>
        <w:tc>
          <w:tcPr>
            <w:tcW w:w="7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2,826.5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1,241.1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7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expense—net</w:t>
            </w:r>
          </w:p>
        </w:tc>
        <w:tc>
          <w:tcPr>
            <w:tcW w:w="7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 and loss from equity method investments</w:t>
            </w:r>
          </w:p>
        </w:tc>
        <w:tc>
          <w:tcPr>
            <w:tcW w:w="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1,333.7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investments</w:t>
            </w:r>
          </w:p>
        </w:tc>
        <w:tc>
          <w:tcPr>
            <w:tcW w:w="7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including non-controlling interests</w:t>
            </w:r>
          </w:p>
        </w:tc>
        <w:tc>
          <w:tcPr>
            <w:tcW w:w="7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1,147.8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interests, net of tax</w:t>
            </w:r>
          </w:p>
        </w:tc>
        <w:tc>
          <w:tcPr>
            <w:tcW w:w="7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Fortinet, Inc.</w:t>
            </w:r>
          </w:p>
        </w:tc>
        <w:tc>
          <w:tcPr>
            <w:tcW w:w="7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1,147.8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CCEEFF"/>
            </w:tcBorders>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59</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52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57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49"/>
        </w:trPr>
        <w:tc>
          <w:tcPr>
            <w:tcW w:w="57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(as percentage of revenue)</w:t>
            </w:r>
          </w:p>
        </w:tc>
        <w:tc>
          <w:tcPr>
            <w:tcW w:w="1740" w:type="dxa"/>
            <w:vAlign w:val="bottom"/>
          </w:tcPr>
          <w:p>
            <w:pPr>
              <w:spacing w:after="0"/>
              <w:rPr>
                <w:sz w:val="21"/>
                <w:szCs w:val="21"/>
                <w:color w:val="auto"/>
              </w:rPr>
            </w:pPr>
          </w:p>
        </w:tc>
      </w:tr>
      <w:tr>
        <w:trPr>
          <w:trHeight w:val="233"/>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r>
      <w:tr>
        <w:trPr>
          <w:trHeight w:val="229"/>
        </w:trPr>
        <w:tc>
          <w:tcPr>
            <w:tcW w:w="6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Product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29"/>
        </w:trPr>
        <w:tc>
          <w:tcPr>
            <w:tcW w:w="6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Service</w:t>
            </w: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w:t>
            </w:r>
          </w:p>
        </w:tc>
        <w:tc>
          <w:tcPr>
            <w:tcW w:w="184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57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Total revenue</w:t>
            </w:r>
          </w:p>
        </w:tc>
        <w:tc>
          <w:tcPr>
            <w:tcW w:w="1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74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17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30"/>
        </w:trPr>
        <w:tc>
          <w:tcPr>
            <w:tcW w:w="6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Product</w:t>
            </w: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184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6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Service</w:t>
            </w: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c>
          <w:tcPr>
            <w:tcW w:w="184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57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Total cost of revenue</w:t>
            </w:r>
          </w:p>
        </w:tc>
        <w:tc>
          <w:tcPr>
            <w:tcW w:w="1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74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17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29"/>
        </w:trPr>
        <w:tc>
          <w:tcPr>
            <w:tcW w:w="6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Product</w:t>
            </w: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w:t>
            </w:r>
          </w:p>
        </w:tc>
        <w:tc>
          <w:tcPr>
            <w:tcW w:w="184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6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Service</w:t>
            </w: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86</w:t>
            </w:r>
          </w:p>
        </w:tc>
        <w:tc>
          <w:tcPr>
            <w:tcW w:w="184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86</w:t>
            </w:r>
          </w:p>
        </w:tc>
      </w:tr>
      <w:tr>
        <w:trPr>
          <w:trHeight w:val="223"/>
        </w:trPr>
        <w:tc>
          <w:tcPr>
            <w:tcW w:w="574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Total gross margin</w:t>
            </w:r>
          </w:p>
        </w:tc>
        <w:tc>
          <w:tcPr>
            <w:tcW w:w="1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77</w:t>
            </w:r>
          </w:p>
        </w:tc>
      </w:tr>
      <w:tr>
        <w:trPr>
          <w:trHeight w:val="21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29"/>
        </w:trPr>
        <w:tc>
          <w:tcPr>
            <w:tcW w:w="6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84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6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Sales and marketing</w:t>
            </w: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w:t>
            </w:r>
          </w:p>
        </w:tc>
        <w:tc>
          <w:tcPr>
            <w:tcW w:w="184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6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184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6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Gain on intellectual property matter</w:t>
            </w: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CEEFF"/>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57</w:t>
            </w:r>
          </w:p>
        </w:tc>
      </w:tr>
      <w:tr>
        <w:trPr>
          <w:trHeight w:val="22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expense—net</w:t>
            </w: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 and loss from equity method investments</w:t>
            </w:r>
          </w:p>
        </w:tc>
        <w:tc>
          <w:tcPr>
            <w:tcW w:w="11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184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investments</w:t>
            </w:r>
          </w:p>
        </w:tc>
        <w:tc>
          <w:tcPr>
            <w:tcW w:w="6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84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including non-controlling interests</w:t>
            </w:r>
          </w:p>
        </w:tc>
        <w:tc>
          <w:tcPr>
            <w:tcW w:w="1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74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17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interests, net of tax</w:t>
            </w:r>
          </w:p>
        </w:tc>
        <w:tc>
          <w:tcPr>
            <w:tcW w:w="1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Fortinet, Inc.</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0"/>
        </w:trPr>
        <w:tc>
          <w:tcPr>
            <w:tcW w:w="57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Percentages have been rounded for presentation purposes and may differ from unrounded results.</w:t>
      </w:r>
    </w:p>
    <w:p>
      <w:pPr>
        <w:spacing w:after="0" w:line="35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Discussion regarding our financial condition and results of operations for 2022 as compared to 2021 can be found in Item 7 of our Annual Report on Form 10-K for the fiscal year ended December 31, 2022, filed with the SEC on February 24, 2023.</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and 2022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035"/>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035"/>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vMerge w:val="restart"/>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ind w:right="395"/>
              <w:spacing w:after="0" w:line="158" w:lineRule="exact"/>
              <w:rPr>
                <w:sz w:val="20"/>
                <w:szCs w:val="20"/>
                <w:color w:val="auto"/>
              </w:rPr>
            </w:pPr>
            <w:r>
              <w:rPr>
                <w:rFonts w:ascii="Times New Roman" w:cs="Times New Roman" w:eastAsia="Times New Roman" w:hAnsi="Times New Roman"/>
                <w:sz w:val="16"/>
                <w:szCs w:val="16"/>
                <w:b w:val="1"/>
                <w:bCs w:val="1"/>
                <w:color w:val="auto"/>
              </w:rPr>
              <w:t>% of</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ind w:right="395"/>
              <w:spacing w:after="0" w:line="158" w:lineRule="exact"/>
              <w:rPr>
                <w:sz w:val="20"/>
                <w:szCs w:val="20"/>
                <w:color w:val="auto"/>
              </w:rPr>
            </w:pPr>
            <w:r>
              <w:rPr>
                <w:rFonts w:ascii="Times New Roman" w:cs="Times New Roman" w:eastAsia="Times New Roman" w:hAnsi="Times New Roman"/>
                <w:sz w:val="16"/>
                <w:szCs w:val="16"/>
                <w:b w:val="1"/>
                <w:bCs w:val="1"/>
                <w:color w:val="auto"/>
              </w:rPr>
              <w:t>% of</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restart"/>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Pr>
          <w:p>
            <w:pPr>
              <w:spacing w:after="0"/>
              <w:rPr>
                <w:sz w:val="13"/>
                <w:szCs w:val="13"/>
                <w:color w:val="auto"/>
              </w:rPr>
            </w:pPr>
          </w:p>
        </w:tc>
        <w:tc>
          <w:tcPr>
            <w:tcW w:w="130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2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1,927.3</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1,780.5</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3,377.5</w:t>
            </w:r>
          </w:p>
        </w:tc>
        <w:tc>
          <w:tcPr>
            <w:tcW w:w="146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2,636.9</w:t>
            </w:r>
          </w:p>
        </w:tc>
        <w:tc>
          <w:tcPr>
            <w:tcW w:w="146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740.6</w:t>
            </w:r>
          </w:p>
        </w:tc>
        <w:tc>
          <w:tcPr>
            <w:tcW w:w="14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5,304.8</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4,417.4</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Revenue by geography:</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Americas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2,175.2</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1,785.0</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2,072.9</w:t>
            </w:r>
          </w:p>
        </w:tc>
        <w:tc>
          <w:tcPr>
            <w:tcW w:w="146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1,691.8</w:t>
            </w:r>
          </w:p>
        </w:tc>
        <w:tc>
          <w:tcPr>
            <w:tcW w:w="146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14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APAC</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1,056.7</w:t>
            </w:r>
          </w:p>
        </w:tc>
        <w:tc>
          <w:tcPr>
            <w:tcW w:w="1460" w:type="dxa"/>
            <w:vAlign w:val="bottom"/>
            <w:gridSpan w:val="3"/>
          </w:tcPr>
          <w:p>
            <w:pPr>
              <w:jc w:val="right"/>
              <w:ind w:right="135"/>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940.6</w:t>
            </w:r>
          </w:p>
        </w:tc>
        <w:tc>
          <w:tcPr>
            <w:tcW w:w="1460" w:type="dxa"/>
            <w:vAlign w:val="bottom"/>
            <w:gridSpan w:val="3"/>
          </w:tcPr>
          <w:p>
            <w:pPr>
              <w:jc w:val="right"/>
              <w:ind w:right="135"/>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42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8"/>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5,304.8</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4,417.4</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887.4</w:t>
            </w:r>
          </w:p>
        </w:tc>
        <w:tc>
          <w:tcPr>
            <w:tcW w:w="14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400" w:firstLine="648"/>
        <w:spacing w:after="0"/>
        <w:rPr>
          <w:sz w:val="20"/>
          <w:szCs w:val="20"/>
          <w:color w:val="auto"/>
        </w:rPr>
      </w:pPr>
      <w:r>
        <w:rPr>
          <w:rFonts w:ascii="Times New Roman" w:cs="Times New Roman" w:eastAsia="Times New Roman" w:hAnsi="Times New Roman"/>
          <w:sz w:val="18"/>
          <w:szCs w:val="18"/>
          <w:color w:val="auto"/>
        </w:rPr>
        <w:t>Total revenue increased $887.4 million, or 20%, in 2023 compared to 2022. We continued to experience large organic revenue growth (i.e., revenue growth excluding attribution from recent acquisitions) with diversification of revenue geographically, and across both customer and industry segments. Revenue from all regions grew, with the Americas contributing the largest portion of the increase on an absolute dollar basis and EMEA, contributing the largest portion of the increase on a percentage basis.</w:t>
      </w:r>
    </w:p>
    <w:p>
      <w:pPr>
        <w:spacing w:after="0" w:line="212"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Product revenue increased $146.8 million, or 8%, in 2023 compared to 2022. Product revenue growth was impacted by an elevated cyber threat landscape, the convergence of security and networking, the impact of certain historical pricing actions, improving supply chain dynamics, and changes in the backlog balance. Product revenue growth rates decreased from 42% in 2022 to 8% in 2023 partially due to overall softening macroeconomic conditions.</w:t>
      </w:r>
    </w:p>
    <w:p>
      <w:pPr>
        <w:spacing w:after="0" w:line="208" w:lineRule="exact"/>
        <w:rPr>
          <w:sz w:val="20"/>
          <w:szCs w:val="20"/>
          <w:color w:val="auto"/>
        </w:rPr>
      </w:pPr>
    </w:p>
    <w:p>
      <w:pPr>
        <w:ind w:right="120" w:firstLine="648"/>
        <w:spacing w:after="0" w:line="241" w:lineRule="auto"/>
        <w:rPr>
          <w:sz w:val="20"/>
          <w:szCs w:val="20"/>
          <w:color w:val="auto"/>
        </w:rPr>
      </w:pPr>
      <w:r>
        <w:rPr>
          <w:rFonts w:ascii="Times New Roman" w:cs="Times New Roman" w:eastAsia="Times New Roman" w:hAnsi="Times New Roman"/>
          <w:sz w:val="18"/>
          <w:szCs w:val="18"/>
          <w:color w:val="auto"/>
        </w:rPr>
        <w:t>Service revenue increased $740.6 million, or 28%, in 2023 compared to 2022. Service revenue growth has accelerated over the past three years from 24% in 2021, to 26% in 2022 to 28% in 2023. Compared to 2022, FortiGuard security subscription revenue and other security subscription revenue increased $471.1 million, or 33% and FortiCare, other technical support and other revenues increased $269.5 million, or 22%, in 2023. The increases in service revenue were primarily due to the recognition of revenue from our growing deferred revenue balance related to FortiGuard and other security subscriptions delivered to on-premise and cloud-based environments. Security subscriptions outpaced technical support growth due to strength in secure networking subscriptions, SecOps and SASE.</w:t>
      </w:r>
    </w:p>
    <w:p>
      <w:pPr>
        <w:spacing w:after="0" w:line="224"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Of the service revenue recognized in 2023, 67% was included in the deferred revenue balance as of December 31, 2022. Of the service revenue recognized in 2022, 66% was included in the deferred revenue balance as of December 31, 2021.</w:t>
      </w:r>
    </w:p>
    <w:p>
      <w:pPr>
        <w:spacing w:after="0" w:line="189"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Of the service revenue recognized in each quarter of 2023, from 88% to 89% was included in deferred revenue as of the beginning of the respective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4040" w:type="dxa"/>
            <w:vAlign w:val="bottom"/>
            <w:gridSpan w:val="6"/>
          </w:tcPr>
          <w:p>
            <w:pPr>
              <w:ind w:left="10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37"/>
        </w:trPr>
        <w:tc>
          <w:tcPr>
            <w:tcW w:w="336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Pr>
          <w:p>
            <w:pPr>
              <w:spacing w:after="0"/>
              <w:rPr>
                <w:sz w:val="20"/>
                <w:szCs w:val="20"/>
                <w:color w:val="auto"/>
              </w:rPr>
            </w:pPr>
          </w:p>
        </w:tc>
        <w:tc>
          <w:tcPr>
            <w:tcW w:w="19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90"/>
        </w:trPr>
        <w:tc>
          <w:tcPr>
            <w:tcW w:w="3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320" w:type="dxa"/>
            <w:vAlign w:val="bottom"/>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r>
      <w:tr>
        <w:trPr>
          <w:trHeight w:val="230"/>
        </w:trPr>
        <w:tc>
          <w:tcPr>
            <w:tcW w:w="3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Product</w:t>
            </w:r>
          </w:p>
        </w:tc>
        <w:tc>
          <w:tcPr>
            <w:tcW w:w="1140" w:type="dxa"/>
            <w:vAlign w:val="bottom"/>
          </w:tcPr>
          <w:p>
            <w:pPr>
              <w:jc w:val="right"/>
              <w:ind w:right="93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763.6</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691.3</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04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11 %</w:t>
            </w:r>
          </w:p>
        </w:tc>
      </w:tr>
      <w:tr>
        <w:trPr>
          <w:trHeight w:val="229"/>
        </w:trPr>
        <w:tc>
          <w:tcPr>
            <w:tcW w:w="3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Service</w:t>
            </w:r>
          </w:p>
        </w:tc>
        <w:tc>
          <w:tcPr>
            <w:tcW w:w="1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473.6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393.6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040" w:type="dxa"/>
            <w:vAlign w:val="bottom"/>
            <w:gridSpan w:val="2"/>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1140" w:type="dxa"/>
            <w:vAlign w:val="bottom"/>
            <w:tcBorders>
              <w:bottom w:val="single" w:sz="8" w:color="auto"/>
            </w:tcBorders>
          </w:tcPr>
          <w:p>
            <w:pPr>
              <w:jc w:val="right"/>
              <w:ind w:right="93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96"/>
              </w:rPr>
              <w:t>1,237.2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1,084.9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204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14 %</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3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 (%):</w:t>
            </w:r>
          </w:p>
        </w:tc>
        <w:tc>
          <w:tcPr>
            <w:tcW w:w="1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2040" w:type="dxa"/>
            <w:vAlign w:val="bottom"/>
            <w:tcBorders>
              <w:top w:val="single" w:sz="8" w:color="CCEEFF"/>
            </w:tcBorders>
            <w:shd w:val="clear" w:color="auto" w:fill="CCEEFF"/>
          </w:tcPr>
          <w:p>
            <w:pPr>
              <w:spacing w:after="0"/>
              <w:rPr>
                <w:sz w:val="19"/>
                <w:szCs w:val="19"/>
                <w:color w:val="auto"/>
              </w:rPr>
            </w:pPr>
          </w:p>
        </w:tc>
      </w:tr>
      <w:tr>
        <w:trPr>
          <w:trHeight w:val="229"/>
        </w:trPr>
        <w:tc>
          <w:tcPr>
            <w:tcW w:w="3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Product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60.4 %</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61.2 %</w:t>
            </w: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29"/>
        </w:trPr>
        <w:tc>
          <w:tcPr>
            <w:tcW w:w="3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Service</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86.0 %</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85.1 %</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gross margin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76.7 %</w:t>
            </w:r>
          </w:p>
        </w:tc>
        <w:tc>
          <w:tcPr>
            <w:tcW w:w="1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75.4 %</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40" w:type="dxa"/>
            <w:vAlign w:val="bottom"/>
          </w:tcPr>
          <w:p>
            <w:pPr>
              <w:spacing w:after="0"/>
              <w:rPr>
                <w:sz w:val="20"/>
                <w:szCs w:val="20"/>
                <w:color w:val="auto"/>
              </w:rPr>
            </w:pPr>
          </w:p>
        </w:tc>
      </w:tr>
    </w:tbl>
    <w:p>
      <w:pPr>
        <w:spacing w:after="0" w:line="200" w:lineRule="exact"/>
        <w:rPr>
          <w:sz w:val="20"/>
          <w:szCs w:val="20"/>
          <w:color w:val="auto"/>
        </w:rPr>
      </w:pPr>
    </w:p>
    <w:p>
      <w:pPr>
        <w:spacing w:after="0" w:line="2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Percentages have been rounded for presentation purposes and may differ from unrounded results.</w:t>
      </w:r>
    </w:p>
    <w:p>
      <w:pPr>
        <w:spacing w:after="0" w:line="33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Total gross margin increased 1.3 percentage points in 2023 compared to 2022, primarily driven by a shift in the revenue mix and increased service gross margin, partially offset by decreased product gross margin. Revenue mix shifted by 4.0 percentage points from product revenue to service revenue, as a percentage of total revenue.</w:t>
      </w:r>
    </w:p>
    <w:p>
      <w:pPr>
        <w:spacing w:after="0" w:line="199"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Product gross margin decreased 0.8 percentage points in 2023 compared to 2022, primarily due to inventory related reserves expense, partially offset by lower expedite fees and freight costs and a shift in revenue mix from hardware to software. Cost of product revenue was comprised primarily of third-party contract manufacturers’ costs, costs of materials used in production and inventory reserves.</w:t>
      </w:r>
    </w:p>
    <w:p>
      <w:pPr>
        <w:spacing w:after="0" w:line="217" w:lineRule="exact"/>
        <w:rPr>
          <w:sz w:val="20"/>
          <w:szCs w:val="20"/>
          <w:color w:val="auto"/>
        </w:rPr>
      </w:pPr>
    </w:p>
    <w:p>
      <w:pPr>
        <w:ind w:right="360" w:firstLine="648"/>
        <w:spacing w:after="0" w:line="258" w:lineRule="auto"/>
        <w:rPr>
          <w:sz w:val="20"/>
          <w:szCs w:val="20"/>
          <w:color w:val="auto"/>
        </w:rPr>
      </w:pPr>
      <w:r>
        <w:rPr>
          <w:rFonts w:ascii="Times New Roman" w:cs="Times New Roman" w:eastAsia="Times New Roman" w:hAnsi="Times New Roman"/>
          <w:sz w:val="18"/>
          <w:szCs w:val="18"/>
          <w:color w:val="auto"/>
        </w:rPr>
        <w:t>Service gross margin increased 0.9 percentage points in 2023 compared to 2022, primarily driven by pricing actions in earlier periods and benefited from the mix shift towards higher margin security subscription services. Cost of service revenue was comprised primarily of personnel costs, third-party repair and contract fulfillment, data center costs, colocation expenses and cloud hosting, supplies and facility-related costs.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vMerge w:val="restart"/>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vMerge w:val="restart"/>
          </w:tcPr>
          <w:p>
            <w:pPr>
              <w:spacing w:after="0"/>
              <w:rPr>
                <w:sz w:val="13"/>
                <w:szCs w:val="13"/>
                <w:color w:val="auto"/>
              </w:rPr>
            </w:pPr>
          </w:p>
        </w:tc>
        <w:tc>
          <w:tcPr>
            <w:tcW w:w="260" w:type="dxa"/>
            <w:vAlign w:val="bottom"/>
            <w:vMerge w:val="restart"/>
          </w:tcPr>
          <w:p>
            <w:pPr>
              <w:spacing w:after="0"/>
              <w:rPr>
                <w:sz w:val="13"/>
                <w:szCs w:val="13"/>
                <w:color w:val="auto"/>
              </w:rPr>
            </w:pPr>
          </w:p>
        </w:tc>
        <w:tc>
          <w:tcPr>
            <w:tcW w:w="1020" w:type="dxa"/>
            <w:vAlign w:val="bottom"/>
          </w:tcPr>
          <w:p>
            <w:pPr>
              <w:jc w:val="right"/>
              <w:ind w:right="373"/>
              <w:spacing w:after="0" w:line="158" w:lineRule="exact"/>
              <w:rPr>
                <w:sz w:val="20"/>
                <w:szCs w:val="20"/>
                <w:color w:val="auto"/>
              </w:rPr>
            </w:pPr>
            <w:r>
              <w:rPr>
                <w:rFonts w:ascii="Times New Roman" w:cs="Times New Roman" w:eastAsia="Times New Roman" w:hAnsi="Times New Roman"/>
                <w:sz w:val="16"/>
                <w:szCs w:val="16"/>
                <w:b w:val="1"/>
                <w:bCs w:val="1"/>
                <w:color w:val="auto"/>
              </w:rPr>
              <w:t>% of</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vMerge w:val="restart"/>
          </w:tcPr>
          <w:p>
            <w:pPr>
              <w:spacing w:after="0"/>
              <w:rPr>
                <w:sz w:val="13"/>
                <w:szCs w:val="13"/>
                <w:color w:val="auto"/>
              </w:rPr>
            </w:pPr>
          </w:p>
        </w:tc>
        <w:tc>
          <w:tcPr>
            <w:tcW w:w="280" w:type="dxa"/>
            <w:vAlign w:val="bottom"/>
            <w:vMerge w:val="restart"/>
          </w:tcPr>
          <w:p>
            <w:pPr>
              <w:spacing w:after="0"/>
              <w:rPr>
                <w:sz w:val="13"/>
                <w:szCs w:val="13"/>
                <w:color w:val="auto"/>
              </w:rPr>
            </w:pPr>
          </w:p>
        </w:tc>
        <w:tc>
          <w:tcPr>
            <w:tcW w:w="1020" w:type="dxa"/>
            <w:vAlign w:val="bottom"/>
          </w:tcPr>
          <w:p>
            <w:pPr>
              <w:jc w:val="right"/>
              <w:ind w:right="393"/>
              <w:spacing w:after="0" w:line="158" w:lineRule="exact"/>
              <w:rPr>
                <w:sz w:val="20"/>
                <w:szCs w:val="20"/>
                <w:color w:val="auto"/>
              </w:rPr>
            </w:pPr>
            <w:r>
              <w:rPr>
                <w:rFonts w:ascii="Times New Roman" w:cs="Times New Roman" w:eastAsia="Times New Roman" w:hAnsi="Times New Roman"/>
                <w:sz w:val="16"/>
                <w:szCs w:val="16"/>
                <w:b w:val="1"/>
                <w:bCs w:val="1"/>
                <w:color w:val="auto"/>
              </w:rPr>
              <w:t>% of</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vMerge w:val="restart"/>
          </w:tcPr>
          <w:p>
            <w:pPr>
              <w:spacing w:after="0"/>
              <w:rPr>
                <w:sz w:val="13"/>
                <w:szCs w:val="13"/>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2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19"/>
                <w:szCs w:val="19"/>
                <w:color w:val="auto"/>
              </w:rPr>
            </w:pPr>
          </w:p>
        </w:tc>
        <w:tc>
          <w:tcPr>
            <w:tcW w:w="13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Pr>
          <w:p>
            <w:pPr>
              <w:spacing w:after="0"/>
              <w:rPr>
                <w:sz w:val="19"/>
                <w:szCs w:val="19"/>
                <w:color w:val="auto"/>
              </w:rPr>
            </w:pPr>
          </w:p>
        </w:tc>
        <w:tc>
          <w:tcPr>
            <w:tcW w:w="13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Gain on intellectual property matter</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2,826.5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463.6</w:t>
            </w: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Percentages have been rounded for presentation purposes and may differ from unrounded results.</w:t>
      </w: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41"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Research and development expense increased $101.4 million, or 20%, in 2023 compared to 2022, primarily due to an increase of $74.3 million in personnel-related costs as a result of increased headcount and compensation rates to support the development of new products and continued enhancements to our existing products. In addition, non-personnel-related product development costs increased $13.8 million and depreciation expense and other occupancy-related expense increased $11.4 million. We currently intend to continue to invest in our research and development organization, and expect research and development expense to increase in absolute dollars in 2024.</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54"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color w:val="auto"/>
        </w:rPr>
        <w:t>Sales and marketing expense increased $319.9 million, or 19%, in 2023 compared to 2022, primarily due to an increase of $244.3 million in personnel-related costs. We increased our sales and pipeline generation capacity. The increase in headcount is expected to help drive global market revenue increases. In addition, marketing-related expenses increased $23.5 million, travel expense increased $20.7 million and depreciation expense and other occupancy-related expense increased $18.4 million. We currently intend to continue to make investments in sales and marketing resources, which are critical to support our future growth, and expect sales and marketing expense to increase in absolute dollars in 2024.</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41"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General and administrative expense increased $42.3 million, or 25%, in 2023 compared to 2022, primarily due to an increase of $19.2 million in professional services fees, an increase of $14.6 million in personnel-related costs and an increase of $3.4 million in provision for expected credit losses. We currently expect general and administrative expense to increase in absolute dollars in 2024.</w:t>
      </w:r>
    </w:p>
    <w:p>
      <w:pPr>
        <w:spacing w:after="0" w:line="2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Operating income and margin</w:t>
      </w:r>
    </w:p>
    <w:p>
      <w:pPr>
        <w:spacing w:after="0" w:line="241" w:lineRule="exact"/>
        <w:rPr>
          <w:sz w:val="20"/>
          <w:szCs w:val="20"/>
          <w:color w:val="auto"/>
        </w:rPr>
      </w:pPr>
    </w:p>
    <w:p>
      <w:pPr>
        <w:ind w:right="100" w:firstLine="648"/>
        <w:spacing w:after="0" w:line="236" w:lineRule="auto"/>
        <w:rPr>
          <w:sz w:val="20"/>
          <w:szCs w:val="20"/>
          <w:color w:val="auto"/>
        </w:rPr>
      </w:pPr>
      <w:r>
        <w:rPr>
          <w:rFonts w:ascii="Times New Roman" w:cs="Times New Roman" w:eastAsia="Times New Roman" w:hAnsi="Times New Roman"/>
          <w:sz w:val="18"/>
          <w:szCs w:val="18"/>
          <w:color w:val="auto"/>
        </w:rPr>
        <w:t>We generated operating income of $1.24 billion in 2023, an increase of $271.5 million, or 28%, compared to $969.6 million in 2022. Operating income as a percentage of revenue increased to 23.4% in 2023 compared to 21.9% in 2022. The increase in our operating margin primarily benefits from a 1.3 percentage points increase in gross margin and 0.4 percentage points decrease in sales and marketing expense as a percentage of revenue, partially offset by 0.2 percentage points increase in general and administrative expense as percentage of revenue.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other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00" w:type="dxa"/>
            <w:vAlign w:val="bottom"/>
          </w:tcPr>
          <w:p>
            <w:pPr>
              <w:spacing w:after="0"/>
              <w:rPr>
                <w:sz w:val="18"/>
                <w:szCs w:val="18"/>
                <w:color w:val="auto"/>
              </w:rPr>
            </w:pPr>
          </w:p>
        </w:tc>
        <w:tc>
          <w:tcPr>
            <w:tcW w:w="3800" w:type="dxa"/>
            <w:vAlign w:val="bottom"/>
            <w:gridSpan w:val="6"/>
          </w:tcPr>
          <w:p>
            <w:pPr>
              <w:ind w:left="9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4"/>
        </w:trPr>
        <w:tc>
          <w:tcPr>
            <w:tcW w:w="36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3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Pr>
          <w:p>
            <w:pPr>
              <w:spacing w:after="0"/>
              <w:rPr>
                <w:sz w:val="18"/>
                <w:szCs w:val="18"/>
                <w:color w:val="auto"/>
              </w:rPr>
            </w:pPr>
          </w:p>
        </w:tc>
        <w:tc>
          <w:tcPr>
            <w:tcW w:w="19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9"/>
        </w:trPr>
        <w:tc>
          <w:tcPr>
            <w:tcW w:w="36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38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940" w:type="dxa"/>
            <w:vAlign w:val="bottom"/>
          </w:tcPr>
          <w:p>
            <w:pPr>
              <w:spacing w:after="0"/>
              <w:rPr>
                <w:sz w:val="21"/>
                <w:szCs w:val="21"/>
                <w:color w:val="auto"/>
              </w:rPr>
            </w:pPr>
          </w:p>
        </w:tc>
      </w:tr>
      <w:tr>
        <w:trPr>
          <w:trHeight w:val="23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center"/>
              <w:ind w:left="834"/>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588 %</w:t>
            </w:r>
          </w:p>
        </w:tc>
      </w:tr>
      <w:tr>
        <w:trPr>
          <w:trHeight w:val="230"/>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center"/>
              <w:ind w:left="794"/>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3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expense—net</w:t>
            </w: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794"/>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bl>
    <w:p>
      <w:pPr>
        <w:spacing w:after="0" w:line="306" w:lineRule="exact"/>
        <w:rPr>
          <w:sz w:val="20"/>
          <w:szCs w:val="20"/>
          <w:color w:val="auto"/>
        </w:rPr>
      </w:pPr>
    </w:p>
    <w:p>
      <w:pPr>
        <w:ind w:right="260" w:firstLine="648"/>
        <w:spacing w:after="0" w:line="242" w:lineRule="auto"/>
        <w:rPr>
          <w:sz w:val="20"/>
          <w:szCs w:val="20"/>
          <w:color w:val="auto"/>
        </w:rPr>
      </w:pPr>
      <w:r>
        <w:rPr>
          <w:rFonts w:ascii="Times New Roman" w:cs="Times New Roman" w:eastAsia="Times New Roman" w:hAnsi="Times New Roman"/>
          <w:sz w:val="18"/>
          <w:szCs w:val="18"/>
          <w:color w:val="auto"/>
        </w:rPr>
        <w:t>Interest income increased $102.3 million in 2023 as compared to 2022, primarily as a result of higher interest rates and investment balances. Interest income varies depending on our average investment balances during the period, types and mix of investments, and market interest rates. Interest expense increased $3.0 million in 2023 as compared to 2022. Other expense—net decreased $7.4 million in 2023 as compared to 2022 due to an</w:t>
      </w:r>
    </w:p>
    <w:p>
      <w:pPr>
        <w:spacing w:after="0" w:line="1" w:lineRule="exact"/>
        <w:rPr>
          <w:sz w:val="20"/>
          <w:szCs w:val="20"/>
          <w:color w:val="auto"/>
        </w:rPr>
      </w:pPr>
    </w:p>
    <w:p>
      <w:pPr>
        <w:ind w:right="220"/>
        <w:spacing w:after="0" w:line="243" w:lineRule="auto"/>
        <w:rPr>
          <w:sz w:val="20"/>
          <w:szCs w:val="20"/>
          <w:color w:val="auto"/>
        </w:rPr>
      </w:pPr>
      <w:r>
        <w:rPr>
          <w:rFonts w:ascii="Times New Roman" w:cs="Times New Roman" w:eastAsia="Times New Roman" w:hAnsi="Times New Roman"/>
          <w:sz w:val="18"/>
          <w:szCs w:val="18"/>
          <w:color w:val="auto"/>
        </w:rPr>
        <w:t>$8.7 million lower loss on marketable equity securities and a $1.0 million increase of net rental income from real estate, partially offset by a $2.4 million increase of foreign exchange losses.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80" w:type="dxa"/>
            <w:vAlign w:val="bottom"/>
          </w:tcPr>
          <w:p>
            <w:pPr>
              <w:spacing w:after="0"/>
              <w:rPr>
                <w:sz w:val="18"/>
                <w:szCs w:val="18"/>
                <w:color w:val="auto"/>
              </w:rPr>
            </w:pPr>
          </w:p>
        </w:tc>
        <w:tc>
          <w:tcPr>
            <w:tcW w:w="3220" w:type="dxa"/>
            <w:vAlign w:val="bottom"/>
            <w:tcBorders>
              <w:bottom w:val="single" w:sz="8" w:color="auto"/>
            </w:tcBorders>
            <w:gridSpan w:val="4"/>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37"/>
        </w:trPr>
        <w:tc>
          <w:tcPr>
            <w:tcW w:w="348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90"/>
        </w:trPr>
        <w:tc>
          <w:tcPr>
            <w:tcW w:w="3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4"/>
          </w:tcPr>
          <w:p>
            <w:pPr>
              <w:ind w:left="78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80" w:type="dxa"/>
            <w:vAlign w:val="bottom"/>
            <w:shd w:val="clear" w:color="auto" w:fill="CCEEFF"/>
          </w:tcPr>
          <w:p>
            <w:pPr>
              <w:jc w:val="right"/>
              <w:ind w:right="99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143.8</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3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30.8</w:t>
            </w:r>
          </w:p>
        </w:tc>
        <w:tc>
          <w:tcPr>
            <w:tcW w:w="1320" w:type="dxa"/>
            <w:vAlign w:val="bottom"/>
            <w:gridSpan w:val="2"/>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367 %</w:t>
            </w:r>
          </w:p>
        </w:tc>
      </w:tr>
      <w:tr>
        <w:trPr>
          <w:trHeight w:val="234"/>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 (%)</w:t>
            </w:r>
          </w:p>
        </w:tc>
        <w:tc>
          <w:tcPr>
            <w:tcW w:w="1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bl>
    <w:p>
      <w:pPr>
        <w:spacing w:after="0" w:line="301"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provision for income taxes for 2023 reflects an effective tax rate of 11%, compared to an effective tax rate of 3% for 2022. The provision for income taxes for 2023 was comprised primarily of a $302.4 million tax expense related to U.S. federal and state income taxes, other foreign income taxes, foreign withholding taxes and unrecognized tax benefits. The provision was partially offset by excess tax benefits of $55.1 million from stock-based compensation expense, a tax benefit of $89.5 million from the FDII deduction, and a tax benefit of $14.0 million from federal research and development tax credits.</w:t>
      </w:r>
    </w:p>
    <w:p>
      <w:pPr>
        <w:spacing w:after="0" w:line="21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provision for income taxes for 2022 reflects an effective tax rate of 3%, compared to an effective tax rate of 2% for 2021. The provision for income taxes for 2022 was comprised primarily of a $233.4 million tax expense related to U.S. federal and state income taxes, other foreign income taxes, foreign withholding taxes and unrecognized tax benefits. The provision was partially offset by excess tax benefits of $75.8 million from stock-based compensation expense, a tax benefit of $115.2 million from the FDII deduction, and a tax benefit of $11.6 million from federal research and development tax credits.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Equity Method Investments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4"/>
          </w:tcPr>
          <w:p>
            <w:pPr>
              <w:jc w:val="right"/>
              <w:ind w:right="856"/>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7"/>
        </w:trPr>
        <w:tc>
          <w:tcPr>
            <w:tcW w:w="36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Pr>
          <w:p>
            <w:pPr>
              <w:spacing w:after="0"/>
              <w:rPr>
                <w:sz w:val="20"/>
                <w:szCs w:val="20"/>
                <w:color w:val="auto"/>
              </w:rPr>
            </w:pPr>
          </w:p>
        </w:tc>
        <w:tc>
          <w:tcPr>
            <w:tcW w:w="19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90"/>
        </w:trPr>
        <w:tc>
          <w:tcPr>
            <w:tcW w:w="3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8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940" w:type="dxa"/>
            <w:vAlign w:val="bottom"/>
          </w:tcPr>
          <w:p>
            <w:pPr>
              <w:spacing w:after="0"/>
              <w:rPr>
                <w:sz w:val="24"/>
                <w:szCs w:val="24"/>
                <w:color w:val="auto"/>
              </w:rPr>
            </w:pPr>
          </w:p>
        </w:tc>
      </w:tr>
      <w:tr>
        <w:trPr>
          <w:trHeight w:val="23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investments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bl>
    <w:p>
      <w:pPr>
        <w:spacing w:after="0" w:line="306" w:lineRule="exact"/>
        <w:rPr>
          <w:sz w:val="20"/>
          <w:szCs w:val="20"/>
          <w:color w:val="auto"/>
        </w:rPr>
      </w:pPr>
    </w:p>
    <w:p>
      <w:pPr>
        <w:ind w:right="180" w:firstLine="648"/>
        <w:spacing w:after="0" w:line="239" w:lineRule="auto"/>
        <w:rPr>
          <w:sz w:val="20"/>
          <w:szCs w:val="20"/>
          <w:color w:val="auto"/>
        </w:rPr>
      </w:pPr>
      <w:r>
        <w:rPr>
          <w:rFonts w:ascii="Times New Roman" w:cs="Times New Roman" w:eastAsia="Times New Roman" w:hAnsi="Times New Roman"/>
          <w:sz w:val="18"/>
          <w:szCs w:val="18"/>
          <w:color w:val="auto"/>
        </w:rPr>
        <w:t>Loss from equity method investments decreased $26.0 million in 2023 as compared to 2022, as our proportionate share of Linksys’ financial results including our share of the amortization of the basis differences improved over the same period last year. Our loss related to Linksys in fiscal 2022 totaled $68.1 million, comprised our proportionate share of Linksys’ financial results as well as the amortization of the basis differences of $45.9 million, which included a $17.5 million charge in connection with a valuation allowance established on deferred tax assets at Linksys, and the OTTI charge of $22.2 million recorded during the three months ended December 31,2022.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Cyclicality and Quarterly Revenue Trends</w:t>
      </w:r>
    </w:p>
    <w:p>
      <w:pPr>
        <w:spacing w:after="0" w:line="25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quarterly results reflect a pattern of increased customer buying at year-end, which has positively impacted billings and product revenue activity in the fourth quarter. In the first quarter, we generally experience lower sequential customer product buying, followed by an increase in buying in the second and third quarters. Although these seasonal factors may be common in the technology sector, historical patterns should not be considered a reliable indicator of our future sales activity or performance. On a quarterly basis, we have usually generated the majority of our product revenue in the final month of each quarter and a significant amount in the last two weeks of each quarter. We believe this is due to customer buying patterns typical in this industry.</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quarterly revenue over the past two years has increased sequentially each quarter within the year.</w:t>
      </w:r>
    </w:p>
    <w:p>
      <w:pPr>
        <w:spacing w:after="0" w:line="239"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Total gross margin has fluctuated on a quarterly basis primarily due to the relative product and service mix. Product gross margin varies based on the types of products sold, their cost profile and their average selling prices. Service gross margin is impacted by revenue growth and our personnel-related costs, third-party repair and contract fulfillment, data center, colocation fees, cloud hosting, supplies, facility-related costs and foreign currency fluctuations.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11"/>
        </w:trPr>
        <w:tc>
          <w:tcPr>
            <w:tcW w:w="65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49"/>
        </w:trPr>
        <w:tc>
          <w:tcPr>
            <w:tcW w:w="6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1,319.1</w:t>
            </w:r>
          </w:p>
        </w:tc>
      </w:tr>
      <w:tr>
        <w:trPr>
          <w:trHeight w:val="23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and long-term investments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1,634.8</w:t>
            </w:r>
          </w:p>
        </w:tc>
      </w:tr>
      <w:tr>
        <w:trPr>
          <w:trHeight w:val="22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2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investments and marketable equity securities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2,256.5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2,992.5</w:t>
            </w: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9"/>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1,282.5</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416"/>
        </w:trPr>
        <w:tc>
          <w:tcPr>
            <w:tcW w:w="65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6"/>
          </w:tcPr>
          <w:p>
            <w:pPr>
              <w:jc w:val="center"/>
              <w:ind w:left="73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60" w:type="dxa"/>
            <w:vAlign w:val="bottom"/>
            <w:tcBorders>
              <w:bottom w:val="single" w:sz="8" w:color="auto"/>
            </w:tcBorders>
          </w:tcPr>
          <w:p>
            <w:pPr>
              <w:spacing w:after="0"/>
              <w:rPr>
                <w:sz w:val="24"/>
                <w:szCs w:val="24"/>
                <w:color w:val="auto"/>
              </w:rPr>
            </w:pPr>
          </w:p>
        </w:tc>
      </w:tr>
      <w:tr>
        <w:trPr>
          <w:trHeight w:val="211"/>
        </w:trPr>
        <w:tc>
          <w:tcPr>
            <w:tcW w:w="65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49"/>
        </w:trPr>
        <w:tc>
          <w:tcPr>
            <w:tcW w:w="6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1,499.7</w:t>
            </w:r>
          </w:p>
        </w:tc>
      </w:tr>
      <w:tr>
        <w:trPr>
          <w:trHeight w:val="23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(1,325.1)</w:t>
            </w:r>
          </w:p>
        </w:tc>
      </w:tr>
      <w:tr>
        <w:trPr>
          <w:trHeight w:val="22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r>
      <w:tr>
        <w:trPr>
          <w:trHeight w:val="230"/>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8"/>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60" w:firstLine="648"/>
        <w:spacing w:after="0" w:line="282" w:lineRule="auto"/>
        <w:rPr>
          <w:sz w:val="20"/>
          <w:szCs w:val="20"/>
          <w:color w:val="auto"/>
        </w:rPr>
      </w:pPr>
      <w:r>
        <w:rPr>
          <w:rFonts w:ascii="Times New Roman" w:cs="Times New Roman" w:eastAsia="Times New Roman" w:hAnsi="Times New Roman"/>
          <w:sz w:val="18"/>
          <w:szCs w:val="18"/>
          <w:color w:val="auto"/>
        </w:rPr>
        <w:t>Liquidity and capital resources are primarily impacted by our operating activities, proceeds from issuance of our investment grade debt, as well as cash used on stock repurchases, real estate purchases and other capital expenditures, investments in various companies and business acquisitions.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In recent years, we have received significant capital resources from our billings to customers, issuance of investment grade debt and, to some extent, from the exercise of stock options by our employees. Additional increases in billings may depend on a number of factors, including demand for and availability of our products and services, competition, pricing actions, market or industry changes, macroeconomic events such as rising inflation and interest rates, economic strength, supply chain capacity and disruptions, international conflicts, including the war in Ukraine and the Israel-Hamas war, and our ability to execute. We expect proceeds from the exercise of stock options in future years to be impacted by the increased mix of restricted stock units and performance stock units versus stock options granted to our employees and to vary based on our share price. We expect our cash tax payments to increase as a result of a provision in the Tax Cuts and Jobs Act of 2017 requiring taxpayers to capitalize and amortize research and development expenses for tax purposes, other tax law changes and our expected growth.</w:t>
      </w:r>
    </w:p>
    <w:p>
      <w:pPr>
        <w:spacing w:after="0" w:line="228"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In February 2023, our board of directors approved an extension of the Repurchase Program to February 29, 2024. In April 2023 and July 2023, our board of directors approved $1.0 billion and $500.0 million increases in the authorized stock repurchase amount under the Repurchase Program, respectively, bringing the aggregate amount authorized to be repurchased to $6.75 billion. In 2023, we repurchased 27.2 million shares of common stock under the Repurchase Program for an aggregate purchase price of $1.50 billion. As of December 31, 2023, $529.1 million remained available for future share repurchases under the Repurchase Program. In January 2024, our board of directors approved a $500.0 million increase in the authorized stock repurchase amount under the Repurchase Program, bringing the aggregate amount authorized to be repurchased to $7.25 billion of our outstanding common stock. In February 2024, our board of directors approved an extension of the Repurchase Program to February 28, 2025. As of February 23, 2024, approximately $1.03 billion remained available for future share repurchases.</w:t>
      </w:r>
    </w:p>
    <w:p>
      <w:pPr>
        <w:spacing w:after="0" w:line="193" w:lineRule="exact"/>
        <w:rPr>
          <w:sz w:val="20"/>
          <w:szCs w:val="20"/>
          <w:color w:val="auto"/>
        </w:rPr>
      </w:pPr>
    </w:p>
    <w:p>
      <w:pPr>
        <w:jc w:val="both"/>
        <w:ind w:right="320" w:firstLine="648"/>
        <w:spacing w:after="0" w:line="245" w:lineRule="auto"/>
        <w:rPr>
          <w:sz w:val="20"/>
          <w:szCs w:val="20"/>
          <w:color w:val="auto"/>
        </w:rPr>
      </w:pPr>
      <w:r>
        <w:rPr>
          <w:rFonts w:ascii="Times New Roman" w:cs="Times New Roman" w:eastAsia="Times New Roman" w:hAnsi="Times New Roman"/>
          <w:sz w:val="18"/>
          <w:szCs w:val="18"/>
          <w:color w:val="auto"/>
        </w:rPr>
        <w:t>In March 2021, we issued $1.0 billion aggregate principal amount of senior notes, consisting of $500.0 million aggregate principal amount of 1.0% notes due March 15, 2026 and $500.0 million aggregate principal amount of 2.2% notes due March 15, 2031, in an underwritten registered public offering. We do not currently intend to retire these senior notes early. Refer to Note 11. Debt in Part II, Item 8 of this Annual Report on Form 10-K for information on the senior notes.</w:t>
      </w:r>
    </w:p>
    <w:p>
      <w:pPr>
        <w:spacing w:after="0" w:line="208"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We expect to continue to increase our data centers, PoPs, office and warehouse capacity to support growth and the expansion of existing services or introduction of new services. As we purchase new properties, we will work to incorporate these properties into the environmental goals we have established. We estimate 2024 capital expenditures to be between $370.0 million and $420.0 million.</w:t>
      </w:r>
    </w:p>
    <w:p>
      <w:pPr>
        <w:spacing w:after="0" w:line="190"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18"/>
          <w:szCs w:val="18"/>
          <w:color w:val="auto"/>
        </w:rPr>
        <w:t>Our principal commitments consist of obligations under our senior notes, inventory purchase and other contractual commitments. As of December 31, 2023, the long-term debt, net of unamortized discount and debt issuance costs, was $992.3 million. $500.0 million in aggregate principal amount of senior notes is due on March 15, 2026 and $500.0 million in aggregate principal amount of senior notes is due on March 15, 2031. In addition, we enter into non-cancellable agreements with contract manufacturers to procure inventory based on our requirements in order to reduce manufacturing lead times, plan for adequate component supply or incentivize suppliers to deliver. In certain instances, these agreements allow us the option to reschedule and adjust our requirements based on our business needs prior to firm orders being placed. In 2023, we have seen supply chain constraints gradually improve as we continued to work with contract manufacturers and component suppliers to decrease and optimize our non-cancellable inventory purchase commitments. Inventory purchase commitments as of December 31, 2023, were $637.3 million, a decrease of $697.7 million compared to $1.34 billion as of December 31, 2022. We estimate payments of $381.5 million due on or before December 31, 2024 related to these commitments. We also have open purchase orders and contractual obligations in the ordinary course of business for which we have not received goods or services. As of December 31, 2023, we had $66.9 million in other contractual commitments having a remaining term in excess of one year that are non-cancelable.</w:t>
      </w:r>
    </w:p>
    <w:p>
      <w:pPr>
        <w:spacing w:after="0" w:line="213"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As of December 31, 2023, our cash, cash equivalents and short-term and long-term investments of $2.44 billion were invested primarily in deposit accounts, commercial paper, corporate debt securities, U.S. government and agency securities, certificates of deposit and term deposits, money market funds, municipal bonds. It is our investment policy to invest excess cash in a manner that preserves capital, provides liquidity and generates return without significantly increasing risk. We do not enter into investments for trading or speculative purposes.</w:t>
      </w:r>
    </w:p>
    <w:p>
      <w:pPr>
        <w:spacing w:after="0" w:line="225"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The amount of cash, cash equivalents and investments held by our international subsidiaries was $199.9 million and $218.1 million as of December 31, 2023 and 2022, respectively.</w:t>
      </w:r>
    </w:p>
    <w:p>
      <w:pPr>
        <w:spacing w:after="0" w:line="175"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auto"/>
        </w:rPr>
        <w:t>We believe that our existing cash and cash equivalents and cash flow from operations will be sufficient for at least the next 12 months to meet our requirements and plans for cash, including meeting our working capital requirements and capital expenditure requirements. In the long term, our ability to support our requirements and plans for cash, including our working capital and capital expenditure requirements will depend on many factors, including our growth rate; the timing and amount of our share repurchases; the expansion of sales and marketing activities, pricing actions, the introduction of new and enhanced products and services offerings; the continuing market acceptance of our products; the timing and extent of spending to support development efforts; our investments in purchasing, developing or leasing real estate; cash tax payments and macroeconomic impacts such as rising inflation and interest rates; the war in Ukraine and the Israel-Hamas war; and instability in the global</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banking system. Historically, we have required capital principally to fund our working capital needs, share repurchases, capital expenditures and acquisition activities. In the event that additional financing is required from outside sources, we may not be able to raise it on terms acceptable to us or at all.</w:t>
      </w:r>
    </w:p>
    <w:p>
      <w:pPr>
        <w:spacing w:after="0" w:line="204" w:lineRule="exact"/>
        <w:rPr>
          <w:sz w:val="20"/>
          <w:szCs w:val="20"/>
          <w:color w:val="auto"/>
        </w:rPr>
      </w:pPr>
    </w:p>
    <w:p>
      <w:pPr>
        <w:jc w:val="both"/>
        <w:ind w:right="320" w:firstLine="648"/>
        <w:spacing w:after="0" w:line="250" w:lineRule="auto"/>
        <w:rPr>
          <w:sz w:val="20"/>
          <w:szCs w:val="20"/>
          <w:color w:val="auto"/>
        </w:rPr>
      </w:pPr>
      <w:r>
        <w:rPr>
          <w:rFonts w:ascii="Times New Roman" w:cs="Times New Roman" w:eastAsia="Times New Roman" w:hAnsi="Times New Roman"/>
          <w:sz w:val="18"/>
          <w:szCs w:val="18"/>
          <w:color w:val="auto"/>
        </w:rPr>
        <w:t>During 2023, 2022 and 2021,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5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Cash generated by operating activities is our primary source of liquidity. It is primarily comprised of net income, as adjusted for non-cash items and changes in operating assets and liabilities. Non-cash adjustments consist primarily of amortization of deferred contract costs, stock-based compensation and depreciation and amortization. Changes in operating assets and liabilities consist primarily of changes in deferred revenue, deferred contract costs, deferred tax assets, inventory and accounts receivable—net.</w:t>
      </w:r>
    </w:p>
    <w:p>
      <w:pPr>
        <w:spacing w:after="0" w:line="191" w:lineRule="exact"/>
        <w:rPr>
          <w:sz w:val="20"/>
          <w:szCs w:val="20"/>
          <w:color w:val="auto"/>
        </w:rPr>
      </w:pPr>
    </w:p>
    <w:p>
      <w:pPr>
        <w:ind w:right="180" w:firstLine="648"/>
        <w:spacing w:after="0" w:line="238" w:lineRule="auto"/>
        <w:rPr>
          <w:sz w:val="20"/>
          <w:szCs w:val="20"/>
          <w:color w:val="auto"/>
        </w:rPr>
      </w:pPr>
      <w:r>
        <w:rPr>
          <w:rFonts w:ascii="Times New Roman" w:cs="Times New Roman" w:eastAsia="Times New Roman" w:hAnsi="Times New Roman"/>
          <w:sz w:val="18"/>
          <w:szCs w:val="18"/>
          <w:color w:val="auto"/>
        </w:rPr>
        <w:t>Our operating activities during 2023 provided cash flows of $1.94 billion as a result of the continued growth of our business, improved profitability and our ability to successfully manage our working capital. Changes in operating assets and liabilities primarily resulted from an increase in sales of our security subscription services and technical support services to new and existing customers, as reflected by an increase of $1.10 billion in our deferred revenue during 2023. In addition, changes in operating assets and liabilities were driven by an increase of $353.5 million in deferred contract costs, an increase of $301.9 million in deferred tax assets, an increase of $253.5 million in inventory and an increase of $146.4 million in accounts receivable—net.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43"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The changes in cash flows from investing activities primarily relate to timing of purchases, maturities and sales of investments, purchases of property and equipment, investments in various companies and business acquisitions. Historically, in making a lease-versus-ownership decision related to warehouse, office or data center space, we have considered various factors including financial metrics, expected long-term growth rates, time to market and changes in asset values. In certain cases, we have elected to own a facility if we believe that purchasing or developing buildings rather than leasing is more closely aligned with our long-term strategy. We expect to make similar decisions in the future. We may also make cash payments in connection with future business combinations.</w:t>
      </w:r>
    </w:p>
    <w:p>
      <w:pPr>
        <w:spacing w:after="0" w:line="224"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During 2023, cash used in investing activities was $649.3 million, primarily driven by $437.0 million spent for purchases of investments, net of maturities and sales of investments, $204.1 million used for the purchases of property and equipment, and $8.5 million investment in a privately held company.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43" w:lineRule="exact"/>
        <w:rPr>
          <w:sz w:val="20"/>
          <w:szCs w:val="20"/>
          <w:color w:val="auto"/>
        </w:rPr>
      </w:pPr>
    </w:p>
    <w:p>
      <w:pPr>
        <w:jc w:val="both"/>
        <w:ind w:right="220" w:firstLine="648"/>
        <w:spacing w:after="0" w:line="250" w:lineRule="auto"/>
        <w:rPr>
          <w:sz w:val="20"/>
          <w:szCs w:val="20"/>
          <w:color w:val="auto"/>
        </w:rPr>
      </w:pPr>
      <w:r>
        <w:rPr>
          <w:rFonts w:ascii="Times New Roman" w:cs="Times New Roman" w:eastAsia="Times New Roman" w:hAnsi="Times New Roman"/>
          <w:sz w:val="18"/>
          <w:szCs w:val="18"/>
          <w:color w:val="auto"/>
        </w:rPr>
        <w:t>The changes in cash flows from financing activities primarily relate to repurchase and retirement of common stock, and taxes paid related to net share settlement of equity awards, net of proceeds from the issuance of common stock under our Amended and Restated 2009 Equity Incentive Plan (the “2009 EIP”).</w:t>
      </w:r>
    </w:p>
    <w:p>
      <w:pPr>
        <w:spacing w:after="0" w:line="217"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During 2023, cash used in financing activities was $1.57 billion, primarily driven by $1.50 billion used to repurchase shares of our common stock and $68.7 million used to pay tax withholding, net of proceeds from the issuance of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Refer to Note 1 of the notes to our consolidated financial statements in Part II, Item 8 of this Annual Report on Form 10-K for a full description of recently adopted accounting pronouncements.</w:t>
      </w:r>
    </w:p>
    <w:p>
      <w:pPr>
        <w:spacing w:after="0" w:line="18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and Interest Rate Fluctuation Risk</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exposed to interest rate risks related to our investment portfolio and outstanding debt.</w:t>
      </w:r>
    </w:p>
    <w:p>
      <w:pPr>
        <w:spacing w:after="0" w:line="25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primary objectives of our investment activities are to preserve principal, provide liquidity and maximize income without significantly increasing risk. Some of the securities we invest in are subject to market risk. This means that a change in prevailing interest rates may cause the principal amount of the investment to fluctuate. To minimize this risk, we maintain our</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portfolio of cash, cash equivalents, investments and marketable equity securities in a variety of securities, including commercial paper, corporate debt securities, U.S. government and agency securities, certificates of deposit and term deposits, money market funds, municipal bonds and marketable equity securities. The risk associated with fluctuating interest rates is limited to our investment portfolio. A 10% decrease in interest rates would have resulted in a decrease of $12.0 million in our interest income in 2023, and would have resulted in an insignificant decrease in our interest income in 2022 and 2021</w:t>
      </w:r>
    </w:p>
    <w:p>
      <w:pPr>
        <w:spacing w:after="0" w:line="20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On March 5, 2021, we issued $1.0 billion aggregate principal amount of senior notes, consisting of $500.0 million aggregate principal amount of 1.0% notes due March 15, 2026 and $500.0 million aggregate principal amount of 2.2% notes due March 15, 2031. We carry the senior notes at face value less unamortized discount on our consolidated balance sheets. As the senior notes bear interest at a fixed rate, we have no financial statement risk associated with changes in interest rates. Refer to Note 11. Debt in Part II, Item 8 of this Annual Report on Form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5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sales contracts are primarily denominated in U.S. dollars and therefore substantially all of our revenue is not subject to foreign currency translation risk. However, a substantial portion of our operating expenses incurred outside the United States are denominated in foreign currencies and are subject to fluctuations due to changes in foreign currency exchange rates, particularly changes in the Euro (“EUR”), the Canadian dollar (“CAD”), the British pound (“GBP”) and the Japanese yen (“JPY”). To help protect against significant fluctuations in value and the volatility of future cash flows caused by changes in currency exchange rates, we engage in foreign currency risk management activities to minimize the impact of balance sheet items denominated in CAD. We do not use these contracts for speculative or trading purposes. All of the derivative instruments are with high quality financial institutions and we monitor the credit worthiness of these parties. These contracts typically have a maturity of one month and settle on the last day of each month. We record changes in the fair value of forward exchange contracts related to balance sheet accounts in other expense—net in the consolidated statements of income. We recognized an expense of $7.0 million in 2023 due to foreign currency transaction losses.</w:t>
      </w:r>
    </w:p>
    <w:p>
      <w:pPr>
        <w:spacing w:after="0" w:line="21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use of forward exchange contracts is intended to reduce, but not eliminate, the impact of currency exchange rate movements. Our forward exchange contracts are relatively short-term in nature and are focused on the CAD. Long-term material changes in the value of the U.S. dollar against other foreign currencies, such as the EUR, GBP and JPY could adversely impact our operating expenses in the future. We assessed the risk of loss in fair values from the impact of hypothetical changes in foreign currency exchange rates. For foreign currency exchange rate risk, a 10% increase or decrease of foreign currency exchange rates against the U.S. dollar with all other variables held constant would have resulted in a $14.2 million change in the value of our foreign currency cash balances as of December 31, 2023.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25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Our monetary assets, consisting primarily of cash, cash equivalents and short-term investments, are not affected significantly by inflation because they are predominantly short-term. We believe the impact of inflation on replacement costs of equipment, furniture and leasehold improvements will not materially affect our operations. The rate of inflation, however, affects our cost of revenue and expenses, such as those for employee compensation, which may not be readily recoverable in the price of products and services offered by us.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66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42"/>
        </w:trPr>
        <w:tc>
          <w:tcPr>
            <w:tcW w:w="105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No.34)</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69</w:t>
            </w:r>
          </w:p>
        </w:tc>
        <w:tc>
          <w:tcPr>
            <w:tcW w:w="20" w:type="dxa"/>
            <w:vAlign w:val="bottom"/>
          </w:tcPr>
          <w:p>
            <w:pPr>
              <w:spacing w:after="0"/>
              <w:rPr>
                <w:sz w:val="24"/>
                <w:szCs w:val="24"/>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2023 and 2022</w:t>
            </w:r>
          </w:p>
        </w:tc>
        <w:tc>
          <w:tcPr>
            <w:tcW w:w="5880" w:type="dxa"/>
            <w:vAlign w:val="bottom"/>
            <w:gridSpan w:val="5"/>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71</w:t>
            </w:r>
          </w:p>
        </w:tc>
        <w:tc>
          <w:tcPr>
            <w:tcW w:w="20" w:type="dxa"/>
            <w:vAlign w:val="bottom"/>
          </w:tcPr>
          <w:p>
            <w:pPr>
              <w:spacing w:after="0"/>
              <w:rPr>
                <w:sz w:val="18"/>
                <w:szCs w:val="18"/>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5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Income for the years ended December 31, 2023, 2022 and 2021</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72</w:t>
            </w:r>
          </w:p>
        </w:tc>
        <w:tc>
          <w:tcPr>
            <w:tcW w:w="20" w:type="dxa"/>
            <w:vAlign w:val="bottom"/>
          </w:tcPr>
          <w:p>
            <w:pPr>
              <w:spacing w:after="0"/>
              <w:rPr>
                <w:sz w:val="18"/>
                <w:szCs w:val="18"/>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77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for the years ended December 31, 2023, 2022 and 2021</w:t>
            </w:r>
          </w:p>
        </w:tc>
        <w:tc>
          <w:tcPr>
            <w:tcW w:w="27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73</w:t>
            </w:r>
          </w:p>
        </w:tc>
        <w:tc>
          <w:tcPr>
            <w:tcW w:w="20" w:type="dxa"/>
            <w:vAlign w:val="bottom"/>
          </w:tcPr>
          <w:p>
            <w:pPr>
              <w:spacing w:after="0"/>
              <w:rPr>
                <w:sz w:val="18"/>
                <w:szCs w:val="18"/>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72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Equity (Deficit) for the years ended December 31, 2023, 2022 and 2021</w:t>
            </w:r>
          </w:p>
        </w:tc>
        <w:tc>
          <w:tcPr>
            <w:tcW w:w="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74</w:t>
            </w:r>
          </w:p>
        </w:tc>
        <w:tc>
          <w:tcPr>
            <w:tcW w:w="20" w:type="dxa"/>
            <w:vAlign w:val="bottom"/>
          </w:tcPr>
          <w:p>
            <w:pPr>
              <w:spacing w:after="0"/>
              <w:rPr>
                <w:sz w:val="18"/>
                <w:szCs w:val="18"/>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9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2023, 2022 and 2021</w:t>
            </w:r>
          </w:p>
        </w:tc>
        <w:tc>
          <w:tcPr>
            <w:tcW w:w="300" w:type="dxa"/>
            <w:vAlign w:val="bottom"/>
          </w:tcPr>
          <w:p>
            <w:pPr>
              <w:spacing w:after="0"/>
              <w:rPr>
                <w:sz w:val="18"/>
                <w:szCs w:val="18"/>
                <w:color w:val="auto"/>
              </w:rPr>
            </w:pPr>
          </w:p>
        </w:tc>
        <w:tc>
          <w:tcPr>
            <w:tcW w:w="3320" w:type="dxa"/>
            <w:vAlign w:val="bottom"/>
            <w:gridSpan w:val="2"/>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75</w:t>
            </w:r>
          </w:p>
        </w:tc>
        <w:tc>
          <w:tcPr>
            <w:tcW w:w="20" w:type="dxa"/>
            <w:vAlign w:val="bottom"/>
          </w:tcPr>
          <w:p>
            <w:pPr>
              <w:spacing w:after="0"/>
              <w:rPr>
                <w:sz w:val="18"/>
                <w:szCs w:val="18"/>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760" w:type="dxa"/>
            <w:vAlign w:val="bottom"/>
            <w:gridSpan w:val="4"/>
          </w:tcPr>
          <w:p>
            <w:pPr>
              <w:spacing w:after="0"/>
              <w:rPr>
                <w:sz w:val="18"/>
                <w:szCs w:val="18"/>
                <w:color w:val="auto"/>
              </w:rPr>
            </w:pPr>
          </w:p>
        </w:tc>
        <w:tc>
          <w:tcPr>
            <w:tcW w:w="3620" w:type="dxa"/>
            <w:vAlign w:val="bottom"/>
            <w:gridSpan w:val="3"/>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76</w:t>
            </w:r>
          </w:p>
        </w:tc>
        <w:tc>
          <w:tcPr>
            <w:tcW w:w="20" w:type="dxa"/>
            <w:vAlign w:val="bottom"/>
          </w:tcPr>
          <w:p>
            <w:pPr>
              <w:spacing w:after="0"/>
              <w:rPr>
                <w:sz w:val="18"/>
                <w:szCs w:val="18"/>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Fortinet,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Fortinet, Inc. and subsidiaries (the “Company”) as of December 31, 2023 and 2022, the related consolidated statements of income, comprehensive income, equity (deficit),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1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23, 2024, expressed an unqualified opinion on the Company’s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 Refer to Notes 1 and 12 to the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60"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The Company is involved in disputes, litigation, and other legal actions in the normal course of business. Claims from third parties may result in a requirement to pay substantial damages. The Company accrues for a loss contingency if a loss is probable, and the amount of the loss can be reasonably estimated. These accruals are generally based on a range of possible outcomes that require significant management judgement.</w:t>
      </w:r>
    </w:p>
    <w:p>
      <w:pPr>
        <w:spacing w:after="0" w:line="13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Given the inherent uncertainty of the outcome of current matters, auditing litigation contingencies required a high degree of auditor judgment and an increased extent of effort when performing audit procedures.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litigation contingencies included the following, among others:</w:t>
      </w:r>
    </w:p>
    <w:p>
      <w:pPr>
        <w:spacing w:after="0" w:line="171" w:lineRule="exact"/>
        <w:rPr>
          <w:sz w:val="20"/>
          <w:szCs w:val="20"/>
          <w:color w:val="auto"/>
        </w:rPr>
      </w:pPr>
    </w:p>
    <w:p>
      <w:pPr>
        <w:ind w:left="240" w:hanging="232"/>
        <w:spacing w:after="0"/>
        <w:tabs>
          <w:tab w:leader="none" w:pos="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management’s litigation contingency accrual analysis and assessment of matters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24"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with potential impact.</w:t>
      </w:r>
    </w:p>
    <w:p>
      <w:pPr>
        <w:spacing w:after="0" w:line="171" w:lineRule="exact"/>
        <w:rPr>
          <w:sz w:val="20"/>
          <w:szCs w:val="20"/>
          <w:color w:val="auto"/>
        </w:rPr>
      </w:pPr>
    </w:p>
    <w:p>
      <w:pPr>
        <w:ind w:left="260" w:right="260" w:hanging="252"/>
        <w:spacing w:after="0" w:line="282" w:lineRule="auto"/>
        <w:tabs>
          <w:tab w:leader="none" w:pos="2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and evaluated legal letters from internal and external legal counsel, and we discussed the pending litigation matters with internal legal counsel.</w:t>
      </w:r>
    </w:p>
    <w:p>
      <w:pPr>
        <w:spacing w:after="0" w:line="10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made inquiries with management to obtain an understanding of litigation matters that the Company is currently undergoing.</w:t>
      </w:r>
    </w:p>
    <w:p>
      <w:pPr>
        <w:spacing w:after="0" w:line="17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read available court documents for litigation matters to search for contradictory information.</w:t>
      </w:r>
    </w:p>
    <w:p>
      <w:pPr>
        <w:spacing w:after="0" w:line="17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read Board of Directors meeting minutes to search for contradictory information.</w:t>
      </w:r>
    </w:p>
    <w:p>
      <w:pPr>
        <w:spacing w:after="0" w:line="171" w:lineRule="exact"/>
        <w:rPr>
          <w:rFonts w:ascii="Times New Roman" w:cs="Times New Roman" w:eastAsia="Times New Roman" w:hAnsi="Times New Roman"/>
          <w:sz w:val="18"/>
          <w:szCs w:val="18"/>
          <w:color w:val="auto"/>
        </w:rPr>
      </w:pPr>
    </w:p>
    <w:p>
      <w:pPr>
        <w:ind w:left="260" w:hanging="252"/>
        <w:spacing w:after="0" w:line="282" w:lineRule="auto"/>
        <w:tabs>
          <w:tab w:leader="none" w:pos="2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assumptions used by the Company to estimate the litigation contingency, including corroborating the assumptions with internal legal counsel.</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DELOITTE &amp; TOUCHE LLP</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00" w:lineRule="exact"/>
        <w:rPr>
          <w:sz w:val="20"/>
          <w:szCs w:val="20"/>
          <w:color w:val="auto"/>
        </w:rPr>
      </w:pPr>
    </w:p>
    <w:p>
      <w:pPr>
        <w:spacing w:after="0" w:line="36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8" w:right="4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6"/>
                <w:szCs w:val="16"/>
                <w:color w:val="auto"/>
              </w:rPr>
            </w:pPr>
          </w:p>
        </w:tc>
        <w:tc>
          <w:tcPr>
            <w:tcW w:w="132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0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1,682.9</w:t>
            </w:r>
          </w:p>
        </w:tc>
      </w:tr>
      <w:tr>
        <w:trPr>
          <w:trHeight w:val="229"/>
        </w:trPr>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502.6</w:t>
            </w:r>
          </w:p>
        </w:tc>
      </w:tr>
      <w:tr>
        <w:trPr>
          <w:trHeight w:val="230"/>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175"/>
        </w:trPr>
        <w:tc>
          <w:tcPr>
            <w:tcW w:w="806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Accounts receivable—Net of allowance for credit losses of $8.2 million and $3.6 million at December</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3"/>
        </w:trPr>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31, 2023 and 2022, respectively</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1,261.7</w:t>
            </w:r>
          </w:p>
        </w:tc>
      </w:tr>
      <w:tr>
        <w:trPr>
          <w:trHeight w:val="229"/>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w:t>
            </w:r>
          </w:p>
        </w:tc>
      </w:tr>
      <w:tr>
        <w:trPr>
          <w:trHeight w:val="230"/>
        </w:trPr>
        <w:tc>
          <w:tcPr>
            <w:tcW w:w="80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w:t>
            </w:r>
          </w:p>
        </w:tc>
      </w:tr>
      <w:tr>
        <w:trPr>
          <w:trHeight w:val="223"/>
        </w:trPr>
        <w:tc>
          <w:tcPr>
            <w:tcW w:w="8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3,810.4</w:t>
            </w:r>
          </w:p>
        </w:tc>
      </w:tr>
      <w:tr>
        <w:trPr>
          <w:trHeight w:val="229"/>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8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30"/>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EQUIPMENT—NET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898.5</w:t>
            </w:r>
          </w:p>
        </w:tc>
      </w:tr>
      <w:tr>
        <w:trPr>
          <w:trHeight w:val="229"/>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DEFERRED CONTRACT COSTS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518.2</w:t>
            </w:r>
          </w:p>
        </w:tc>
      </w:tr>
      <w:tr>
        <w:trPr>
          <w:trHeight w:val="230"/>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569.4</w:t>
            </w:r>
          </w:p>
        </w:tc>
      </w:tr>
      <w:tr>
        <w:trPr>
          <w:trHeight w:val="229"/>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r>
      <w:tr>
        <w:trPr>
          <w:trHeight w:val="229"/>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ASSETS—NET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30"/>
        </w:trPr>
        <w:tc>
          <w:tcPr>
            <w:tcW w:w="8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r>
      <w:tr>
        <w:trPr>
          <w:trHeight w:val="248"/>
        </w:trPr>
        <w:tc>
          <w:tcPr>
            <w:tcW w:w="8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6,228.0</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8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20" w:type="dxa"/>
            <w:vAlign w:val="bottom"/>
          </w:tcPr>
          <w:p>
            <w:pPr>
              <w:spacing w:after="0"/>
              <w:rPr>
                <w:sz w:val="8"/>
                <w:szCs w:val="8"/>
                <w:color w:val="auto"/>
              </w:rPr>
            </w:pPr>
          </w:p>
        </w:tc>
      </w:tr>
      <w:tr>
        <w:trPr>
          <w:trHeight w:val="230"/>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w:t>
            </w:r>
          </w:p>
        </w:tc>
      </w:tr>
      <w:tr>
        <w:trPr>
          <w:trHeight w:val="230"/>
        </w:trPr>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w:t>
            </w:r>
          </w:p>
        </w:tc>
      </w:tr>
      <w:tr>
        <w:trPr>
          <w:trHeight w:val="230"/>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Accrued payroll and compensation</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w:t>
            </w:r>
          </w:p>
        </w:tc>
      </w:tr>
      <w:tr>
        <w:trPr>
          <w:trHeight w:val="229"/>
        </w:trPr>
        <w:tc>
          <w:tcPr>
            <w:tcW w:w="80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2,848.7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2,349.3</w:t>
            </w:r>
          </w:p>
        </w:tc>
      </w:tr>
      <w:tr>
        <w:trPr>
          <w:trHeight w:val="223"/>
        </w:trPr>
        <w:tc>
          <w:tcPr>
            <w:tcW w:w="8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3,078.4</w:t>
            </w:r>
          </w:p>
        </w:tc>
      </w:tr>
      <w:tr>
        <w:trPr>
          <w:trHeight w:val="230"/>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2,291.0</w:t>
            </w:r>
          </w:p>
        </w:tc>
      </w:tr>
      <w:tr>
        <w:trPr>
          <w:trHeight w:val="230"/>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990.4</w:t>
            </w:r>
          </w:p>
        </w:tc>
      </w:tr>
      <w:tr>
        <w:trPr>
          <w:trHeight w:val="230"/>
        </w:trPr>
        <w:tc>
          <w:tcPr>
            <w:tcW w:w="8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w:t>
            </w:r>
          </w:p>
        </w:tc>
      </w:tr>
      <w:tr>
        <w:trPr>
          <w:trHeight w:val="223"/>
        </w:trPr>
        <w:tc>
          <w:tcPr>
            <w:tcW w:w="8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7,722.3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6,509.6</w:t>
            </w:r>
          </w:p>
        </w:tc>
      </w:tr>
      <w:tr>
        <w:trPr>
          <w:trHeight w:val="210"/>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176"/>
        </w:trPr>
        <w:tc>
          <w:tcPr>
            <w:tcW w:w="806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Common stock, $0.001 par value—1,500.0 shares authorized; 761.0 shares and 781.5 shares issued and</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3"/>
        </w:trPr>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outstanding at December 31, 2023 and 2022, respectively</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1,284.2</w:t>
            </w:r>
          </w:p>
        </w:tc>
      </w:tr>
      <w:tr>
        <w:trPr>
          <w:trHeight w:val="229"/>
        </w:trPr>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30"/>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(1,546.4)</w:t>
            </w:r>
          </w:p>
        </w:tc>
      </w:tr>
      <w:tr>
        <w:trPr>
          <w:trHeight w:val="223"/>
        </w:trPr>
        <w:tc>
          <w:tcPr>
            <w:tcW w:w="806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(281.6)</w:t>
            </w:r>
          </w:p>
        </w:tc>
      </w:tr>
      <w:tr>
        <w:trPr>
          <w:trHeight w:val="248"/>
        </w:trPr>
        <w:tc>
          <w:tcPr>
            <w:tcW w:w="8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6,228.0</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0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4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54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1140" w:type="dxa"/>
            <w:vAlign w:val="bottom"/>
          </w:tcPr>
          <w:p>
            <w:pPr>
              <w:jc w:val="right"/>
              <w:ind w:right="93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1,927.3</w:t>
            </w:r>
          </w:p>
        </w:tc>
        <w:tc>
          <w:tcPr>
            <w:tcW w:w="10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1,780.5</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1,255.0</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1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2,087.2</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revenue</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5,304.8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4,417.4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3,342.2</w:t>
            </w: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1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cost of revenue</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783.0</w:t>
            </w: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767.3</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1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1,791.9</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gross profit</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4,067.6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3,332.5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2,559.2</w:t>
            </w:r>
          </w:p>
        </w:tc>
        <w:tc>
          <w:tcPr>
            <w:tcW w:w="0" w:type="dxa"/>
            <w:vAlign w:val="bottom"/>
          </w:tcPr>
          <w:p>
            <w:pPr>
              <w:spacing w:after="0"/>
              <w:rPr>
                <w:sz w:val="1"/>
                <w:szCs w:val="1"/>
                <w:color w:val="auto"/>
              </w:rPr>
            </w:pPr>
          </w:p>
        </w:tc>
      </w:tr>
      <w:tr>
        <w:trPr>
          <w:trHeight w:val="20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Sales and marketing</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1,345.7</w:t>
            </w:r>
          </w:p>
        </w:tc>
        <w:tc>
          <w:tcPr>
            <w:tcW w:w="0" w:type="dxa"/>
            <w:vAlign w:val="bottom"/>
          </w:tcPr>
          <w:p>
            <w:pPr>
              <w:spacing w:after="0"/>
              <w:rPr>
                <w:sz w:val="1"/>
                <w:szCs w:val="1"/>
                <w:color w:val="auto"/>
              </w:rPr>
            </w:pPr>
          </w:p>
        </w:tc>
      </w:tr>
      <w:tr>
        <w:trPr>
          <w:trHeight w:val="229"/>
        </w:trPr>
        <w:tc>
          <w:tcPr>
            <w:tcW w:w="5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Gain on intellectual property matter</w:t>
            </w:r>
          </w:p>
        </w:tc>
        <w:tc>
          <w:tcPr>
            <w:tcW w:w="1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2,826.5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1,908.8</w:t>
            </w: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650.4</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EXPENSE—NET</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155"/>
        </w:trPr>
        <w:tc>
          <w:tcPr>
            <w:tcW w:w="55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INCOME BEFORE INCOME TAXES AND LOSS FROM EQUITY</w:t>
            </w:r>
          </w:p>
        </w:tc>
        <w:tc>
          <w:tcPr>
            <w:tcW w:w="1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 INVESTMENTS</w:t>
            </w:r>
          </w:p>
        </w:tc>
        <w:tc>
          <w:tcPr>
            <w:tcW w:w="1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955.5</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INVESTMENTS</w:t>
            </w:r>
          </w:p>
        </w:tc>
        <w:tc>
          <w:tcPr>
            <w:tcW w:w="1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INCLUDING NON-CONTROLLING INTERESTS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606.7</w:t>
            </w:r>
          </w:p>
        </w:tc>
        <w:tc>
          <w:tcPr>
            <w:tcW w:w="0" w:type="dxa"/>
            <w:vAlign w:val="bottom"/>
          </w:tcPr>
          <w:p>
            <w:pPr>
              <w:spacing w:after="0"/>
              <w:rPr>
                <w:sz w:val="1"/>
                <w:szCs w:val="1"/>
                <w:color w:val="auto"/>
              </w:rPr>
            </w:pPr>
          </w:p>
        </w:tc>
      </w:tr>
      <w:tr>
        <w:trPr>
          <w:trHeight w:val="175"/>
        </w:trPr>
        <w:tc>
          <w:tcPr>
            <w:tcW w:w="55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NET LOSS ATTRIBUTABLE TO NON-CONTROLLING</w:t>
            </w:r>
          </w:p>
        </w:tc>
        <w:tc>
          <w:tcPr>
            <w:tcW w:w="1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INTERESTS, NET OF TAX</w:t>
            </w:r>
          </w:p>
        </w:tc>
        <w:tc>
          <w:tcPr>
            <w:tcW w:w="1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FORTINET, INC.</w:t>
            </w:r>
          </w:p>
        </w:tc>
        <w:tc>
          <w:tcPr>
            <w:tcW w:w="1140" w:type="dxa"/>
            <w:vAlign w:val="bottom"/>
            <w:tcBorders>
              <w:top w:val="single" w:sz="8" w:color="auto"/>
              <w:bottom w:val="single" w:sz="8" w:color="auto"/>
            </w:tcBorders>
          </w:tcPr>
          <w:p>
            <w:pPr>
              <w:jc w:val="right"/>
              <w:ind w:right="93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1,147.8</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857.3</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606.8</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share attributable to Fortinet, Inc. (Note 9):</w:t>
            </w:r>
          </w:p>
        </w:tc>
        <w:tc>
          <w:tcPr>
            <w:tcW w:w="1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Basic</w:t>
            </w:r>
          </w:p>
        </w:tc>
        <w:tc>
          <w:tcPr>
            <w:tcW w:w="114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5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Diluted</w:t>
            </w:r>
          </w:p>
        </w:tc>
        <w:tc>
          <w:tcPr>
            <w:tcW w:w="1140" w:type="dxa"/>
            <w:vAlign w:val="bottom"/>
            <w:tcBorders>
              <w:bottom w:val="single" w:sz="8" w:color="auto"/>
            </w:tcBorders>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Weighted-average shares used to compute net income per share attributable</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5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Fortinet, Inc.:</w:t>
            </w: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55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Basic</w:t>
            </w:r>
          </w:p>
        </w:tc>
        <w:tc>
          <w:tcPr>
            <w:tcW w:w="11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816.1</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40" w:type="dxa"/>
            <w:vAlign w:val="bottom"/>
          </w:tcPr>
          <w:p>
            <w:pPr>
              <w:ind w:left="48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1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788.2</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805.3</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835.3</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63"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11"/>
        </w:trPr>
        <w:tc>
          <w:tcPr>
            <w:tcW w:w="69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including non-controlling interests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606.7</w:t>
            </w: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6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foreign currency translation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6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unrealized gains (losses) on investments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6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tax provision (benefit) related to items of other comprehensive income (loss)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including non-controlling interests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600.2</w:t>
            </w: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interests</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8"/>
        </w:trPr>
        <w:tc>
          <w:tcPr>
            <w:tcW w:w="6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Fortinet, Inc.</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601.3</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04"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CONSOLIDATED STATEMENTS OF EQUITY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16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2"/>
                <w:szCs w:val="2"/>
                <w:color w:val="auto"/>
              </w:rPr>
            </w:pPr>
          </w:p>
        </w:tc>
        <w:tc>
          <w:tcPr>
            <w:tcW w:w="66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77"/>
        </w:trPr>
        <w:tc>
          <w:tcPr>
            <w:tcW w:w="5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080" w:type="dxa"/>
            <w:vAlign w:val="bottom"/>
          </w:tcPr>
          <w:p>
            <w:pPr>
              <w:spacing w:after="0"/>
              <w:rPr>
                <w:sz w:val="12"/>
                <w:szCs w:val="12"/>
                <w:color w:val="auto"/>
              </w:rPr>
            </w:pPr>
          </w:p>
        </w:tc>
        <w:tc>
          <w:tcPr>
            <w:tcW w:w="8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74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60" w:type="dxa"/>
            <w:vAlign w:val="bottom"/>
            <w:gridSpan w:val="3"/>
            <w:vMerge w:val="continue"/>
          </w:tcPr>
          <w:p>
            <w:pPr>
              <w:spacing w:after="0"/>
              <w:rPr>
                <w:sz w:val="12"/>
                <w:szCs w:val="12"/>
                <w:color w:val="auto"/>
              </w:rPr>
            </w:pPr>
          </w:p>
        </w:tc>
        <w:tc>
          <w:tcPr>
            <w:tcW w:w="84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00" w:type="dxa"/>
            <w:vAlign w:val="bottom"/>
          </w:tcPr>
          <w:p>
            <w:pPr>
              <w:spacing w:after="0"/>
              <w:rPr>
                <w:sz w:val="12"/>
                <w:szCs w:val="12"/>
                <w:color w:val="auto"/>
              </w:rPr>
            </w:pPr>
          </w:p>
        </w:tc>
        <w:tc>
          <w:tcPr>
            <w:tcW w:w="66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8"/>
        </w:trPr>
        <w:tc>
          <w:tcPr>
            <w:tcW w:w="50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7"/>
                <w:szCs w:val="17"/>
                <w:color w:val="auto"/>
              </w:rPr>
            </w:pPr>
          </w:p>
        </w:tc>
        <w:tc>
          <w:tcPr>
            <w:tcW w:w="6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1"/>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BALANCE—December 31, 2020</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1,206.6</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856.0</w:t>
            </w:r>
          </w:p>
        </w:tc>
        <w:tc>
          <w:tcPr>
            <w:tcW w:w="0" w:type="dxa"/>
            <w:vAlign w:val="bottom"/>
          </w:tcPr>
          <w:p>
            <w:pPr>
              <w:spacing w:after="0"/>
              <w:rPr>
                <w:sz w:val="1"/>
                <w:szCs w:val="1"/>
                <w:color w:val="auto"/>
              </w:rPr>
            </w:pPr>
          </w:p>
        </w:tc>
      </w:tr>
      <w:tr>
        <w:trPr>
          <w:trHeight w:val="139"/>
        </w:trPr>
        <w:tc>
          <w:tcPr>
            <w:tcW w:w="508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Issuance of common stock in connection with equity incentive plans - net of tax</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(141.7)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(141.7)</w:t>
            </w:r>
          </w:p>
        </w:tc>
        <w:tc>
          <w:tcPr>
            <w:tcW w:w="0" w:type="dxa"/>
            <w:vAlign w:val="bottom"/>
          </w:tcPr>
          <w:p>
            <w:pPr>
              <w:spacing w:after="0"/>
              <w:rPr>
                <w:sz w:val="1"/>
                <w:szCs w:val="1"/>
                <w:color w:val="auto"/>
              </w:rPr>
            </w:pPr>
          </w:p>
        </w:tc>
      </w:tr>
      <w:tr>
        <w:trPr>
          <w:trHeight w:val="193"/>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withholding</w:t>
            </w: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Repurchase and retirement of common stock</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(741.8)</w:t>
            </w:r>
          </w:p>
        </w:tc>
        <w:tc>
          <w:tcPr>
            <w:tcW w:w="0" w:type="dxa"/>
            <w:vAlign w:val="bottom"/>
          </w:tcPr>
          <w:p>
            <w:pPr>
              <w:spacing w:after="0"/>
              <w:rPr>
                <w:sz w:val="1"/>
                <w:szCs w:val="1"/>
                <w:color w:val="auto"/>
              </w:rPr>
            </w:pPr>
          </w:p>
        </w:tc>
      </w:tr>
      <w:tr>
        <w:trPr>
          <w:trHeight w:val="195"/>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207.9</w:t>
            </w: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Recognition of non-controlling interests upon business combination</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195"/>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unrealized loss on investments - net of tax</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606.8</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606.7</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BALANCE—December 31, 2021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798.4</w:t>
            </w:r>
          </w:p>
        </w:tc>
        <w:tc>
          <w:tcPr>
            <w:tcW w:w="0" w:type="dxa"/>
            <w:vAlign w:val="bottom"/>
          </w:tcPr>
          <w:p>
            <w:pPr>
              <w:spacing w:after="0"/>
              <w:rPr>
                <w:sz w:val="1"/>
                <w:szCs w:val="1"/>
                <w:color w:val="auto"/>
              </w:rPr>
            </w:pPr>
          </w:p>
        </w:tc>
      </w:tr>
      <w:tr>
        <w:trPr>
          <w:trHeight w:val="139"/>
        </w:trPr>
        <w:tc>
          <w:tcPr>
            <w:tcW w:w="508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Issuance of common stock in connection with equity incentive plans - net of tax</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(134.7)</w:t>
            </w:r>
          </w:p>
        </w:tc>
        <w:tc>
          <w:tcPr>
            <w:tcW w:w="0" w:type="dxa"/>
            <w:vAlign w:val="bottom"/>
          </w:tcPr>
          <w:p>
            <w:pPr>
              <w:spacing w:after="0"/>
              <w:rPr>
                <w:sz w:val="1"/>
                <w:szCs w:val="1"/>
                <w:color w:val="auto"/>
              </w:rPr>
            </w:pPr>
          </w:p>
        </w:tc>
      </w:tr>
      <w:tr>
        <w:trPr>
          <w:trHeight w:val="193"/>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withholding</w:t>
            </w: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Repurchase and retirement of common stock</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(1,991.2)</w:t>
            </w:r>
          </w:p>
        </w:tc>
        <w:tc>
          <w:tcPr>
            <w:tcW w:w="0" w:type="dxa"/>
            <w:vAlign w:val="bottom"/>
          </w:tcPr>
          <w:p>
            <w:pPr>
              <w:spacing w:after="0"/>
              <w:rPr>
                <w:sz w:val="1"/>
                <w:szCs w:val="1"/>
                <w:color w:val="auto"/>
              </w:rPr>
            </w:pPr>
          </w:p>
        </w:tc>
      </w:tr>
      <w:tr>
        <w:trPr>
          <w:trHeight w:val="195"/>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217.3</w:t>
            </w: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Acquisition of the non-controlling interests</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195"/>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unrealized loss on investments - net of tax</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196"/>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857.3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856.6</w:t>
            </w:r>
          </w:p>
        </w:tc>
        <w:tc>
          <w:tcPr>
            <w:tcW w:w="0" w:type="dxa"/>
            <w:vAlign w:val="bottom"/>
          </w:tcPr>
          <w:p>
            <w:pPr>
              <w:spacing w:after="0"/>
              <w:rPr>
                <w:sz w:val="1"/>
                <w:szCs w:val="1"/>
                <w:color w:val="auto"/>
              </w:rPr>
            </w:pPr>
          </w:p>
        </w:tc>
      </w:tr>
      <w:tr>
        <w:trPr>
          <w:trHeight w:val="203"/>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BALANCE—December 31, 2022</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1,284.2</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(1,546.4)</w:t>
            </w: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(281.6)</w:t>
            </w:r>
          </w:p>
        </w:tc>
        <w:tc>
          <w:tcPr>
            <w:tcW w:w="0" w:type="dxa"/>
            <w:vAlign w:val="bottom"/>
          </w:tcPr>
          <w:p>
            <w:pPr>
              <w:spacing w:after="0"/>
              <w:rPr>
                <w:sz w:val="1"/>
                <w:szCs w:val="1"/>
                <w:color w:val="auto"/>
              </w:rPr>
            </w:pPr>
          </w:p>
        </w:tc>
      </w:tr>
      <w:tr>
        <w:trPr>
          <w:trHeight w:val="139"/>
        </w:trPr>
        <w:tc>
          <w:tcPr>
            <w:tcW w:w="508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Issuance of common stock in connection with equity incentive plans - net of tax</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0" w:type="dxa"/>
            <w:vAlign w:val="bottom"/>
          </w:tcPr>
          <w:p>
            <w:pPr>
              <w:spacing w:after="0"/>
              <w:rPr>
                <w:sz w:val="1"/>
                <w:szCs w:val="1"/>
                <w:color w:val="auto"/>
              </w:rPr>
            </w:pPr>
          </w:p>
        </w:tc>
      </w:tr>
      <w:tr>
        <w:trPr>
          <w:trHeight w:val="193"/>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withholding</w:t>
            </w: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Repurchase and retirement of common stock</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(1,500.5)</w:t>
            </w:r>
          </w:p>
        </w:tc>
        <w:tc>
          <w:tcPr>
            <w:tcW w:w="0" w:type="dxa"/>
            <w:vAlign w:val="bottom"/>
          </w:tcPr>
          <w:p>
            <w:pPr>
              <w:spacing w:after="0"/>
              <w:rPr>
                <w:sz w:val="1"/>
                <w:szCs w:val="1"/>
                <w:color w:val="auto"/>
              </w:rPr>
            </w:pPr>
          </w:p>
        </w:tc>
      </w:tr>
      <w:tr>
        <w:trPr>
          <w:trHeight w:val="195"/>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Excise tax on net stock repurchases</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w:t>
            </w:r>
          </w:p>
        </w:tc>
        <w:tc>
          <w:tcPr>
            <w:tcW w:w="0" w:type="dxa"/>
            <w:vAlign w:val="bottom"/>
          </w:tcPr>
          <w:p>
            <w:pPr>
              <w:spacing w:after="0"/>
              <w:rPr>
                <w:sz w:val="1"/>
                <w:szCs w:val="1"/>
                <w:color w:val="auto"/>
              </w:rPr>
            </w:pPr>
          </w:p>
        </w:tc>
      </w:tr>
      <w:tr>
        <w:trPr>
          <w:trHeight w:val="195"/>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unrealized gain on investments - net of tax</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96"/>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1,147.8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1,147.8</w:t>
            </w:r>
          </w:p>
        </w:tc>
        <w:tc>
          <w:tcPr>
            <w:tcW w:w="0" w:type="dxa"/>
            <w:vAlign w:val="bottom"/>
          </w:tcPr>
          <w:p>
            <w:pPr>
              <w:spacing w:after="0"/>
              <w:rPr>
                <w:sz w:val="1"/>
                <w:szCs w:val="1"/>
                <w:color w:val="auto"/>
              </w:rPr>
            </w:pPr>
          </w:p>
        </w:tc>
      </w:tr>
      <w:tr>
        <w:trPr>
          <w:trHeight w:val="228"/>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BALANCE—December 31, 2023</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(1,861.7)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(463.4)</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61"/>
        </w:trPr>
        <w:tc>
          <w:tcPr>
            <w:tcW w:w="704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4"/>
        </w:trPr>
        <w:tc>
          <w:tcPr>
            <w:tcW w:w="4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6020" w:type="dxa"/>
            <w:vAlign w:val="bottom"/>
          </w:tcPr>
          <w:p>
            <w:pPr>
              <w:jc w:val="center"/>
              <w:ind w:left="3128"/>
              <w:spacing w:after="0"/>
              <w:rPr>
                <w:sz w:val="20"/>
                <w:szCs w:val="20"/>
                <w:color w:val="auto"/>
              </w:rPr>
            </w:pPr>
            <w:r>
              <w:rPr>
                <w:rFonts w:ascii="Times New Roman" w:cs="Times New Roman" w:eastAsia="Times New Roman" w:hAnsi="Times New Roman"/>
                <w:sz w:val="14"/>
                <w:szCs w:val="14"/>
                <w:b w:val="1"/>
                <w:bCs w:val="1"/>
                <w:color w:val="auto"/>
              </w:rPr>
              <w:t>FORTINET, INC.</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420" w:type="dxa"/>
            <w:vAlign w:val="bottom"/>
            <w:gridSpan w:val="2"/>
          </w:tcPr>
          <w:p>
            <w:pPr>
              <w:jc w:val="center"/>
              <w:ind w:left="2728"/>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20" w:type="dxa"/>
            <w:vAlign w:val="bottom"/>
          </w:tcPr>
          <w:p>
            <w:pPr>
              <w:jc w:val="center"/>
              <w:ind w:left="312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60" w:type="dxa"/>
            <w:vAlign w:val="bottom"/>
            <w:gridSpan w:val="6"/>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60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70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Net income including non-controlling interests</w:t>
            </w: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1,147.8</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856.6</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606.7</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70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70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Stock-based compensation</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217.3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207.9</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70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Amortization of deferred contract costs</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175.9</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70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104.3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70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Amortization of investment premiums (discounts)</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70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Loss from equity method investments</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68.1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70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Other</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70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Changes in operating assets and liabilities, net of impact of business combinations:</w:t>
            </w: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Accounts receivable—net</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Inventory</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Deferred contract costs</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(294.5)</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Deferred tax assets</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Other assets</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Accounts payable</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105.2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Accrued liabilities</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Accrued payroll and compensation</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Other liabilities</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Deferred revenue</w:t>
            </w: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1,177.5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839.4</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2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1,935.5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1,730.6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1,499.7</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70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Purchases of investments</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(1,855.8)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(2,308.0)</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70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Sales of investments</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70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Maturities of investments</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1,414.8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1,462.0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1,470.3</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70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(295.9)</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70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Purchases of Investments in privately held companies</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70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Payments made in connection with business combinations, net of cash acquired</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70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Purchases of marketable equity securities</w:t>
            </w:r>
          </w:p>
        </w:tc>
        <w:tc>
          <w:tcPr>
            <w:tcW w:w="4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70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Other</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2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4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(649.3)</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763.9</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(1,325.1)</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70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Proceeds from long-term borrowings, net of discount and underwriting fees</w:t>
            </w:r>
          </w:p>
        </w:tc>
        <w:tc>
          <w:tcPr>
            <w:tcW w:w="4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989.4</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70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Payments for debt issuance costs</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70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Payments of debt assumed in connection with business combination</w:t>
            </w:r>
          </w:p>
        </w:tc>
        <w:tc>
          <w:tcPr>
            <w:tcW w:w="4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70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Repurchase and retirement of common stock</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(741.8)</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70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70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00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4"/>
                <w:szCs w:val="14"/>
                <w:color w:val="auto"/>
              </w:rPr>
              <w:t>Other</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4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(1,570.4)</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(2,130.3)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363.8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257.3</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CASH AND CASH EQUIVALENTS—Beginning of year</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1,682.9</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1,319.1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1,061.8</w:t>
            </w: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EQUIVALENTS—End of year</w:t>
            </w: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1,397.9</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1,682.9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1,319.1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 w:type="dxa"/>
            <w:vAlign w:val="bottom"/>
          </w:tcPr>
          <w:p>
            <w:pPr>
              <w:spacing w:after="0"/>
              <w:rPr>
                <w:sz w:val="12"/>
                <w:szCs w:val="12"/>
                <w:color w:val="auto"/>
              </w:rPr>
            </w:pPr>
          </w:p>
        </w:tc>
        <w:tc>
          <w:tcPr>
            <w:tcW w:w="700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19"/>
                <w:szCs w:val="19"/>
                <w:color w:val="auto"/>
              </w:rPr>
            </w:pPr>
          </w:p>
        </w:tc>
        <w:tc>
          <w:tcPr>
            <w:tcW w:w="700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Cash paid for income taxes—net</w:t>
            </w: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260.2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0" w:type="dxa"/>
            <w:vAlign w:val="bottom"/>
            <w:tcBorders>
              <w:top w:val="single" w:sz="8" w:color="CCEEFF"/>
              <w:bottom w:val="single" w:sz="8" w:color="CCEEFF"/>
            </w:tcBorders>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Operating lease liabilities arising from obtaining right-of-use assets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0" w:type="dxa"/>
            <w:vAlign w:val="bottom"/>
          </w:tcPr>
          <w:p>
            <w:pPr>
              <w:spacing w:after="0"/>
              <w:rPr>
                <w:sz w:val="13"/>
                <w:szCs w:val="13"/>
                <w:color w:val="auto"/>
              </w:rPr>
            </w:pPr>
          </w:p>
        </w:tc>
        <w:tc>
          <w:tcPr>
            <w:tcW w:w="7000" w:type="dxa"/>
            <w:vAlign w:val="bottom"/>
            <w:gridSpan w:val="2"/>
            <w:vMerge w:val="continue"/>
          </w:tcPr>
          <w:p>
            <w:pPr>
              <w:spacing w:after="0"/>
              <w:rPr>
                <w:sz w:val="13"/>
                <w:szCs w:val="13"/>
                <w:color w:val="auto"/>
              </w:rPr>
            </w:pPr>
          </w:p>
        </w:tc>
        <w:tc>
          <w:tcPr>
            <w:tcW w:w="400" w:type="dxa"/>
            <w:vAlign w:val="bottom"/>
            <w:tcBorders>
              <w:bottom w:val="single" w:sz="8" w:color="auto"/>
            </w:tcBorders>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19.2</w:t>
            </w:r>
          </w:p>
        </w:tc>
        <w:tc>
          <w:tcPr>
            <w:tcW w:w="120" w:type="dxa"/>
            <w:vAlign w:val="bottom"/>
          </w:tcPr>
          <w:p>
            <w:pPr>
              <w:spacing w:after="0"/>
              <w:rPr>
                <w:sz w:val="13"/>
                <w:szCs w:val="13"/>
                <w:color w:val="auto"/>
              </w:rPr>
            </w:pPr>
          </w:p>
        </w:tc>
        <w:tc>
          <w:tcPr>
            <w:tcW w:w="280" w:type="dxa"/>
            <w:vAlign w:val="bottom"/>
            <w:tcBorders>
              <w:bottom w:val="single" w:sz="8" w:color="auto"/>
            </w:tcBorders>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65.8</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39.6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60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0" w:type="dxa"/>
            <w:vAlign w:val="bottom"/>
          </w:tcPr>
          <w:p>
            <w:pPr>
              <w:spacing w:after="0"/>
              <w:rPr>
                <w:sz w:val="14"/>
                <w:szCs w:val="14"/>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70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Transfers of evaluation units from inventory to property and equipment</w:t>
            </w: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60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 w:type="dxa"/>
            <w:vAlign w:val="bottom"/>
          </w:tcPr>
          <w:p>
            <w:pPr>
              <w:spacing w:after="0"/>
              <w:rPr>
                <w:sz w:val="18"/>
                <w:szCs w:val="18"/>
                <w:color w:val="auto"/>
              </w:rPr>
            </w:pPr>
          </w:p>
        </w:tc>
        <w:tc>
          <w:tcPr>
            <w:tcW w:w="700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Liability for purchase of property and equipment</w:t>
            </w: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70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Excise tax payable on net stock repurchases</w:t>
            </w:r>
          </w:p>
        </w:tc>
        <w:tc>
          <w:tcPr>
            <w:tcW w:w="40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2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60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 w:type="dxa"/>
            <w:vAlign w:val="bottom"/>
          </w:tcPr>
          <w:p>
            <w:pPr>
              <w:spacing w:after="0"/>
              <w:rPr>
                <w:sz w:val="18"/>
                <w:szCs w:val="18"/>
                <w:color w:val="auto"/>
              </w:rPr>
            </w:pPr>
          </w:p>
        </w:tc>
        <w:tc>
          <w:tcPr>
            <w:tcW w:w="700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Liability incurred in connection with business combinations</w:t>
            </w: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220"/>
          </w:cols>
          <w:pgMar w:left="320" w:top="114" w:right="3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60" w:hanging="352"/>
        <w:spacing w:after="0"/>
        <w:tabs>
          <w:tab w:leader="none" w:pos="3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COMPANY AND SUMMARY OF SIGNIFICANT ACCOUNTING POLICIES</w:t>
      </w:r>
    </w:p>
    <w:p>
      <w:pPr>
        <w:spacing w:after="0" w:line="252" w:lineRule="exact"/>
        <w:rPr>
          <w:sz w:val="20"/>
          <w:szCs w:val="20"/>
          <w:color w:val="auto"/>
        </w:rPr>
      </w:pPr>
    </w:p>
    <w:p>
      <w:pPr>
        <w:ind w:right="18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—Fortinet, Inc. (“Fortinet”) was incorporated in Delaware in 2000 and is a global leader in broad, integrated and automated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cybersecurity solutions. Fortinet provides high performance cybersecurity solutions to a wide variety of businesses, such as large enterprises, communication service providers, government organizations and small to medium-sized enterprises. Fortinet’s cybersecurity solutions are designed to provide broad visibility and segmentation of the digital attack surface, through our integrated cybersecurity platform (the “Fortinet Security Fabric”) with automated protection, detection and response.</w:t>
      </w:r>
    </w:p>
    <w:p>
      <w:pPr>
        <w:spacing w:after="0" w:line="210"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amounts previously reported as Income tax liabilities are included in Other liabilities. Prior periods have been reclassified to conform with current period presentation.</w:t>
      </w:r>
    </w:p>
    <w:p>
      <w:pPr>
        <w:spacing w:after="0" w:line="17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Basis of Presentation and Preparation</w:t>
      </w:r>
      <w:r>
        <w:rPr>
          <w:rFonts w:ascii="Times New Roman" w:cs="Times New Roman" w:eastAsia="Times New Roman" w:hAnsi="Times New Roman"/>
          <w:sz w:val="18"/>
          <w:szCs w:val="18"/>
          <w:color w:val="auto"/>
        </w:rPr>
        <w:t>—The consolidated financial statements of Fortinet and its subsidiaries (collectively, “we,” “us”, or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been prepared in accordance with generally accepted accounting principles in the United States (“GAAP”). We consolidate all legal entities in which we have an absolute controlling financial interest. All intercompany transactions and balances have been eliminated in consolidation.</w:t>
      </w:r>
    </w:p>
    <w:p>
      <w:pPr>
        <w:spacing w:after="0" w:line="212"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b w:val="1"/>
          <w:bCs w:val="1"/>
          <w:color w:val="auto"/>
        </w:rPr>
        <w:t>Use of Estimates</w:t>
      </w:r>
      <w:r>
        <w:rPr>
          <w:rFonts w:ascii="Times New Roman" w:cs="Times New Roman" w:eastAsia="Times New Roman" w:hAnsi="Times New Roman"/>
          <w:sz w:val="18"/>
          <w:szCs w:val="18"/>
          <w:color w:val="auto"/>
        </w:rPr>
        <w:t>—The preparation of consolidated financial statements in accordance with GAAP requires management to make estimates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assumptions that affect the amounts reported in the consolidated financial statements and accompanying notes. Such management estimates include, but are not limited to, the determination of contingent liabilities, the determination of our ability to exercise control or significant influence over our investees, the evaluation of the equity method investments for OTTI, the standalone selling price for our products and services, the period of benefit for deferred contract costs for commissions, stock-based compensation, inventory valuation and liability for non-cancellable inventory purchase commitments with contract manufacturers and component suppliers, the fair value of tangible and intangible assets acquired and liabilities assumed in business combinations, the measurement of liabilities for uncertain tax positions and deferred tax assets and liabilities, the assessment of recoverability of our goodwill and other long-lived assets, measurement of non-marketable equity securities and the determination of sales returns reserves. We base our estimates on historical experience and also on assumptions that we believe are reasonable. Actual results could differ materially from those estimates.</w:t>
      </w:r>
    </w:p>
    <w:p>
      <w:pPr>
        <w:spacing w:after="0" w:line="220" w:lineRule="exact"/>
        <w:rPr>
          <w:sz w:val="20"/>
          <w:szCs w:val="20"/>
          <w:color w:val="auto"/>
        </w:rPr>
      </w:pPr>
    </w:p>
    <w:p>
      <w:pPr>
        <w:jc w:val="both"/>
        <w:ind w:right="8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Concentration Risk</w:t>
      </w:r>
      <w:r>
        <w:rPr>
          <w:rFonts w:ascii="Times New Roman" w:cs="Times New Roman" w:eastAsia="Times New Roman" w:hAnsi="Times New Roman"/>
          <w:sz w:val="18"/>
          <w:szCs w:val="18"/>
          <w:color w:val="auto"/>
        </w:rPr>
        <w:t>—Financial instruments that subject us to concentrations of credit risk consist primarily of cash, cash equivalents, short-term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long-term investments, marketable equity securities and accounts receivable. Our cash balances are maintained as deposits with various large financial institutions in the United States and around the world. Balances in the United States typically exceed the amount of insurance provided on such deposits.</w:t>
      </w:r>
    </w:p>
    <w:p>
      <w:pPr>
        <w:jc w:val="both"/>
        <w:ind w:right="200"/>
        <w:spacing w:after="0" w:line="290" w:lineRule="auto"/>
        <w:rPr>
          <w:sz w:val="20"/>
          <w:szCs w:val="20"/>
          <w:color w:val="auto"/>
        </w:rPr>
      </w:pPr>
      <w:r>
        <w:rPr>
          <w:rFonts w:ascii="Times New Roman" w:cs="Times New Roman" w:eastAsia="Times New Roman" w:hAnsi="Times New Roman"/>
          <w:sz w:val="17"/>
          <w:szCs w:val="17"/>
          <w:color w:val="auto"/>
        </w:rPr>
        <w:t>We maintain our cash equivalents and investments in money market funds, corporate debt securities, U.S. government and agency securities, commercial paper, certificates of deposit and term deposits and municipal bonds with major financial institutions that our management believes are financially sound.</w:t>
      </w:r>
    </w:p>
    <w:p>
      <w:pPr>
        <w:spacing w:after="0" w:line="184"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accounts receivable are derived from our customers in various geographic locations. We perform ongoing credit evaluations of our customers. We generally do not require collateral on accounts receivable, and we maintain reserves for estimated credit losses. See Note 16. Segment Information for distributor customers that accounted for 10% or more of our revenue or net accounts receivable.</w:t>
      </w:r>
    </w:p>
    <w:p>
      <w:pPr>
        <w:spacing w:after="0" w:line="20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rely on a small number of manufacturing partners, with over 95% of manufacturing in Taiwan and U.S., to manufacture our products, and some of the chips and other components of our products used by the contract manufacturers are available from limited or sole sources of supply. Our proprietary Application-Specific Integrated Circuits are built by contract manufacturers located in Japan and Taiwan; other integrated circuits are provided by other chip manufacturers.</w:t>
      </w:r>
    </w:p>
    <w:p>
      <w:pPr>
        <w:spacing w:after="0" w:line="203"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Financial Instruments and Fair Value</w:t>
      </w:r>
      <w:r>
        <w:rPr>
          <w:rFonts w:ascii="Times New Roman" w:cs="Times New Roman" w:eastAsia="Times New Roman" w:hAnsi="Times New Roman"/>
          <w:sz w:val="18"/>
          <w:szCs w:val="18"/>
          <w:color w:val="auto"/>
        </w:rPr>
        <w:t>—We define fair value as the price that would be received from selling an asset, or paid to transfer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liability, in an orderly transaction between market participants at the measurement date. When determining the fair value measurements for assets and liabilities which are required to be recorded at fair value, we consider the principal or most advantageous market in which to transact and the market-based risk. We apply fair value accounting for all financial assets and liabilities and non-financial assets and liabilities that are recognized or disclosed at fair value in the financial statements on a recurring basis. Due to their short-term nature, the carrying amounts reported in the consolidated financial statements approximate the fair value for cash and cash equivalents, accounts receivable, accounts payable, accrued liabilities, and accrued payroll and compensation.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right="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Comprehensive Income</w:t>
      </w:r>
      <w:r>
        <w:rPr>
          <w:rFonts w:ascii="Times New Roman" w:cs="Times New Roman" w:eastAsia="Times New Roman" w:hAnsi="Times New Roman"/>
          <w:sz w:val="18"/>
          <w:szCs w:val="18"/>
          <w:color w:val="auto"/>
        </w:rPr>
        <w:t>—Comprehensive income includes certain changes in equity from non-owner sources that are excluded from net income,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specifically, cumulative foreign currency translation adjustments, unrealized gains and losses on available-for-sale investments and the related tax impacts.</w:t>
      </w:r>
    </w:p>
    <w:p>
      <w:pPr>
        <w:spacing w:after="0" w:line="182"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Foreign Currency and Transaction Gains and Losses</w:t>
      </w:r>
      <w:r>
        <w:rPr>
          <w:rFonts w:ascii="Times New Roman" w:cs="Times New Roman" w:eastAsia="Times New Roman" w:hAnsi="Times New Roman"/>
          <w:sz w:val="18"/>
          <w:szCs w:val="18"/>
          <w:color w:val="auto"/>
        </w:rPr>
        <w:t>—The functional currency for most of our foreign subsidiaries is the U.S. dollar. For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international subsidiary whose functional currency is the local currency, we translate the financial statements of this subsidiary to U.S. dollars using the exchange rates in effect at the balance sheet dates for assets and liabilities, and average monthly exchange rates for revenues, costs, and expenses. We record translation gains and losses in accumulated other comprehensive income as a component of equity (deficit). We reflect net foreign exchange transaction gains and losses resulting from the conversion of the transaction currency to functional currency as a component of foreign currency exchange gain (loss) in other expense—net. We recognized a foreign currency loss of $7.0 million, $4.6 million and $8.2 million in other expense—net, for 2023, 2022, and 2021, respectively.</w:t>
      </w:r>
    </w:p>
    <w:p>
      <w:pPr>
        <w:spacing w:after="0" w:line="210"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Cash and Cash Equivalents</w:t>
      </w:r>
      <w:r>
        <w:rPr>
          <w:rFonts w:ascii="Times New Roman" w:cs="Times New Roman" w:eastAsia="Times New Roman" w:hAnsi="Times New Roman"/>
          <w:sz w:val="18"/>
          <w:szCs w:val="18"/>
          <w:color w:val="auto"/>
        </w:rPr>
        <w:t>—We consider all highly liquid investments, purchased with original maturities of three months or less, to be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equivalents. Cash and cash equivalents consist of balances with banks and highly liquid investments in commercial paper, corporate debt, U.S. government and agency securities, term deposits and money market funds.</w:t>
      </w:r>
    </w:p>
    <w:p>
      <w:pPr>
        <w:spacing w:after="0" w:line="184" w:lineRule="exact"/>
        <w:rPr>
          <w:sz w:val="20"/>
          <w:szCs w:val="20"/>
          <w:color w:val="auto"/>
        </w:rPr>
      </w:pPr>
    </w:p>
    <w:p>
      <w:pPr>
        <w:ind w:firstLine="648"/>
        <w:spacing w:after="0" w:line="231" w:lineRule="auto"/>
        <w:rPr>
          <w:sz w:val="20"/>
          <w:szCs w:val="20"/>
          <w:color w:val="auto"/>
        </w:rPr>
      </w:pPr>
      <w:r>
        <w:rPr>
          <w:rFonts w:ascii="Times New Roman" w:cs="Times New Roman" w:eastAsia="Times New Roman" w:hAnsi="Times New Roman"/>
          <w:sz w:val="18"/>
          <w:szCs w:val="18"/>
          <w:b w:val="1"/>
          <w:bCs w:val="1"/>
          <w:color w:val="auto"/>
        </w:rPr>
        <w:t>Available-for-Sale Investments</w:t>
      </w:r>
      <w:r>
        <w:rPr>
          <w:rFonts w:ascii="Times New Roman" w:cs="Times New Roman" w:eastAsia="Times New Roman" w:hAnsi="Times New Roman"/>
          <w:sz w:val="18"/>
          <w:szCs w:val="18"/>
          <w:color w:val="auto"/>
        </w:rPr>
        <w:t>—We hold investment grade securities consisting of corporate debt securities, U.S. government and agency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commercial paper, certificates of deposit and term deposits and municipal bonds that our management believes are financially sound. We classify our investments as available-for-sale (“AFS”) at the time of purchase, since it is our intent that these investments are available for current operations. Investments with original maturities greater than three months with a remaining maturity of less than one year from the consolidated balance sheet date are classified as short-term investments. Investments with remaining maturities greater than one year from the consolidated balance sheet date are classified as long-term investments.</w:t>
      </w:r>
    </w:p>
    <w:p>
      <w:pPr>
        <w:spacing w:after="0" w:line="22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Our AFS investments in debt securities are carried at estimated fair value with any unrealized gains and losses, net of taxes, included in accumulated other comprehensive income (loss) in the consolidated statements of equity (deficit). AFS debt securities with an amortized cost basis in excess of estimated fair value are assessed to determine what amount of that difference, if any, is caused by expected credit losses. An investment is impaired if the fair value of the investment is less than its cost. If the fair value of an investment is less than its amortized cost basis at the balance sheet date and if we do not intend to sell the investment, we consider available evidence to assess whether it is more likely than not that we will be required to sell the investment before the recovery of its amortized cost basis. We consult with our investment managers and consider available quantitative and qualitative evidence in evaluating, among other factors, general market conditions, the duration and extent to which the fair value is less than cost, and our ability to hold the investment. Once an impairment is determined to be attributable to credit-related factors, allowance for credit losses (i.e., the credit loss component) on AFS debt securities is recognized as credit loss expense, a charge in other expense—net, on our consolidated statements of income, and any remaining unrealized losses (i.e., the non-credit loss component), net of taxes, are included in accumulated other comprehensive income (loss) on our consolidated statements of equity (deficit).</w:t>
      </w:r>
    </w:p>
    <w:p>
      <w:pPr>
        <w:spacing w:after="0" w:line="21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consider whether unrealized losses have resulted from a credit loss or other factors. The unrealized losses on our AFS debt securities as of December 31, 2023, 2022 and 2021 were caused by fluctuations in market value and interest rates as a result of the market conditions. We concluded that an allowance for credit losses was unnecessary as of December 31, 2023, 2022 and 2021 because (i) the decline in market value was attributable to changes in market conditions and not credit quality, and (ii) we concluded that neither do we intend to sell nor is it more likely than not that we will be required to sell these investments prior to recovery of their amortized cost basis. As a result, we had no credit losses recorded for the years ended December 31, 2023, 2022 and 2021.</w:t>
      </w:r>
    </w:p>
    <w:p>
      <w:pPr>
        <w:spacing w:after="0" w:line="214"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We determine realized gains or losses on sale of AFS debt securities using the specific identification method to determine the cost basis of investments sold and record such gains or losses as other expense—net on the consolidated statements of income. We have elected to not record an allowance for credit losses for accrued interest for AFS investments in debt securities and will reverse the accrued interest against interest income in the period in which we determine the accrued interest to be uncollectible.</w:t>
      </w:r>
    </w:p>
    <w:p>
      <w:pPr>
        <w:spacing w:after="0" w:line="189"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b w:val="1"/>
          <w:bCs w:val="1"/>
          <w:color w:val="auto"/>
        </w:rPr>
        <w:t>Marketable Equity Securities</w:t>
      </w:r>
      <w:r>
        <w:rPr>
          <w:rFonts w:ascii="Times New Roman" w:cs="Times New Roman" w:eastAsia="Times New Roman" w:hAnsi="Times New Roman"/>
          <w:sz w:val="18"/>
          <w:szCs w:val="18"/>
          <w:color w:val="auto"/>
        </w:rPr>
        <w:t>—Our marketable equity investments with readily determinable fair values are accounted for at fair value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income. Realized gains and losses as well as changes in fair value of these securities are recognized and reported in other expense—net, and are determined using the specific identification method.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Investments in privately held companies</w:t>
      </w:r>
      <w:r>
        <w:rPr>
          <w:rFonts w:ascii="Times New Roman" w:cs="Times New Roman" w:eastAsia="Times New Roman" w:hAnsi="Times New Roman"/>
          <w:sz w:val="18"/>
          <w:szCs w:val="18"/>
          <w:color w:val="auto"/>
        </w:rPr>
        <w:t>—Our investments in privately held companies consist of investments in common stock or in-substance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Our equity method investments provide us with the ability to exercise significant influence over the investees, but not an absolute controlling financial interest. These investments are accounted for under the equity method of accounting and were initially recorded at cost. Subsequently, we recognize our proportionate share of the entity’s net loss, the amortization of any basis differences, as well as any OTTI as gain or loss from these equity method investments in the consolidated statements of income and as an adjustment to the investment balance. We record our proportionate share of the results of these equity method investments on a three-month lag basis. We evaluate if there are material transactions or events that occur during the intervening period that materially affect the financial position or results of operations. As of December 31, 2023, we had two equity method investments, including our investment in Linksys. As of December 31, 2022, our investment in Linksys was our only equity method investment. As of December 31, 2023 and 2022, our equity method investments were recorded in other assets. Our remaining investments in privately held companies are recorded at cost and as of December 31, 2023 and 2022 were not material.</w:t>
      </w:r>
    </w:p>
    <w:p>
      <w:pPr>
        <w:spacing w:after="0" w:line="216" w:lineRule="exact"/>
        <w:rPr>
          <w:sz w:val="20"/>
          <w:szCs w:val="20"/>
          <w:color w:val="auto"/>
        </w:rPr>
      </w:pPr>
    </w:p>
    <w:p>
      <w:pPr>
        <w:ind w:right="100" w:firstLine="648"/>
        <w:spacing w:after="0" w:line="277" w:lineRule="auto"/>
        <w:rPr>
          <w:sz w:val="20"/>
          <w:szCs w:val="20"/>
          <w:color w:val="auto"/>
        </w:rPr>
      </w:pPr>
      <w:r>
        <w:rPr>
          <w:rFonts w:ascii="Times New Roman" w:cs="Times New Roman" w:eastAsia="Times New Roman" w:hAnsi="Times New Roman"/>
          <w:sz w:val="17"/>
          <w:szCs w:val="17"/>
          <w:color w:val="auto"/>
        </w:rPr>
        <w:t>We evaluate our equity method investments at the end of each reporting period to determine whether events or changes in business circumstances indicate that the carrying value of the investments may not be recoverable. Evidence of a loss in value might include, but would not necessarily be limited to, absence of an ability to recover the carrying amount of the investments or inability of the investee to sustain an earnings capacity that would justify the carrying amount of the investments. This evaluation consists of several qualitative and quantitative factors including recent financial results, projected financial results and operating trends of the investees and other publicly available information that may affect the value of our investments.</w:t>
      </w:r>
    </w:p>
    <w:p>
      <w:pPr>
        <w:spacing w:after="0" w:line="191"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Accounts receivable</w:t>
      </w:r>
      <w:r>
        <w:rPr>
          <w:rFonts w:ascii="Times New Roman" w:cs="Times New Roman" w:eastAsia="Times New Roman" w:hAnsi="Times New Roman"/>
          <w:sz w:val="18"/>
          <w:szCs w:val="18"/>
          <w:color w:val="auto"/>
        </w:rPr>
        <w:t>—Trade accounts receivable are recorded at the invoiced amount. Our accounts receivable balance is reduced by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allowance for expected credit losses. We measure expected credit losses of accounts receivable on a collective (pooled) basis, aggregating accounts receivable that are either current or no more than 60 days past due, and aggregating accounts receivable that are more than 60 days past due. We apply a credit-loss percentage to each of the pools that is based on our historical credit losses. We review whether each of our significant accounts receivable that is more than 60 days past due continues to exhibit similar risk characteristics with the other accounts receivable in the pool. If we determine that it does not, we evaluate it for expected credit losses on an individual basis.</w:t>
      </w:r>
    </w:p>
    <w:p>
      <w:pPr>
        <w:spacing w:after="0" w:line="21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further consider collectability trends for the allowance for credit losses based on our assessment of various factors, including credit quality of our customers, current economic conditions, reasonable and supportable forecasts of future economic conditions, and other factors that may affect our ability to collect from our customers. Expected credit losses are recorded as general and administrative expenses on our consolidated statements of income. The allowance for credit losses was $8.2 million and $3.6 million as of December 31, 2023 and 2022, respectively. Provisions, write-offs and recoveries were not material during the years ended December 31, 2023, 2022 and 2021.</w:t>
      </w:r>
    </w:p>
    <w:p>
      <w:pPr>
        <w:spacing w:after="0" w:line="193"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—Inventory is recorded at the lower of cost or net realizable value. Cost is computed using the first-in, first-out method. Inventory costs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comprise primarily of the cost of materials and other component parts as well as capitalized overhead. In assessing the ultimate recoverability of inventory, we make estimates regarding future customer demand, the timing of new product introductions, economic trends and market conditions. A write-down of inventory and a corresponding charge to cost of product revenue is recorded when inventory is determined to be in excess of anticipated demand or considered obsolete. At the point of the write-down loss recognition, a new, lower cost basis for that inventory is established, and subsequent changes in facts and circumstances do not result in the restoration or increase in that newly established cost basis. In addition, we record a liability for non-cancelable inventory purchase commitments with contract manufacturers and suppliers for quantities in excess of our future estimated demand forecasts. The expense related to such accrued liability for inventory purchase commitments is recorded in cost of product revenue on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0" w:firstLine="648"/>
        <w:spacing w:after="0" w:line="269" w:lineRule="auto"/>
        <w:rPr>
          <w:sz w:val="20"/>
          <w:szCs w:val="20"/>
          <w:color w:val="auto"/>
        </w:rPr>
      </w:pPr>
      <w:r>
        <w:rPr>
          <w:rFonts w:ascii="Times New Roman" w:cs="Times New Roman" w:eastAsia="Times New Roman" w:hAnsi="Times New Roman"/>
          <w:sz w:val="18"/>
          <w:szCs w:val="18"/>
          <w:b w:val="1"/>
          <w:bCs w:val="1"/>
          <w:color w:val="auto"/>
        </w:rPr>
        <w:t>Property and Equipment</w:t>
      </w:r>
      <w:r>
        <w:rPr>
          <w:rFonts w:ascii="Times New Roman" w:cs="Times New Roman" w:eastAsia="Times New Roman" w:hAnsi="Times New Roman"/>
          <w:sz w:val="18"/>
          <w:szCs w:val="18"/>
          <w:color w:val="auto"/>
        </w:rPr>
        <w:t>—Property and equipment are stated at cost less accumulated depreciation. We do not depreciate the allocated cost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land. Depreciation is computed using the straight-line method over the estimated useful lives of the assets:</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940" w:type="dxa"/>
            <w:vAlign w:val="bottom"/>
            <w:tcBorders>
              <w:bottom w:val="single" w:sz="8" w:color="CCEEFF"/>
            </w:tcBorders>
          </w:tcPr>
          <w:p>
            <w:pPr>
              <w:spacing w:after="0"/>
              <w:rPr>
                <w:sz w:val="18"/>
                <w:szCs w:val="18"/>
                <w:color w:val="auto"/>
              </w:rPr>
            </w:pPr>
          </w:p>
        </w:tc>
        <w:tc>
          <w:tcPr>
            <w:tcW w:w="326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Estimated Useful Lives</w:t>
            </w:r>
          </w:p>
        </w:tc>
      </w:tr>
      <w:tr>
        <w:trPr>
          <w:trHeight w:val="22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to 40 years</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to 7 years</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Evaluation units</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year</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to 8 years</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Shorter of useful life or lease term</w:t>
            </w:r>
          </w:p>
        </w:tc>
      </w:tr>
    </w:tbl>
    <w:p>
      <w:pPr>
        <w:spacing w:after="0" w:line="288"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b w:val="1"/>
          <w:bCs w:val="1"/>
          <w:color w:val="auto"/>
        </w:rPr>
        <w:t>Business Combinations</w:t>
      </w:r>
      <w:r>
        <w:rPr>
          <w:rFonts w:ascii="Times New Roman" w:cs="Times New Roman" w:eastAsia="Times New Roman" w:hAnsi="Times New Roman"/>
          <w:sz w:val="18"/>
          <w:szCs w:val="18"/>
          <w:color w:val="auto"/>
        </w:rPr>
        <w:t>—We include the results of operations of the businesses that we acquire as of the respective dates of acquisition.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allocate the fair value of the purchase price of our business acquisitions to the tangible and intangible assets acquired and liabilities assumed, based on their estimated fair values. The excess of the purchase price over the fair values of these identifiable assets and liabilities is recorded as goodwill. Our estimates and assumptions are subject to change based on information existing at acquisition date but unknown to us, which may become known during the remainder of the measurement period, not to exceed 12 months from the acquisition date, and if we make changes to the amounts recorded, such amounts are recorded in the period in which they are identified.</w:t>
      </w:r>
    </w:p>
    <w:p>
      <w:pPr>
        <w:spacing w:after="0" w:line="219"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Impairment of Long-Lived Assets</w:t>
      </w:r>
      <w:r>
        <w:rPr>
          <w:rFonts w:ascii="Times New Roman" w:cs="Times New Roman" w:eastAsia="Times New Roman" w:hAnsi="Times New Roman"/>
          <w:sz w:val="18"/>
          <w:szCs w:val="18"/>
          <w:color w:val="auto"/>
        </w:rPr>
        <w:t>—We evaluate events and changes in circumstances that could indicate carrying amounts of long-lived 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intangible assets, may not be recoverable. When such events or changes in circumstances occur, we assess the recoverability of long-lived assets by determining whether the carrying value of such assets will be recovered through undiscounted expected future cash flows. If the total of the future undiscounted cash flows is less than the carrying amount of those assets, we record an impairment charge in the period in which we make the determination. If such assets are considered to be impaired, the impairment to be recognized is measured by the amount by which the carrying amount of the assets exceeds the fair value of the assets. There were no impairments of long-lived assets in 2023, 2022 and 2021.</w:t>
      </w:r>
    </w:p>
    <w:p>
      <w:pPr>
        <w:spacing w:after="0" w:line="20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Goodwill</w:t>
      </w:r>
      <w:r>
        <w:rPr>
          <w:rFonts w:ascii="Times New Roman" w:cs="Times New Roman" w:eastAsia="Times New Roman" w:hAnsi="Times New Roman"/>
          <w:sz w:val="18"/>
          <w:szCs w:val="18"/>
          <w:color w:val="auto"/>
        </w:rPr>
        <w:t>—Goodwill represents the excess of purchase consideration over the estimated fair value of net assets of businesses acquired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combination. Goodwill acquired in a business combination is not amortized, but instead tested for impairment at least annually during the fourth quarter, or sooner when circumstances indicate an impairment may exist. We perform a qualitative assessment in the fourth quarter of each year, or more frequently if indicators of potential impairment exist, to determine if any events or circumstances exist, such as an adverse change in business climate or a decline in the overall industry that would indicate that it would more likely than not reduce the fair value of a reporting unit below its carrying amount, including goodwill. If such evaluation indicates that it is more likely than not that the fair value of a reporting unit is less that its carrying amount, then the quantitative impairment test will be performed. Under the quantitative impairment test, if the carrying amount of a reporting unit exceeds its fair value, any excess is recognized as an impairment loss in goodwill, limited to the total amount of goodwill allocated to that reporting unit.</w:t>
      </w:r>
    </w:p>
    <w:p>
      <w:pPr>
        <w:spacing w:after="0" w:line="216"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We performed our annual goodwill impairment assessment and did not identify any impairment indicators as a result of the review. As of December 31, 2023 and 2022, we had one reporting unit.</w:t>
      </w:r>
    </w:p>
    <w:p>
      <w:pPr>
        <w:spacing w:after="0" w:line="185"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Other Intangible Assets</w:t>
      </w:r>
      <w:r>
        <w:rPr>
          <w:rFonts w:ascii="Times New Roman" w:cs="Times New Roman" w:eastAsia="Times New Roman" w:hAnsi="Times New Roman"/>
          <w:sz w:val="18"/>
          <w:szCs w:val="18"/>
          <w:color w:val="auto"/>
        </w:rPr>
        <w:t>—Intangible assets with finite lives are carried at cost, less accumulated amortization. Amortization is computed using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straight-line or accelerated method over the estimated economic lives of the assets, which range from one to ten years.</w:t>
      </w:r>
    </w:p>
    <w:p>
      <w:pPr>
        <w:spacing w:after="0" w:line="182"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Income Taxes</w:t>
      </w:r>
      <w:r>
        <w:rPr>
          <w:rFonts w:ascii="Times New Roman" w:cs="Times New Roman" w:eastAsia="Times New Roman" w:hAnsi="Times New Roman"/>
          <w:sz w:val="18"/>
          <w:szCs w:val="18"/>
          <w:color w:val="auto"/>
        </w:rPr>
        <w:t>—We record income taxes using the asset and liability method, which requires the recognition of deferred tax assets and liabilities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expected future tax consequences of events that have been recognized in our financial statements or tax returns. In addition, deferred tax assets are recorded for the future benefit of utilizing net operating losses and research and development credit carryforwards. Deferred tax assets and liabilities are measured using the currently enacted tax rates that apply to taxable income in effect for the years in which those tax assets and liabilities are expected to be realized or settled. Valuation allowances are provided when necessary to reduce deferred tax assets to the amount expected to be realized.</w:t>
      </w:r>
    </w:p>
    <w:p>
      <w:pPr>
        <w:spacing w:after="0" w:line="21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taxes in each of the jurisdictions in which we operate. We estimate actual current tax exposure together with assessing temporary differences resulting from differing treatment of items, such as accruals and allowances not currently deductible for tax purposes. These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differences result in deferred tax assets, which are included in our consolidated balance sheets. In general, deferred tax assets represent future tax benefits to be received when certain expenses previously recognized in our consolidated statements of income become deductible expenses under applicable income tax laws, or loss or credit carryforwards are utilized.</w:t>
      </w:r>
    </w:p>
    <w:p>
      <w:pPr>
        <w:spacing w:after="0" w:line="203"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We continue to assess the need for a valuation allowance on the deferred tax assets by evaluating both positive and negative evidence that may exist. Any adjustment to the valuation allowance on deferred tax assets would be recorded in the consolidated statements of income for the period that the adjustment is determined to be required.</w:t>
      </w:r>
    </w:p>
    <w:p>
      <w:pPr>
        <w:spacing w:after="0" w:line="21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recognize tax benefits from an uncertain tax position only if it is more likely than not, based on the technical merits of the position, that the tax position will be sustained on examination by the tax authorities. The tax benefits recognized in the financial statements from such positions are then measured based on the largest benefit that has a greater than 50% likelihood of being realized upon ultimate settlement.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elected to account for the tax effect of the GILTI as a current period expense.</w:t>
      </w:r>
    </w:p>
    <w:p>
      <w:pPr>
        <w:spacing w:after="0" w:line="235" w:lineRule="exact"/>
        <w:rPr>
          <w:sz w:val="20"/>
          <w:szCs w:val="20"/>
          <w:color w:val="auto"/>
        </w:rPr>
      </w:pPr>
    </w:p>
    <w:p>
      <w:pPr>
        <w:jc w:val="both"/>
        <w:ind w:right="40" w:firstLine="648"/>
        <w:spacing w:after="0" w:line="243" w:lineRule="auto"/>
        <w:rPr>
          <w:sz w:val="20"/>
          <w:szCs w:val="20"/>
          <w:color w:val="auto"/>
        </w:rPr>
      </w:pPr>
      <w:r>
        <w:rPr>
          <w:rFonts w:ascii="Times New Roman" w:cs="Times New Roman" w:eastAsia="Times New Roman" w:hAnsi="Times New Roman"/>
          <w:sz w:val="18"/>
          <w:szCs w:val="18"/>
          <w:b w:val="1"/>
          <w:bCs w:val="1"/>
          <w:color w:val="auto"/>
        </w:rPr>
        <w:t>Stock-Based Compensation</w:t>
      </w:r>
      <w:r>
        <w:rPr>
          <w:rFonts w:ascii="Times New Roman" w:cs="Times New Roman" w:eastAsia="Times New Roman" w:hAnsi="Times New Roman"/>
          <w:sz w:val="18"/>
          <w:szCs w:val="18"/>
          <w:color w:val="auto"/>
        </w:rPr>
        <w:t>—The fair value of restricted stock units (“RSUs”) is based on the closing market price of our common stock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of grant. We have elected to use the Black-Scholes-Merton (“Black-Scholes”) pricing model to determine the fair value of our employee stock options and the Monte Carlo simulation pricing model to determine the fair value of our performance stock units (“PSUs”). Stock-based compensation expense of our RSUs and options is amortized on a straight-line basis over the service period and stock-based compensation expense of our PSUs is amortized using a graded vesting method over the vesting period. We account for forfeitures of all stock-based payment awards when they occur.</w:t>
      </w:r>
    </w:p>
    <w:p>
      <w:pPr>
        <w:spacing w:after="0" w:line="221"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Leases</w:t>
      </w:r>
      <w:r>
        <w:rPr>
          <w:rFonts w:ascii="Times New Roman" w:cs="Times New Roman" w:eastAsia="Times New Roman" w:hAnsi="Times New Roman"/>
          <w:sz w:val="18"/>
          <w:szCs w:val="18"/>
          <w:color w:val="auto"/>
        </w:rPr>
        <w:t>—We determine if an arrangement is a lease at inception. We evaluate the classification of leases at commencement and, as necessary,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modification. The right-of-use (“ROU”) assets and the short- and long-term lease liabilities from our operating leases are included in other assets, accrued liabilities and other liabilities in our consolidated balance sheets, respectively. The corresponding assets and, the short- and long-term lease liabilities from our finance leases are included in property and equipment, accrued liabilities and other liabilities in our consolidated balance sheets, respectively.</w:t>
      </w:r>
    </w:p>
    <w:p>
      <w:pPr>
        <w:spacing w:after="0" w:line="20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ROU assets represent our right to use an underlying asset for the lease term. Lease liabilities represent our obligation to make lease payments under the lease. Operating lease ROU assets and liabilities are recognized at the lease commencement date based on the present value of lease payments over the lease term. The implicit rate within our operating leases is generally not determinable and therefore we use our incremental borrowing rate at the lease commencement date to determine the present value of lease payments. The determination of our incremental borrowing rate requires judgment. We determine our incremental borrowing rate for each lease using indicative bank borrowing rates, adjusted for various factors including level of collateralization, term and currency to align with the terms of a lease. The operating lease ROU asset also includes any lease prepayments and initial direct costs, net of lease incentives. Certain leases include options to extend or terminate the lease. An option to extend the lease is considered in connection with determining the ROU asset and lease liability when it is reasonably certain we will exercise that option. An option to terminate is considered unless it is reasonably certain we will not exercise the option.</w:t>
      </w:r>
    </w:p>
    <w:p>
      <w:pPr>
        <w:spacing w:after="0" w:line="215"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do not recognize lease liabilities or ROU assets for short-term leases (leases that, at the commencement date, have a lease term of 12 months or less and do not include an option to purchase the underlying asset that we are reasonably certain to exercise). We do not allocate the contract consideration for operating lease contracts with lease and non-lease components, and account for the lease and non-lease components as a single lease component.</w:t>
      </w:r>
    </w:p>
    <w:p>
      <w:pPr>
        <w:spacing w:after="0" w:line="207" w:lineRule="exact"/>
        <w:rPr>
          <w:sz w:val="20"/>
          <w:szCs w:val="20"/>
          <w:color w:val="auto"/>
        </w:rPr>
      </w:pPr>
    </w:p>
    <w:p>
      <w:pPr>
        <w:jc w:val="both"/>
        <w:ind w:right="120" w:firstLine="648"/>
        <w:spacing w:after="0" w:line="256" w:lineRule="auto"/>
        <w:rPr>
          <w:sz w:val="20"/>
          <w:szCs w:val="20"/>
          <w:color w:val="auto"/>
        </w:rPr>
      </w:pPr>
      <w:r>
        <w:rPr>
          <w:rFonts w:ascii="Times New Roman" w:cs="Times New Roman" w:eastAsia="Times New Roman" w:hAnsi="Times New Roman"/>
          <w:sz w:val="18"/>
          <w:szCs w:val="18"/>
          <w:color w:val="auto"/>
        </w:rPr>
        <w:t>Payments under our lease arrangements are primarily fixed; however, certain lease agreements contain variable payments, which are expensed as incurred and not included in the operating lease ROU assets and liabilities. Variable lease payments primarily include common area maintenance charges, real estate taxes, certain parking expense, utilities based on actual usage, and insurance costs. Lease expense for lease payments for our operating leases is recognized on a straight-line basis over the term of the lease. We begin recognizing rent expense on the date that a lessor makes an underlying asset that is subject to the lease available for our use. For our finance leases, we recognize amortization expense from the amortization of the corresponding assets and interest expense on the related lease liabilities.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Advertising Expense</w:t>
      </w:r>
      <w:r>
        <w:rPr>
          <w:rFonts w:ascii="Times New Roman" w:cs="Times New Roman" w:eastAsia="Times New Roman" w:hAnsi="Times New Roman"/>
          <w:sz w:val="18"/>
          <w:szCs w:val="18"/>
          <w:color w:val="auto"/>
        </w:rPr>
        <w:t>—Advertising costs are expensed when incurred and are included in operating expenses in the accompanying consolidated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of income. Our advertising expenses were not material for any periods presented.</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r>
        <w:rPr>
          <w:rFonts w:ascii="Times New Roman" w:cs="Times New Roman" w:eastAsia="Times New Roman" w:hAnsi="Times New Roman"/>
          <w:sz w:val="18"/>
          <w:szCs w:val="18"/>
          <w:color w:val="auto"/>
        </w:rPr>
        <w:t>—Research and development costs are expensed as incurred.</w:t>
      </w:r>
    </w:p>
    <w:p>
      <w:pPr>
        <w:spacing w:after="0" w:line="252" w:lineRule="exact"/>
        <w:rPr>
          <w:sz w:val="20"/>
          <w:szCs w:val="20"/>
          <w:color w:val="auto"/>
        </w:rPr>
      </w:pPr>
    </w:p>
    <w:p>
      <w:pPr>
        <w:jc w:val="both"/>
        <w:ind w:right="3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Software Development Costs</w:t>
      </w:r>
      <w:r>
        <w:rPr>
          <w:rFonts w:ascii="Times New Roman" w:cs="Times New Roman" w:eastAsia="Times New Roman" w:hAnsi="Times New Roman"/>
          <w:sz w:val="18"/>
          <w:szCs w:val="18"/>
          <w:color w:val="auto"/>
        </w:rPr>
        <w:t>—The costs to develop software that is marketed have not been capitalized as we believe our current software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process is essentially completed concurrently with the establishment of technological feasibility. Such costs are expensed as incurred and included in research and development in our consolidated statements of income.</w:t>
      </w:r>
    </w:p>
    <w:p>
      <w:pPr>
        <w:spacing w:after="0" w:line="202"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costs to develop software for internal use are capitalized based on qualifying criteria. These costs consist of internal compensation related costs and external direct costs incurred during the application development stage. Such costs are amortized over the software’s estimated useful life. Internal use software development costs capitalized were not material for any periods presented.</w:t>
      </w:r>
    </w:p>
    <w:p>
      <w:pPr>
        <w:spacing w:after="0" w:line="131"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17"/>
          <w:szCs w:val="17"/>
          <w:b w:val="1"/>
          <w:bCs w:val="1"/>
          <w:color w:val="auto"/>
        </w:rPr>
        <w:t>Deferred Contract Costs and Commission Expense</w:t>
      </w:r>
      <w:r>
        <w:rPr>
          <w:rFonts w:ascii="Times New Roman" w:cs="Times New Roman" w:eastAsia="Times New Roman" w:hAnsi="Times New Roman"/>
          <w:sz w:val="17"/>
          <w:szCs w:val="17"/>
          <w:color w:val="auto"/>
        </w:rPr>
        <w:t>—Sales commissions earned by our sales force are considered incremental and recoverable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costs of obtaining a contract with a customer. We recognize sales commissions expenses related to product sales upfront while sales commissions expenses for service contracts are deferred as deferred contract costs in the consolidated balance sheets and amortized over the applicable amortization period.</w:t>
      </w:r>
    </w:p>
    <w:p>
      <w:pPr>
        <w:spacing w:after="0" w:line="2"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18"/>
          <w:szCs w:val="18"/>
          <w:color w:val="auto"/>
        </w:rPr>
        <w:t>Commission costs for initial contracts that are not commensurate with commissions on renewal contracts are amortized on a straight-line basis over the period of benefit, which we have determined to be five years and which is typically longer than the initial contract term. The amortization of deferred contract costs is included in sales and marketing expense in our consolidated statements of income. Amortization of deferred contract costs during 2023, 2022 and 2021 was $266.3 million, $223.3 million and $175.9 million, respectively. No impairment loss of deferred contract costs asset was recognized during 2023, 2022 and 2021.</w:t>
      </w:r>
    </w:p>
    <w:p>
      <w:pPr>
        <w:spacing w:after="0" w:line="206" w:lineRule="exact"/>
        <w:rPr>
          <w:sz w:val="20"/>
          <w:szCs w:val="20"/>
          <w:color w:val="auto"/>
        </w:rPr>
      </w:pPr>
    </w:p>
    <w:p>
      <w:pPr>
        <w:jc w:val="both"/>
        <w:ind w:right="220"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Deferred Revenue</w:t>
      </w:r>
      <w:r>
        <w:rPr>
          <w:rFonts w:ascii="Times New Roman" w:cs="Times New Roman" w:eastAsia="Times New Roman" w:hAnsi="Times New Roman"/>
          <w:sz w:val="18"/>
          <w:szCs w:val="18"/>
          <w:color w:val="auto"/>
        </w:rPr>
        <w:t>—Deferred revenue consists of amounts that have been invoiced but that have not yet been recognized as revenue. Deferred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that will be recognized during the succeeding 12-month period is recorded as current deferred revenue and the remaining portion is recorded as non-current deferred revenue. The majority of deferred revenue is comprised of security subscription and technical support services which are invoiced upfront and delivered over 12 months or longer.</w:t>
      </w:r>
    </w:p>
    <w:p>
      <w:pPr>
        <w:spacing w:after="0" w:line="19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Revenue Recognition</w:t>
      </w:r>
      <w:r>
        <w:rPr>
          <w:rFonts w:ascii="Times New Roman" w:cs="Times New Roman" w:eastAsia="Times New Roman" w:hAnsi="Times New Roman"/>
          <w:sz w:val="18"/>
          <w:szCs w:val="18"/>
          <w:color w:val="auto"/>
        </w:rPr>
        <w:t>—Our revenue consists of product and service revenue. Revenues are recognized when control of these goods or services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transferred to our customers, in an amount that reflects the consideration we expect to be entitled to in exchange for those goods or services. We determine revenue recognition through the following steps:</w:t>
      </w:r>
    </w:p>
    <w:p>
      <w:pPr>
        <w:spacing w:after="0" w:line="202" w:lineRule="exact"/>
        <w:rPr>
          <w:sz w:val="20"/>
          <w:szCs w:val="20"/>
          <w:color w:val="auto"/>
        </w:rPr>
      </w:pPr>
    </w:p>
    <w:p>
      <w:pPr>
        <w:ind w:left="1300" w:hanging="320"/>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a contract or contracts with a customer;</w:t>
      </w:r>
    </w:p>
    <w:p>
      <w:pPr>
        <w:spacing w:after="0" w:line="27" w:lineRule="exact"/>
        <w:rPr>
          <w:rFonts w:ascii="Times New Roman" w:cs="Times New Roman" w:eastAsia="Times New Roman" w:hAnsi="Times New Roman"/>
          <w:sz w:val="18"/>
          <w:szCs w:val="18"/>
          <w:color w:val="auto"/>
        </w:rPr>
      </w:pPr>
    </w:p>
    <w:p>
      <w:pPr>
        <w:ind w:left="1300" w:right="240" w:hanging="320"/>
        <w:spacing w:after="0" w:line="250" w:lineRule="auto"/>
        <w:tabs>
          <w:tab w:leader="none" w:pos="12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a contract, including evaluation of performance obligations and evaluating the distinct goods or services in a contract;</w:t>
      </w:r>
    </w:p>
    <w:p>
      <w:pPr>
        <w:ind w:left="1300" w:hanging="320"/>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a transaction price;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a transaction price to the performance obligations in a contract;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we satisfy a performance obligation.</w:t>
      </w:r>
    </w:p>
    <w:p>
      <w:pPr>
        <w:spacing w:after="0" w:line="22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We derive a majority of product sales from Secure Networking hardware and associated security services which include a broad set of built-in security and networking features and functionalities, including firewall, next-generation firewall, secure web gateway, secure sockets layer (“SSL”) inspection, software-defined wide-area network, intrusion prevention, SSL data leak prevention, virtual private network, switch and wireless controller and wide area network edge.</w:t>
      </w:r>
    </w:p>
    <w:p>
      <w:pPr>
        <w:spacing w:after="0" w:line="21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recognize product revenue upon shipment when control of the promised goods is transferred to the customer. Our term software licenses represent multiple performance obligations, which include software licenses and software support services where the term licenses are recognized upfront upon transfer of control, with the associated software support services recognized ratably over the service term as services and software updates are provided.</w:t>
      </w:r>
    </w:p>
    <w:p>
      <w:pPr>
        <w:spacing w:after="0" w:line="193"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Service revenue relates to sales of our FortiGuard security subscription, FortiCare technical support services and other services. Our typical subscription and support term is one to five years. We generally recognize revenue from these services ratably over the service term because of continuous transfer of control to the customer. We also generate a portion of our revenue from other services consisting of professional services, training and software-as-a-service (“SaaS”) which is either hosted by us or provided through cloud-providers. We recognize revenue from professional and training services as the services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are provided. We recognize revenue from SaaS as the subscription service is delivered over the term, which is typically one year, or on a monthly usage basis. To date, SaaS revenue has not represented a significant percentage of our total revenue.</w:t>
      </w:r>
    </w:p>
    <w:p>
      <w:pPr>
        <w:spacing w:after="0" w:line="203"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Our sales contracts typically contain multiple deliverables, such as hardware, software license, security subscription, technical support services and other services, which are generally capable of being distinct and accounted for as separate performance obligations. Our hardware and software licenses have significant standalone functionalities and capabilities. Accordingly, the hardware and software licenses are distinct from the security subscription and technical support services, as a customer can benefit from the product without the services and the services are separately identifiable within a contract. We allocate a transaction price to each performance obligation based on relative standalone selling price. We establish standalone selling price using the prices charged for a deliverable when sold separately. If not observable through past transactions, we determine standalone selling price by considering multiple historical factors including, but not limited to, cost of products, gross margin objectives, pricing practices, geographies and the term of a service contract. Revenue is reported net of sales tax.</w:t>
      </w:r>
    </w:p>
    <w:p>
      <w:pPr>
        <w:spacing w:after="0" w:line="21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certain circumstances, our contracts include provisions for sales rebates and other customer incentive programs. Additionally, in limited circumstances, we may permit end-customers, distributors and resellers to return our products, subject to varying limitations, for a refund within a reasonably short period from the date of purchase. These amounts are accounted for as variable consideration that can decrease the transaction price. We estimate variable consideration using the expected-value method based on the most likely amounts to which we expect our customers to be entitled. We include estimated amounts in the transaction price to the extent that it is probable that a significant reversal of cumulative revenue recognized will not occur when the uncertainty associated with the variable consideration is resolved. Our estimate for refund liabilities, which include sales returns reserve and customer rebates, was $92.7 million and $92.0 million as of December 31, 2023 and 2022, respectively, and is included in current liabilities in our consolidated balance sheet.</w:t>
      </w:r>
    </w:p>
    <w:p>
      <w:pPr>
        <w:spacing w:after="0" w:line="21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We generally invoice at the time of our sale for the total price of the hardware, software licenses, security subscription and technical support and other services. Standard payment terms are generally no more than 60 days, though we continue to offer extended payment terms to certain distributors. Amounts billed and due from our customers are classified as receivables on the balance sheet and do not bear interest.</w:t>
      </w:r>
    </w:p>
    <w:p>
      <w:pPr>
        <w:spacing w:after="0" w:line="196"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Shipping and handling fees charged to our customers are recognized as revenue in the period shipped and the related costs for providing these services are recorded in cost of revenue. Shipping and handling fees recognized were not material during 2023, 2022 and 2021.</w:t>
      </w:r>
    </w:p>
    <w:p>
      <w:pPr>
        <w:spacing w:after="0" w:line="18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Warranties</w:t>
      </w:r>
      <w:r>
        <w:rPr>
          <w:rFonts w:ascii="Times New Roman" w:cs="Times New Roman" w:eastAsia="Times New Roman" w:hAnsi="Times New Roman"/>
          <w:sz w:val="18"/>
          <w:szCs w:val="18"/>
          <w:color w:val="auto"/>
        </w:rPr>
        <w:t>—We generally provide a one-year warranty for most hardware products and a 90-day warranty for software. We also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extended warranties under the terms of our support agreements. A provision for estimated future costs related to warranty activities in the first year after product sale is recorded as a component of cost of product revenues when the product revenue is recognized, based upon historical product failure rates and historical costs incurred in correcting product failures. Warranty costs related to extended warranties sold under support agreements are recognized as cost of service revenue as incurred. In the event we change our warranty reserve estimates, the resulting charge against future cost of revenue or reversal of previously recorded charges may materially affect our gross margins and operating results. Accrued warranty liability was not material as of December 31, 2023 and 2022.</w:t>
      </w:r>
    </w:p>
    <w:p>
      <w:pPr>
        <w:spacing w:after="0" w:line="21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Contingent Liabilities</w:t>
      </w:r>
      <w:r>
        <w:rPr>
          <w:rFonts w:ascii="Times New Roman" w:cs="Times New Roman" w:eastAsia="Times New Roman" w:hAnsi="Times New Roman"/>
          <w:sz w:val="18"/>
          <w:szCs w:val="18"/>
          <w:color w:val="auto"/>
        </w:rPr>
        <w:t>—From time to time, we are involved in disputes, litigation, and other legal actions. There are many uncertainties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associated with any disputes, litigation and other legal actions, and these actions or other third-party claims against us may cause us to incur costly litigation fees, costs and substantial settlement charges, and possibly subject us to damages and other penalties, which are inherently difficult to estimate and could adversely affect our results of operations. In addition, the resolution of any IP litigation may require us to make royalty payments, which could adversely affect our gross margins in future periods. We periodically review significant claims and litigation matters for the probability of an adverse outcome. Estimates can change as individual claims develop. The actual liability in any such matters may be materially different from our estimates, which could result in the need to adjust our liability and record additional expenses, which may be material.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 Not Yet Effective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41" w:lineRule="exact"/>
        <w:rPr>
          <w:sz w:val="20"/>
          <w:szCs w:val="20"/>
          <w:color w:val="auto"/>
        </w:rPr>
      </w:pPr>
    </w:p>
    <w:p>
      <w:pPr>
        <w:ind w:right="300" w:firstLine="648"/>
        <w:spacing w:after="0" w:line="250" w:lineRule="auto"/>
        <w:rPr>
          <w:sz w:val="20"/>
          <w:szCs w:val="20"/>
          <w:color w:val="auto"/>
        </w:rPr>
      </w:pPr>
      <w:r>
        <w:rPr>
          <w:rFonts w:ascii="Times New Roman" w:cs="Times New Roman" w:eastAsia="Times New Roman" w:hAnsi="Times New Roman"/>
          <w:sz w:val="18"/>
          <w:szCs w:val="18"/>
          <w:color w:val="auto"/>
        </w:rPr>
        <w:t>In November 2023, the Financial Accounting Standards Board (the “FASB”) issued Accounting Standards Update (“ASU”) 2023-07, Segment Reporting (Topic 280): Improvements to Reportable Segment Disclosures, which is intended to</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improve reportable segment disclosure requirements, primarily through enhanced disclosures about significant expenses. ASU 2023-07 was effective for us beginning on January 1, 2024 and will be applied on a retrospective basis to all periods presented. We are currently evaluating the ASU to determine its impact on our disclosures.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41"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includes amendments that further enhance income tax disclosures, primarily through standardization and disaggregation of rate reconciliation categories and income taxes paid by jurisdiction. The amendments are effective for our annual periods beginning January 1, 2025, with early adoption permitted, and should be applied prospectively. We are currently evaluating the ASU to determine its impact on our disclosures.</w:t>
      </w:r>
    </w:p>
    <w:p>
      <w:pPr>
        <w:spacing w:after="0" w:line="204" w:lineRule="exact"/>
        <w:rPr>
          <w:sz w:val="20"/>
          <w:szCs w:val="20"/>
          <w:color w:val="auto"/>
        </w:rPr>
      </w:pPr>
    </w:p>
    <w:p>
      <w:pPr>
        <w:ind w:left="360" w:hanging="352"/>
        <w:spacing w:after="0"/>
        <w:tabs>
          <w:tab w:leader="none" w:pos="3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revenue disaggregated by major product and service lines (in millions):</w:t>
      </w:r>
    </w:p>
    <w:p>
      <w:pPr>
        <w:spacing w:after="0" w:line="5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8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1"/>
        </w:trPr>
        <w:tc>
          <w:tcPr>
            <w:tcW w:w="58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w:t>
            </w:r>
          </w:p>
        </w:tc>
        <w:tc>
          <w:tcPr>
            <w:tcW w:w="110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1,255.0</w:t>
            </w: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w:t>
            </w: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Security subscription</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1,125.0</w:t>
            </w:r>
          </w:p>
        </w:tc>
      </w:tr>
      <w:tr>
        <w:trPr>
          <w:trHeight w:val="229"/>
        </w:trPr>
        <w:tc>
          <w:tcPr>
            <w:tcW w:w="5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Technical support and other</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962.2</w:t>
            </w:r>
          </w:p>
        </w:tc>
      </w:tr>
      <w:tr>
        <w:trPr>
          <w:trHeight w:val="223"/>
        </w:trPr>
        <w:tc>
          <w:tcPr>
            <w:tcW w:w="5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service revenue</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2,087.2</w:t>
            </w:r>
          </w:p>
        </w:tc>
      </w:tr>
      <w:tr>
        <w:trPr>
          <w:trHeight w:val="22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100" w:type="dxa"/>
            <w:vAlign w:val="bottom"/>
            <w:tcBorders>
              <w:bottom w:val="single" w:sz="8" w:color="auto"/>
            </w:tcBorders>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5,304.8</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4,417.4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3,342.2</w:t>
            </w:r>
          </w:p>
        </w:tc>
      </w:tr>
      <w:tr>
        <w:trPr>
          <w:trHeight w:val="20"/>
        </w:trPr>
        <w:tc>
          <w:tcPr>
            <w:tcW w:w="58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2023 and 2022, we recognized $2.27 billion and $1.73 billion in revenue that was included in the deferred revenue balance as of December 31, 2022 and 2021,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Price Allocated to the Remaining Performance Obligations</w:t>
      </w:r>
    </w:p>
    <w:p>
      <w:pPr>
        <w:spacing w:after="0" w:line="25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2023, the aggregate amount of the transaction price allocated to remaining performance obligations was $5.75 billion, which was substantially comprised of deferred security subscription and technical support services revenue as well as unbilled contract revenue from non-cancellable contracts that will be recognized in future periods. We expect to recognize approximately $2.86 billion as revenue over the next 12 months and the remainder thereafter.</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60" w:hanging="352"/>
        <w:spacing w:after="0"/>
        <w:tabs>
          <w:tab w:leader="none" w:pos="3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 AND FAIR VALUE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 Investments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summarize our available-for-sale investments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158"/>
        </w:trPr>
        <w:tc>
          <w:tcPr>
            <w:tcW w:w="5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240" w:type="dxa"/>
            <w:vAlign w:val="bottom"/>
          </w:tcPr>
          <w:p>
            <w:pPr>
              <w:spacing w:after="0"/>
              <w:rPr>
                <w:sz w:val="13"/>
                <w:szCs w:val="13"/>
                <w:color w:val="auto"/>
              </w:rPr>
            </w:pPr>
          </w:p>
        </w:tc>
        <w:tc>
          <w:tcPr>
            <w:tcW w:w="134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40" w:type="dxa"/>
            <w:vAlign w:val="bottom"/>
          </w:tcPr>
          <w:p>
            <w:pPr>
              <w:spacing w:after="0"/>
              <w:rPr>
                <w:sz w:val="13"/>
                <w:szCs w:val="13"/>
                <w:color w:val="auto"/>
              </w:rPr>
            </w:pPr>
          </w:p>
        </w:tc>
        <w:tc>
          <w:tcPr>
            <w:tcW w:w="134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320" w:type="dxa"/>
            <w:vAlign w:val="bottom"/>
          </w:tcPr>
          <w:p>
            <w:pPr>
              <w:spacing w:after="0"/>
              <w:rPr>
                <w:sz w:val="13"/>
                <w:szCs w:val="13"/>
                <w:color w:val="auto"/>
              </w:rPr>
            </w:pPr>
          </w:p>
        </w:tc>
        <w:tc>
          <w:tcPr>
            <w:tcW w:w="1140" w:type="dxa"/>
            <w:vAlign w:val="bottom"/>
          </w:tcPr>
          <w:p>
            <w:pPr>
              <w:jc w:val="center"/>
              <w:ind w:right="232"/>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r>
      <w:tr>
        <w:trPr>
          <w:trHeight w:val="214"/>
        </w:trPr>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32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231"/>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 and term deposits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r>
      <w:tr>
        <w:trPr>
          <w:trHeight w:val="230"/>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48"/>
        </w:trPr>
        <w:tc>
          <w:tcPr>
            <w:tcW w:w="50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1,021.5</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430"/>
        </w:trPr>
        <w:tc>
          <w:tcPr>
            <w:tcW w:w="50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58"/>
        </w:trPr>
        <w:tc>
          <w:tcPr>
            <w:tcW w:w="5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240" w:type="dxa"/>
            <w:vAlign w:val="bottom"/>
          </w:tcPr>
          <w:p>
            <w:pPr>
              <w:spacing w:after="0"/>
              <w:rPr>
                <w:sz w:val="13"/>
                <w:szCs w:val="13"/>
                <w:color w:val="auto"/>
              </w:rPr>
            </w:pPr>
          </w:p>
        </w:tc>
        <w:tc>
          <w:tcPr>
            <w:tcW w:w="134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40" w:type="dxa"/>
            <w:vAlign w:val="bottom"/>
          </w:tcPr>
          <w:p>
            <w:pPr>
              <w:spacing w:after="0"/>
              <w:rPr>
                <w:sz w:val="13"/>
                <w:szCs w:val="13"/>
                <w:color w:val="auto"/>
              </w:rPr>
            </w:pPr>
          </w:p>
        </w:tc>
        <w:tc>
          <w:tcPr>
            <w:tcW w:w="134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320" w:type="dxa"/>
            <w:vAlign w:val="bottom"/>
          </w:tcPr>
          <w:p>
            <w:pPr>
              <w:spacing w:after="0"/>
              <w:rPr>
                <w:sz w:val="13"/>
                <w:szCs w:val="13"/>
                <w:color w:val="auto"/>
              </w:rPr>
            </w:pPr>
          </w:p>
        </w:tc>
        <w:tc>
          <w:tcPr>
            <w:tcW w:w="1140" w:type="dxa"/>
            <w:vAlign w:val="bottom"/>
          </w:tcPr>
          <w:p>
            <w:pPr>
              <w:jc w:val="center"/>
              <w:ind w:right="232"/>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r>
      <w:tr>
        <w:trPr>
          <w:trHeight w:val="214"/>
        </w:trPr>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32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231"/>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 and term deposits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5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548.1</w:t>
            </w:r>
          </w:p>
        </w:tc>
      </w:tr>
      <w:tr>
        <w:trPr>
          <w:trHeight w:val="20"/>
        </w:trPr>
        <w:tc>
          <w:tcPr>
            <w:tcW w:w="5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ind w:right="720" w:firstLine="648"/>
        <w:spacing w:after="0" w:line="259" w:lineRule="auto"/>
        <w:rPr>
          <w:sz w:val="20"/>
          <w:szCs w:val="20"/>
          <w:color w:val="auto"/>
        </w:rPr>
      </w:pPr>
      <w:r>
        <w:rPr>
          <w:rFonts w:ascii="Times New Roman" w:cs="Times New Roman" w:eastAsia="Times New Roman" w:hAnsi="Times New Roman"/>
          <w:sz w:val="18"/>
          <w:szCs w:val="18"/>
          <w:color w:val="auto"/>
        </w:rPr>
        <w:t>The following tables show the gross unrealized losses and the related fair values of our available-for-sale investments that have been in a continuous unrealized loss position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1"/>
        </w:trPr>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220" w:type="dxa"/>
            <w:vAlign w:val="bottom"/>
          </w:tcPr>
          <w:p>
            <w:pPr>
              <w:spacing w:after="0"/>
              <w:rPr>
                <w:sz w:val="18"/>
                <w:szCs w:val="18"/>
                <w:color w:val="auto"/>
              </w:rPr>
            </w:pPr>
          </w:p>
        </w:tc>
        <w:tc>
          <w:tcPr>
            <w:tcW w:w="220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12 Months or Greater</w:t>
            </w:r>
          </w:p>
        </w:tc>
        <w:tc>
          <w:tcPr>
            <w:tcW w:w="2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60" w:type="dxa"/>
            <w:vAlign w:val="bottom"/>
          </w:tcPr>
          <w:p>
            <w:pPr>
              <w:spacing w:after="0"/>
              <w:rPr>
                <w:sz w:val="18"/>
                <w:szCs w:val="18"/>
                <w:color w:val="auto"/>
              </w:rPr>
            </w:pPr>
          </w:p>
        </w:tc>
      </w:tr>
      <w:tr>
        <w:trPr>
          <w:trHeight w:val="157"/>
        </w:trPr>
        <w:tc>
          <w:tcPr>
            <w:tcW w:w="4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3"/>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53"/>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53"/>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r>
      <w:tr>
        <w:trPr>
          <w:trHeight w:val="214"/>
        </w:trPr>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2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40" w:type="dxa"/>
            <w:vAlign w:val="bottom"/>
          </w:tcPr>
          <w:p>
            <w:pPr>
              <w:spacing w:after="0"/>
              <w:rPr>
                <w:sz w:val="18"/>
                <w:szCs w:val="18"/>
                <w:color w:val="auto"/>
              </w:rPr>
            </w:pPr>
          </w:p>
        </w:tc>
        <w:tc>
          <w:tcPr>
            <w:tcW w:w="96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Losses</w:t>
            </w:r>
          </w:p>
        </w:tc>
      </w:tr>
      <w:tr>
        <w:trPr>
          <w:trHeight w:val="231"/>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4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0"/>
        </w:trPr>
        <w:tc>
          <w:tcPr>
            <w:tcW w:w="4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28"/>
        </w:trPr>
        <w:tc>
          <w:tcPr>
            <w:tcW w:w="4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11"/>
        </w:trPr>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220" w:type="dxa"/>
            <w:vAlign w:val="bottom"/>
          </w:tcPr>
          <w:p>
            <w:pPr>
              <w:spacing w:after="0"/>
              <w:rPr>
                <w:sz w:val="18"/>
                <w:szCs w:val="18"/>
                <w:color w:val="auto"/>
              </w:rPr>
            </w:pPr>
          </w:p>
        </w:tc>
        <w:tc>
          <w:tcPr>
            <w:tcW w:w="220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12 Months or Greater</w:t>
            </w:r>
          </w:p>
        </w:tc>
        <w:tc>
          <w:tcPr>
            <w:tcW w:w="2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60" w:type="dxa"/>
            <w:vAlign w:val="bottom"/>
          </w:tcPr>
          <w:p>
            <w:pPr>
              <w:spacing w:after="0"/>
              <w:rPr>
                <w:sz w:val="18"/>
                <w:szCs w:val="18"/>
                <w:color w:val="auto"/>
              </w:rPr>
            </w:pPr>
          </w:p>
        </w:tc>
      </w:tr>
      <w:tr>
        <w:trPr>
          <w:trHeight w:val="157"/>
        </w:trPr>
        <w:tc>
          <w:tcPr>
            <w:tcW w:w="4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3"/>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53"/>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53"/>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r>
      <w:tr>
        <w:trPr>
          <w:trHeight w:val="214"/>
        </w:trPr>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2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40" w:type="dxa"/>
            <w:vAlign w:val="bottom"/>
          </w:tcPr>
          <w:p>
            <w:pPr>
              <w:spacing w:after="0"/>
              <w:rPr>
                <w:sz w:val="18"/>
                <w:szCs w:val="18"/>
                <w:color w:val="auto"/>
              </w:rPr>
            </w:pPr>
          </w:p>
        </w:tc>
        <w:tc>
          <w:tcPr>
            <w:tcW w:w="96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Losses</w:t>
            </w:r>
          </w:p>
        </w:tc>
      </w:tr>
      <w:tr>
        <w:trPr>
          <w:trHeight w:val="231"/>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 Bonds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8"/>
        </w:trPr>
        <w:tc>
          <w:tcPr>
            <w:tcW w:w="41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contractual maturities of our investments were (in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80" w:type="dxa"/>
            <w:vAlign w:val="bottom"/>
          </w:tcPr>
          <w:p>
            <w:pPr>
              <w:spacing w:after="0"/>
              <w:rPr>
                <w:sz w:val="16"/>
                <w:szCs w:val="16"/>
                <w:color w:val="auto"/>
              </w:rPr>
            </w:pPr>
          </w:p>
        </w:tc>
        <w:tc>
          <w:tcPr>
            <w:tcW w:w="152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4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502.6</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within one to three years</w:t>
            </w:r>
          </w:p>
        </w:tc>
        <w:tc>
          <w:tcPr>
            <w:tcW w:w="28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48"/>
        </w:trPr>
        <w:tc>
          <w:tcPr>
            <w:tcW w:w="74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Available-for-sale investments are reported at fair value, with unrealized gains and losses and the related tax impact included as a separate component of equity (deficit) and in comprehensive income. We do not intend to sell any of the securities in an unrealized loss position and it is not more likely than not that we would be required to sell these securities before recovery of their amortized cost basis, which may be at maturity.</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Realized gains and losses on available-for-sale investments were insignificant in the periods presented.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Equity Securities</w:t>
      </w:r>
    </w:p>
    <w:p>
      <w:pPr>
        <w:spacing w:after="0" w:line="243" w:lineRule="exact"/>
        <w:rPr>
          <w:sz w:val="20"/>
          <w:szCs w:val="20"/>
          <w:color w:val="auto"/>
        </w:rPr>
      </w:pPr>
    </w:p>
    <w:p>
      <w:pPr>
        <w:ind w:right="20" w:firstLine="583"/>
        <w:spacing w:after="0" w:line="236" w:lineRule="auto"/>
        <w:rPr>
          <w:sz w:val="20"/>
          <w:szCs w:val="20"/>
          <w:color w:val="auto"/>
        </w:rPr>
      </w:pPr>
      <w:r>
        <w:rPr>
          <w:rFonts w:ascii="Times New Roman" w:cs="Times New Roman" w:eastAsia="Times New Roman" w:hAnsi="Times New Roman"/>
          <w:sz w:val="18"/>
          <w:szCs w:val="18"/>
          <w:color w:val="auto"/>
        </w:rPr>
        <w:t>Our marketable equity securities were $21.0 million and $25.5 million as of December 31, 2023 and December 31, 2022, respectively. The changes in fair value of our marketable equity securities are recorded in other expense—net on the consolidated statements of income. We recognized $4.4 million and $13.1 million of losses in 2023 and 2022, respectively.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43"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Fair Value Accounting—We apply the following fair value hierarchy for disclosure of the inputs used to measure fair value. This hierarchy prioritizes the inputs into three broad levels: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1—Inputs are unadjusted quoted prices in active markets for identical assets or liabilities.</w:t>
      </w:r>
    </w:p>
    <w:p>
      <w:pPr>
        <w:spacing w:after="0" w:line="252" w:lineRule="exact"/>
        <w:rPr>
          <w:sz w:val="20"/>
          <w:szCs w:val="20"/>
          <w:color w:val="auto"/>
        </w:rPr>
      </w:pPr>
    </w:p>
    <w:p>
      <w:pPr>
        <w:ind w:left="1300" w:right="100" w:hanging="647"/>
        <w:spacing w:after="0" w:line="282" w:lineRule="auto"/>
        <w:rPr>
          <w:sz w:val="20"/>
          <w:szCs w:val="20"/>
          <w:color w:val="auto"/>
        </w:rPr>
      </w:pPr>
      <w:r>
        <w:rPr>
          <w:rFonts w:ascii="Times New Roman" w:cs="Times New Roman" w:eastAsia="Times New Roman" w:hAnsi="Times New Roman"/>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189" w:lineRule="exact"/>
        <w:rPr>
          <w:sz w:val="20"/>
          <w:szCs w:val="20"/>
          <w:color w:val="auto"/>
        </w:rPr>
      </w:pPr>
    </w:p>
    <w:p>
      <w:pPr>
        <w:ind w:left="1300" w:right="320" w:hanging="647"/>
        <w:spacing w:after="0" w:line="282" w:lineRule="auto"/>
        <w:rPr>
          <w:sz w:val="20"/>
          <w:szCs w:val="20"/>
          <w:color w:val="auto"/>
        </w:rPr>
      </w:pPr>
      <w:r>
        <w:rPr>
          <w:rFonts w:ascii="Times New Roman" w:cs="Times New Roman" w:eastAsia="Times New Roman" w:hAnsi="Times New Roman"/>
          <w:sz w:val="18"/>
          <w:szCs w:val="18"/>
          <w:color w:val="auto"/>
        </w:rPr>
        <w:t>Level 3—Unobservable inputs based on our own assumptions used to measure assets and liabilities at fair value. The inputs require significant management judgment or estimation.</w:t>
      </w:r>
    </w:p>
    <w:p>
      <w:pPr>
        <w:spacing w:after="0" w:line="175"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We measure the fair value of money market funds, certain U.S. government and agency securities and marketable equity securities using quoted prices in active markets for identical assets. The fair value of all other financial instruments was based on quoted prices for similar assets in active markets, or model-driven valuations using significant inputs derived from or corroborated by observable market data.</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classify investments within Level 1 if quoted prices are available in active markets for identical securities.</w:t>
      </w:r>
    </w:p>
    <w:p>
      <w:pPr>
        <w:spacing w:after="0" w:line="225"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We classify items within Level 2 if the investments are valued using model-driven valuations using observable inputs such as quoted market prices, benchmark yields, reported trades, broker/dealer quotes or alternative pricing sources with reasonable levels of price transparency. Investments are held by custodians who obtain investment prices from a third-party pricing provider that incorporates standard inputs in various asset price models.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at Fair Value on a Recurring Basis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fair value of our financial assets measured at fair value on a recurring basis (in millions):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5" w:lineRule="exact"/>
              <w:rPr>
                <w:sz w:val="20"/>
                <w:szCs w:val="20"/>
                <w:color w:val="auto"/>
              </w:rPr>
            </w:pPr>
            <w:r>
              <w:rPr>
                <w:rFonts w:ascii="Times New Roman" w:cs="Times New Roman" w:eastAsia="Times New Roman" w:hAnsi="Times New Roman"/>
                <w:sz w:val="13"/>
                <w:szCs w:val="13"/>
                <w:b w:val="1"/>
                <w:bCs w:val="1"/>
                <w:color w:val="auto"/>
                <w:w w:val="97"/>
              </w:rPr>
              <w:t>Quoted</w:t>
            </w:r>
          </w:p>
        </w:tc>
        <w:tc>
          <w:tcPr>
            <w:tcW w:w="120" w:type="dxa"/>
            <w:vAlign w:val="bottom"/>
          </w:tcPr>
          <w:p>
            <w:pPr>
              <w:spacing w:after="0"/>
              <w:rPr>
                <w:sz w:val="10"/>
                <w:szCs w:val="10"/>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Significant</w:t>
            </w:r>
          </w:p>
        </w:tc>
        <w:tc>
          <w:tcPr>
            <w:tcW w:w="120" w:type="dxa"/>
            <w:vAlign w:val="bottom"/>
          </w:tcPr>
          <w:p>
            <w:pPr>
              <w:spacing w:after="0"/>
              <w:rPr>
                <w:sz w:val="10"/>
                <w:szCs w:val="10"/>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Significant</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3"/>
                <w:szCs w:val="13"/>
                <w:b w:val="1"/>
                <w:bCs w:val="1"/>
                <w:color w:val="auto"/>
                <w:w w:val="97"/>
              </w:rPr>
              <w:t>Quoted</w:t>
            </w:r>
          </w:p>
        </w:tc>
        <w:tc>
          <w:tcPr>
            <w:tcW w:w="120" w:type="dxa"/>
            <w:vAlign w:val="bottom"/>
          </w:tcPr>
          <w:p>
            <w:pPr>
              <w:spacing w:after="0"/>
              <w:rPr>
                <w:sz w:val="10"/>
                <w:szCs w:val="10"/>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Significant</w:t>
            </w:r>
          </w:p>
        </w:tc>
        <w:tc>
          <w:tcPr>
            <w:tcW w:w="120" w:type="dxa"/>
            <w:vAlign w:val="bottom"/>
          </w:tcPr>
          <w:p>
            <w:pPr>
              <w:spacing w:after="0"/>
              <w:rPr>
                <w:sz w:val="10"/>
                <w:szCs w:val="10"/>
                <w:color w:val="auto"/>
              </w:rPr>
            </w:pPr>
          </w:p>
        </w:tc>
        <w:tc>
          <w:tcPr>
            <w:tcW w:w="940" w:type="dxa"/>
            <w:vAlign w:val="bottom"/>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6"/>
              </w:rPr>
              <w:t>Significant</w:t>
            </w:r>
          </w:p>
        </w:tc>
        <w:tc>
          <w:tcPr>
            <w:tcW w:w="0" w:type="dxa"/>
            <w:vAlign w:val="bottom"/>
          </w:tcPr>
          <w:p>
            <w:pPr>
              <w:spacing w:after="0"/>
              <w:rPr>
                <w:sz w:val="1"/>
                <w:szCs w:val="1"/>
                <w:color w:val="auto"/>
              </w:rPr>
            </w:pPr>
          </w:p>
        </w:tc>
      </w:tr>
      <w:tr>
        <w:trPr>
          <w:trHeight w:val="128"/>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3"/>
                <w:szCs w:val="13"/>
                <w:b w:val="1"/>
                <w:bCs w:val="1"/>
                <w:color w:val="auto"/>
                <w:w w:val="99"/>
              </w:rPr>
              <w:t>Prices in</w:t>
            </w: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3"/>
                <w:szCs w:val="13"/>
                <w:b w:val="1"/>
                <w:bCs w:val="1"/>
                <w:color w:val="auto"/>
                <w:w w:val="95"/>
              </w:rPr>
              <w:t>Prices in</w:t>
            </w: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8"/>
              </w:rPr>
              <w:t>Aggregate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rPr>
              <w:t>Active</w:t>
            </w: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0"/>
                <w:szCs w:val="10"/>
                <w:color w:val="auto"/>
              </w:rPr>
            </w:pPr>
          </w:p>
        </w:tc>
        <w:tc>
          <w:tcPr>
            <w:tcW w:w="780" w:type="dxa"/>
            <w:vAlign w:val="bottom"/>
            <w:vMerge w:val="restart"/>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8"/>
              </w:rPr>
              <w:t>Aggregate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5"/>
              </w:rPr>
              <w:t>Active</w:t>
            </w: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0"/>
                <w:szCs w:val="10"/>
                <w:color w:val="auto"/>
              </w:rPr>
            </w:pPr>
          </w:p>
        </w:tc>
        <w:tc>
          <w:tcPr>
            <w:tcW w:w="940" w:type="dxa"/>
            <w:vAlign w:val="bottom"/>
          </w:tcPr>
          <w:p>
            <w:pPr>
              <w:jc w:val="center"/>
              <w:ind w:right="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0" w:type="dxa"/>
            <w:vAlign w:val="bottom"/>
          </w:tcPr>
          <w:p>
            <w:pPr>
              <w:spacing w:after="0"/>
              <w:rPr>
                <w:sz w:val="1"/>
                <w:szCs w:val="1"/>
                <w:color w:val="auto"/>
              </w:rPr>
            </w:pPr>
          </w:p>
        </w:tc>
      </w:tr>
      <w:tr>
        <w:trPr>
          <w:trHeight w:val="121"/>
        </w:trPr>
        <w:tc>
          <w:tcPr>
            <w:tcW w:w="2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Markets For</w:t>
            </w: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4"/>
              </w:rPr>
              <w:t>Observable</w:t>
            </w:r>
          </w:p>
        </w:tc>
        <w:tc>
          <w:tcPr>
            <w:tcW w:w="120" w:type="dxa"/>
            <w:vAlign w:val="bottom"/>
          </w:tcPr>
          <w:p>
            <w:pPr>
              <w:spacing w:after="0"/>
              <w:rPr>
                <w:sz w:val="10"/>
                <w:szCs w:val="10"/>
                <w:color w:val="auto"/>
              </w:rPr>
            </w:pPr>
          </w:p>
        </w:tc>
        <w:tc>
          <w:tcPr>
            <w:tcW w:w="10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Unobservable</w:t>
            </w:r>
          </w:p>
        </w:tc>
        <w:tc>
          <w:tcPr>
            <w:tcW w:w="1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Markets For</w:t>
            </w: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4"/>
              </w:rPr>
              <w:t>Observable</w:t>
            </w:r>
          </w:p>
        </w:tc>
        <w:tc>
          <w:tcPr>
            <w:tcW w:w="120" w:type="dxa"/>
            <w:vAlign w:val="bottom"/>
          </w:tcPr>
          <w:p>
            <w:pPr>
              <w:spacing w:after="0"/>
              <w:rPr>
                <w:sz w:val="10"/>
                <w:szCs w:val="10"/>
                <w:color w:val="auto"/>
              </w:rPr>
            </w:pPr>
          </w:p>
        </w:tc>
        <w:tc>
          <w:tcPr>
            <w:tcW w:w="940" w:type="dxa"/>
            <w:vAlign w:val="bottom"/>
          </w:tcPr>
          <w:p>
            <w:pPr>
              <w:jc w:val="center"/>
              <w:ind w:right="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Unobservable</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center"/>
              <w:ind w:right="55"/>
              <w:spacing w:after="0" w:line="135" w:lineRule="exact"/>
              <w:rPr>
                <w:sz w:val="20"/>
                <w:szCs w:val="20"/>
                <w:color w:val="auto"/>
              </w:rPr>
            </w:pPr>
            <w:r>
              <w:rPr>
                <w:rFonts w:ascii="Times New Roman" w:cs="Times New Roman" w:eastAsia="Times New Roman" w:hAnsi="Times New Roman"/>
                <w:sz w:val="13"/>
                <w:szCs w:val="13"/>
                <w:b w:val="1"/>
                <w:bCs w:val="1"/>
                <w:color w:val="auto"/>
              </w:rPr>
              <w:t>Fair</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Identical</w:t>
            </w: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Remaining</w:t>
            </w:r>
          </w:p>
        </w:tc>
        <w:tc>
          <w:tcPr>
            <w:tcW w:w="140" w:type="dxa"/>
            <w:vAlign w:val="bottom"/>
          </w:tcPr>
          <w:p>
            <w:pPr>
              <w:spacing w:after="0"/>
              <w:rPr>
                <w:sz w:val="11"/>
                <w:szCs w:val="11"/>
                <w:color w:val="auto"/>
              </w:rPr>
            </w:pPr>
          </w:p>
        </w:tc>
        <w:tc>
          <w:tcPr>
            <w:tcW w:w="780" w:type="dxa"/>
            <w:vAlign w:val="bottom"/>
          </w:tcPr>
          <w:p>
            <w:pPr>
              <w:jc w:val="center"/>
              <w:ind w:right="55"/>
              <w:spacing w:after="0" w:line="135" w:lineRule="exact"/>
              <w:rPr>
                <w:sz w:val="20"/>
                <w:szCs w:val="20"/>
                <w:color w:val="auto"/>
              </w:rPr>
            </w:pPr>
            <w:r>
              <w:rPr>
                <w:rFonts w:ascii="Times New Roman" w:cs="Times New Roman" w:eastAsia="Times New Roman" w:hAnsi="Times New Roman"/>
                <w:sz w:val="13"/>
                <w:szCs w:val="13"/>
                <w:b w:val="1"/>
                <w:bCs w:val="1"/>
                <w:color w:val="auto"/>
              </w:rPr>
              <w:t>Fair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Identical</w:t>
            </w: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120" w:type="dxa"/>
            <w:vAlign w:val="bottom"/>
          </w:tcPr>
          <w:p>
            <w:pPr>
              <w:spacing w:after="0"/>
              <w:rPr>
                <w:sz w:val="11"/>
                <w:szCs w:val="11"/>
                <w:color w:val="auto"/>
              </w:rPr>
            </w:pPr>
          </w:p>
        </w:tc>
        <w:tc>
          <w:tcPr>
            <w:tcW w:w="940" w:type="dxa"/>
            <w:vAlign w:val="bottom"/>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Remaining</w:t>
            </w: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Assets</w:t>
            </w:r>
          </w:p>
        </w:tc>
        <w:tc>
          <w:tcPr>
            <w:tcW w:w="1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Inputs</w:t>
            </w: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3"/>
              </w:rPr>
              <w:t>Inputs</w:t>
            </w:r>
          </w:p>
        </w:tc>
        <w:tc>
          <w:tcPr>
            <w:tcW w:w="140" w:type="dxa"/>
            <w:vAlign w:val="bottom"/>
          </w:tcPr>
          <w:p>
            <w:pPr>
              <w:spacing w:after="0"/>
              <w:rPr>
                <w:sz w:val="14"/>
                <w:szCs w:val="14"/>
                <w:color w:val="auto"/>
              </w:rPr>
            </w:pPr>
          </w:p>
        </w:tc>
        <w:tc>
          <w:tcPr>
            <w:tcW w:w="780" w:type="dxa"/>
            <w:vAlign w:val="bottom"/>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Assets</w:t>
            </w:r>
          </w:p>
        </w:tc>
        <w:tc>
          <w:tcPr>
            <w:tcW w:w="1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Inputs</w:t>
            </w:r>
          </w:p>
        </w:tc>
        <w:tc>
          <w:tcPr>
            <w:tcW w:w="120" w:type="dxa"/>
            <w:vAlign w:val="bottom"/>
          </w:tcPr>
          <w:p>
            <w:pPr>
              <w:spacing w:after="0"/>
              <w:rPr>
                <w:sz w:val="14"/>
                <w:szCs w:val="14"/>
                <w:color w:val="auto"/>
              </w:rPr>
            </w:pPr>
          </w:p>
        </w:tc>
        <w:tc>
          <w:tcPr>
            <w:tcW w:w="940" w:type="dxa"/>
            <w:vAlign w:val="bottom"/>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3"/>
              </w:rPr>
              <w:t>Inputs</w:t>
            </w:r>
          </w:p>
        </w:tc>
        <w:tc>
          <w:tcPr>
            <w:tcW w:w="0" w:type="dxa"/>
            <w:vAlign w:val="bottom"/>
          </w:tcPr>
          <w:p>
            <w:pPr>
              <w:spacing w:after="0"/>
              <w:rPr>
                <w:sz w:val="1"/>
                <w:szCs w:val="1"/>
                <w:color w:val="auto"/>
              </w:rPr>
            </w:pPr>
          </w:p>
        </w:tc>
      </w:tr>
      <w:tr>
        <w:trPr>
          <w:trHeight w:val="212"/>
        </w:trPr>
        <w:tc>
          <w:tcPr>
            <w:tcW w:w="27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7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78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11"/>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740" w:type="dxa"/>
            <w:vAlign w:val="bottom"/>
          </w:tcPr>
          <w:p>
            <w:pPr>
              <w:ind w:left="480"/>
              <w:spacing w:after="0" w:line="184" w:lineRule="exact"/>
              <w:rPr>
                <w:sz w:val="20"/>
                <w:szCs w:val="20"/>
                <w:color w:val="auto"/>
              </w:rPr>
            </w:pPr>
            <w:r>
              <w:rPr>
                <w:rFonts w:ascii="Times New Roman" w:cs="Times New Roman" w:eastAsia="Times New Roman" w:hAnsi="Times New Roman"/>
                <w:sz w:val="18"/>
                <w:szCs w:val="18"/>
                <w:color w:val="auto"/>
              </w:rPr>
              <w:t>U.S. government and agency</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2740" w:type="dxa"/>
            <w:vAlign w:val="bottom"/>
          </w:tcPr>
          <w:p>
            <w:pPr>
              <w:ind w:left="480"/>
              <w:spacing w:after="0" w:line="184" w:lineRule="exact"/>
              <w:rPr>
                <w:sz w:val="20"/>
                <w:szCs w:val="20"/>
                <w:color w:val="auto"/>
              </w:rPr>
            </w:pPr>
            <w:r>
              <w:rPr>
                <w:rFonts w:ascii="Times New Roman" w:cs="Times New Roman" w:eastAsia="Times New Roman" w:hAnsi="Times New Roman"/>
                <w:sz w:val="18"/>
                <w:szCs w:val="18"/>
                <w:color w:val="auto"/>
              </w:rPr>
              <w:t>Certificates of deposit and</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term deposits</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as: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Long-term investments</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transfers between Level 1 and Level 2 of the fair value hierarchy during the years ended December 31, 2023 and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23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4.</w:t>
        <w:tab/>
        <w:t>INVENTORY</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Inventory consisted of (in millions):</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80" w:type="dxa"/>
            <w:vAlign w:val="bottom"/>
          </w:tcPr>
          <w:p>
            <w:pPr>
              <w:spacing w:after="0"/>
              <w:rPr>
                <w:sz w:val="16"/>
                <w:szCs w:val="16"/>
                <w:color w:val="auto"/>
              </w:rPr>
            </w:pPr>
          </w:p>
        </w:tc>
        <w:tc>
          <w:tcPr>
            <w:tcW w:w="158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229"/>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r>
      <w:tr>
        <w:trPr>
          <w:trHeight w:val="223"/>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w:t>
            </w:r>
          </w:p>
        </w:tc>
      </w:tr>
      <w:tr>
        <w:trPr>
          <w:trHeight w:val="20"/>
        </w:trPr>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120" w:firstLine="648"/>
        <w:spacing w:after="0" w:line="236" w:lineRule="auto"/>
        <w:rPr>
          <w:sz w:val="20"/>
          <w:szCs w:val="20"/>
          <w:color w:val="auto"/>
        </w:rPr>
      </w:pPr>
      <w:r>
        <w:rPr>
          <w:rFonts w:ascii="Times New Roman" w:cs="Times New Roman" w:eastAsia="Times New Roman" w:hAnsi="Times New Roman"/>
          <w:sz w:val="18"/>
          <w:szCs w:val="18"/>
          <w:color w:val="auto"/>
        </w:rPr>
        <w:t>The excess and obsolete inventory reserve was $89.2 million and $52.5 million as of December 31, 2023 and 2022, respectively. Inventory write-downs related to excess and obsolete inventory were $35.8 million for the year ended December 31, 2023, and not material for the years ended December 31, 2022 and 2021. They were recorded in cost of product revenue on the consolidated statements of income.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5.</w:t>
        <w:tab/>
        <w:t>PROPERTY AND EQUIPMENT—Net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equipment—net consisted of (in millions):</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80" w:type="dxa"/>
            <w:vAlign w:val="bottom"/>
          </w:tcPr>
          <w:p>
            <w:pPr>
              <w:spacing w:after="0"/>
              <w:rPr>
                <w:sz w:val="16"/>
                <w:szCs w:val="16"/>
                <w:color w:val="auto"/>
              </w:rPr>
            </w:pPr>
          </w:p>
        </w:tc>
        <w:tc>
          <w:tcPr>
            <w:tcW w:w="158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r>
      <w:tr>
        <w:trPr>
          <w:trHeight w:val="23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w:t>
            </w:r>
          </w:p>
        </w:tc>
      </w:tr>
      <w:tr>
        <w:trPr>
          <w:trHeight w:val="22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r>
      <w:tr>
        <w:trPr>
          <w:trHeight w:val="23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2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Evaluation units</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29"/>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3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23"/>
        </w:trPr>
        <w:tc>
          <w:tcPr>
            <w:tcW w:w="7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1,178.7</w:t>
            </w:r>
          </w:p>
        </w:tc>
      </w:tr>
      <w:tr>
        <w:trPr>
          <w:trHeight w:val="23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w:t>
            </w:r>
          </w:p>
        </w:tc>
      </w:tr>
      <w:tr>
        <w:trPr>
          <w:trHeight w:val="223"/>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equipment—net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898.5</w:t>
            </w:r>
          </w:p>
        </w:tc>
      </w:tr>
      <w:tr>
        <w:trPr>
          <w:trHeight w:val="21"/>
        </w:trPr>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During 2023, we purchased certain real estate in the United States, Spain, and Australia totaling $109.3 million. The purchases were accounted for under the asset acquisition method. The costs of the assets allocated to land, buildings and improvements and construction-in-progress were $41.7 million, $46.0 million and $21.6 million, respectively, based on their relative fair values.</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 was $94.5 million, $81.0 million and $65.9 million in 2023, 2022 and 2021, respectively.</w:t>
      </w:r>
    </w:p>
    <w:p>
      <w:pPr>
        <w:spacing w:after="0" w:line="248" w:lineRule="exact"/>
        <w:rPr>
          <w:sz w:val="20"/>
          <w:szCs w:val="20"/>
          <w:color w:val="auto"/>
        </w:rPr>
      </w:pPr>
    </w:p>
    <w:p>
      <w:pPr>
        <w:ind w:left="360" w:hanging="352"/>
        <w:spacing w:after="0"/>
        <w:tabs>
          <w:tab w:leader="none" w:pos="3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IN PRIVATELY HELD COMPANIES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Linksys Holdings, Inc.</w:t>
      </w:r>
    </w:p>
    <w:p>
      <w:pPr>
        <w:spacing w:after="0" w:line="243"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During 2021, we invested $160.0 million in cash for shares of the Series A Preferred Stock of Linksys for a 50.8% ownership interest in this privately held company. As of December 31, 2023 and 2022, our ownership interest remained the same. Linksys provides router connectivity solutions to the consumer and small business markets.</w:t>
      </w:r>
    </w:p>
    <w:p>
      <w:pPr>
        <w:spacing w:after="0" w:line="204"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18"/>
          <w:szCs w:val="18"/>
          <w:color w:val="auto"/>
        </w:rPr>
        <w:t>We have concluded that our investment in Linksys is an in-substance common stock investment and that we do not hold an absolute controlling financial interest in Linksys, but that we have the ability to exercise significant influence over the operating and financial policies of Linksys. Determining that we have significant influence but not control over the operating and financial policies of Linksys required significant judgement of many factors, including but not limited to the ownership interest in Linksys, board representation, participation in policy-making processes and participation rights in certain significant financial and operating decisions of Linksys in the ordinary course of business. Therefore, we determined to account for this investment using the equity method of accounting. We record our share of Linksys’ financial results on a three-month lag basis, with the exception of material transactions or events that occur during the intervening period that materially affect the financial position or results of operations. We determined that there was a basis difference between the cost of our investment in Linksys and the amount of underlying equity in net assets of Linksys.</w:t>
      </w:r>
    </w:p>
    <w:p>
      <w:pPr>
        <w:spacing w:after="0" w:line="214" w:lineRule="exact"/>
        <w:rPr>
          <w:sz w:val="20"/>
          <w:szCs w:val="20"/>
          <w:color w:val="auto"/>
        </w:rPr>
      </w:pPr>
    </w:p>
    <w:p>
      <w:pPr>
        <w:ind w:firstLine="648"/>
        <w:spacing w:after="0" w:line="230" w:lineRule="auto"/>
        <w:rPr>
          <w:sz w:val="20"/>
          <w:szCs w:val="20"/>
          <w:color w:val="auto"/>
        </w:rPr>
      </w:pPr>
      <w:r>
        <w:rPr>
          <w:rFonts w:ascii="Times New Roman" w:cs="Times New Roman" w:eastAsia="Times New Roman" w:hAnsi="Times New Roman"/>
          <w:sz w:val="18"/>
          <w:szCs w:val="18"/>
          <w:color w:val="auto"/>
        </w:rPr>
        <w:t>Our share of loss of Linksys’ financial results, as well as our share of the amortization of the basis differences, totaled $42.1 million in 2023. Our loss related to Linksys in 2022 totaled $68.1 million, which comprised of our proportionate share of Linksys’ financial results as well as the amortization of the basis differences of $45.9 million, which included a $17.5 million charge in connection with a valuation allowance established on deferred tax assets at Linksys, and the other-than-temporary impairment (“OTTI”) charge of $22.2 million recorded during the three months ended December 31, 2022. Our share of loss of Linksys’ financial results as well as our share of the amortization of the basis differences in total was $7.6 million in 2021. The loss related to Linksys is recorded in loss from equity method investments on the consolidated statements of income.</w:t>
      </w:r>
    </w:p>
    <w:p>
      <w:pPr>
        <w:spacing w:after="0" w:line="200"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Due to the presence of impairment indicators, such as a series of operating losses, current expected performance relative to expected performance when we initially invested, performance relative to peers, changes in net working capital and cash available for business operations, and the results of a discounted cash flows analysis, we evaluated our equity method investment for an OTTI during 2023 and 2022. We considered various factors in determining whether an OTTI has occurred, including Linksys financial results and operating history, our ability and intent to hold the investment until its fair value recovers, the implied revenue valuation multiples compared to guideline public companies, Linksys’ ability to achieve</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milestones and any notable operational and strategic changes. In connection with our evaluation as of December 31, 2022, we noted that certain factors were present that indicated that the equity method investment’s decline in value was OTTI, primarily driven by Linksys’ continuous losses, decrease in revenue and operating results, then current forecasted results for the foreseeable future as compared to the expected performance at the time of the investments, and the results of a discounted cash flows analysis. To determine the fair value of our investment in Linksys, we utilized a market approach referencing revenue multiples from publicly traded peer companies and concluded that the estimated fair value of the investment was lower than its carrying value. During the three months ended December 31, 2022, we recorded a non-cash impairment charge of $22.2 million on our equity method investment in Linksys. In connection with our evaluation as of December 31, 2023, we determined that an additional OTTI has not occurred. However, we may be required to recognize an impairment loss in future reporting periods if and when our evaluation of the aforementioned factors indicates that the investment in Linksys is determined to be other than temporarily impaired. Such determination will be based on the prevailing facts and circumstances at that time.</w:t>
      </w:r>
    </w:p>
    <w:p>
      <w:pPr>
        <w:spacing w:after="0" w:line="219"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The carrying amount of our Linksys investment was $42.2 million and $84.3 million as of December 31, 2023 and 2022, respectively, and the investment was included in other assets on our consolidated balance sheets.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investment</w:t>
      </w:r>
    </w:p>
    <w:p>
      <w:pPr>
        <w:spacing w:after="0" w:line="243"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On August 1, 2023, we invested $8.5 million in cash for a 19.5% ownership interest in the outstanding common stock of a privately held company that provides rugged ethernet switches, 4G/5G industrial routers and media converters for critical infrastructure customers. We accounted for this investment as an equity method investment since we have the ability to exercise significant influence, but not control, over the operating and financial policies of the privately held company. Determining that we have significant influence but not control over the operating and financial policies of the privately held company required significant judgement of many factors, including but not limited to the ownership interest, board representation, participation in policy-making processes and participation rights in certain significant financial and operating decisions in the ordinary course of business. Therefore, we determined to account for this investment using the equity method of accounting.</w:t>
      </w:r>
    </w:p>
    <w:p>
      <w:pPr>
        <w:spacing w:after="0" w:line="212" w:lineRule="exact"/>
        <w:rPr>
          <w:sz w:val="20"/>
          <w:szCs w:val="20"/>
          <w:color w:val="auto"/>
        </w:rPr>
      </w:pPr>
    </w:p>
    <w:p>
      <w:pPr>
        <w:ind w:right="80" w:firstLine="648"/>
        <w:spacing w:after="0"/>
        <w:rPr>
          <w:sz w:val="20"/>
          <w:szCs w:val="20"/>
          <w:color w:val="auto"/>
        </w:rPr>
      </w:pPr>
      <w:r>
        <w:rPr>
          <w:rFonts w:ascii="Times New Roman" w:cs="Times New Roman" w:eastAsia="Times New Roman" w:hAnsi="Times New Roman"/>
          <w:sz w:val="18"/>
          <w:szCs w:val="18"/>
          <w:color w:val="auto"/>
        </w:rPr>
        <w:t>We recorded our proportionate share of the privately held company’s financial results on a three-month lag basis and presented it in loss from equity method investments on the consolidated statements of income. Our share of income of the privately held company’s financial results, as well as our share of the amortization of the basis differences, were immaterial during 2023. The carrying amount of the investment was $8.5 million as of December 31, 2023, and the investment was included in other assets on our consolidated balance sheets.</w:t>
      </w:r>
    </w:p>
    <w:p>
      <w:pPr>
        <w:spacing w:after="0" w:line="221" w:lineRule="exact"/>
        <w:rPr>
          <w:sz w:val="20"/>
          <w:szCs w:val="20"/>
          <w:color w:val="auto"/>
        </w:rPr>
      </w:pPr>
    </w:p>
    <w:p>
      <w:pPr>
        <w:ind w:left="360" w:hanging="352"/>
        <w:spacing w:after="0"/>
        <w:tabs>
          <w:tab w:leader="none" w:pos="3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252"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2022 Acquisitions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Network Detection and Response Business</w:t>
      </w:r>
    </w:p>
    <w:p>
      <w:pPr>
        <w:spacing w:after="0" w:line="243"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auto"/>
        </w:rPr>
        <w:t>On December 22, 2022, we closed an acquisition of certain assets and liabilities of a business specializing in network detection and response for $18.0 million in cash. This acquisition was accounted for as a business combination using the acquisition method of accounting. Of the purchase price, $5.8 million was allocated to goodwill, $10.5 million was allocated to developed technology intangible asset, $10.0 million was allocated to customer relationships intangible asset and $8.3 million was allocated to other net liabilities assumed, which predominantly include deferred revenue. Goodwill recorded in connection with this acquisition is primarily attributable to the assembled workforce acquired and the anticipated operational synergies. All acquired goodwill is expected to be deductible for tax purposes. Acquisition-related costs related to this acquisition were not material and were recorded as general and administrative expense.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Alaxala Networks Corporation</w:t>
      </w:r>
    </w:p>
    <w:p>
      <w:pPr>
        <w:spacing w:after="0" w:line="243"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On October 3, 2022, we acquired the remaining 25% of equity interests in Alaxala for $13.5 million in cash, and Alaxala became a wholly owned subsidiary.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Acquisition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Alaxala Networks Corporation</w:t>
      </w:r>
    </w:p>
    <w:p>
      <w:pPr>
        <w:spacing w:after="0" w:line="283"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On August 31, 2021, we closed an acquisition of 75% of equity interests as controlling interests in Alaxala Networks Corporation (“Alaxala”), a privately held network hardware equipment company in Japan, for $64.2 million in cash. We</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the equity interests in Alaxala to broaden our offering of secure switches integrated with our secure networking solutions.</w:t>
      </w:r>
    </w:p>
    <w:p>
      <w:pPr>
        <w:spacing w:after="0" w:line="23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Under the acquisition method of accounting in accordance with ASC 805, the total purchase price was allocated to Alaxala’s identifiable tangible and intangible assets acquired and liabilities assumed based on their estimated fair values using management’s best estimates and assumptions to assign fair value as of the acquisition date. The following table provides the assets acquired and liabilities assumed as of the date of acquisition: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millions)</w:t>
            </w:r>
          </w:p>
        </w:tc>
        <w:tc>
          <w:tcPr>
            <w:tcW w:w="2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Estimated Fair Value</w:t>
            </w:r>
          </w:p>
        </w:tc>
        <w:tc>
          <w:tcPr>
            <w:tcW w:w="0" w:type="dxa"/>
            <w:vAlign w:val="bottom"/>
          </w:tcPr>
          <w:p>
            <w:pPr>
              <w:spacing w:after="0"/>
              <w:rPr>
                <w:sz w:val="1"/>
                <w:szCs w:val="1"/>
                <w:color w:val="auto"/>
              </w:rPr>
            </w:pPr>
          </w:p>
        </w:tc>
      </w:tr>
      <w:tr>
        <w:trPr>
          <w:trHeight w:val="212"/>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8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Accounts receivable—net</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9"/>
        </w:trPr>
        <w:tc>
          <w:tcPr>
            <w:tcW w:w="8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30"/>
        </w:trPr>
        <w:tc>
          <w:tcPr>
            <w:tcW w:w="8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8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Property and equipment</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8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30"/>
        </w:trPr>
        <w:tc>
          <w:tcPr>
            <w:tcW w:w="8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intangible assets</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29"/>
        </w:trPr>
        <w:tc>
          <w:tcPr>
            <w:tcW w:w="8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long-term assets</w:t>
            </w:r>
          </w:p>
        </w:tc>
        <w:tc>
          <w:tcPr>
            <w:tcW w:w="26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0" w:type="dxa"/>
            <w:vAlign w:val="bottom"/>
          </w:tcPr>
          <w:p>
            <w:pPr>
              <w:spacing w:after="0"/>
              <w:rPr>
                <w:sz w:val="1"/>
                <w:szCs w:val="1"/>
                <w:color w:val="auto"/>
              </w:rPr>
            </w:pPr>
          </w:p>
        </w:tc>
      </w:tr>
      <w:tr>
        <w:trPr>
          <w:trHeight w:val="20"/>
        </w:trPr>
        <w:tc>
          <w:tcPr>
            <w:tcW w:w="8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9"/>
        </w:trPr>
        <w:tc>
          <w:tcPr>
            <w:tcW w:w="8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29"/>
        </w:trPr>
        <w:tc>
          <w:tcPr>
            <w:tcW w:w="8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30"/>
        </w:trPr>
        <w:tc>
          <w:tcPr>
            <w:tcW w:w="89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48"/>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0"/>
        </w:trPr>
        <w:tc>
          <w:tcPr>
            <w:tcW w:w="8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980" w:type="dxa"/>
            <w:vAlign w:val="bottom"/>
            <w:tcBorders>
              <w:bottom w:val="single" w:sz="8" w:color="CCEEFF"/>
            </w:tcBorders>
            <w:vMerge w:val="continue"/>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48"/>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purchase consideration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The excess of the purchase consideration and the fair value of non-controlling interests over the fair value of net tangible and identified intangible assets acquired was recorded as goodwill, which is not deductible for tax purposes. Goodwill is primarily attributable to the assembled workforce of Alaxala and the anticipated operational synergies.</w:t>
      </w:r>
    </w:p>
    <w:p>
      <w:pPr>
        <w:spacing w:after="0" w:line="204"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fair value of the non-controlling interests of $17.8 million was estimated based on the non-controlling interests’ respective share of the fair value of Alaxala.</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Identified intangible assets acquired and their estimated useful lives as of August 31, 2021, were (in millions, except years):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4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Estimated Useful Life (in years)</w:t>
            </w:r>
          </w:p>
        </w:tc>
      </w:tr>
      <w:tr>
        <w:trPr>
          <w:trHeight w:val="225"/>
        </w:trPr>
        <w:tc>
          <w:tcPr>
            <w:tcW w:w="6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Developed technology</w:t>
            </w:r>
          </w:p>
        </w:tc>
        <w:tc>
          <w:tcPr>
            <w:tcW w:w="1680" w:type="dxa"/>
            <w:vAlign w:val="bottom"/>
            <w:shd w:val="clear" w:color="auto" w:fill="CCEEFF"/>
          </w:tcPr>
          <w:p>
            <w:pPr>
              <w:jc w:val="right"/>
              <w:ind w:right="147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30"/>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16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30"/>
        </w:trPr>
        <w:tc>
          <w:tcPr>
            <w:tcW w:w="6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name</w:t>
            </w:r>
          </w:p>
        </w:tc>
        <w:tc>
          <w:tcPr>
            <w:tcW w:w="16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29"/>
        </w:trPr>
        <w:tc>
          <w:tcPr>
            <w:tcW w:w="66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Backlog</w:t>
            </w:r>
          </w:p>
        </w:tc>
        <w:tc>
          <w:tcPr>
            <w:tcW w:w="16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34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1</w:t>
            </w:r>
          </w:p>
        </w:tc>
      </w:tr>
      <w:tr>
        <w:trPr>
          <w:trHeight w:val="248"/>
        </w:trPr>
        <w:tc>
          <w:tcPr>
            <w:tcW w:w="6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identified intangible assets:</w:t>
            </w:r>
          </w:p>
        </w:tc>
        <w:tc>
          <w:tcPr>
            <w:tcW w:w="1680" w:type="dxa"/>
            <w:vAlign w:val="bottom"/>
            <w:tcBorders>
              <w:bottom w:val="single" w:sz="8" w:color="auto"/>
            </w:tcBorders>
            <w:shd w:val="clear" w:color="auto" w:fill="CCEEFF"/>
          </w:tcPr>
          <w:p>
            <w:pPr>
              <w:jc w:val="right"/>
              <w:ind w:right="147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r>
    </w:tbl>
    <w:p>
      <w:pPr>
        <w:spacing w:after="0" w:line="306"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Developed technology relates to Alaxala’s network equipment. We valued the developed technology using the relief-from-royalty method under the income approach. This method reflects the present value of the projected cost savings that are expected to be realized by avoiding the royalty that otherwise would be granted in exchange for the use of the asset. The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economic useful life was determined based on the technology cycle related to each developed technology, as well as the cash flows over the forecast period.</w:t>
      </w:r>
    </w:p>
    <w:p>
      <w:pPr>
        <w:spacing w:after="0" w:line="250" w:lineRule="exact"/>
        <w:rPr>
          <w:sz w:val="20"/>
          <w:szCs w:val="20"/>
          <w:color w:val="auto"/>
        </w:rPr>
      </w:pPr>
    </w:p>
    <w:p>
      <w:pPr>
        <w:ind w:left="80" w:right="80" w:firstLine="648"/>
        <w:spacing w:after="0" w:line="245" w:lineRule="auto"/>
        <w:rPr>
          <w:sz w:val="20"/>
          <w:szCs w:val="20"/>
          <w:color w:val="auto"/>
        </w:rPr>
      </w:pPr>
      <w:r>
        <w:rPr>
          <w:rFonts w:ascii="Times New Roman" w:cs="Times New Roman" w:eastAsia="Times New Roman" w:hAnsi="Times New Roman"/>
          <w:sz w:val="18"/>
          <w:szCs w:val="18"/>
          <w:color w:val="auto"/>
        </w:rPr>
        <w:t>Customer relationships represent the fair value of future projected revenue that will be derived from sales to existing customers of Alaxala. Customer contracts and related relationships were valued using the multi-period excess earnings method. This method reflects the present value of the projected cash flows that are expected to be generated by the customer contracts and relationships less charges representing the contribution of other assets to those cash flows. The economic useful life was determined based on historical customer turnover rates.</w:t>
      </w:r>
    </w:p>
    <w:p>
      <w:pPr>
        <w:spacing w:after="0" w:line="208" w:lineRule="exact"/>
        <w:rPr>
          <w:sz w:val="20"/>
          <w:szCs w:val="20"/>
          <w:color w:val="auto"/>
        </w:rPr>
      </w:pPr>
    </w:p>
    <w:p>
      <w:pPr>
        <w:ind w:left="80" w:right="240" w:firstLine="648"/>
        <w:spacing w:after="0" w:line="242" w:lineRule="auto"/>
        <w:rPr>
          <w:sz w:val="20"/>
          <w:szCs w:val="20"/>
          <w:color w:val="auto"/>
        </w:rPr>
      </w:pPr>
      <w:r>
        <w:rPr>
          <w:rFonts w:ascii="Times New Roman" w:cs="Times New Roman" w:eastAsia="Times New Roman" w:hAnsi="Times New Roman"/>
          <w:sz w:val="18"/>
          <w:szCs w:val="18"/>
          <w:color w:val="auto"/>
        </w:rPr>
        <w:t>Trade name relates to the “Alaxala” trade name. The fair value was determined by applying the relief-from-royalty method under the income approach. This method is based on the application of a royalty rate to forecasted revenue under the trade name. The economic useful life was determined based on the expected life of the trade name and the cash flows anticipated over the forecast period.</w:t>
      </w:r>
    </w:p>
    <w:p>
      <w:pPr>
        <w:spacing w:after="0" w:line="211" w:lineRule="exact"/>
        <w:rPr>
          <w:sz w:val="20"/>
          <w:szCs w:val="20"/>
          <w:color w:val="auto"/>
        </w:rPr>
      </w:pPr>
    </w:p>
    <w:p>
      <w:pPr>
        <w:ind w:left="80" w:right="140" w:firstLine="648"/>
        <w:spacing w:after="0" w:line="245" w:lineRule="auto"/>
        <w:rPr>
          <w:sz w:val="20"/>
          <w:szCs w:val="20"/>
          <w:color w:val="auto"/>
        </w:rPr>
      </w:pPr>
      <w:r>
        <w:rPr>
          <w:rFonts w:ascii="Times New Roman" w:cs="Times New Roman" w:eastAsia="Times New Roman" w:hAnsi="Times New Roman"/>
          <w:sz w:val="18"/>
          <w:szCs w:val="18"/>
          <w:color w:val="auto"/>
        </w:rPr>
        <w:t>Customer backlog relates to the unfulfilled customer contract orders. Backlog was valued using the multi-period excess earnings method. This method reflects the present value of the projected cash flows that are expected to be generated by the execution of the unfulfilled customer contract orders less charges representing the contribution of other assets to those cash flows. The economic useful life was determined based on the anticipated contract orders’ execution timeframe.</w:t>
      </w:r>
    </w:p>
    <w:p>
      <w:pPr>
        <w:spacing w:after="0" w:line="208" w:lineRule="exact"/>
        <w:rPr>
          <w:sz w:val="20"/>
          <w:szCs w:val="20"/>
          <w:color w:val="auto"/>
        </w:rPr>
      </w:pPr>
    </w:p>
    <w:p>
      <w:pPr>
        <w:ind w:left="80" w:right="40" w:firstLine="648"/>
        <w:spacing w:after="0" w:line="250" w:lineRule="auto"/>
        <w:rPr>
          <w:sz w:val="20"/>
          <w:szCs w:val="20"/>
          <w:color w:val="auto"/>
        </w:rPr>
      </w:pPr>
      <w:r>
        <w:rPr>
          <w:rFonts w:ascii="Times New Roman" w:cs="Times New Roman" w:eastAsia="Times New Roman" w:hAnsi="Times New Roman"/>
          <w:sz w:val="18"/>
          <w:szCs w:val="18"/>
          <w:color w:val="auto"/>
        </w:rPr>
        <w:t>In connection with our acquisition of Alaxala, we assumed certain current debt liabilities of $20.2 million as of August 31, 2021. We concluded that the fair value of this debt approximated its book value as of the acquisition date. We repaid this debt in full in September and October 2021. During the post-acquisition period from September 1, 2021 through the repayment dates, interest expense related to Alaxala debt was not material.</w:t>
      </w:r>
    </w:p>
    <w:p>
      <w:pPr>
        <w:spacing w:after="0" w:line="204" w:lineRule="exact"/>
        <w:rPr>
          <w:sz w:val="20"/>
          <w:szCs w:val="20"/>
          <w:color w:val="auto"/>
        </w:rPr>
      </w:pPr>
    </w:p>
    <w:p>
      <w:pPr>
        <w:ind w:left="80" w:right="240" w:firstLine="648"/>
        <w:spacing w:after="0" w:line="237" w:lineRule="auto"/>
        <w:rPr>
          <w:sz w:val="20"/>
          <w:szCs w:val="20"/>
          <w:color w:val="auto"/>
        </w:rPr>
      </w:pPr>
      <w:r>
        <w:rPr>
          <w:rFonts w:ascii="Times New Roman" w:cs="Times New Roman" w:eastAsia="Times New Roman" w:hAnsi="Times New Roman"/>
          <w:sz w:val="18"/>
          <w:szCs w:val="18"/>
          <w:color w:val="auto"/>
        </w:rPr>
        <w:t>The following unaudited pro forma financial information presents the combined results of operations of Fortinet, Inc. and Alaxala, as if Alaxala had been acquired as of the beginning of business on January 1, 2020. The unaudited pro forma financial information is presented for informational purposes only and is not necessarily indicative of our consolidated results of operations of the combined business that would have been achieved if the acquisition had taken place at the beginning of business on January 1, 2020, or of the results of our future operations of the combined business. The following unaudited pro forma financial information for all periods presented includes purchase accounting adjustments for amortization of acquired intangible assets, depreciation of acquired property and equipment, the purchase accounting effect on inventory acquired and related tax effects (in millions):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40" w:type="dxa"/>
            <w:vAlign w:val="bottom"/>
          </w:tcPr>
          <w:p>
            <w:pPr>
              <w:spacing w:after="0"/>
              <w:rPr>
                <w:sz w:val="18"/>
                <w:szCs w:val="18"/>
                <w:color w:val="auto"/>
              </w:rPr>
            </w:pPr>
          </w:p>
        </w:tc>
        <w:tc>
          <w:tcPr>
            <w:tcW w:w="2760" w:type="dxa"/>
            <w:vAlign w:val="bottom"/>
            <w:tcBorders>
              <w:bottom w:val="single" w:sz="8" w:color="auto"/>
            </w:tcBorders>
            <w:gridSpan w:val="4"/>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40" w:type="dxa"/>
            <w:vAlign w:val="bottom"/>
            <w:tcBorders>
              <w:bottom w:val="single" w:sz="8" w:color="auto"/>
            </w:tcBorders>
          </w:tcPr>
          <w:p>
            <w:pPr>
              <w:spacing w:after="0"/>
              <w:rPr>
                <w:sz w:val="18"/>
                <w:szCs w:val="18"/>
                <w:color w:val="auto"/>
              </w:rPr>
            </w:pPr>
          </w:p>
        </w:tc>
      </w:tr>
      <w:tr>
        <w:trPr>
          <w:trHeight w:val="211"/>
        </w:trPr>
        <w:tc>
          <w:tcPr>
            <w:tcW w:w="78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640" w:type="dxa"/>
            <w:vAlign w:val="bottom"/>
            <w:tcBorders>
              <w:bottom w:val="single" w:sz="8" w:color="auto"/>
            </w:tcBorders>
          </w:tcPr>
          <w:p>
            <w:pPr>
              <w:spacing w:after="0"/>
              <w:rPr>
                <w:sz w:val="18"/>
                <w:szCs w:val="18"/>
                <w:color w:val="auto"/>
              </w:rPr>
            </w:pPr>
          </w:p>
        </w:tc>
      </w:tr>
      <w:tr>
        <w:trPr>
          <w:trHeight w:val="23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revenue</w:t>
            </w:r>
          </w:p>
        </w:tc>
        <w:tc>
          <w:tcPr>
            <w:tcW w:w="100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3,424.3</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2,714.7</w:t>
            </w:r>
          </w:p>
        </w:tc>
      </w:tr>
      <w:tr>
        <w:trPr>
          <w:trHeight w:val="257"/>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net income attributable to Fortinet, Inc.</w:t>
            </w:r>
          </w:p>
        </w:tc>
        <w:tc>
          <w:tcPr>
            <w:tcW w:w="1000" w:type="dxa"/>
            <w:vAlign w:val="bottom"/>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608.2</w:t>
            </w:r>
          </w:p>
        </w:tc>
        <w:tc>
          <w:tcPr>
            <w:tcW w:w="120" w:type="dxa"/>
            <w:vAlign w:val="bottom"/>
          </w:tcPr>
          <w:p>
            <w:pPr>
              <w:spacing w:after="0"/>
              <w:rPr>
                <w:sz w:val="22"/>
                <w:szCs w:val="22"/>
                <w:color w:val="auto"/>
              </w:rPr>
            </w:pPr>
          </w:p>
        </w:tc>
        <w:tc>
          <w:tcPr>
            <w:tcW w:w="100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w:t>
            </w:r>
          </w:p>
        </w:tc>
      </w:tr>
    </w:tbl>
    <w:p>
      <w:pPr>
        <w:spacing w:after="0" w:line="30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Additional acquisition-related information</w:t>
      </w:r>
    </w:p>
    <w:p>
      <w:pPr>
        <w:spacing w:after="0" w:line="243" w:lineRule="exact"/>
        <w:rPr>
          <w:sz w:val="20"/>
          <w:szCs w:val="20"/>
          <w:color w:val="auto"/>
        </w:rPr>
      </w:pPr>
    </w:p>
    <w:p>
      <w:pPr>
        <w:ind w:left="80" w:right="280" w:firstLine="648"/>
        <w:spacing w:after="0" w:line="272" w:lineRule="auto"/>
        <w:rPr>
          <w:sz w:val="20"/>
          <w:szCs w:val="20"/>
          <w:color w:val="auto"/>
        </w:rPr>
      </w:pPr>
      <w:r>
        <w:rPr>
          <w:rFonts w:ascii="Times New Roman" w:cs="Times New Roman" w:eastAsia="Times New Roman" w:hAnsi="Times New Roman"/>
          <w:sz w:val="17"/>
          <w:szCs w:val="17"/>
          <w:color w:val="auto"/>
        </w:rPr>
        <w:t>The operating results of the acquired companies are included in our consolidated statements of income from the respective dates of acquisition. Acquisition-related costs related to each acquisition were not material. Pro forma information has not been presented, except for Alaxala as disclosed above, as the impact of these acquisitions, individually and in the aggregate, in each year were not material to our consolidated financial statements.</w:t>
      </w:r>
    </w:p>
    <w:p>
      <w:pPr>
        <w:spacing w:after="0" w:line="195" w:lineRule="exact"/>
        <w:rPr>
          <w:sz w:val="20"/>
          <w:szCs w:val="20"/>
          <w:color w:val="auto"/>
        </w:rPr>
      </w:pPr>
    </w:p>
    <w:p>
      <w:pPr>
        <w:ind w:left="80"/>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8.</w:t>
        <w:tab/>
        <w:t>GOODWILL AND OTHER INTANGIBLE ASSETS—Net</w:t>
      </w:r>
    </w:p>
    <w:p>
      <w:pPr>
        <w:spacing w:after="0" w:line="25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following table presents the changes in the carrying amount of goodwill (in millions):</w:t>
      </w:r>
    </w:p>
    <w:p>
      <w:pPr>
        <w:spacing w:after="0" w:line="52"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90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26"/>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2022</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r>
      <w:tr>
        <w:trPr>
          <w:trHeight w:val="230"/>
        </w:trPr>
        <w:tc>
          <w:tcPr>
            <w:tcW w:w="9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8"/>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2023</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There were no impairments to goodwill during 2023, 2022 and 2021 or any previous periods.</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other intangible assets—net (in millions, except years):</w:t>
      </w:r>
    </w:p>
    <w:p>
      <w:pPr>
        <w:spacing w:after="0" w:line="52"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1540" w:type="dxa"/>
            <w:vAlign w:val="bottom"/>
            <w:tcBorders>
              <w:top w:val="single" w:sz="8" w:color="auto"/>
            </w:tcBorders>
            <w:gridSpan w:val="2"/>
          </w:tcPr>
          <w:p>
            <w:pPr>
              <w:jc w:val="center"/>
              <w:ind w:right="100"/>
              <w:spacing w:after="0" w:line="161" w:lineRule="exact"/>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60" w:type="dxa"/>
            <w:vAlign w:val="bottom"/>
          </w:tcPr>
          <w:p>
            <w:pPr>
              <w:spacing w:after="0"/>
              <w:rPr>
                <w:sz w:val="14"/>
                <w:szCs w:val="14"/>
                <w:color w:val="auto"/>
              </w:rPr>
            </w:pPr>
          </w:p>
        </w:tc>
        <w:tc>
          <w:tcPr>
            <w:tcW w:w="154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Useful Life (in</w:t>
            </w:r>
          </w:p>
        </w:tc>
        <w:tc>
          <w:tcPr>
            <w:tcW w:w="280" w:type="dxa"/>
            <w:vAlign w:val="bottom"/>
          </w:tcPr>
          <w:p>
            <w:pPr>
              <w:spacing w:after="0"/>
              <w:rPr>
                <w:sz w:val="14"/>
                <w:szCs w:val="14"/>
                <w:color w:val="auto"/>
              </w:rPr>
            </w:pPr>
          </w:p>
        </w:tc>
        <w:tc>
          <w:tcPr>
            <w:tcW w:w="11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556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Years)</w:t>
            </w:r>
          </w:p>
        </w:tc>
        <w:tc>
          <w:tcPr>
            <w:tcW w:w="28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assets—net:</w:t>
            </w: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Developed technologies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30"/>
        </w:trPr>
        <w:tc>
          <w:tcPr>
            <w:tcW w:w="5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Customer relationships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Trade name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Backlog</w:t>
            </w: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other intangible assets—net</w:t>
            </w: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6"/>
          <w:szCs w:val="16"/>
          <w:b w:val="1"/>
          <w:bCs w:val="1"/>
          <w:color w:val="auto"/>
        </w:rPr>
        <w:t>December 31, 2022</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540" w:type="dxa"/>
            <w:vAlign w:val="bottom"/>
            <w:tcBorders>
              <w:top w:val="single" w:sz="8" w:color="auto"/>
            </w:tcBorders>
            <w:gridSpan w:val="2"/>
          </w:tcPr>
          <w:p>
            <w:pPr>
              <w:jc w:val="center"/>
              <w:ind w:right="100"/>
              <w:spacing w:after="0" w:line="161" w:lineRule="exact"/>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60" w:type="dxa"/>
            <w:vAlign w:val="bottom"/>
          </w:tcPr>
          <w:p>
            <w:pPr>
              <w:spacing w:after="0"/>
              <w:rPr>
                <w:sz w:val="14"/>
                <w:szCs w:val="14"/>
                <w:color w:val="auto"/>
              </w:rPr>
            </w:pPr>
          </w:p>
        </w:tc>
        <w:tc>
          <w:tcPr>
            <w:tcW w:w="154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Useful Life (in</w:t>
            </w:r>
          </w:p>
        </w:tc>
        <w:tc>
          <w:tcPr>
            <w:tcW w:w="280" w:type="dxa"/>
            <w:vAlign w:val="bottom"/>
          </w:tcPr>
          <w:p>
            <w:pPr>
              <w:spacing w:after="0"/>
              <w:rPr>
                <w:sz w:val="14"/>
                <w:szCs w:val="14"/>
                <w:color w:val="auto"/>
              </w:rPr>
            </w:pPr>
          </w:p>
        </w:tc>
        <w:tc>
          <w:tcPr>
            <w:tcW w:w="11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556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Years)</w:t>
            </w:r>
          </w:p>
        </w:tc>
        <w:tc>
          <w:tcPr>
            <w:tcW w:w="28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assets—net:</w:t>
            </w: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Developed technologies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30"/>
        </w:trPr>
        <w:tc>
          <w:tcPr>
            <w:tcW w:w="5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Customer relationships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Trade name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Backlog</w:t>
            </w: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other intangible assets—net</w:t>
            </w: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Amortization expense of finite-lived intangible assets was $18.9 million, $23.3 million and $18.5 million in 2023, 2022, and 2021, respectively.</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estimated future amortization expense of finite-lived intangible assets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4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23"/>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9"/>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2027</w:t>
            </w:r>
          </w:p>
        </w:tc>
        <w:tc>
          <w:tcPr>
            <w:tcW w:w="4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2028</w:t>
            </w:r>
          </w:p>
        </w:tc>
        <w:tc>
          <w:tcPr>
            <w:tcW w:w="4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9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48"/>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360" w:hanging="352"/>
        <w:spacing w:after="0"/>
        <w:tabs>
          <w:tab w:leader="none" w:pos="3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SHARE</w:t>
      </w:r>
    </w:p>
    <w:p>
      <w:pPr>
        <w:spacing w:after="0" w:line="243" w:lineRule="exact"/>
        <w:rPr>
          <w:sz w:val="20"/>
          <w:szCs w:val="20"/>
          <w:color w:val="auto"/>
        </w:rPr>
      </w:pPr>
    </w:p>
    <w:p>
      <w:pPr>
        <w:ind w:right="200" w:firstLine="648"/>
        <w:spacing w:after="0" w:line="245" w:lineRule="auto"/>
        <w:rPr>
          <w:sz w:val="20"/>
          <w:szCs w:val="20"/>
          <w:color w:val="auto"/>
        </w:rPr>
      </w:pPr>
      <w:r>
        <w:rPr>
          <w:rFonts w:ascii="Times New Roman" w:cs="Times New Roman" w:eastAsia="Times New Roman" w:hAnsi="Times New Roman"/>
          <w:sz w:val="18"/>
          <w:szCs w:val="18"/>
          <w:color w:val="auto"/>
        </w:rPr>
        <w:t>Basic net income per share is computed by dividing net income attributable to Fortinet, Inc., by the weighted-average number of shares of common stock outstanding during the period. Diluted net income per share is computed by dividing net income attributable to Fortinet, Inc. by the weighted-average number of shares of common stock outstanding during the period, plus the dilutive effects of restricted stock units RSUs, stock options and PSUs. Dilutive shares of common stock are determined by applying the treasury stock method.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60" w:firstLine="648"/>
        <w:spacing w:after="0" w:line="275" w:lineRule="auto"/>
        <w:rPr>
          <w:sz w:val="20"/>
          <w:szCs w:val="20"/>
          <w:color w:val="auto"/>
        </w:rPr>
      </w:pPr>
      <w:r>
        <w:rPr>
          <w:rFonts w:ascii="Times New Roman" w:cs="Times New Roman" w:eastAsia="Times New Roman" w:hAnsi="Times New Roman"/>
          <w:sz w:val="18"/>
          <w:szCs w:val="18"/>
          <w:color w:val="auto"/>
        </w:rPr>
        <w:t>A reconciliation of the numerator and denominator used in the calculation of basic and diluted net income per share attributable to Fortinet, Inc. is (in millions, except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9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including non-controlling interests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606.7</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Fortinet, Inc.</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857.3</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606.8</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shares: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Weighted-average common stock outstanding-basic</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778.6</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791.4</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816.1</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 shares: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Weighted-average common stock outstanding-basic</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816.1</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Effect of potentially dilutive securities: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RSUs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Stock options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9"/>
        </w:trPr>
        <w:tc>
          <w:tcPr>
            <w:tcW w:w="6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PSUs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6"/>
        </w:trPr>
        <w:tc>
          <w:tcPr>
            <w:tcW w:w="694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Weighted-average shares used to compute diluted net income per share attributable to Fortinet,</w:t>
            </w:r>
          </w:p>
        </w:tc>
        <w:tc>
          <w:tcPr>
            <w:tcW w:w="3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788.2</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805.3</w:t>
            </w:r>
          </w:p>
        </w:tc>
        <w:tc>
          <w:tcPr>
            <w:tcW w:w="1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835.3</w:t>
            </w:r>
          </w:p>
        </w:tc>
        <w:tc>
          <w:tcPr>
            <w:tcW w:w="0" w:type="dxa"/>
            <w:vAlign w:val="bottom"/>
          </w:tcPr>
          <w:p>
            <w:pPr>
              <w:spacing w:after="0"/>
              <w:rPr>
                <w:sz w:val="1"/>
                <w:szCs w:val="1"/>
                <w:color w:val="auto"/>
              </w:rPr>
            </w:pPr>
          </w:p>
        </w:tc>
      </w:tr>
      <w:tr>
        <w:trPr>
          <w:trHeight w:val="236"/>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w:t>
            </w: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Fortinet, Inc.:</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9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69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40" w:type="dxa"/>
            <w:vAlign w:val="bottom"/>
          </w:tcPr>
          <w:p>
            <w:pPr>
              <w:ind w:left="48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0.73</w:t>
            </w:r>
          </w:p>
        </w:tc>
        <w:tc>
          <w:tcPr>
            <w:tcW w:w="0" w:type="dxa"/>
            <w:vAlign w:val="bottom"/>
          </w:tcPr>
          <w:p>
            <w:pPr>
              <w:spacing w:after="0"/>
              <w:rPr>
                <w:sz w:val="1"/>
                <w:szCs w:val="1"/>
                <w:color w:val="auto"/>
              </w:rPr>
            </w:pPr>
          </w:p>
        </w:tc>
      </w:tr>
      <w:tr>
        <w:trPr>
          <w:trHeight w:val="21"/>
        </w:trPr>
        <w:tc>
          <w:tcPr>
            <w:tcW w:w="6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weighted-average shares of common stock were excluded from the computation of diluted net income per share attributable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Fortinet, Inc. for the periods presented, as their effect would have been antidilutive (in millions):</w:t>
      </w:r>
    </w:p>
    <w:p>
      <w:pPr>
        <w:spacing w:after="0" w:line="34"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44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10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
        </w:trPr>
        <w:tc>
          <w:tcPr>
            <w:tcW w:w="64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460" w:hanging="452"/>
        <w:spacing w:after="0"/>
        <w:tabs>
          <w:tab w:leader="none" w:pos="4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56"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We have operating leases for offices, research and development facilities and data centers. Our leases have remaining terms that range from less than one year to approximately six years, some of which include one or more options to renew, with renewal terms of up to seven years. Unless and until we are reasonably certain we will exercise these renewal options, we do not include renewal options in our lease terms for calculating our lease liability, as the renewal options allow us to maintain operational flexibility. Our finance leases were not material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expense were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60" w:type="dxa"/>
            <w:vAlign w:val="bottom"/>
            <w:tcBorders>
              <w:bottom w:val="single" w:sz="8" w:color="auto"/>
            </w:tcBorders>
          </w:tcPr>
          <w:p>
            <w:pPr>
              <w:spacing w:after="0"/>
              <w:rPr>
                <w:sz w:val="18"/>
                <w:szCs w:val="18"/>
                <w:color w:val="auto"/>
              </w:rPr>
            </w:pPr>
          </w:p>
        </w:tc>
      </w:tr>
      <w:tr>
        <w:trPr>
          <w:trHeight w:val="211"/>
        </w:trPr>
        <w:tc>
          <w:tcPr>
            <w:tcW w:w="65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02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29"/>
        </w:trPr>
        <w:tc>
          <w:tcPr>
            <w:tcW w:w="65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Variable lease expense </w:t>
            </w:r>
            <w:r>
              <w:rPr>
                <w:rFonts w:ascii="Times New Roman" w:cs="Times New Roman" w:eastAsia="Times New Roman" w:hAnsi="Times New Roman"/>
                <w:sz w:val="23"/>
                <w:szCs w:val="23"/>
                <w:color w:val="auto"/>
                <w:vertAlign w:val="superscript"/>
              </w:rPr>
              <w:t>(1)</w:t>
            </w:r>
          </w:p>
        </w:tc>
        <w:tc>
          <w:tcPr>
            <w:tcW w:w="10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10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3"/>
        </w:trPr>
        <w:tc>
          <w:tcPr>
            <w:tcW w:w="6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lease expense</w:t>
            </w:r>
          </w:p>
        </w:tc>
        <w:tc>
          <w:tcPr>
            <w:tcW w:w="102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1"/>
        </w:trPr>
        <w:tc>
          <w:tcPr>
            <w:tcW w:w="6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20" w:right="440" w:firstLine="6"/>
        <w:spacing w:after="0" w:line="246" w:lineRule="auto"/>
        <w:tabs>
          <w:tab w:leader="none" w:pos="169" w:val="left"/>
        </w:tabs>
        <w:numPr>
          <w:ilvl w:val="0"/>
          <w:numId w:val="5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Variable lease expense for the years ended December 31, 2023, 2022 and 2021 predominantly included common area maintenance charges, real estate taxes, certain parking expense, utilities based on actual usage and insurance costs.</w:t>
      </w:r>
    </w:p>
    <w:p>
      <w:pPr>
        <w:spacing w:after="0" w:line="3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balance sheet information related to our operating leases was (in millions, except lease term and discount rate):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20" w:type="dxa"/>
            <w:vAlign w:val="bottom"/>
          </w:tcPr>
          <w:p>
            <w:pPr>
              <w:spacing w:after="0"/>
              <w:rPr>
                <w:sz w:val="16"/>
                <w:szCs w:val="16"/>
                <w:color w:val="auto"/>
              </w:rPr>
            </w:pPr>
          </w:p>
        </w:tc>
        <w:tc>
          <w:tcPr>
            <w:tcW w:w="1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100" w:type="dxa"/>
            <w:vAlign w:val="bottom"/>
            <w:vMerge w:val="restart"/>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6"/>
                <w:szCs w:val="16"/>
                <w:color w:val="auto"/>
              </w:rPr>
            </w:pPr>
          </w:p>
        </w:tc>
        <w:tc>
          <w:tcPr>
            <w:tcW w:w="1420" w:type="dxa"/>
            <w:vAlign w:val="bottom"/>
          </w:tcPr>
          <w:p>
            <w:pPr>
              <w:jc w:val="center"/>
              <w:ind w:right="156"/>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602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ROU assets – non-current</w:t>
            </w:r>
          </w:p>
        </w:tc>
        <w:tc>
          <w:tcPr>
            <w:tcW w:w="1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96.3</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lease liabilities – current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lease liabilities – non-current</w:t>
      </w:r>
    </w:p>
    <w:p>
      <w:pPr>
        <w:spacing w:after="0" w:line="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operating lease liabilities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33.2</w:t>
            </w:r>
          </w:p>
        </w:tc>
      </w:tr>
      <w:tr>
        <w:trPr>
          <w:trHeight w:val="23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6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62.5</w:t>
            </w:r>
          </w:p>
        </w:tc>
      </w:tr>
      <w:tr>
        <w:trPr>
          <w:trHeight w:val="223"/>
        </w:trPr>
        <w:tc>
          <w:tcPr>
            <w:tcW w:w="178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95.7</w:t>
            </w:r>
          </w:p>
        </w:tc>
      </w:tr>
      <w:tr>
        <w:trPr>
          <w:trHeight w:val="20"/>
        </w:trPr>
        <w:tc>
          <w:tcPr>
            <w:tcW w:w="17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-479425</wp:posOffset>
            </wp:positionV>
            <wp:extent cx="7089140"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89140" cy="14605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-187960</wp:posOffset>
            </wp:positionV>
            <wp:extent cx="708914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8914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20" w:space="720"/>
            <w:col w:w="5200"/>
          </w:cols>
          <w:pgMar w:left="320" w:top="121" w:right="339" w:bottom="1440" w:gutter="0" w:footer="0" w:header="0"/>
          <w:type w:val="continuous"/>
        </w:sectPr>
      </w:pP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 – operating leases</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tcPr>
          <w:p>
            <w:pPr>
              <w:spacing w:after="0"/>
              <w:rPr>
                <w:sz w:val="19"/>
                <w:szCs w:val="19"/>
                <w:color w:val="auto"/>
              </w:rPr>
            </w:pPr>
          </w:p>
        </w:tc>
      </w:tr>
      <w:tr>
        <w:trPr>
          <w:trHeight w:val="234"/>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60" w:type="dxa"/>
            <w:vAlign w:val="bottom"/>
          </w:tcPr>
          <w:p>
            <w:pPr>
              <w:spacing w:after="0"/>
              <w:rPr>
                <w:sz w:val="20"/>
                <w:szCs w:val="20"/>
                <w:color w:val="auto"/>
              </w:rPr>
            </w:pPr>
          </w:p>
        </w:tc>
      </w:tr>
      <w:tr>
        <w:trPr>
          <w:trHeight w:val="535"/>
        </w:trPr>
        <w:tc>
          <w:tcPr>
            <w:tcW w:w="6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(in millions):</w:t>
            </w: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3"/>
        </w:trPr>
        <w:tc>
          <w:tcPr>
            <w:tcW w:w="6840" w:type="dxa"/>
            <w:vAlign w:val="bottom"/>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7"/>
          </w:tcPr>
          <w:p>
            <w:pPr>
              <w:jc w:val="center"/>
              <w:ind w:left="3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r>
      <w:tr>
        <w:trPr>
          <w:trHeight w:val="211"/>
        </w:trPr>
        <w:tc>
          <w:tcPr>
            <w:tcW w:w="68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Borders>
              <w:bottom w:val="single" w:sz="8" w:color="auto"/>
            </w:tcBorders>
          </w:tcPr>
          <w:p>
            <w:pPr>
              <w:spacing w:after="0"/>
              <w:rPr>
                <w:sz w:val="18"/>
                <w:szCs w:val="18"/>
                <w:color w:val="auto"/>
              </w:rPr>
            </w:pPr>
          </w:p>
        </w:tc>
      </w:tr>
      <w:tr>
        <w:trPr>
          <w:trHeight w:val="211"/>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flows used for operating leases</w:t>
            </w:r>
          </w:p>
        </w:tc>
        <w:tc>
          <w:tcPr>
            <w:tcW w:w="94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60" w:type="dxa"/>
            <w:vAlign w:val="bottom"/>
          </w:tcPr>
          <w:p>
            <w:pPr>
              <w:spacing w:after="0"/>
              <w:rPr>
                <w:sz w:val="20"/>
                <w:szCs w:val="20"/>
                <w:color w:val="auto"/>
              </w:rPr>
            </w:pPr>
          </w:p>
        </w:tc>
      </w:tr>
      <w:tr>
        <w:trPr>
          <w:trHeight w:val="549"/>
        </w:trPr>
        <w:tc>
          <w:tcPr>
            <w:tcW w:w="6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Maturities of operating lease liabilities as of December 31, 2023 were (in millions):</w:t>
            </w: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6"/>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94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3"/>
          </w:tcPr>
          <w:p>
            <w:pPr>
              <w:jc w:val="right"/>
              <w:ind w:right="69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Pr>
          <w:p>
            <w:pPr>
              <w:spacing w:after="0"/>
              <w:rPr>
                <w:sz w:val="22"/>
                <w:szCs w:val="22"/>
                <w:color w:val="auto"/>
              </w:rPr>
            </w:pPr>
          </w:p>
        </w:tc>
      </w:tr>
      <w:tr>
        <w:trPr>
          <w:trHeight w:val="22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60" w:type="dxa"/>
            <w:vAlign w:val="bottom"/>
          </w:tcPr>
          <w:p>
            <w:pPr>
              <w:spacing w:after="0"/>
              <w:rPr>
                <w:sz w:val="19"/>
                <w:szCs w:val="19"/>
                <w:color w:val="auto"/>
              </w:rPr>
            </w:pPr>
          </w:p>
        </w:tc>
      </w:tr>
      <w:tr>
        <w:trPr>
          <w:trHeight w:val="229"/>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60" w:type="dxa"/>
            <w:vAlign w:val="bottom"/>
          </w:tcPr>
          <w:p>
            <w:pPr>
              <w:spacing w:after="0"/>
              <w:rPr>
                <w:sz w:val="19"/>
                <w:szCs w:val="19"/>
                <w:color w:val="auto"/>
              </w:rPr>
            </w:pPr>
          </w:p>
        </w:tc>
      </w:tr>
      <w:tr>
        <w:trPr>
          <w:trHeight w:val="23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60" w:type="dxa"/>
            <w:vAlign w:val="bottom"/>
          </w:tcPr>
          <w:p>
            <w:pPr>
              <w:spacing w:after="0"/>
              <w:rPr>
                <w:sz w:val="19"/>
                <w:szCs w:val="19"/>
                <w:color w:val="auto"/>
              </w:rPr>
            </w:pPr>
          </w:p>
        </w:tc>
      </w:tr>
      <w:tr>
        <w:trPr>
          <w:trHeight w:val="230"/>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60" w:type="dxa"/>
            <w:vAlign w:val="bottom"/>
          </w:tcPr>
          <w:p>
            <w:pPr>
              <w:spacing w:after="0"/>
              <w:rPr>
                <w:sz w:val="19"/>
                <w:szCs w:val="19"/>
                <w:color w:val="auto"/>
              </w:rPr>
            </w:pPr>
          </w:p>
        </w:tc>
      </w:tr>
      <w:tr>
        <w:trPr>
          <w:trHeight w:val="23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60" w:type="dxa"/>
            <w:vAlign w:val="bottom"/>
          </w:tcPr>
          <w:p>
            <w:pPr>
              <w:spacing w:after="0"/>
              <w:rPr>
                <w:sz w:val="19"/>
                <w:szCs w:val="19"/>
                <w:color w:val="auto"/>
              </w:rPr>
            </w:pPr>
          </w:p>
        </w:tc>
      </w:tr>
      <w:tr>
        <w:trPr>
          <w:trHeight w:val="229"/>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94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spacing w:after="0"/>
              <w:rPr>
                <w:sz w:val="19"/>
                <w:szCs w:val="19"/>
                <w:color w:val="auto"/>
              </w:rPr>
            </w:pPr>
          </w:p>
        </w:tc>
      </w:tr>
      <w:tr>
        <w:trPr>
          <w:trHeight w:val="22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60" w:type="dxa"/>
            <w:vAlign w:val="bottom"/>
          </w:tcPr>
          <w:p>
            <w:pPr>
              <w:spacing w:after="0"/>
              <w:rPr>
                <w:sz w:val="19"/>
                <w:szCs w:val="19"/>
                <w:color w:val="auto"/>
              </w:rPr>
            </w:pPr>
          </w:p>
        </w:tc>
      </w:tr>
      <w:tr>
        <w:trPr>
          <w:trHeight w:val="229"/>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94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60" w:type="dxa"/>
            <w:vAlign w:val="bottom"/>
          </w:tcPr>
          <w:p>
            <w:pPr>
              <w:spacing w:after="0"/>
              <w:rPr>
                <w:sz w:val="19"/>
                <w:szCs w:val="19"/>
                <w:color w:val="auto"/>
              </w:rPr>
            </w:pPr>
          </w:p>
        </w:tc>
      </w:tr>
      <w:tr>
        <w:trPr>
          <w:trHeight w:val="248"/>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center"/>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60" w:type="dxa"/>
            <w:vAlign w:val="bottom"/>
          </w:tcPr>
          <w:p>
            <w:pPr>
              <w:spacing w:after="0"/>
              <w:rPr>
                <w:sz w:val="21"/>
                <w:szCs w:val="2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2023, our operating leases that had been signed but had not yet commenced were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0" w:hanging="432"/>
        <w:spacing w:after="0"/>
        <w:tabs>
          <w:tab w:leader="none" w:pos="4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and 2031 Senior Notes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March 5, 2021, we issued $1.0 billion aggregate principal amount of senior notes (collectively, the “Senior Notes”), consisting of</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$500.0 million aggregate principal amount of 1.0% notes due March 15, 2026 (the “2026 Senior Notes”) and $500.0 million aggregate principal amount of 2.2% notes due March 15, 2031 (the “2031 Senior Notes”), in an underwritten registered public offering. The Senior Notes are senior unsecured obligations and rank equally with each other in right of payment and with our other outstanding obligations. We may redeem the Senior Notes at any time in whole or in part for cash, at specified redemption prices that include accrued and unpaid interest, if any, and a make-whole premium. However, no make-whole premium will be paid for redemptions of the 2026 Senior Notes on or after February 15, 2026, or the 2031 Senior Notes on or after December 15, 2030. Interest on the Senior Notes is payable on March 15 and September 15 of each year, beginning on September 15, 2021. As of December 31, 2023, the Senior Notes were recorded as long-term debt, net of discount and issuance costs, which are amortized to interest expense over the respective contractual terms of these notes using the effective interest method.</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total outstanding debt is summarized below (in millions, except percentages):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14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15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Coupon Rate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Effective Interest</w:t>
            </w:r>
          </w:p>
        </w:tc>
        <w:tc>
          <w:tcPr>
            <w:tcW w:w="160" w:type="dxa"/>
            <w:vAlign w:val="bottom"/>
          </w:tcPr>
          <w:p>
            <w:pPr>
              <w:spacing w:after="0"/>
              <w:rPr>
                <w:sz w:val="16"/>
                <w:szCs w:val="16"/>
                <w:color w:val="auto"/>
              </w:rPr>
            </w:pP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5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60" w:type="dxa"/>
            <w:vAlign w:val="bottom"/>
          </w:tcPr>
          <w:p>
            <w:pPr>
              <w:spacing w:after="0"/>
              <w:rPr>
                <w:sz w:val="18"/>
                <w:szCs w:val="18"/>
                <w:color w:val="auto"/>
              </w:rPr>
            </w:pPr>
          </w:p>
        </w:tc>
        <w:tc>
          <w:tcPr>
            <w:tcW w:w="118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Debt</w:t>
            </w: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2026 Senior Notes</w:t>
            </w: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2026</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2031 Senior Notes</w:t>
            </w:r>
          </w:p>
        </w:tc>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2031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discount and debt issuance costs</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992.3</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2023 and 2022, we accrued interest payable of $4.7 million, and there are no financial covenants with which we must comply. In 2023, 2022 and 2021 we recorded $17.9 million, $17.9 million and $14.7 million of total interest expense in relation to these Senior Notes and repaid $16.0 million, $16.0 million and $8.4 million of interest in cash, respectively. No interest costs were capitalized in 2023, 2022 and 2021, as the costs that qualified for capitalization were not material.</w:t>
      </w:r>
    </w:p>
    <w:p>
      <w:pPr>
        <w:spacing w:after="0" w:line="207"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total estimated fair value of the outstanding Senior Notes was approximately $882.6 million, including accrued and unpaid interest, as of December 31, 2023. The fair value was determined based on observable market prices of identical instruments in less active markets. The estimated fair values are based on Level 2 inputs.</w:t>
      </w:r>
    </w:p>
    <w:p>
      <w:pPr>
        <w:spacing w:after="0" w:line="199" w:lineRule="exact"/>
        <w:rPr>
          <w:sz w:val="20"/>
          <w:szCs w:val="20"/>
          <w:color w:val="auto"/>
        </w:rPr>
      </w:pPr>
    </w:p>
    <w:p>
      <w:pPr>
        <w:ind w:left="460" w:hanging="452"/>
        <w:spacing w:after="0"/>
        <w:tabs>
          <w:tab w:leader="none" w:pos="4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inventory purchase commitments as of December 31, 2023 (in millions):</w:t>
      </w:r>
    </w:p>
    <w:p>
      <w:pPr>
        <w:spacing w:after="0" w:line="5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4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Thereafter</w:t>
            </w:r>
          </w:p>
        </w:tc>
      </w:tr>
      <w:tr>
        <w:trPr>
          <w:trHeight w:val="22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purchase commitments</w:t>
            </w:r>
          </w:p>
        </w:tc>
        <w:tc>
          <w:tcPr>
            <w:tcW w:w="98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w:t>
            </w:r>
          </w:p>
        </w:tc>
      </w:tr>
    </w:tbl>
    <w:p>
      <w:pPr>
        <w:spacing w:after="0" w:line="288"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18"/>
          <w:szCs w:val="18"/>
          <w:b w:val="1"/>
          <w:bCs w:val="1"/>
          <w:color w:val="auto"/>
        </w:rPr>
        <w:t>Inventory Purchase Commitments</w:t>
      </w:r>
      <w:r>
        <w:rPr>
          <w:rFonts w:ascii="Times New Roman" w:cs="Times New Roman" w:eastAsia="Times New Roman" w:hAnsi="Times New Roman"/>
          <w:sz w:val="18"/>
          <w:szCs w:val="18"/>
          <w:color w:val="auto"/>
        </w:rPr>
        <w:t>—Our independent contract manufacturers and certain component suppliers procure components and build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products based on our forecasts, the availability of various components and their capacity. These forecasts are based on estimates of future demand for our products, which are in turn based on historical trends and an analysis from our sales and marketing organizations, adjusted for lead times, changes in supplier delivery commitments and other supply chain matters and market conditions. In order to manage manufacturing lead times, plan for adequate component supply and incentivize suppliers to deliver, we may issue purchase orders to some of our independent contract manufacturers which are non-cancelable. As of December 31, 2023, we had $637.3 million of open purchase orders with our independent contract manufacturers that consist of non-cancelable commitments. In certain instances, these agreements allow us the option to reschedule and adjust our requirements based on our business needs prior to firm orders being placed. We record a liability for non-cancelable inventory purchase commitments for quantities in excess of our future estimated demand forecasts, consistent with the valuation of our excess and obsolete inventory. As of December 31, 2023, the liability for these inventory purchase commitments was $84.7 million and was included in accrued liabilities. The expense related to such accrued liability</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for inventory purchase commitments was $85.9 million for the year ended December 31, 2023, and not material for the years ended December 31, 2022 and 2021, and was recorded in cost of product revenue on the consolidated statements of income.</w:t>
      </w:r>
    </w:p>
    <w:p>
      <w:pPr>
        <w:spacing w:after="0" w:line="199"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Other Contractual Commitments and Open Purchase Orders</w:t>
      </w:r>
      <w:r>
        <w:rPr>
          <w:rFonts w:ascii="Times New Roman" w:cs="Times New Roman" w:eastAsia="Times New Roman" w:hAnsi="Times New Roman"/>
          <w:sz w:val="18"/>
          <w:szCs w:val="18"/>
          <w:color w:val="auto"/>
        </w:rPr>
        <w:t>—In addition to commitments with contract manufacturers and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component suppliers, we have open purchase orders and contractual obligations in the ordinary course of business for which we have not received goods or services. A significant portion of our reported purchase commitments consist of firm and non-cancelable commitments. In certain instances, contractual commitments allow us the option to cancel, reschedule, and adjust our requirements based on our business needs prior to firm orders being placed. As of December 31, 2023, we had $66.9 million in other contractual commitments having a remaining term in excess of one year that are non-cancelable.</w:t>
      </w:r>
    </w:p>
    <w:p>
      <w:pPr>
        <w:spacing w:after="0" w:line="193"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18"/>
          <w:szCs w:val="18"/>
          <w:b w:val="1"/>
          <w:bCs w:val="1"/>
          <w:color w:val="auto"/>
        </w:rPr>
        <w:t>Litigation</w:t>
      </w:r>
      <w:r>
        <w:rPr>
          <w:rFonts w:ascii="Times New Roman" w:cs="Times New Roman" w:eastAsia="Times New Roman" w:hAnsi="Times New Roman"/>
          <w:sz w:val="18"/>
          <w:szCs w:val="18"/>
          <w:color w:val="auto"/>
        </w:rPr>
        <w:t>—We are involved in disputes, litigation, and other legal actions. For lawsuits where we are the defendant, we are in the process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defending these litigation matters, and while there can be no assurances and the outcome of certain of these matters is currently not determinable and not predictable, we currently are unaware of any existing claims or proceedings that we believe are likely to have a material adverse effect on our financial position. There are many uncertainties associated with any litigation and these actions or other third-party claims against us may cause us to incur costly litigation fees, costs and substantial settlement charges, and possibly subject us to damages and other penalties. In addition, the resolution of any intellectual property (“IP”) litigation may require us to make royalty payments, which could adversely affect our gross margins in future periods. If any of those events were to occur, our business, financial condition, results of operations, and cash flows could be adversely affected. Litigation is unpredictable and the actual liability in any such matters may be materially different from our current estimates, which could result in the need to adjust any accrued liability and record additional expenses. We accrue for contingencies when we believe that a loss is probable and that we can reasonably estimate the amount of any such loss. These accruals are generally based on a range of possible outcomes that require significant management judgement. If no amount within a range is a better estimate than any other, we accrue the minimum amount. Litigation loss contingency accruals associated with outstanding cases were not material as of December 31, 2023 and 2022.</w:t>
      </w:r>
    </w:p>
    <w:p>
      <w:pPr>
        <w:spacing w:after="0" w:line="221" w:lineRule="exact"/>
        <w:rPr>
          <w:sz w:val="20"/>
          <w:szCs w:val="20"/>
          <w:color w:val="auto"/>
        </w:rPr>
      </w:pPr>
    </w:p>
    <w:p>
      <w:pPr>
        <w:ind w:right="100" w:firstLine="648"/>
        <w:spacing w:after="0" w:line="242" w:lineRule="auto"/>
        <w:rPr>
          <w:sz w:val="20"/>
          <w:szCs w:val="20"/>
          <w:color w:val="auto"/>
        </w:rPr>
      </w:pPr>
      <w:r>
        <w:rPr>
          <w:rFonts w:ascii="Times New Roman" w:cs="Times New Roman" w:eastAsia="Times New Roman" w:hAnsi="Times New Roman"/>
          <w:sz w:val="18"/>
          <w:szCs w:val="18"/>
          <w:color w:val="auto"/>
        </w:rPr>
        <w:t>On March 21, 2019, we were sued by Alorica Inc. (“Alorica”) in Santa Clara County Superior Court in California. Alorica has alleged breach of warranty and misrepresentation claims, which we deny. Fact discovery closed during the quarter ended June 30, 2023. Trial is set for May 2024. Although we believe that the ultimate outcome of this matter will not materially impact our financial position, results of operations or cash flows, legal proceedings are subject to inherent uncertainties, and an unfavorable ruling could occur, which may result in a material adverse impact on our business, financial position, results of operations and cash flows. No loss accrual had been recorded as of December 31, 2023 related to this litigation.</w:t>
      </w:r>
    </w:p>
    <w:p>
      <w:pPr>
        <w:spacing w:after="0" w:line="22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Indemnification and Other Matters</w:t>
      </w:r>
      <w:r>
        <w:rPr>
          <w:rFonts w:ascii="Times New Roman" w:cs="Times New Roman" w:eastAsia="Times New Roman" w:hAnsi="Times New Roman"/>
          <w:sz w:val="18"/>
          <w:szCs w:val="18"/>
          <w:color w:val="auto"/>
        </w:rPr>
        <w:t>—Under the indemnification provisions of our standard sales contracts, we agree to defend our customers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third-party claims asserting various allegations such as product defects and infringement of certain IP rights, which may include patents, copyrights, trademarks or trade secrets, and to pay judgments entered on such claims. In some contracts, our exposure under these indemnification provisions is limited by the terms of the contracts to certain defined limits, such as the total amount paid by our customer under the agreement. However, certain agreements include covenants, penalties and indemnification provisions including and beyond indemnification for third-party claims of IP infringement that could potentially expose us to losses in excess of the amount received under the agreement, and in some instances to potential liability that is not contractually limited. Although from time to time there are indemnification claims asserted against us and currently there are pending indemnification claims, to date there have been no material awards under such indemnification provisions.</w:t>
      </w:r>
    </w:p>
    <w:p>
      <w:pPr>
        <w:spacing w:after="0" w:line="216"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Similar to other security companies and companies in other industries, we have experienced and may experience in the future, cybersecurity threats, malicious activity directed against our information technology infrastructure or unauthorized attempts to gain access to our and our customers’ sensitive information and systems. We currently are unaware of any existing claims or proceedings related to these types of matters, including any that we believe are likely to have a material adverse effect on our financial position.</w:t>
      </w:r>
    </w:p>
    <w:p>
      <w:pPr>
        <w:spacing w:after="0" w:line="200" w:lineRule="exact"/>
        <w:rPr>
          <w:sz w:val="20"/>
          <w:szCs w:val="20"/>
          <w:color w:val="auto"/>
        </w:rPr>
      </w:pPr>
    </w:p>
    <w:p>
      <w:pPr>
        <w:ind w:left="460" w:hanging="452"/>
        <w:spacing w:after="0"/>
        <w:tabs>
          <w:tab w:leader="none" w:pos="4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PLANS AND SHARE REPURCHASE PROGRAM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Plans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one primary stock incentive plan, the 2009 EIP, under which we have granted RSUs, stock options and PSUs.</w:t>
      </w:r>
    </w:p>
    <w:p>
      <w:pPr>
        <w:spacing w:after="0" w:line="252"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approved the 2009 EIP in 2009 and amended the plan in 2019. The maximum aggregate number of shares that may be issued under the 2009 EIP is 239,367,655 shares; provided, however, that only 67,500,000 shares may be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issued or transferred pursuant to new awards granted on or following the effective date of the 2009 EIP. We may grant awards to employees, directors and other service providers. In the case of an incentive stock option granted to an employee who, at the time of the grant, owns stock representing more than 10% of the voting power of all classes of stock, the exercise price shall be no less than 110% of the fair market value per share on the date of grant and expire no more than five years from the date of grant, and options granted to any other employee, the per share exercise price shall be no less than 100% of the closing stock price on the date of grant. In the case of a non-statutory stock option and options granted to other service providers, the per share exercise price shall be no less than 100% of the fair market value per share on the date of grant. Options granted to individuals owning less than 10% of the total combined voting power of all classes of stock generally have a contractual term of no more than ten years and options generally vest over four years.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2023, there were a total of 53.6 million shares of common stock available for grant under the 2009 EIP.</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6" w:lineRule="exact"/>
        <w:rPr>
          <w:sz w:val="20"/>
          <w:szCs w:val="20"/>
          <w:color w:val="auto"/>
        </w:rPr>
      </w:pPr>
    </w:p>
    <w:p>
      <w:pPr>
        <w:ind w:right="500" w:firstLine="648"/>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activity and related information for RSUs for the periods presented below (in millions, except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18"/>
                <w:szCs w:val="18"/>
                <w:color w:val="auto"/>
              </w:rPr>
            </w:pPr>
          </w:p>
        </w:tc>
        <w:tc>
          <w:tcPr>
            <w:tcW w:w="3640" w:type="dxa"/>
            <w:vAlign w:val="bottom"/>
            <w:tcBorders>
              <w:bottom w:val="single" w:sz="8" w:color="auto"/>
            </w:tcBorders>
            <w:gridSpan w:val="4"/>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Restricted Stock Units Outstanding</w:t>
            </w:r>
          </w:p>
        </w:tc>
        <w:tc>
          <w:tcPr>
            <w:tcW w:w="0" w:type="dxa"/>
            <w:vAlign w:val="bottom"/>
          </w:tcPr>
          <w:p>
            <w:pPr>
              <w:spacing w:after="0"/>
              <w:rPr>
                <w:sz w:val="1"/>
                <w:szCs w:val="1"/>
                <w:color w:val="auto"/>
              </w:rPr>
            </w:pPr>
          </w:p>
        </w:tc>
      </w:tr>
      <w:tr>
        <w:trPr>
          <w:trHeight w:val="158"/>
        </w:trPr>
        <w:tc>
          <w:tcPr>
            <w:tcW w:w="76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jc w:val="center"/>
              <w:ind w:right="12"/>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0" w:type="dxa"/>
            <w:vAlign w:val="bottom"/>
          </w:tcPr>
          <w:p>
            <w:pPr>
              <w:spacing w:after="0"/>
              <w:rPr>
                <w:sz w:val="1"/>
                <w:szCs w:val="1"/>
                <w:color w:val="auto"/>
              </w:rPr>
            </w:pPr>
          </w:p>
        </w:tc>
      </w:tr>
      <w:tr>
        <w:trPr>
          <w:trHeight w:val="162"/>
        </w:trPr>
        <w:tc>
          <w:tcPr>
            <w:tcW w:w="7600" w:type="dxa"/>
            <w:vAlign w:val="bottom"/>
          </w:tcPr>
          <w:p>
            <w:pPr>
              <w:spacing w:after="0"/>
              <w:rPr>
                <w:sz w:val="14"/>
                <w:szCs w:val="14"/>
                <w:color w:val="auto"/>
              </w:rPr>
            </w:pPr>
          </w:p>
        </w:tc>
        <w:tc>
          <w:tcPr>
            <w:tcW w:w="18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Pr>
          <w:p>
            <w:pPr>
              <w:spacing w:after="0"/>
              <w:rPr>
                <w:sz w:val="14"/>
                <w:szCs w:val="14"/>
                <w:color w:val="auto"/>
              </w:rPr>
            </w:pPr>
          </w:p>
        </w:tc>
        <w:tc>
          <w:tcPr>
            <w:tcW w:w="1660" w:type="dxa"/>
            <w:vAlign w:val="bottom"/>
          </w:tcPr>
          <w:p>
            <w:pPr>
              <w:jc w:val="center"/>
              <w:ind w:right="12"/>
              <w:spacing w:after="0" w:line="162" w:lineRule="exact"/>
              <w:rPr>
                <w:sz w:val="20"/>
                <w:szCs w:val="20"/>
                <w:color w:val="auto"/>
              </w:rPr>
            </w:pPr>
            <w:r>
              <w:rPr>
                <w:rFonts w:ascii="Times New Roman" w:cs="Times New Roman" w:eastAsia="Times New Roman" w:hAnsi="Times New Roman"/>
                <w:sz w:val="16"/>
                <w:szCs w:val="16"/>
                <w:b w:val="1"/>
                <w:bCs w:val="1"/>
                <w:color w:val="auto"/>
              </w:rPr>
              <w:t>Grant Date Fair Value</w:t>
            </w:r>
          </w:p>
        </w:tc>
        <w:tc>
          <w:tcPr>
            <w:tcW w:w="0" w:type="dxa"/>
            <w:vAlign w:val="bottom"/>
          </w:tcPr>
          <w:p>
            <w:pPr>
              <w:spacing w:after="0"/>
              <w:rPr>
                <w:sz w:val="1"/>
                <w:szCs w:val="1"/>
                <w:color w:val="auto"/>
              </w:rPr>
            </w:pPr>
          </w:p>
        </w:tc>
      </w:tr>
      <w:tr>
        <w:trPr>
          <w:trHeight w:val="214"/>
        </w:trPr>
        <w:tc>
          <w:tcPr>
            <w:tcW w:w="7600" w:type="dxa"/>
            <w:vAlign w:val="bottom"/>
          </w:tcPr>
          <w:p>
            <w:pPr>
              <w:spacing w:after="0"/>
              <w:rPr>
                <w:sz w:val="18"/>
                <w:szCs w:val="18"/>
                <w:color w:val="auto"/>
              </w:rPr>
            </w:pPr>
          </w:p>
        </w:tc>
        <w:tc>
          <w:tcPr>
            <w:tcW w:w="1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0" w:type="dxa"/>
            <w:vAlign w:val="bottom"/>
          </w:tcPr>
          <w:p>
            <w:pPr>
              <w:spacing w:after="0"/>
              <w:rPr>
                <w:sz w:val="1"/>
                <w:szCs w:val="1"/>
                <w:color w:val="auto"/>
              </w:rPr>
            </w:pPr>
          </w:p>
        </w:tc>
      </w:tr>
      <w:tr>
        <w:trPr>
          <w:trHeight w:val="225"/>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2020</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0" w:type="dxa"/>
            <w:vAlign w:val="bottom"/>
          </w:tcPr>
          <w:p>
            <w:pPr>
              <w:spacing w:after="0"/>
              <w:rPr>
                <w:sz w:val="1"/>
                <w:szCs w:val="1"/>
                <w:color w:val="auto"/>
              </w:rPr>
            </w:pPr>
          </w:p>
        </w:tc>
      </w:tr>
      <w:tr>
        <w:trPr>
          <w:trHeight w:val="230"/>
        </w:trPr>
        <w:tc>
          <w:tcPr>
            <w:tcW w:w="7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2021</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0" w:type="dxa"/>
            <w:vAlign w:val="bottom"/>
          </w:tcPr>
          <w:p>
            <w:pPr>
              <w:spacing w:after="0"/>
              <w:rPr>
                <w:sz w:val="1"/>
                <w:szCs w:val="1"/>
                <w:color w:val="auto"/>
              </w:rPr>
            </w:pPr>
          </w:p>
        </w:tc>
      </w:tr>
      <w:tr>
        <w:trPr>
          <w:trHeight w:val="230"/>
        </w:trPr>
        <w:tc>
          <w:tcPr>
            <w:tcW w:w="7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58.09</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2022</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0" w:type="dxa"/>
            <w:vAlign w:val="bottom"/>
          </w:tcPr>
          <w:p>
            <w:pPr>
              <w:spacing w:after="0"/>
              <w:rPr>
                <w:sz w:val="1"/>
                <w:szCs w:val="1"/>
                <w:color w:val="auto"/>
              </w:rPr>
            </w:pPr>
          </w:p>
        </w:tc>
      </w:tr>
      <w:tr>
        <w:trPr>
          <w:trHeight w:val="230"/>
        </w:trPr>
        <w:tc>
          <w:tcPr>
            <w:tcW w:w="7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60.14</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2023</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Stock compensation expense is recognized on a straight-line basis over the vesting period of each RSU. As of December 31, 2023, total compensation expense related to unvested RSUs granted to employees and non-employees under the 2009 EIP, but not yet recognized, was $413.8 million, with a weighted-average remaining vesting period of 2.6 years.</w:t>
      </w:r>
    </w:p>
    <w:p>
      <w:pPr>
        <w:spacing w:after="0" w:line="217"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RSUs settle into shares of common stock upon vesting. Upon the vesting of the RSUs, we net-settle the RSUs and withhold a portion of the shares to satisfy employee withholding tax requirements. The payment of the withheld taxes to the tax authorities is reflected as a financing activity within the consolidated statements of cash flows.</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the number and value of the shares withheld for employee taxes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60" w:type="dxa"/>
            <w:vAlign w:val="bottom"/>
            <w:tcBorders>
              <w:bottom w:val="single" w:sz="8" w:color="auto"/>
            </w:tcBorders>
          </w:tcPr>
          <w:p>
            <w:pPr>
              <w:spacing w:after="0"/>
              <w:rPr>
                <w:sz w:val="18"/>
                <w:szCs w:val="18"/>
                <w:color w:val="auto"/>
              </w:rPr>
            </w:pPr>
          </w:p>
        </w:tc>
      </w:tr>
      <w:tr>
        <w:trPr>
          <w:trHeight w:val="211"/>
        </w:trPr>
        <w:tc>
          <w:tcPr>
            <w:tcW w:w="64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4"/>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 withheld for taxes</w:t>
            </w:r>
          </w:p>
        </w:tc>
        <w:tc>
          <w:tcPr>
            <w:tcW w:w="98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Options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determining the fair value of our employee stock options, we use the Black-Scholes model, which employs the following assumptions.</w:t>
      </w:r>
    </w:p>
    <w:p>
      <w:pPr>
        <w:spacing w:after="0" w:line="250" w:lineRule="exact"/>
        <w:rPr>
          <w:sz w:val="20"/>
          <w:szCs w:val="20"/>
          <w:color w:val="auto"/>
        </w:rPr>
      </w:pPr>
    </w:p>
    <w:p>
      <w:pPr>
        <w:ind w:right="3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—The expected term represents the period that our stock-based awards are expected to be outstanding. We believe that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sufficient historical experience for determining the expected term of the stock option award, and therefore, we calculated our expected term based on historical experience instead of using the simplified method.</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—The expected volatility of our common stock is based on our weighted-average implied and historical volatility.</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—The fair value of our common stock is the closing sales price of the common stock effective on the date of grant.</w:t>
      </w:r>
    </w:p>
    <w:p>
      <w:pPr>
        <w:spacing w:after="0" w:line="252" w:lineRule="exact"/>
        <w:rPr>
          <w:sz w:val="20"/>
          <w:szCs w:val="20"/>
          <w:color w:val="auto"/>
        </w:rPr>
      </w:pPr>
    </w:p>
    <w:p>
      <w:pPr>
        <w:ind w:right="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—We base the risk-free interest rate on the implied yield available on U.S. Treasury zero-coupon issues with an equivalent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remaining term.</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Expected Dividend</w:t>
      </w:r>
      <w:r>
        <w:rPr>
          <w:rFonts w:ascii="Times New Roman" w:cs="Times New Roman" w:eastAsia="Times New Roman" w:hAnsi="Times New Roman"/>
          <w:sz w:val="18"/>
          <w:szCs w:val="18"/>
          <w:color w:val="auto"/>
        </w:rPr>
        <w:t>—The expected dividend weighted-average assumption is zero.</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weighted-average assumptions relating to our employee stock options:</w:t>
      </w:r>
    </w:p>
    <w:p>
      <w:pPr>
        <w:spacing w:after="0" w:line="52"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18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42.0 %</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39.1 %</w:t>
            </w:r>
          </w:p>
        </w:tc>
      </w:tr>
      <w:tr>
        <w:trPr>
          <w:trHeight w:val="230"/>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34"/>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rate</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360" w:firstLine="648"/>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stock option activity and related information for the periods presented below (in millions, except exercise prices and contractual life):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130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w w:val="98"/>
              </w:rPr>
              <w:t>Weighted-</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3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40" w:type="dxa"/>
            <w:vAlign w:val="bottom"/>
          </w:tcPr>
          <w:p>
            <w:pPr>
              <w:spacing w:after="0"/>
              <w:rPr>
                <w:sz w:val="14"/>
                <w:szCs w:val="14"/>
                <w:color w:val="auto"/>
              </w:rPr>
            </w:pPr>
          </w:p>
        </w:tc>
        <w:tc>
          <w:tcPr>
            <w:tcW w:w="96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2"/>
        </w:trPr>
        <w:tc>
          <w:tcPr>
            <w:tcW w:w="6280" w:type="dxa"/>
            <w:vAlign w:val="bottom"/>
          </w:tcPr>
          <w:p>
            <w:pPr>
              <w:spacing w:after="0"/>
              <w:rPr>
                <w:sz w:val="14"/>
                <w:szCs w:val="14"/>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0" w:type="dxa"/>
            <w:vAlign w:val="bottom"/>
          </w:tcPr>
          <w:p>
            <w:pPr>
              <w:spacing w:after="0"/>
              <w:rPr>
                <w:sz w:val="14"/>
                <w:szCs w:val="14"/>
                <w:color w:val="auto"/>
              </w:rPr>
            </w:pPr>
          </w:p>
        </w:tc>
        <w:tc>
          <w:tcPr>
            <w:tcW w:w="11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3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3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Contractual</w:t>
            </w:r>
          </w:p>
        </w:tc>
        <w:tc>
          <w:tcPr>
            <w:tcW w:w="140" w:type="dxa"/>
            <w:vAlign w:val="bottom"/>
          </w:tcPr>
          <w:p>
            <w:pPr>
              <w:spacing w:after="0"/>
              <w:rPr>
                <w:sz w:val="14"/>
                <w:szCs w:val="14"/>
                <w:color w:val="auto"/>
              </w:rPr>
            </w:pPr>
          </w:p>
        </w:tc>
        <w:tc>
          <w:tcPr>
            <w:tcW w:w="960" w:type="dxa"/>
            <w:vAlign w:val="bottom"/>
          </w:tcPr>
          <w:p>
            <w:pPr>
              <w:jc w:val="center"/>
              <w:ind w:right="73"/>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214"/>
        </w:trPr>
        <w:tc>
          <w:tcPr>
            <w:tcW w:w="628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Life (Years)</w:t>
            </w:r>
          </w:p>
        </w:tc>
        <w:tc>
          <w:tcPr>
            <w:tcW w:w="140" w:type="dxa"/>
            <w:vAlign w:val="bottom"/>
          </w:tcPr>
          <w:p>
            <w:pPr>
              <w:spacing w:after="0"/>
              <w:rPr>
                <w:sz w:val="18"/>
                <w:szCs w:val="18"/>
                <w:color w:val="auto"/>
              </w:rPr>
            </w:pPr>
          </w:p>
        </w:tc>
        <w:tc>
          <w:tcPr>
            <w:tcW w:w="96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25"/>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2020</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0" w:type="dxa"/>
            <w:vAlign w:val="bottom"/>
          </w:tcPr>
          <w:p>
            <w:pPr>
              <w:spacing w:after="0"/>
              <w:rPr>
                <w:sz w:val="1"/>
                <w:szCs w:val="1"/>
                <w:color w:val="auto"/>
              </w:rPr>
            </w:pPr>
          </w:p>
        </w:tc>
      </w:tr>
      <w:tr>
        <w:trPr>
          <w:trHeight w:val="229"/>
        </w:trPr>
        <w:tc>
          <w:tcPr>
            <w:tcW w:w="6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Forfeited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Exercised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729.9</w:t>
            </w:r>
          </w:p>
        </w:tc>
        <w:tc>
          <w:tcPr>
            <w:tcW w:w="0" w:type="dxa"/>
            <w:vAlign w:val="bottom"/>
          </w:tcPr>
          <w:p>
            <w:pPr>
              <w:spacing w:after="0"/>
              <w:rPr>
                <w:sz w:val="1"/>
                <w:szCs w:val="1"/>
                <w:color w:val="auto"/>
              </w:rPr>
            </w:pPr>
          </w:p>
        </w:tc>
      </w:tr>
      <w:tr>
        <w:trPr>
          <w:trHeight w:val="230"/>
        </w:trPr>
        <w:tc>
          <w:tcPr>
            <w:tcW w:w="6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60.26</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Forfeited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Exercised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0" w:type="dxa"/>
            <w:vAlign w:val="bottom"/>
          </w:tcPr>
          <w:p>
            <w:pPr>
              <w:spacing w:after="0"/>
              <w:rPr>
                <w:sz w:val="1"/>
                <w:szCs w:val="1"/>
                <w:color w:val="auto"/>
              </w:rPr>
            </w:pPr>
          </w:p>
        </w:tc>
      </w:tr>
      <w:tr>
        <w:trPr>
          <w:trHeight w:val="230"/>
        </w:trPr>
        <w:tc>
          <w:tcPr>
            <w:tcW w:w="6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60.16</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Forfeited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Exercised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2023</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0" w:type="dxa"/>
            <w:vAlign w:val="bottom"/>
          </w:tcPr>
          <w:p>
            <w:pPr>
              <w:spacing w:after="0" w:line="20" w:lineRule="exact"/>
              <w:rPr>
                <w:sz w:val="1"/>
                <w:szCs w:val="1"/>
                <w:color w:val="auto"/>
              </w:rPr>
            </w:pPr>
          </w:p>
        </w:tc>
      </w:tr>
      <w:tr>
        <w:trPr>
          <w:trHeight w:val="203"/>
        </w:trPr>
        <w:tc>
          <w:tcPr>
            <w:tcW w:w="62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Options vested and expected to vest—December 31, 2023</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exercisable—December 31, 2023</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340" w:firstLine="648"/>
        <w:spacing w:after="0" w:line="250" w:lineRule="auto"/>
        <w:rPr>
          <w:sz w:val="20"/>
          <w:szCs w:val="20"/>
          <w:color w:val="auto"/>
        </w:rPr>
      </w:pPr>
      <w:r>
        <w:rPr>
          <w:rFonts w:ascii="Times New Roman" w:cs="Times New Roman" w:eastAsia="Times New Roman" w:hAnsi="Times New Roman"/>
          <w:sz w:val="18"/>
          <w:szCs w:val="18"/>
          <w:color w:val="auto"/>
        </w:rPr>
        <w:t>The aggregate intrinsic value represents the difference between the exercise price of stock options and the quoted market price of our common stock at the date of balance sheet for all in-the-money stock options. Stock compensation expense is recognized on a straight-line basis over the vesting period of each stock option. As of December 31, 2023, total compensation expense related to unvested stock options granted to employees but not yet recognized was $54.6 million, with a weighted-average remaining vesting period of 2.5 years.</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information related to our stock options is summarized below (in millions, except per share amounts):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60" w:type="dxa"/>
            <w:vAlign w:val="bottom"/>
            <w:tcBorders>
              <w:bottom w:val="single" w:sz="8" w:color="auto"/>
            </w:tcBorders>
          </w:tcPr>
          <w:p>
            <w:pPr>
              <w:spacing w:after="0"/>
              <w:rPr>
                <w:sz w:val="18"/>
                <w:szCs w:val="18"/>
                <w:color w:val="auto"/>
              </w:rPr>
            </w:pPr>
          </w:p>
        </w:tc>
      </w:tr>
      <w:tr>
        <w:trPr>
          <w:trHeight w:val="211"/>
        </w:trPr>
        <w:tc>
          <w:tcPr>
            <w:tcW w:w="64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fair value per share granted</w:t>
            </w:r>
          </w:p>
        </w:tc>
        <w:tc>
          <w:tcPr>
            <w:tcW w:w="98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r>
      <w:tr>
        <w:trPr>
          <w:trHeight w:val="270"/>
        </w:trPr>
        <w:tc>
          <w:tcPr>
            <w:tcW w:w="64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Intrinsic value of options exercised</w:t>
            </w:r>
          </w:p>
        </w:tc>
        <w:tc>
          <w:tcPr>
            <w:tcW w:w="98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52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r>
      <w:tr>
        <w:trPr>
          <w:trHeight w:val="234"/>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options vested</w:t>
            </w:r>
          </w:p>
        </w:tc>
        <w:tc>
          <w:tcPr>
            <w:tcW w:w="98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52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about outstanding and exercisable stock options as of December 31, 2023, (in millions, except exercise prices and contractual life):</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60" w:type="dxa"/>
            <w:vAlign w:val="bottom"/>
            <w:tcBorders>
              <w:bottom w:val="single" w:sz="8" w:color="auto"/>
            </w:tcBorders>
            <w:gridSpan w:val="4"/>
          </w:tcPr>
          <w:p>
            <w:pPr>
              <w:jc w:val="right"/>
              <w:ind w:right="1055"/>
              <w:spacing w:after="0"/>
              <w:rPr>
                <w:sz w:val="20"/>
                <w:szCs w:val="20"/>
                <w:color w:val="auto"/>
              </w:rPr>
            </w:pPr>
            <w:r>
              <w:rPr>
                <w:rFonts w:ascii="Times New Roman" w:cs="Times New Roman" w:eastAsia="Times New Roman" w:hAnsi="Times New Roman"/>
                <w:sz w:val="16"/>
                <w:szCs w:val="16"/>
                <w:b w:val="1"/>
                <w:bCs w:val="1"/>
                <w:color w:val="auto"/>
              </w:rPr>
              <w:t>Options Exercisable</w:t>
            </w:r>
          </w:p>
        </w:tc>
        <w:tc>
          <w:tcPr>
            <w:tcW w:w="0" w:type="dxa"/>
            <w:vAlign w:val="bottom"/>
          </w:tcPr>
          <w:p>
            <w:pPr>
              <w:spacing w:after="0"/>
              <w:rPr>
                <w:sz w:val="1"/>
                <w:szCs w:val="1"/>
                <w:color w:val="auto"/>
              </w:rPr>
            </w:pPr>
          </w:p>
        </w:tc>
      </w:tr>
      <w:tr>
        <w:trPr>
          <w:trHeight w:val="158"/>
        </w:trPr>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8"/>
              </w:rPr>
              <w:t>Weighted-</w:t>
            </w:r>
          </w:p>
        </w:tc>
        <w:tc>
          <w:tcPr>
            <w:tcW w:w="320" w:type="dxa"/>
            <w:vAlign w:val="bottom"/>
          </w:tcPr>
          <w:p>
            <w:pPr>
              <w:spacing w:after="0"/>
              <w:rPr>
                <w:sz w:val="13"/>
                <w:szCs w:val="13"/>
                <w:color w:val="auto"/>
              </w:rPr>
            </w:pPr>
          </w:p>
        </w:tc>
        <w:tc>
          <w:tcPr>
            <w:tcW w:w="15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vMerge w:val="restart"/>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32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vMerge w:val="restart"/>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14"/>
                <w:szCs w:val="14"/>
                <w:color w:val="auto"/>
              </w:rPr>
            </w:pPr>
          </w:p>
        </w:tc>
        <w:tc>
          <w:tcPr>
            <w:tcW w:w="18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320" w:type="dxa"/>
            <w:vAlign w:val="bottom"/>
          </w:tcPr>
          <w:p>
            <w:pPr>
              <w:spacing w:after="0"/>
              <w:rPr>
                <w:sz w:val="14"/>
                <w:szCs w:val="14"/>
                <w:color w:val="auto"/>
              </w:rPr>
            </w:pPr>
          </w:p>
        </w:tc>
        <w:tc>
          <w:tcPr>
            <w:tcW w:w="1580" w:type="dxa"/>
            <w:vAlign w:val="bottom"/>
            <w:gridSpan w:val="2"/>
          </w:tcPr>
          <w:p>
            <w:pPr>
              <w:jc w:val="center"/>
              <w:ind w:right="4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780" w:type="dxa"/>
            <w:vAlign w:val="bottom"/>
            <w:vMerge w:val="restart"/>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jc w:val="center"/>
              <w:ind w:right="215"/>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162"/>
        </w:trPr>
        <w:tc>
          <w:tcPr>
            <w:tcW w:w="1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Range of Exercise Prices</w:t>
            </w:r>
          </w:p>
        </w:tc>
        <w:tc>
          <w:tcPr>
            <w:tcW w:w="1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w:t>
            </w:r>
          </w:p>
        </w:tc>
        <w:tc>
          <w:tcPr>
            <w:tcW w:w="320" w:type="dxa"/>
            <w:vAlign w:val="bottom"/>
          </w:tcPr>
          <w:p>
            <w:pPr>
              <w:spacing w:after="0"/>
              <w:rPr>
                <w:sz w:val="14"/>
                <w:szCs w:val="14"/>
                <w:color w:val="auto"/>
              </w:rPr>
            </w:pPr>
          </w:p>
        </w:tc>
        <w:tc>
          <w:tcPr>
            <w:tcW w:w="1580" w:type="dxa"/>
            <w:vAlign w:val="bottom"/>
            <w:gridSpan w:val="2"/>
          </w:tcPr>
          <w:p>
            <w:pPr>
              <w:jc w:val="center"/>
              <w:ind w:right="44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jc w:val="center"/>
              <w:ind w:right="235"/>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0" w:type="dxa"/>
            <w:vAlign w:val="bottom"/>
          </w:tcPr>
          <w:p>
            <w:pPr>
              <w:spacing w:after="0"/>
              <w:rPr>
                <w:sz w:val="1"/>
                <w:szCs w:val="1"/>
                <w:color w:val="auto"/>
              </w:rPr>
            </w:pPr>
          </w:p>
        </w:tc>
      </w:tr>
      <w:tr>
        <w:trPr>
          <w:trHeight w:val="214"/>
        </w:trPr>
        <w:tc>
          <w:tcPr>
            <w:tcW w:w="1920" w:type="dxa"/>
            <w:vAlign w:val="bottom"/>
            <w:gridSpan w:val="2"/>
            <w:vMerge w:val="continue"/>
          </w:tcPr>
          <w:p>
            <w:pPr>
              <w:spacing w:after="0"/>
              <w:rPr>
                <w:sz w:val="18"/>
                <w:szCs w:val="18"/>
                <w:color w:val="auto"/>
              </w:rPr>
            </w:pPr>
          </w:p>
        </w:tc>
        <w:tc>
          <w:tcPr>
            <w:tcW w:w="178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8"/>
                <w:szCs w:val="18"/>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Life (Years)</w:t>
            </w:r>
          </w:p>
        </w:tc>
        <w:tc>
          <w:tcPr>
            <w:tcW w:w="320" w:type="dxa"/>
            <w:vAlign w:val="bottom"/>
          </w:tcPr>
          <w:p>
            <w:pPr>
              <w:spacing w:after="0"/>
              <w:rPr>
                <w:sz w:val="18"/>
                <w:szCs w:val="18"/>
                <w:color w:val="auto"/>
              </w:rPr>
            </w:pPr>
          </w:p>
        </w:tc>
        <w:tc>
          <w:tcPr>
            <w:tcW w:w="158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78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rPr>
              <w:t>Price</w:t>
            </w:r>
          </w:p>
        </w:tc>
        <w:tc>
          <w:tcPr>
            <w:tcW w:w="0" w:type="dxa"/>
            <w:vAlign w:val="bottom"/>
          </w:tcPr>
          <w:p>
            <w:pPr>
              <w:spacing w:after="0"/>
              <w:rPr>
                <w:sz w:val="1"/>
                <w:szCs w:val="1"/>
                <w:color w:val="auto"/>
              </w:rPr>
            </w:pPr>
          </w:p>
        </w:tc>
      </w:tr>
      <w:tr>
        <w:trPr>
          <w:trHeight w:val="225"/>
        </w:trPr>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$7.34-$16.65</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0" w:type="dxa"/>
            <w:vAlign w:val="bottom"/>
          </w:tcPr>
          <w:p>
            <w:pPr>
              <w:spacing w:after="0"/>
              <w:rPr>
                <w:sz w:val="1"/>
                <w:szCs w:val="1"/>
                <w:color w:val="auto"/>
              </w:rPr>
            </w:pPr>
          </w:p>
        </w:tc>
      </w:tr>
      <w:tr>
        <w:trPr>
          <w:trHeight w:val="229"/>
        </w:trPr>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$16.90-$22.90</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0" w:type="dxa"/>
            <w:vAlign w:val="bottom"/>
          </w:tcPr>
          <w:p>
            <w:pPr>
              <w:spacing w:after="0"/>
              <w:rPr>
                <w:sz w:val="1"/>
                <w:szCs w:val="1"/>
                <w:color w:val="auto"/>
              </w:rPr>
            </w:pPr>
          </w:p>
        </w:tc>
      </w:tr>
      <w:tr>
        <w:trPr>
          <w:trHeight w:val="230"/>
        </w:trPr>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$26.72-$60.21</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0" w:type="dxa"/>
            <w:vAlign w:val="bottom"/>
          </w:tcPr>
          <w:p>
            <w:pPr>
              <w:spacing w:after="0"/>
              <w:rPr>
                <w:sz w:val="1"/>
                <w:szCs w:val="1"/>
                <w:color w:val="auto"/>
              </w:rPr>
            </w:pPr>
          </w:p>
        </w:tc>
      </w:tr>
      <w:tr>
        <w:trPr>
          <w:trHeight w:val="229"/>
        </w:trPr>
        <w:tc>
          <w:tcPr>
            <w:tcW w:w="1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$61.13-$68.70</w:t>
            </w: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62.76</w:t>
            </w: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0" w:type="dxa"/>
            <w:vAlign w:val="bottom"/>
          </w:tcPr>
          <w:p>
            <w:pPr>
              <w:spacing w:after="0"/>
              <w:rPr>
                <w:sz w:val="1"/>
                <w:szCs w:val="1"/>
                <w:color w:val="auto"/>
              </w:rPr>
            </w:pPr>
          </w:p>
        </w:tc>
      </w:tr>
      <w:tr>
        <w:trPr>
          <w:trHeight w:val="248"/>
        </w:trPr>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Market/Performance-Based PSUs</w:t>
      </w:r>
    </w:p>
    <w:p>
      <w:pPr>
        <w:spacing w:after="0" w:line="243" w:lineRule="exact"/>
        <w:rPr>
          <w:sz w:val="20"/>
          <w:szCs w:val="20"/>
          <w:color w:val="auto"/>
        </w:rPr>
      </w:pPr>
    </w:p>
    <w:p>
      <w:pPr>
        <w:ind w:right="220" w:firstLine="648"/>
        <w:spacing w:after="0" w:line="264" w:lineRule="auto"/>
        <w:rPr>
          <w:sz w:val="20"/>
          <w:szCs w:val="20"/>
          <w:color w:val="auto"/>
        </w:rPr>
      </w:pPr>
      <w:r>
        <w:rPr>
          <w:rFonts w:ascii="Times New Roman" w:cs="Times New Roman" w:eastAsia="Times New Roman" w:hAnsi="Times New Roman"/>
          <w:sz w:val="17"/>
          <w:szCs w:val="17"/>
          <w:color w:val="auto"/>
        </w:rPr>
        <w:t>In 2023, we granted market/performance-based PSUs under the 2009 EIP to certain of our executives. Based on the achievement of the market/performance-based vesting conditions during the performance period, the final settlement of the PSUs will range between 0% and 200% of the target shares underlying the PSUs based on the percentile ranking of our total stockholder return over one-, two-, three- and four-year periods among companies included in the S&amp;P 500 Index. 20%, 20%, 20% and 40% of the PSUs vest over one-, two-, three- and four-year service periods, respectively.</w:t>
      </w:r>
    </w:p>
    <w:p>
      <w:pPr>
        <w:spacing w:after="0" w:line="20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granted approximately 0.3 million shares of PSU awards with a grant date fair value of $90.96 per share to certain of our executives during the first quarter of 2023. The grant date fair value of these awards was determined using a Monte Carlo simulation pricing model. The following table summarizes the weighted-average assumptions relating to our PSUs for the three months ended March 31, 2023:</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158"/>
        </w:trPr>
        <w:tc>
          <w:tcPr>
            <w:tcW w:w="7980" w:type="dxa"/>
            <w:vAlign w:val="bottom"/>
          </w:tcPr>
          <w:p>
            <w:pPr>
              <w:spacing w:after="0"/>
              <w:rPr>
                <w:sz w:val="13"/>
                <w:szCs w:val="13"/>
                <w:color w:val="auto"/>
              </w:rPr>
            </w:pPr>
          </w:p>
        </w:tc>
        <w:tc>
          <w:tcPr>
            <w:tcW w:w="32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31,</w:t>
            </w:r>
          </w:p>
        </w:tc>
      </w:tr>
      <w:tr>
        <w:trPr>
          <w:trHeight w:val="214"/>
        </w:trPr>
        <w:tc>
          <w:tcPr>
            <w:tcW w:w="7980" w:type="dxa"/>
            <w:vAlign w:val="bottom"/>
            <w:tcBorders>
              <w:bottom w:val="single" w:sz="8" w:color="CCEEFF"/>
            </w:tcBorders>
          </w:tcPr>
          <w:p>
            <w:pPr>
              <w:spacing w:after="0"/>
              <w:rPr>
                <w:sz w:val="18"/>
                <w:szCs w:val="18"/>
                <w:color w:val="auto"/>
              </w:rPr>
            </w:pPr>
          </w:p>
        </w:tc>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25"/>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47.5 %</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34"/>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rate</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 of these PSU awards were vested and PSU awards forfeited were immaterial during the year ended December 31, 2023.</w:t>
      </w:r>
    </w:p>
    <w:p>
      <w:pPr>
        <w:spacing w:after="0" w:line="25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2023, total compensation expense related to unvested PSUs that were granted to certain of our executives, but not yet recognized, was $16.1 million. This expense is expected to be amortized on a graded vesting method over a weighted-average vesting period of 2.4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Reserved for Future Issuances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common stock reserved for future issuance (in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20" w:type="dxa"/>
            <w:vAlign w:val="bottom"/>
          </w:tcPr>
          <w:p>
            <w:pPr>
              <w:spacing w:after="0"/>
              <w:rPr>
                <w:sz w:val="16"/>
                <w:szCs w:val="16"/>
                <w:color w:val="auto"/>
              </w:rPr>
            </w:pPr>
          </w:p>
        </w:tc>
        <w:tc>
          <w:tcPr>
            <w:tcW w:w="2220" w:type="dxa"/>
            <w:vAlign w:val="bottom"/>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9020" w:type="dxa"/>
            <w:vAlign w:val="bottom"/>
            <w:tcBorders>
              <w:bottom w:val="single" w:sz="8" w:color="CCEEFF"/>
            </w:tcBorders>
          </w:tcPr>
          <w:p>
            <w:pPr>
              <w:spacing w:after="0"/>
              <w:rPr>
                <w:sz w:val="18"/>
                <w:szCs w:val="18"/>
                <w:color w:val="auto"/>
              </w:rPr>
            </w:pPr>
          </w:p>
        </w:tc>
        <w:tc>
          <w:tcPr>
            <w:tcW w:w="222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Reserved for future equity award grants</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r>
      <w:tr>
        <w:trPr>
          <w:trHeight w:val="229"/>
        </w:trPr>
        <w:tc>
          <w:tcPr>
            <w:tcW w:w="9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Outstanding stock options, RSUs and PSUs</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48"/>
        </w:trPr>
        <w:tc>
          <w:tcPr>
            <w:tcW w:w="90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common stock reserved for future issuances</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56"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18"/>
          <w:szCs w:val="18"/>
          <w:color w:val="auto"/>
        </w:rPr>
        <w:t>Stock-based compensation expense, including stock-based compensation expense related to awards classified as liabilities, is included in costs and expenses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jc w:val="center"/>
              <w:ind w:right="17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80" w:type="dxa"/>
            <w:vAlign w:val="bottom"/>
            <w:tcBorders>
              <w:bottom w:val="single" w:sz="8" w:color="auto"/>
            </w:tcBorders>
          </w:tcPr>
          <w:p>
            <w:pPr>
              <w:spacing w:after="0"/>
              <w:rPr>
                <w:sz w:val="18"/>
                <w:szCs w:val="18"/>
                <w:color w:val="auto"/>
              </w:rPr>
            </w:pPr>
          </w:p>
        </w:tc>
      </w:tr>
      <w:tr>
        <w:trPr>
          <w:trHeight w:val="211"/>
        </w:trPr>
        <w:tc>
          <w:tcPr>
            <w:tcW w:w="64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272"/>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revenue</w:t>
            </w:r>
          </w:p>
        </w:tc>
        <w:tc>
          <w:tcPr>
            <w:tcW w:w="98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2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23"/>
        </w:trPr>
        <w:tc>
          <w:tcPr>
            <w:tcW w:w="6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8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w:t>
            </w:r>
          </w:p>
        </w:tc>
      </w:tr>
      <w:tr>
        <w:trPr>
          <w:trHeight w:val="21"/>
        </w:trPr>
        <w:tc>
          <w:tcPr>
            <w:tcW w:w="6460" w:type="dxa"/>
            <w:vAlign w:val="bottom"/>
          </w:tcPr>
          <w:p>
            <w:pPr>
              <w:spacing w:after="0" w:line="20" w:lineRule="exact"/>
              <w:rPr>
                <w:sz w:val="1"/>
                <w:szCs w:val="1"/>
                <w:color w:val="auto"/>
              </w:rPr>
            </w:pPr>
          </w:p>
        </w:tc>
        <w:tc>
          <w:tcPr>
            <w:tcW w:w="15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r>
      <w:tr>
        <w:trPr>
          <w:trHeight w:val="529"/>
        </w:trPr>
        <w:tc>
          <w:tcPr>
            <w:tcW w:w="11240" w:type="dxa"/>
            <w:vAlign w:val="bottom"/>
            <w:gridSpan w:val="10"/>
          </w:tcPr>
          <w:p>
            <w:pPr>
              <w:jc w:val="right"/>
              <w:ind w:right="92"/>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including stock-based compensation expense related to awards classified as</w:t>
            </w:r>
          </w:p>
        </w:tc>
      </w:tr>
      <w:tr>
        <w:trPr>
          <w:trHeight w:val="234"/>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liabilities, by award type (in millions):</w:t>
            </w: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40"/>
        </w:trPr>
        <w:tc>
          <w:tcPr>
            <w:tcW w:w="64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6"/>
          </w:tcPr>
          <w:p>
            <w:pPr>
              <w:jc w:val="center"/>
              <w:ind w:right="17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r>
      <w:tr>
        <w:trPr>
          <w:trHeight w:val="211"/>
        </w:trPr>
        <w:tc>
          <w:tcPr>
            <w:tcW w:w="64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272"/>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98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w:t>
            </w:r>
          </w:p>
        </w:tc>
      </w:tr>
      <w:tr>
        <w:trPr>
          <w:trHeight w:val="22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98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52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80" w:type="dxa"/>
            <w:vAlign w:val="bottom"/>
            <w:tcBorders>
              <w:top w:val="single" w:sz="8" w:color="auto"/>
              <w:bottom w:val="single" w:sz="8" w:color="auto"/>
            </w:tcBorders>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w:t>
            </w:r>
          </w:p>
        </w:tc>
      </w:tr>
      <w:tr>
        <w:trPr>
          <w:trHeight w:val="21"/>
        </w:trPr>
        <w:tc>
          <w:tcPr>
            <w:tcW w:w="64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income tax benefit associated with stock-based compensation that is recognized in the consolidated statements of income is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jc w:val="center"/>
              <w:ind w:right="21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60" w:type="dxa"/>
            <w:vAlign w:val="bottom"/>
            <w:tcBorders>
              <w:bottom w:val="single" w:sz="8" w:color="auto"/>
            </w:tcBorders>
          </w:tcPr>
          <w:p>
            <w:pPr>
              <w:spacing w:after="0"/>
              <w:rPr>
                <w:sz w:val="18"/>
                <w:szCs w:val="18"/>
                <w:color w:val="auto"/>
              </w:rPr>
            </w:pPr>
          </w:p>
        </w:tc>
      </w:tr>
      <w:tr>
        <w:trPr>
          <w:trHeight w:val="211"/>
        </w:trPr>
        <w:tc>
          <w:tcPr>
            <w:tcW w:w="64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associated with stock-based compensation</w:t>
            </w:r>
          </w:p>
        </w:tc>
        <w:tc>
          <w:tcPr>
            <w:tcW w:w="102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4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In January 2016, our board of directors approved the Repurchase Program, which authorized the repurchase of up to $200.0 million of our outstanding common stock through December 31, 2017. From 2016 through 2022, our board of directors approved increases to our Repurchase Program by various amounts and extended the term to February 28, 2023, bringing the aggregated amount authorized to $5.25 billion. In February 2023, our board of directors approved an extension of the Repurchase Program to February 29, 2024. In April 2023 and July 2023, our board of directors approved $1.0 billion and $500.0 million increases in the authorized stock repurchase amount under the Repurchase Program, bringing the aggregate amount authorized to be repurchased to $6.75 billion. Under the Repurchase Program, share repurchases may be made by us from time to time in privately negotiated transactions or in open market transactions. The Repurchase Program does not require us to purchase a minimum number of shares, and may be suspended, modified or discontinued at any time without prior notice. In 2023, we repurchased 27.2 million shares of common stock under the Repurchase Program in open market transactions for an aggregate purchase price of $1.50 billion, which excludes a $10.9 million accrual related to the 1% excise tax imposed by the Inflation Reduction Act of 2022. As of December 31, 2023, $529.1 million remained available for future share repurchases under the Repurchase Program. Refer to Note 17, Subsequent Events, for information regarding the approved $500.0 million increase in the authorized stock repurchase amount under the Repurchase Program in January 2024 and the extension of the Repurchase Program to February 28, 2025 in February 2024.</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0" w:hanging="452"/>
        <w:spacing w:after="0"/>
        <w:tabs>
          <w:tab w:leader="none" w:pos="4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before income taxes and loss from equity method investments consisted of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center"/>
              <w:ind w:right="23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4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2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5"/>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0" w:type="dxa"/>
            <w:vAlign w:val="bottom"/>
          </w:tcPr>
          <w:p>
            <w:pPr>
              <w:spacing w:after="0"/>
              <w:rPr>
                <w:sz w:val="1"/>
                <w:szCs w:val="1"/>
                <w:color w:val="auto"/>
              </w:rPr>
            </w:pPr>
          </w:p>
        </w:tc>
      </w:tr>
      <w:tr>
        <w:trPr>
          <w:trHeight w:val="229"/>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before income taxes and loss from equity method investments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1,333.7</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The provision for (benefit from) income taxes consisted of (in millions):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64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3"/>
        </w:trPr>
        <w:tc>
          <w:tcPr>
            <w:tcW w:w="64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center"/>
              <w:ind w:right="23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4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2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398.5</w:t>
            </w:r>
          </w:p>
        </w:tc>
        <w:tc>
          <w:tcPr>
            <w:tcW w:w="48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64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23"/>
        </w:trPr>
        <w:tc>
          <w:tcPr>
            <w:tcW w:w="64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current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rPr>
                <w:sz w:val="1"/>
                <w:szCs w:val="1"/>
                <w:color w:val="auto"/>
              </w:rPr>
            </w:pPr>
          </w:p>
        </w:tc>
      </w:tr>
      <w:tr>
        <w:trPr>
          <w:trHeight w:val="20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48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0" w:type="dxa"/>
            <w:vAlign w:val="bottom"/>
          </w:tcPr>
          <w:p>
            <w:pPr>
              <w:spacing w:after="0"/>
              <w:rPr>
                <w:sz w:val="1"/>
                <w:szCs w:val="1"/>
                <w:color w:val="auto"/>
              </w:rPr>
            </w:pPr>
          </w:p>
        </w:tc>
      </w:tr>
      <w:tr>
        <w:trPr>
          <w:trHeight w:val="229"/>
        </w:trPr>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deferred</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right="280" w:firstLine="648"/>
        <w:spacing w:after="0" w:line="312" w:lineRule="auto"/>
        <w:rPr>
          <w:sz w:val="20"/>
          <w:szCs w:val="20"/>
          <w:color w:val="auto"/>
        </w:rPr>
      </w:pPr>
      <w:r>
        <w:rPr>
          <w:rFonts w:ascii="Times New Roman" w:cs="Times New Roman" w:eastAsia="Times New Roman" w:hAnsi="Times New Roman"/>
          <w:sz w:val="17"/>
          <w:szCs w:val="17"/>
          <w:color w:val="auto"/>
        </w:rPr>
        <w:t>The foreign tax provision included the tax impacts from U.S. GAAP to local tax return book to tax differences that create a permanent addback including but not limited to stock compensation, meals and entertainment, and settlement of prior year tax audits with foreign jurisdiction adjustments.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 for income taxes differs from the amount computed by applying the statutory federal income tax rate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180" w:type="dxa"/>
            <w:vAlign w:val="bottom"/>
            <w:tcBorders>
              <w:bottom w:val="single" w:sz="8" w:color="auto"/>
            </w:tcBorders>
          </w:tcPr>
          <w:p>
            <w:pPr>
              <w:spacing w:after="0"/>
              <w:rPr>
                <w:sz w:val="18"/>
                <w:szCs w:val="18"/>
                <w:color w:val="auto"/>
              </w:rPr>
            </w:pPr>
          </w:p>
        </w:tc>
      </w:tr>
      <w:tr>
        <w:trPr>
          <w:trHeight w:val="211"/>
        </w:trPr>
        <w:tc>
          <w:tcPr>
            <w:tcW w:w="64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at federal statutory tax rate</w:t>
            </w:r>
          </w:p>
        </w:tc>
        <w:tc>
          <w:tcPr>
            <w:tcW w:w="98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income taxed at different rates</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withholding taxes</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credit</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taxes—net of federal benefit</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the 2017 Tax Cuts and Jobs Act:</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One-time transition tax</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6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Tax effect of a law change</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Foreign-Derived Intangible Income ("FDII")</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30"/>
        </w:trPr>
        <w:tc>
          <w:tcPr>
            <w:tcW w:w="6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Adjustment to prior year’s FDII</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980" w:type="dxa"/>
            <w:vAlign w:val="bottom"/>
            <w:tcBorders>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Effective January 1, 2022, research and development expenses are required to be capitalized and amortized for U.S. tax purposes, which delays the deductibility of these expenses, and increases our current provision.</w:t>
      </w:r>
    </w:p>
    <w:p>
      <w:pPr>
        <w:spacing w:after="0" w:line="175"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18"/>
          <w:szCs w:val="18"/>
          <w:color w:val="auto"/>
        </w:rPr>
        <w:t>During 2023, we changed our position regarding the allocation and apportionment of expenses for income tax purposes. This change in approach affected the amount of our FDII benefit and our ability to utilize certain foreign tax credits. As a result, our FDII benefits recorded in prior years decreased by $92.8 million, partially offset by an increased benefit for the utilization of foreign tax credits of $63.1 million. These foreign tax credit carryforwards were previously expected to have expired unutilized resulting in the recording of a full valuation allowance thereon. Accordingly, the benefit recognized as a result of their utilization is included in the benefit from the release of a valuation allowance of $67.7 million.</w:t>
      </w:r>
    </w:p>
    <w:p>
      <w:pPr>
        <w:spacing w:after="0" w:line="211"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On January 4, 2022, the U.S. Treasury published another tranche of final regulations regarding the foreign tax credit. These final regulations impose new requirements that a foreign tax must meet in order to be creditable against U.S. income taxes, and generally apply to tax years beginning on or after December 28, 2021. On July 26, 2022, the U.S. Treasury released corrections to the final regulations. On July 21, 2023, the IRS released a notice that suspended the application of significant portions of the final regulations regarding the foreign tax credit for tax years 2022 and 2023. The notice released in July 2023 favorably impacted our ability to claim foreign tax credits in the United States for certain taxes imposed by certain foreign jurisdictions. On December 11, 2023, the IRS released a notice that extended the suspension of significant portions of the final regulations beyond December 31, 2023, until further guidance is issued.</w:t>
      </w:r>
    </w:p>
    <w:p>
      <w:pPr>
        <w:spacing w:after="0" w:line="225"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On August 16, 2022, the United States enacted the Inflation Reduction Act of 2022 that provides for certain changes to the U.S. corporate income tax system, including a 15% minimum tax based on financial statement income for companies with three-year average annual adjusted financial statement income exceeding $1 billion, and a 1% excise tax on net repurchases of stock after December 31, 2022, if any. The applicable tax law changes have had no impact to our tax provision for the year ended December 31, 2023. We will continue to evaluate the impact of these tax law changes on future periods.</w:t>
      </w:r>
    </w:p>
    <w:p>
      <w:pPr>
        <w:spacing w:after="0" w:line="193" w:lineRule="exact"/>
        <w:rPr>
          <w:sz w:val="20"/>
          <w:szCs w:val="20"/>
          <w:color w:val="auto"/>
        </w:rPr>
      </w:pPr>
    </w:p>
    <w:p>
      <w:pPr>
        <w:ind w:right="100" w:firstLine="648"/>
        <w:spacing w:after="0"/>
        <w:rPr>
          <w:sz w:val="20"/>
          <w:szCs w:val="20"/>
          <w:color w:val="auto"/>
        </w:rPr>
      </w:pPr>
      <w:r>
        <w:rPr>
          <w:rFonts w:ascii="Times New Roman" w:cs="Times New Roman" w:eastAsia="Times New Roman" w:hAnsi="Times New Roman"/>
          <w:sz w:val="18"/>
          <w:szCs w:val="18"/>
          <w:color w:val="auto"/>
        </w:rPr>
        <w:t>In December 2021, the Organisation for Economic Co-operation and Development (the “OECD”) enacted model rules for a new global minimum tax framework (“BEPS Pillar Two”), and various governments around the world have enacted, or are in the process of enacting, legislation on this. We are in the process of assessing the tax impact of Pillar Two legislation becoming applicable to us beginning January 1, 2024, and believe these rules will not have a material impact on our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as of the years ended are presented below (in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6"/>
                <w:szCs w:val="16"/>
                <w:color w:val="auto"/>
              </w:rPr>
            </w:pPr>
          </w:p>
        </w:tc>
        <w:tc>
          <w:tcPr>
            <w:tcW w:w="134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0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General business credit carryforward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r>
      <w:tr>
        <w:trPr>
          <w:trHeight w:val="229"/>
        </w:trPr>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w:t>
            </w:r>
          </w:p>
        </w:tc>
      </w:tr>
      <w:tr>
        <w:trPr>
          <w:trHeight w:val="229"/>
        </w:trPr>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Reserves and accruals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r>
      <w:tr>
        <w:trPr>
          <w:trHeight w:val="230"/>
        </w:trPr>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29"/>
        </w:trPr>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30"/>
        </w:trPr>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Capitalized research expenditures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r>
      <w:tr>
        <w:trPr>
          <w:trHeight w:val="229"/>
        </w:trPr>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809.3</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708.5</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contract costs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r>
      <w:tr>
        <w:trPr>
          <w:trHeight w:val="229"/>
        </w:trPr>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29"/>
        </w:trPr>
        <w:tc>
          <w:tcPr>
            <w:tcW w:w="80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Acquired intangibles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561.3</w:t>
            </w:r>
          </w:p>
        </w:tc>
      </w:tr>
      <w:tr>
        <w:trPr>
          <w:trHeight w:val="20"/>
        </w:trPr>
        <w:tc>
          <w:tcPr>
            <w:tcW w:w="8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assessing the realizability of deferred tax assets, we considered whether it is more likely than not that some portion or all of our deferred tax assets will be realized. This realization is dependent upon the generation of future taxable income during the periods in which those temporary differences become deductible. We concluded that it is more likely than not that we will be able to realize the benefits of our deferred tax assets in the future except for our California research and development credits carryforward, certain impairment losses in business investments and certain tax attributes from business acquisitions. As of December 31, 2023, we had a valuation allowance of $33.2 million against those items.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2023, our federal and California net operating loss carryforwards for income tax purposes were $67.0 million 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$20.8 million, respectively. All the net operating loss carryforwards were from acquisitions which were limited by Section 382 of the Internal Revenue</w:t>
      </w:r>
    </w:p>
    <w:p>
      <w:pPr>
        <w:spacing w:after="0"/>
        <w:rPr>
          <w:sz w:val="20"/>
          <w:szCs w:val="20"/>
          <w:color w:val="auto"/>
        </w:rPr>
      </w:pPr>
      <w:r>
        <w:rPr>
          <w:rFonts w:ascii="Times New Roman" w:cs="Times New Roman" w:eastAsia="Times New Roman" w:hAnsi="Times New Roman"/>
          <w:sz w:val="18"/>
          <w:szCs w:val="18"/>
          <w:color w:val="auto"/>
        </w:rPr>
        <w:t>Code. If not utilized, the federal net operating loss carryforwards will begin to expire in 2024, and California net operating loss carryforwards will begin to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expire in 2034.</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2023, we had state tax credit carryforwards of $45.3 million. The state credits can be carried forward indefinitely.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aggregate changes in the balance of unrecognized tax benefits are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211"/>
        </w:trPr>
        <w:tc>
          <w:tcPr>
            <w:tcW w:w="67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beginning of year</w:t>
            </w:r>
          </w:p>
        </w:tc>
        <w:tc>
          <w:tcPr>
            <w:tcW w:w="92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r>
      <w:tr>
        <w:trPr>
          <w:trHeight w:val="230"/>
        </w:trPr>
        <w:tc>
          <w:tcPr>
            <w:tcW w:w="6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Gross increases for tax positions related to the current year</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9"/>
        </w:trPr>
        <w:tc>
          <w:tcPr>
            <w:tcW w:w="6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Gross decreases for tax positions related to the current year</w:t>
            </w:r>
          </w:p>
        </w:tc>
        <w:tc>
          <w:tcPr>
            <w:tcW w:w="9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Gross increases for tax positions related to the prior year</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6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Gross decreases for tax positions related to prior year</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6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Gross decreases for tax positions related to prior year audit settlements</w:t>
            </w:r>
          </w:p>
        </w:tc>
        <w:tc>
          <w:tcPr>
            <w:tcW w:w="9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Gross decreases for tax positions related to expiration of statute of limitations</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benefits, end of year</w:t>
            </w:r>
          </w:p>
        </w:tc>
        <w:tc>
          <w:tcPr>
            <w:tcW w:w="92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1"/>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2023, we had $65.8 million of unrecognized tax benefits, of which, if recognized, $55.5 million would favorably affect our effective tax rate. Our gross unrecognized tax benefits decreased approximately $1.6 million during the year ended December 31, 2023. The net decrease was primarily due to the reversal of gross unrecognized tax benefits in connection with the lapse of statutes of limitations. Our policy is to include accrued interest and penalties related to uncertain tax benefits in income tax expense. As of December 31, 2023, 2022 and 2021, accrued interest and penalties were $6.4 million, $9.3 million and $13.3 million, respectively.</w:t>
      </w:r>
    </w:p>
    <w:p>
      <w:pPr>
        <w:spacing w:after="0" w:line="21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It is reasonably possible that our gross unrecognized tax benefits will decrease up to $3.9 million in the next 12 months, primarily due to the lapse of the statute of limitations. These adjustments, if recognized, would favorably impact our effective tax rate, and would be recognized as additional tax benefits.</w:t>
      </w:r>
    </w:p>
    <w:p>
      <w:pPr>
        <w:spacing w:after="0" w:line="203"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We file income tax returns in the U.S. federal jurisdiction and in various U.S. state and foreign jurisdictions. Generally, we are no longer subject to examination by U.S. federal income tax authorities for tax years prior to 2015. We are no longer subject to U.S. state and foreign income tax examinations by tax authorities for tax years prior to 2010. We currently have ongoing tax audits in the United Kingdom, Canada, Germany and several other foreign jurisdictions. The focus of these audits is the inter-company profit allocation.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0" w:hanging="452"/>
        <w:spacing w:after="0"/>
        <w:tabs>
          <w:tab w:leader="none" w:pos="4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DEFINED CONTRIBUTION PLANS</w:t>
      </w:r>
    </w:p>
    <w:p>
      <w:pPr>
        <w:spacing w:after="0" w:line="256"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Our tax-deferred savings plan under our 401(k) Plan permits participating U.S. employees to contribute a portion of their pre-tax or after-tax earnings. In Canada, we have a Group Registered Retirement Savings Plan Program (the “RRSP”), which permits participants to make pre-tax contributions. Our board of directors approved 50% matching contributions on employee contributions up to 4% of each employee’s eligible earnings. Our matching contributions to our 401(k) Plan and the RRSP for 2023, 2022 and 2021 were $17.1 million, $12.6 million and $10.0 million, respectively.</w:t>
      </w:r>
    </w:p>
    <w:p>
      <w:pPr>
        <w:spacing w:after="0" w:line="203" w:lineRule="exact"/>
        <w:rPr>
          <w:sz w:val="20"/>
          <w:szCs w:val="20"/>
          <w:color w:val="auto"/>
        </w:rPr>
      </w:pPr>
    </w:p>
    <w:p>
      <w:pPr>
        <w:ind w:left="460" w:hanging="452"/>
        <w:spacing w:after="0"/>
        <w:tabs>
          <w:tab w:leader="none" w:pos="4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5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regularly by the chief operating decision maker in deciding how to allocate resources and in assessing performance. 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or components below the consolidated unit level. Accordingly, we have determined that we have one operating segment, and therefore, one reportable segment.</w:t>
      </w:r>
    </w:p>
    <w:p>
      <w:pPr>
        <w:spacing w:after="0" w:line="30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Revenue by geographic region is based on the billing address of our customers. The following tables set forth revenue and property and equipment —net by geographic region (in millions):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8"/>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2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Revenue</w:t>
            </w:r>
          </w:p>
        </w:tc>
        <w:tc>
          <w:tcPr>
            <w:tcW w:w="340" w:type="dxa"/>
            <w:vAlign w:val="bottom"/>
          </w:tcPr>
          <w:p>
            <w:pPr>
              <w:spacing w:after="0"/>
              <w:rPr>
                <w:sz w:val="15"/>
                <w:szCs w:val="15"/>
                <w:color w:val="auto"/>
              </w:rPr>
            </w:pPr>
          </w:p>
        </w:tc>
        <w:tc>
          <w:tcPr>
            <w:tcW w:w="1140" w:type="dxa"/>
            <w:vAlign w:val="bottom"/>
          </w:tcPr>
          <w:p>
            <w:pPr>
              <w:jc w:val="right"/>
              <w:ind w:right="471"/>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center"/>
              <w:ind w:right="133"/>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ind w:right="513"/>
              <w:spacing w:after="0" w:line="175" w:lineRule="exact"/>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1,605.9</w:t>
            </w:r>
          </w:p>
        </w:tc>
        <w:tc>
          <w:tcPr>
            <w:tcW w:w="3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1,325.0</w:t>
            </w:r>
          </w:p>
        </w:tc>
        <w:tc>
          <w:tcPr>
            <w:tcW w:w="100" w:type="dxa"/>
            <w:vAlign w:val="bottom"/>
          </w:tcPr>
          <w:p>
            <w:pPr>
              <w:spacing w:after="0"/>
              <w:rPr>
                <w:sz w:val="19"/>
                <w:szCs w:val="19"/>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Americas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Americas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 Middle East and Africa (“EMEA”)</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4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Asia Pacific (“APAC”)</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1,056.7</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420" w:type="dxa"/>
            <w:vAlign w:val="bottom"/>
            <w:tcBorders>
              <w:bottom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5,304.8</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20" w:type="dxa"/>
            <w:vAlign w:val="bottom"/>
          </w:tcPr>
          <w:p>
            <w:pPr>
              <w:spacing w:after="0"/>
              <w:rPr>
                <w:sz w:val="24"/>
                <w:szCs w:val="24"/>
                <w:color w:val="auto"/>
              </w:rPr>
            </w:pPr>
          </w:p>
        </w:tc>
        <w:tc>
          <w:tcPr>
            <w:tcW w:w="64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Property and Equipment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net</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2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center"/>
              <w:ind w:right="113"/>
              <w:spacing w:after="0" w:line="175" w:lineRule="exact"/>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ind w:right="513"/>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46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Americas: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Canada</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Latin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Total Americas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APAC</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Total property and equipment—net</w:t>
      </w:r>
    </w:p>
    <w:p>
      <w:pPr>
        <w:spacing w:after="0" w:line="374" w:lineRule="exact"/>
        <w:rPr>
          <w:sz w:val="20"/>
          <w:szCs w:val="20"/>
          <w:color w:val="auto"/>
        </w:rPr>
      </w:pPr>
    </w:p>
    <w:p>
      <w:pPr>
        <w:jc w:val="right"/>
        <w:ind w:right="1679"/>
        <w:spacing w:after="0"/>
        <w:rPr>
          <w:sz w:val="20"/>
          <w:szCs w:val="20"/>
          <w:color w:val="auto"/>
        </w:rPr>
      </w:pPr>
      <w:r>
        <w:rPr>
          <w:rFonts w:ascii="Times New Roman" w:cs="Times New Roman" w:eastAsia="Times New Roman" w:hAnsi="Times New Roman"/>
          <w:sz w:val="18"/>
          <w:szCs w:val="18"/>
          <w:color w:val="auto"/>
        </w:rPr>
        <w:t>The following distributors accounted for 10% or more of our revenue: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1021" w:hanging="1021"/>
        <w:spacing w:after="0"/>
        <w:tabs>
          <w:tab w:leader="none" w:pos="102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701.6</w:t>
      </w:r>
    </w:p>
    <w:p>
      <w:pPr>
        <w:spacing w:after="0" w:line="27" w:lineRule="exact"/>
        <w:rPr>
          <w:rFonts w:ascii="Times New Roman" w:cs="Times New Roman" w:eastAsia="Times New Roman" w:hAnsi="Times New Roman"/>
          <w:sz w:val="18"/>
          <w:szCs w:val="18"/>
          <w:color w:val="auto"/>
        </w:rPr>
      </w:pPr>
    </w:p>
    <w:p>
      <w:pPr>
        <w:ind w:left="102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212.8</w:t>
      </w:r>
    </w:p>
    <w:p>
      <w:pPr>
        <w:spacing w:after="0" w:line="22" w:lineRule="exact"/>
        <w:rPr>
          <w:rFonts w:ascii="Times New Roman" w:cs="Times New Roman" w:eastAsia="Times New Roman" w:hAnsi="Times New Roman"/>
          <w:sz w:val="18"/>
          <w:szCs w:val="18"/>
          <w:color w:val="auto"/>
        </w:rPr>
      </w:pPr>
    </w:p>
    <w:p>
      <w:pPr>
        <w:ind w:left="120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w:t>
      </w:r>
    </w:p>
    <w:p>
      <w:pPr>
        <w:spacing w:after="0" w:line="31" w:lineRule="exact"/>
        <w:rPr>
          <w:rFonts w:ascii="Times New Roman" w:cs="Times New Roman" w:eastAsia="Times New Roman" w:hAnsi="Times New Roman"/>
          <w:sz w:val="18"/>
          <w:szCs w:val="18"/>
          <w:color w:val="auto"/>
        </w:rPr>
      </w:pPr>
    </w:p>
    <w:p>
      <w:pPr>
        <w:ind w:left="102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916.7</w:t>
      </w:r>
    </w:p>
    <w:p>
      <w:pPr>
        <w:spacing w:after="0" w:line="27" w:lineRule="exact"/>
        <w:rPr>
          <w:rFonts w:ascii="Times New Roman" w:cs="Times New Roman" w:eastAsia="Times New Roman" w:hAnsi="Times New Roman"/>
          <w:sz w:val="18"/>
          <w:szCs w:val="18"/>
          <w:color w:val="auto"/>
        </w:rPr>
      </w:pPr>
    </w:p>
    <w:p>
      <w:pPr>
        <w:ind w:left="112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65.5</w:t>
      </w:r>
    </w:p>
    <w:p>
      <w:pPr>
        <w:spacing w:after="0" w:line="22" w:lineRule="exact"/>
        <w:rPr>
          <w:rFonts w:ascii="Times New Roman" w:cs="Times New Roman" w:eastAsia="Times New Roman" w:hAnsi="Times New Roman"/>
          <w:sz w:val="18"/>
          <w:szCs w:val="18"/>
          <w:color w:val="auto"/>
        </w:rPr>
      </w:pPr>
    </w:p>
    <w:p>
      <w:pPr>
        <w:ind w:left="112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6837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11" w:lineRule="exact"/>
        <w:rPr>
          <w:sz w:val="20"/>
          <w:szCs w:val="20"/>
          <w:color w:val="auto"/>
        </w:rPr>
      </w:pPr>
    </w:p>
    <w:p>
      <w:pPr>
        <w:ind w:left="901" w:hanging="901"/>
        <w:spacing w:after="0"/>
        <w:tabs>
          <w:tab w:leader="none" w:pos="90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96837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6837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96837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1028" w:hanging="1028"/>
        <w:spacing w:after="0"/>
        <w:tabs>
          <w:tab w:leader="none" w:pos="1028"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638.1</w:t>
      </w:r>
    </w:p>
    <w:p>
      <w:pPr>
        <w:spacing w:after="0" w:line="38" w:lineRule="exact"/>
        <w:rPr>
          <w:rFonts w:ascii="Times New Roman" w:cs="Times New Roman" w:eastAsia="Times New Roman" w:hAnsi="Times New Roman"/>
          <w:sz w:val="17"/>
          <w:szCs w:val="17"/>
          <w:color w:val="auto"/>
        </w:rPr>
      </w:pPr>
    </w:p>
    <w:p>
      <w:pPr>
        <w:ind w:left="102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204.4</w:t>
      </w:r>
    </w:p>
    <w:p>
      <w:pPr>
        <w:spacing w:after="0" w:line="34" w:lineRule="exact"/>
        <w:rPr>
          <w:rFonts w:ascii="Times New Roman" w:cs="Times New Roman" w:eastAsia="Times New Roman" w:hAnsi="Times New Roman"/>
          <w:sz w:val="17"/>
          <w:szCs w:val="17"/>
          <w:color w:val="auto"/>
        </w:rPr>
      </w:pPr>
    </w:p>
    <w:p>
      <w:pPr>
        <w:ind w:left="120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w:t>
      </w:r>
    </w:p>
    <w:p>
      <w:pPr>
        <w:spacing w:after="0" w:line="42" w:lineRule="exact"/>
        <w:rPr>
          <w:rFonts w:ascii="Times New Roman" w:cs="Times New Roman" w:eastAsia="Times New Roman" w:hAnsi="Times New Roman"/>
          <w:sz w:val="17"/>
          <w:szCs w:val="17"/>
          <w:color w:val="auto"/>
        </w:rPr>
      </w:pPr>
    </w:p>
    <w:p>
      <w:pPr>
        <w:ind w:left="102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843.6</w:t>
      </w:r>
    </w:p>
    <w:p>
      <w:pPr>
        <w:spacing w:after="0" w:line="38" w:lineRule="exact"/>
        <w:rPr>
          <w:rFonts w:ascii="Times New Roman" w:cs="Times New Roman" w:eastAsia="Times New Roman" w:hAnsi="Times New Roman"/>
          <w:sz w:val="17"/>
          <w:szCs w:val="17"/>
          <w:color w:val="auto"/>
        </w:rPr>
      </w:pPr>
    </w:p>
    <w:p>
      <w:pPr>
        <w:ind w:left="112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35.9</w:t>
      </w:r>
    </w:p>
    <w:p>
      <w:pPr>
        <w:spacing w:after="0" w:line="34" w:lineRule="exact"/>
        <w:rPr>
          <w:rFonts w:ascii="Times New Roman" w:cs="Times New Roman" w:eastAsia="Times New Roman" w:hAnsi="Times New Roman"/>
          <w:sz w:val="17"/>
          <w:szCs w:val="17"/>
          <w:color w:val="auto"/>
        </w:rPr>
      </w:pPr>
    </w:p>
    <w:p>
      <w:pPr>
        <w:ind w:left="112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wp:posOffset>
            </wp:positionV>
            <wp:extent cx="96837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3" w:lineRule="exact"/>
        <w:rPr>
          <w:sz w:val="20"/>
          <w:szCs w:val="20"/>
          <w:color w:val="auto"/>
        </w:rPr>
      </w:pPr>
    </w:p>
    <w:p>
      <w:pPr>
        <w:ind w:left="1028" w:hanging="1028"/>
        <w:spacing w:after="0"/>
        <w:tabs>
          <w:tab w:leader="none" w:pos="1028"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898.5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9683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6837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50165</wp:posOffset>
            </wp:positionV>
            <wp:extent cx="96837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671" w:lineRule="exact"/>
        <w:rPr>
          <w:sz w:val="20"/>
          <w:szCs w:val="20"/>
          <w:color w:val="auto"/>
        </w:rPr>
      </w:pPr>
    </w:p>
    <w:p>
      <w:pPr>
        <w:sectPr>
          <w:pgSz w:w="11900" w:h="16838" w:orient="portrait"/>
          <w:cols w:equalWidth="0" w:num="3">
            <w:col w:w="7379" w:space="720"/>
            <w:col w:w="1441" w:space="192"/>
            <w:col w:w="1508"/>
          </w:cols>
          <w:pgMar w:left="320" w:top="121" w:right="339" w:bottom="1440" w:gutter="0" w:footer="0" w:header="0"/>
          <w:type w:val="continuous"/>
        </w:sectPr>
      </w:pPr>
    </w:p>
    <w:p>
      <w:pPr>
        <w:jc w:val="center"/>
        <w:ind w:left="622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21590</wp:posOffset>
            </wp:positionV>
            <wp:extent cx="31718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26" w:lineRule="exact"/>
        <w:rPr>
          <w:sz w:val="20"/>
          <w:szCs w:val="20"/>
          <w:color w:val="auto"/>
        </w:rPr>
      </w:pPr>
    </w:p>
    <w:p>
      <w:pPr>
        <w:ind w:left="6900"/>
        <w:spacing w:after="0"/>
        <w:tabs>
          <w:tab w:leader="none" w:pos="8600" w:val="left"/>
          <w:tab w:leader="none" w:pos="10280" w:val="left"/>
        </w:tabs>
        <w:rPr>
          <w:sz w:val="20"/>
          <w:szCs w:val="20"/>
          <w:color w:val="auto"/>
        </w:rPr>
      </w:pPr>
      <w:r>
        <w:rPr>
          <w:rFonts w:ascii="Times New Roman" w:cs="Times New Roman" w:eastAsia="Times New Roman" w:hAnsi="Times New Roman"/>
          <w:sz w:val="16"/>
          <w:szCs w:val="16"/>
          <w:b w:val="1"/>
          <w:bCs w:val="1"/>
          <w:color w:val="auto"/>
        </w:rPr>
        <w:t>2023</w:t>
      </w:r>
      <w:r>
        <w:rPr>
          <w:sz w:val="20"/>
          <w:szCs w:val="20"/>
          <w:color w:val="auto"/>
        </w:rPr>
        <w:tab/>
      </w:r>
      <w:r>
        <w:rPr>
          <w:rFonts w:ascii="Times New Roman" w:cs="Times New Roman" w:eastAsia="Times New Roman" w:hAnsi="Times New Roman"/>
          <w:sz w:val="16"/>
          <w:szCs w:val="16"/>
          <w:b w:val="1"/>
          <w:bCs w:val="1"/>
          <w:color w:val="auto"/>
        </w:rPr>
        <w:t>2022</w:t>
      </w:r>
      <w:r>
        <w:rPr>
          <w:sz w:val="20"/>
          <w:szCs w:val="20"/>
          <w:color w:val="auto"/>
        </w:rPr>
        <w:tab/>
      </w:r>
      <w:r>
        <w:rPr>
          <w:rFonts w:ascii="Times New Roman" w:cs="Times New Roman" w:eastAsia="Times New Roman" w:hAnsi="Times New Roman"/>
          <w:sz w:val="16"/>
          <w:szCs w:val="16"/>
          <w:b w:val="1"/>
          <w:bCs w:val="1"/>
          <w:color w:val="auto"/>
        </w:rPr>
        <w:t>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 A</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Distributor B</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 C</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Represents less than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distributors accounted for 10% or more of net accounts receivable: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6"/>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 A</w:t>
            </w:r>
          </w:p>
        </w:tc>
        <w:tc>
          <w:tcPr>
            <w:tcW w:w="11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29"/>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Distributor B</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30"/>
        </w:trPr>
        <w:tc>
          <w:tcPr>
            <w:tcW w:w="8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 C</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bl>
    <w:p>
      <w:pPr>
        <w:spacing w:after="0" w:line="200" w:lineRule="exact"/>
        <w:rPr>
          <w:sz w:val="20"/>
          <w:szCs w:val="20"/>
          <w:color w:val="auto"/>
        </w:rPr>
      </w:pPr>
    </w:p>
    <w:p>
      <w:pPr>
        <w:spacing w:after="0" w:line="358" w:lineRule="exact"/>
        <w:rPr>
          <w:sz w:val="20"/>
          <w:szCs w:val="20"/>
          <w:color w:val="auto"/>
        </w:rPr>
      </w:pPr>
    </w:p>
    <w:p>
      <w:pPr>
        <w:jc w:val="right"/>
        <w:ind w:left="660" w:right="8720" w:hanging="652"/>
        <w:spacing w:after="0" w:line="549" w:lineRule="auto"/>
        <w:tabs>
          <w:tab w:leader="none" w:pos="462" w:val="left"/>
        </w:tabs>
        <w:numPr>
          <w:ilvl w:val="0"/>
          <w:numId w:val="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SUBSEQUENT EVENTS </w:t>
      </w:r>
      <w:r>
        <w:rPr>
          <w:rFonts w:ascii="Times New Roman" w:cs="Times New Roman" w:eastAsia="Times New Roman" w:hAnsi="Times New Roman"/>
          <w:sz w:val="17"/>
          <w:szCs w:val="17"/>
          <w:b w:val="1"/>
          <w:bCs w:val="1"/>
          <w:i w:val="1"/>
          <w:iCs w:val="1"/>
          <w:color w:val="auto"/>
        </w:rPr>
        <w:t>Real Property Purchases</w:t>
      </w:r>
    </w:p>
    <w:p>
      <w:pPr>
        <w:spacing w:after="0" w:line="1"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In January 2024, we purchased real property in Santa Clara, CA, and Union City, CA, totaling approximately 480,000 square feet and 54,300 square feet, respectively, for $192.0 million and $14.8 million in cash, respectively.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43" w:lineRule="exact"/>
        <w:rPr>
          <w:sz w:val="20"/>
          <w:szCs w:val="20"/>
          <w:color w:val="auto"/>
        </w:rPr>
      </w:pPr>
    </w:p>
    <w:p>
      <w:pPr>
        <w:ind w:firstLine="567"/>
        <w:spacing w:after="0" w:line="245" w:lineRule="auto"/>
        <w:rPr>
          <w:sz w:val="20"/>
          <w:szCs w:val="20"/>
          <w:color w:val="auto"/>
        </w:rPr>
      </w:pPr>
      <w:r>
        <w:rPr>
          <w:rFonts w:ascii="Times New Roman" w:cs="Times New Roman" w:eastAsia="Times New Roman" w:hAnsi="Times New Roman"/>
          <w:sz w:val="18"/>
          <w:szCs w:val="18"/>
          <w:color w:val="auto"/>
        </w:rPr>
        <w:t>In January 2024, our board of directors approved a $500.0 million increase in the authorized stock repurchase amount under the Repurchase Program, bringing the aggregate amount authorized to be repurchased to $7.25 billion of our outstanding common stock. In February 2024, our board of directors approved an extension of the Repurchase Program to February 28, 2025. As of February 23, 2024, approximately $1.03 billion remained available for future share repurchases.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56"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 13a-15(e) or 15d-15(e) under the Securities Exchange Act of 1934 (the “Exchange Act”)) as of the end of the period covered by this Annual Report on Form 10-K.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214"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Based on that evaluation, our chief executive officer and chief financial officer concluded that our disclosure controls and procedures were effective as of December 31, 2023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Report on Internal Control over Financial Reporting</w:t>
      </w:r>
    </w:p>
    <w:p>
      <w:pPr>
        <w:spacing w:after="0" w:line="256" w:lineRule="exact"/>
        <w:rPr>
          <w:sz w:val="20"/>
          <w:szCs w:val="20"/>
          <w:color w:val="auto"/>
        </w:rPr>
      </w:pPr>
    </w:p>
    <w:p>
      <w:pPr>
        <w:ind w:right="140" w:firstLine="648"/>
        <w:spacing w:after="0" w:line="289" w:lineRule="auto"/>
        <w:rPr>
          <w:sz w:val="20"/>
          <w:szCs w:val="20"/>
          <w:color w:val="auto"/>
        </w:rPr>
      </w:pPr>
      <w:r>
        <w:rPr>
          <w:rFonts w:ascii="Times New Roman" w:cs="Times New Roman" w:eastAsia="Times New Roman" w:hAnsi="Times New Roman"/>
          <w:sz w:val="17"/>
          <w:szCs w:val="17"/>
          <w:color w:val="auto"/>
        </w:rPr>
        <w:t xml:space="preserve">Our management is responsible for establishing and maintaining adequate internal control over financial reporting, as defined in Rule 13a-15(f) and 15d-15(f) under the Exchange Act. Management conducted an evaluation of the effectiveness of our internal control over financial reporting based on the framework in </w:t>
      </w:r>
      <w:r>
        <w:rPr>
          <w:rFonts w:ascii="Times New Roman" w:cs="Times New Roman" w:eastAsia="Times New Roman" w:hAnsi="Times New Roman"/>
          <w:sz w:val="17"/>
          <w:szCs w:val="17"/>
          <w:i w:val="1"/>
          <w:iCs w:val="1"/>
          <w:color w:val="auto"/>
        </w:rPr>
        <w:t>Internal Control—Integrated Framework (2013)</w:t>
      </w:r>
      <w:r>
        <w:rPr>
          <w:rFonts w:ascii="Times New Roman" w:cs="Times New Roman" w:eastAsia="Times New Roman" w:hAnsi="Times New Roman"/>
          <w:sz w:val="17"/>
          <w:szCs w:val="17"/>
          <w:color w:val="auto"/>
        </w:rPr>
        <w:t xml:space="preserve"> set forth by the Committee of Sponsoring Organizations of the Treadway Commission.</w:t>
      </w:r>
    </w:p>
    <w:p>
      <w:pPr>
        <w:spacing w:after="0" w:line="18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Based on this evaluation, management concluded that our internal control over financial reporting was effective as of December 31, 2023. Management reviewed the results of its assessment with our Audit Committee. The effectiveness of our internal control over financial reporting as of December 31, 2023 has been audited by Deloitte &amp; Touche LLP, an independent registered public accounting firm, as stated in its report, which appears in this Item under the heading “Report of Independent Registered Public Accounting Firm.”</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4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(as defined in Rules 13a-15(f) or 15d-15(f) under the Exchange Act) during 2023 that have materially affected, or are reasonably likely to materially affect, our internal controls over financial reporting.</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Fortinet,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Fortinet, Inc. and subsidiaries (the “Company”)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2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2023, of the Company and our report dated February 23, 2024 expressed an unqualified opinion on those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DELOITTE &amp; TOUCHE LLP</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2024</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229" w:lineRule="exact"/>
        <w:rPr>
          <w:sz w:val="20"/>
          <w:szCs w:val="20"/>
          <w:color w:val="auto"/>
        </w:rPr>
      </w:pPr>
    </w:p>
    <w:p>
      <w:pPr>
        <w:ind w:right="60" w:firstLine="648"/>
        <w:spacing w:after="0"/>
        <w:rPr>
          <w:sz w:val="20"/>
          <w:szCs w:val="20"/>
          <w:color w:val="auto"/>
        </w:rPr>
      </w:pPr>
      <w:r>
        <w:rPr>
          <w:rFonts w:ascii="Times New Roman" w:cs="Times New Roman" w:eastAsia="Times New Roman" w:hAnsi="Times New Roman"/>
          <w:sz w:val="18"/>
          <w:szCs w:val="18"/>
          <w:color w:val="auto"/>
        </w:rPr>
        <w:t>On November 13, 2023, Patrice Perche, our Chief Revenue Officer and Executive Vice President of Support, entered into a pre-arranged written stock sale plan in accordance with Rule 10b5-1 (the “Perche Plan”) under the Exchange Act for the sale of shares of our common stock. The Perche Plan was entered into during an open trading window in accordance with our insider trading policy and is intended to satisfy the affirmative defense of Rule 10b5-1(c) under the Exchange Act. The Perche Plan provides for the potential sale by Patrice Perche of up to (a) 141,981 shares of our common stock, including upon the vesting and settlement of RSUs and PSUs for shares of our common stock, and (b) the net shares (which are not yet determinable) after shares are withheld to satisfy tax obligations upon such vesting and settlement, in each case, at the market price, all between March 4, 2024 and June 1, 2025.</w:t>
      </w:r>
    </w:p>
    <w:p>
      <w:pPr>
        <w:spacing w:after="0" w:line="212"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On December 6, 2023, Judith Sim, one of directors, entered into a pre-arranged written stock sale plan in accordance with Rule 10b5-1 (the “Sim Plan”) under the Exchange Act for the sale of shares of our common stock. The Sim Plan was entered into during an open trading window in accordance with our insider trading policy and is intended to satisfy the affirmative defense of Rule 10b5-1(c) under the Exchange Act. The Sim Plan provides for the potential sale by Judith Sim of up to 20,637 shares of our common stock between March 6, 2024 and March 8, 2025.</w:t>
      </w:r>
    </w:p>
    <w:p>
      <w:pPr>
        <w:spacing w:after="0" w:line="194"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Each of the Perche Plan and the Sim Plan (together, the “10b5-1 Plans”) includes a representation from Patrice Perche and Judith Sim (as applicable) to the broker administering the plan that none of them were in possession of any material nonpublic information regarding us or the securities subject to the 10b5-1 Plans at the time the 10b5-1 Plans were entered into. A similar representation was made to us in connection with the adoption of the 10b5-1 Plans under our insider trading policy. Those representations for each 10b5-1 Plan were made as of the respective date of adoption of the applicable 10b5-1 Plan, and speak only as of that date. In making those representations, there is no assurance with respect to any material nonpublic information of which Patrice Perche and Judith Sim were unaware, or with respect to any material nonpublic information acquired by Patrice Perche and Judith Sim or us after the date of each such representation.</w:t>
      </w:r>
    </w:p>
    <w:p>
      <w:pPr>
        <w:spacing w:after="0" w:line="212" w:lineRule="exact"/>
        <w:rPr>
          <w:sz w:val="20"/>
          <w:szCs w:val="20"/>
          <w:color w:val="auto"/>
        </w:rPr>
      </w:pPr>
    </w:p>
    <w:p>
      <w:pPr>
        <w:ind w:right="240" w:firstLine="648"/>
        <w:spacing w:after="0" w:line="245" w:lineRule="auto"/>
        <w:rPr>
          <w:sz w:val="20"/>
          <w:szCs w:val="20"/>
          <w:color w:val="auto"/>
        </w:rPr>
      </w:pPr>
      <w:r>
        <w:rPr>
          <w:rFonts w:ascii="Times New Roman" w:cs="Times New Roman" w:eastAsia="Times New Roman" w:hAnsi="Times New Roman"/>
          <w:sz w:val="18"/>
          <w:szCs w:val="18"/>
          <w:color w:val="auto"/>
        </w:rPr>
        <w:t>Once executed, transactions under the Sim Plan will be disclosed publicly through Form 4 and/or Form 144 filings with the SEC in accordance with applicable securities laws, rules and regulations. Except as may be required by law, we do not undertake any obligation to update or report any modification, termination, or other activity under current or future Rule 10b5-1 plans that may be adopted by Patrice Perche or Judith Sim or our other officers or directors, or their affiliated entities.</w:t>
      </w:r>
    </w:p>
    <w:p>
      <w:pPr>
        <w:spacing w:after="0" w:line="21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Prevents Inspections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tab/>
        <w:t>Directors, Executive Officers and Corporate Governance</w:t>
      </w:r>
    </w:p>
    <w:p>
      <w:pPr>
        <w:spacing w:after="0" w:line="25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definitive proxy statement with respect to our 2024 Annual Meeting of Stockholders to be filed with the SEC within 120 days after the end of the fiscal year covered by this Annual Report on Form 10-K.</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part of our system of corporate governance, our board of directors has adopted a code of business conduct and ethics. The code applies to all of our employees, officers (including our principal executive officer, principal financial officer, principal accounting officer or controller, or persons performing similar functions), agents and representatives, including our independent directors and consultants, who are not our employees, with regard to their Fortinet-related activities. Our code of business conduct and ethics is available on our website at www.fortinet.com under “Corporate—Investor Relations—Corporate Governance.” We will post on this section of our website any amendment to our code of business conduct and ethics, as well as any waivers of our code of business conduct and ethics, which are required to be disclosed by the rules of the SEC or the Nasdaq Stock Market.</w:t>
      </w:r>
    </w:p>
    <w:p>
      <w:pPr>
        <w:spacing w:after="0" w:line="21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5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definitive proxy statement with respect to our 2024 Annual Meeting of Stockholders to be filed with the SEC within 120 days after the end of the fiscal year covered by this Annual Report on Form 10-K.</w:t>
      </w:r>
    </w:p>
    <w:p>
      <w:pPr>
        <w:spacing w:after="0" w:line="18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definitive proxy statement with respect to our 2024 Annual Meeting of Stockholders to be filed with the SEC within 120 days after the end of the fiscal year covered by this Annual Report on Form 10-K.</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definitive proxy statement with respect to our 2024 Annual Meeting of Stockholders to be filed with the SEC within 120 days after the end of the fiscal year covered by this Annual Report on Form 10-K.</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tab/>
        <w:t>Principal Accounting Fees and Services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definitive proxy statement with respect to our 2024 Annual Meeting of Stockholders to be filed with the SEC within 120 days after the end of the fiscal year covered by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tab/>
        <w:t>Exhibits and Financial Statement Schedules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following documents are filed as part of this Annual Report on Form 10-K:</w:t>
      </w:r>
    </w:p>
    <w:p>
      <w:pPr>
        <w:spacing w:after="0" w:line="250" w:lineRule="exact"/>
        <w:rPr>
          <w:sz w:val="20"/>
          <w:szCs w:val="20"/>
          <w:color w:val="auto"/>
        </w:rPr>
      </w:pPr>
    </w:p>
    <w:p>
      <w:pPr>
        <w:ind w:left="1300" w:right="60" w:hanging="644"/>
        <w:spacing w:after="0" w:line="267" w:lineRule="auto"/>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The information concerning Fortinet’s financial statements and the Report of Independent Registered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Firm required by this Item 15(a)(1) is incorporated by reference herein to the section of this Annual Report on Form 10-K in Part II, Item 8, titled “Financial Statements and Supplementary Data.”</w:t>
      </w:r>
    </w:p>
    <w:p>
      <w:pPr>
        <w:spacing w:after="0" w:line="200" w:lineRule="exact"/>
        <w:rPr>
          <w:rFonts w:ascii="Times New Roman" w:cs="Times New Roman" w:eastAsia="Times New Roman" w:hAnsi="Times New Roman"/>
          <w:sz w:val="18"/>
          <w:szCs w:val="18"/>
          <w:color w:val="auto"/>
        </w:rPr>
      </w:pPr>
    </w:p>
    <w:p>
      <w:pPr>
        <w:ind w:left="1300" w:hanging="644"/>
        <w:spacing w:after="0" w:line="284" w:lineRule="auto"/>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 Schedule: </w:t>
      </w:r>
      <w:r>
        <w:rPr>
          <w:rFonts w:ascii="Times New Roman" w:cs="Times New Roman" w:eastAsia="Times New Roman" w:hAnsi="Times New Roman"/>
          <w:sz w:val="18"/>
          <w:szCs w:val="18"/>
          <w:color w:val="auto"/>
        </w:rPr>
        <w:t>Financial statement schedules have been omitted because they are not applicable or are not required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required to be set forth therein is included in the consolidated financial statements or notes thereto.</w:t>
      </w:r>
    </w:p>
    <w:p>
      <w:pPr>
        <w:spacing w:after="0" w:line="185" w:lineRule="exact"/>
        <w:rPr>
          <w:rFonts w:ascii="Times New Roman" w:cs="Times New Roman" w:eastAsia="Times New Roman" w:hAnsi="Times New Roman"/>
          <w:sz w:val="18"/>
          <w:szCs w:val="18"/>
          <w:color w:val="auto"/>
        </w:rPr>
      </w:pPr>
    </w:p>
    <w:p>
      <w:pPr>
        <w:ind w:left="1300" w:hanging="644"/>
        <w:spacing w:after="0" w:line="284" w:lineRule="auto"/>
        <w:tabs>
          <w:tab w:leader="none" w:pos="134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See Item 15(b) below. We have filed, or incorporated into this Annual Report on Form 10-K by reference, the exhibits listed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accompanying Exhibit Index immediately preceding the signature page of this Annual Report on Form 10-K.</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Exhibits:</w:t>
      </w:r>
    </w:p>
    <w:p>
      <w:pPr>
        <w:spacing w:after="0" w:line="25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exhibits listed on the Exhibit Index immediately preceding the signature page of this Annual Report on Form 10-K is incorporated herein by reference as the list of exhibits required by this Item 15(b).</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Financial Statement Schedules: See Item 15(a)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780" w:type="dxa"/>
            <w:vAlign w:val="bottom"/>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tcPr>
          <w:p>
            <w:pPr>
              <w:spacing w:after="0"/>
              <w:rPr>
                <w:sz w:val="22"/>
                <w:szCs w:val="22"/>
                <w:color w:val="auto"/>
              </w:rPr>
            </w:pPr>
          </w:p>
        </w:tc>
        <w:tc>
          <w:tcPr>
            <w:tcW w:w="374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Form Incorporated by reference herein</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0000FF"/>
            </w:tcBorders>
          </w:tcPr>
          <w:p>
            <w:pPr>
              <w:spacing w:after="0"/>
              <w:rPr>
                <w:rFonts w:ascii="Times New Roman" w:cs="Times New Roman" w:eastAsia="Times New Roman" w:hAnsi="Times New Roman"/>
                <w:sz w:val="14"/>
                <w:szCs w:val="14"/>
                <w:color w:val="0000FF"/>
                <w:w w:val="91"/>
              </w:rPr>
            </w:pPr>
            <w:hyperlink r:id="rId142">
              <w:r>
                <w:rPr>
                  <w:rFonts w:ascii="Times New Roman" w:cs="Times New Roman" w:eastAsia="Times New Roman" w:hAnsi="Times New Roman"/>
                  <w:sz w:val="14"/>
                  <w:szCs w:val="14"/>
                  <w:color w:val="0000FF"/>
                  <w:w w:val="91"/>
                </w:rPr>
                <w:t>3.</w:t>
              </w:r>
              <w:r>
                <w:rPr>
                  <w:rFonts w:ascii="Times New Roman" w:cs="Times New Roman" w:eastAsia="Times New Roman" w:hAnsi="Times New Roman"/>
                  <w:sz w:val="14"/>
                  <w:szCs w:val="14"/>
                  <w:u w:val="single" w:color="auto"/>
                  <w:color w:val="0000FF"/>
                  <w:w w:val="91"/>
                </w:rPr>
                <w:t>1</w:t>
              </w:r>
            </w:hyperlink>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Restated Certificate of Incorporation</w:t>
            </w:r>
          </w:p>
        </w:tc>
        <w:tc>
          <w:tcPr>
            <w:tcW w:w="100" w:type="dxa"/>
            <w:vAlign w:val="bottom"/>
          </w:tcPr>
          <w:p>
            <w:pPr>
              <w:spacing w:after="0"/>
              <w:rPr>
                <w:sz w:val="16"/>
                <w:szCs w:val="16"/>
                <w:color w:val="auto"/>
              </w:rPr>
            </w:pPr>
          </w:p>
        </w:tc>
        <w:tc>
          <w:tcPr>
            <w:tcW w:w="3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Quarterly Report on Form 10-Q (File No. 001-34511)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0" w:type="dxa"/>
            <w:vAlign w:val="bottom"/>
            <w:tcBorders>
              <w:bottom w:val="single" w:sz="8" w:color="0000FF"/>
            </w:tcBorders>
          </w:tcPr>
          <w:p>
            <w:pPr>
              <w:spacing w:after="0"/>
              <w:rPr>
                <w:rFonts w:ascii="Times New Roman" w:cs="Times New Roman" w:eastAsia="Times New Roman" w:hAnsi="Times New Roman"/>
                <w:sz w:val="14"/>
                <w:szCs w:val="14"/>
                <w:color w:val="0000FF"/>
                <w:w w:val="91"/>
              </w:rPr>
            </w:pPr>
            <w:hyperlink r:id="rId143">
              <w:r>
                <w:rPr>
                  <w:rFonts w:ascii="Times New Roman" w:cs="Times New Roman" w:eastAsia="Times New Roman" w:hAnsi="Times New Roman"/>
                  <w:sz w:val="14"/>
                  <w:szCs w:val="14"/>
                  <w:color w:val="0000FF"/>
                  <w:w w:val="91"/>
                </w:rPr>
                <w:t>3.</w:t>
              </w:r>
              <w:r>
                <w:rPr>
                  <w:rFonts w:ascii="Times New Roman" w:cs="Times New Roman" w:eastAsia="Times New Roman" w:hAnsi="Times New Roman"/>
                  <w:sz w:val="14"/>
                  <w:szCs w:val="14"/>
                  <w:u w:val="single" w:color="auto"/>
                  <w:color w:val="0000FF"/>
                  <w:w w:val="91"/>
                </w:rPr>
                <w:t>2</w:t>
              </w:r>
            </w:hyperlink>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Amended and Restated Bylaws</w:t>
            </w:r>
          </w:p>
        </w:tc>
        <w:tc>
          <w:tcPr>
            <w:tcW w:w="10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Report on Form 8-K (File No. 001-34511)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 w:type="dxa"/>
            <w:vAlign w:val="bottom"/>
            <w:tcBorders>
              <w:bottom w:val="single" w:sz="8" w:color="0000FF"/>
            </w:tcBorders>
          </w:tcPr>
          <w:p>
            <w:pPr>
              <w:spacing w:after="0"/>
              <w:rPr>
                <w:rFonts w:ascii="Times New Roman" w:cs="Times New Roman" w:eastAsia="Times New Roman" w:hAnsi="Times New Roman"/>
                <w:sz w:val="14"/>
                <w:szCs w:val="14"/>
                <w:color w:val="0000FF"/>
                <w:w w:val="91"/>
              </w:rPr>
            </w:pPr>
            <w:hyperlink r:id="rId144">
              <w:r>
                <w:rPr>
                  <w:rFonts w:ascii="Times New Roman" w:cs="Times New Roman" w:eastAsia="Times New Roman" w:hAnsi="Times New Roman"/>
                  <w:sz w:val="14"/>
                  <w:szCs w:val="14"/>
                  <w:color w:val="0000FF"/>
                  <w:w w:val="91"/>
                </w:rPr>
                <w:t>4.</w:t>
              </w:r>
              <w:r>
                <w:rPr>
                  <w:rFonts w:ascii="Times New Roman" w:cs="Times New Roman" w:eastAsia="Times New Roman" w:hAnsi="Times New Roman"/>
                  <w:sz w:val="14"/>
                  <w:szCs w:val="14"/>
                  <w:u w:val="single" w:color="auto"/>
                  <w:color w:val="0000FF"/>
                  <w:w w:val="91"/>
                </w:rPr>
                <w:t>1</w:t>
              </w:r>
            </w:hyperlink>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Specimen common stock certificate of the Company</w:t>
            </w:r>
          </w:p>
        </w:tc>
        <w:tc>
          <w:tcPr>
            <w:tcW w:w="10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Registration Statement on Form S-l, as amended (File No. 333-</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0000FF"/>
                <w:w w:val="93"/>
              </w:rPr>
              <w:t>4.</w:t>
            </w:r>
            <w:r>
              <w:rPr>
                <w:rFonts w:ascii="Times New Roman" w:cs="Times New Roman" w:eastAsia="Times New Roman" w:hAnsi="Times New Roman"/>
                <w:sz w:val="14"/>
                <w:szCs w:val="14"/>
                <w:u w:val="single" w:color="auto"/>
                <w:color w:val="0000FF"/>
                <w:w w:val="93"/>
              </w:rPr>
              <w:t>2</w:t>
            </w:r>
            <w:r>
              <w:rPr>
                <w:rFonts w:ascii="Times New Roman" w:cs="Times New Roman" w:eastAsia="Times New Roman" w:hAnsi="Times New Roman"/>
                <w:sz w:val="18"/>
                <w:szCs w:val="18"/>
                <w:color w:val="000000"/>
                <w:w w:val="93"/>
                <w:vertAlign w:val="superscript"/>
              </w:rPr>
              <w:t>*</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Description of Securities Registered Pursuant to Section 12 of</w:t>
            </w:r>
          </w:p>
        </w:tc>
        <w:tc>
          <w:tcPr>
            <w:tcW w:w="3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161190)</w:t>
            </w: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the Exchange Act</w:t>
            </w:r>
          </w:p>
        </w:tc>
        <w:tc>
          <w:tcPr>
            <w:tcW w:w="1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980" w:type="dxa"/>
            <w:vAlign w:val="bottom"/>
            <w:gridSpan w:val="4"/>
            <w:vMerge w:val="restart"/>
          </w:tcPr>
          <w:p>
            <w:pPr>
              <w:spacing w:after="0"/>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10.</w:t>
              </w:r>
            </w:hyperlink>
            <w:r>
              <w:rPr>
                <w:rFonts w:ascii="Times New Roman" w:cs="Times New Roman" w:eastAsia="Times New Roman" w:hAnsi="Times New Roman"/>
                <w:sz w:val="14"/>
                <w:szCs w:val="14"/>
                <w:u w:val="single" w:color="auto"/>
                <w:color w:val="0000FF"/>
              </w:rPr>
              <w:t>1</w:t>
            </w:r>
            <w:r>
              <w:rPr>
                <w:rFonts w:ascii="Times New Roman" w:cs="Times New Roman" w:eastAsia="Times New Roman" w:hAnsi="Times New Roman"/>
                <w:sz w:val="18"/>
                <w:szCs w:val="18"/>
                <w:color w:val="000000"/>
                <w:vertAlign w:val="superscript"/>
              </w:rPr>
              <w:t>†</w:t>
            </w:r>
          </w:p>
        </w:tc>
        <w:tc>
          <w:tcPr>
            <w:tcW w:w="3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80" w:type="dxa"/>
            <w:vAlign w:val="bottom"/>
            <w:gridSpan w:val="4"/>
            <w:vMerge w:val="continue"/>
          </w:tcPr>
          <w:p>
            <w:pPr>
              <w:spacing w:after="0"/>
              <w:rPr>
                <w:sz w:val="17"/>
                <w:szCs w:val="17"/>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Forms of Indemnification Agreement between the Company and</w:t>
            </w:r>
          </w:p>
        </w:tc>
        <w:tc>
          <w:tcPr>
            <w:tcW w:w="100" w:type="dxa"/>
            <w:vAlign w:val="bottom"/>
          </w:tcPr>
          <w:p>
            <w:pPr>
              <w:spacing w:after="0"/>
              <w:rPr>
                <w:sz w:val="17"/>
                <w:szCs w:val="17"/>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Registration Statement on Form S-l (File No. 333-161190)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its directors and officers</w:t>
            </w:r>
          </w:p>
        </w:tc>
        <w:tc>
          <w:tcPr>
            <w:tcW w:w="1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980" w:type="dxa"/>
            <w:vAlign w:val="bottom"/>
            <w:gridSpan w:val="4"/>
            <w:vMerge w:val="restart"/>
          </w:tcPr>
          <w:p>
            <w:pPr>
              <w:spacing w:after="0"/>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w:t>
              </w:r>
            </w:hyperlink>
            <w:r>
              <w:rPr>
                <w:rFonts w:ascii="Times New Roman" w:cs="Times New Roman" w:eastAsia="Times New Roman" w:hAnsi="Times New Roman"/>
                <w:sz w:val="18"/>
                <w:szCs w:val="18"/>
                <w:color w:val="000000"/>
                <w:vertAlign w:val="superscript"/>
              </w:rPr>
              <w:t>†</w:t>
            </w:r>
          </w:p>
        </w:tc>
        <w:tc>
          <w:tcPr>
            <w:tcW w:w="3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0" w:type="dxa"/>
            <w:vAlign w:val="bottom"/>
            <w:gridSpan w:val="4"/>
            <w:vMerge w:val="continue"/>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Amended and Restated 2009 Equity Incentive Plan</w:t>
            </w:r>
          </w:p>
        </w:tc>
        <w:tc>
          <w:tcPr>
            <w:tcW w:w="10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Quarterly Report on Form 10-Q (File No. 001-34511)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80" w:type="dxa"/>
            <w:vAlign w:val="bottom"/>
            <w:gridSpan w:val="4"/>
          </w:tcPr>
          <w:p>
            <w:pPr>
              <w:spacing w:after="0"/>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10.</w:t>
              </w:r>
            </w:hyperlink>
            <w:r>
              <w:rPr>
                <w:rFonts w:ascii="Times New Roman" w:cs="Times New Roman" w:eastAsia="Times New Roman" w:hAnsi="Times New Roman"/>
                <w:sz w:val="14"/>
                <w:szCs w:val="14"/>
                <w:u w:val="single" w:color="auto"/>
                <w:color w:val="0000FF"/>
              </w:rPr>
              <w:t>3</w:t>
            </w:r>
            <w:r>
              <w:rPr>
                <w:rFonts w:ascii="Times New Roman" w:cs="Times New Roman" w:eastAsia="Times New Roman" w:hAnsi="Times New Roman"/>
                <w:sz w:val="18"/>
                <w:szCs w:val="18"/>
                <w:color w:val="000000"/>
                <w:vertAlign w:val="superscript"/>
              </w:rPr>
              <w:t>†</w:t>
            </w: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Forms of stock option agreement under Amended and Restated</w:t>
            </w:r>
          </w:p>
        </w:tc>
        <w:tc>
          <w:tcPr>
            <w:tcW w:w="100" w:type="dxa"/>
            <w:vAlign w:val="bottom"/>
          </w:tcPr>
          <w:p>
            <w:pPr>
              <w:spacing w:after="0"/>
              <w:rPr>
                <w:sz w:val="19"/>
                <w:szCs w:val="19"/>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Annual Report on Form 10-K (File No. 001-34511)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2009 Equity Incentive Plan</w:t>
            </w:r>
          </w:p>
        </w:tc>
        <w:tc>
          <w:tcPr>
            <w:tcW w:w="1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980" w:type="dxa"/>
            <w:vAlign w:val="bottom"/>
            <w:gridSpan w:val="4"/>
            <w:vMerge w:val="restart"/>
          </w:tcPr>
          <w:p>
            <w:pPr>
              <w:spacing w:after="0"/>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10.</w:t>
              </w:r>
            </w:hyperlink>
            <w:r>
              <w:rPr>
                <w:rFonts w:ascii="Times New Roman" w:cs="Times New Roman" w:eastAsia="Times New Roman" w:hAnsi="Times New Roman"/>
                <w:sz w:val="14"/>
                <w:szCs w:val="14"/>
                <w:u w:val="single" w:color="auto"/>
                <w:color w:val="0000FF"/>
              </w:rPr>
              <w:t>4</w:t>
            </w:r>
            <w:r>
              <w:rPr>
                <w:rFonts w:ascii="Times New Roman" w:cs="Times New Roman" w:eastAsia="Times New Roman" w:hAnsi="Times New Roman"/>
                <w:sz w:val="18"/>
                <w:szCs w:val="18"/>
                <w:color w:val="000000"/>
                <w:vertAlign w:val="superscript"/>
              </w:rPr>
              <w:t>†</w:t>
            </w:r>
          </w:p>
        </w:tc>
        <w:tc>
          <w:tcPr>
            <w:tcW w:w="3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80" w:type="dxa"/>
            <w:vAlign w:val="bottom"/>
            <w:gridSpan w:val="4"/>
            <w:vMerge w:val="continue"/>
          </w:tcPr>
          <w:p>
            <w:pPr>
              <w:spacing w:after="0"/>
              <w:rPr>
                <w:sz w:val="17"/>
                <w:szCs w:val="17"/>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Form of performance stock unit award agreement under</w:t>
            </w:r>
          </w:p>
        </w:tc>
        <w:tc>
          <w:tcPr>
            <w:tcW w:w="100" w:type="dxa"/>
            <w:vAlign w:val="bottom"/>
          </w:tcPr>
          <w:p>
            <w:pPr>
              <w:spacing w:after="0"/>
              <w:rPr>
                <w:sz w:val="17"/>
                <w:szCs w:val="17"/>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Quarterly Report on Form 10-Q (File No. 001-34511)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Amended and Restated 2009 Equity Incentive Plan</w:t>
            </w:r>
          </w:p>
        </w:tc>
        <w:tc>
          <w:tcPr>
            <w:tcW w:w="1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980" w:type="dxa"/>
            <w:vAlign w:val="bottom"/>
            <w:gridSpan w:val="4"/>
            <w:vMerge w:val="restart"/>
          </w:tcPr>
          <w:p>
            <w:pPr>
              <w:spacing w:after="0"/>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10.</w:t>
              </w:r>
            </w:hyperlink>
            <w:r>
              <w:rPr>
                <w:rFonts w:ascii="Times New Roman" w:cs="Times New Roman" w:eastAsia="Times New Roman" w:hAnsi="Times New Roman"/>
                <w:sz w:val="14"/>
                <w:szCs w:val="14"/>
                <w:u w:val="single" w:color="auto"/>
                <w:color w:val="0000FF"/>
              </w:rPr>
              <w:t>5</w:t>
            </w:r>
            <w:r>
              <w:rPr>
                <w:rFonts w:ascii="Times New Roman" w:cs="Times New Roman" w:eastAsia="Times New Roman" w:hAnsi="Times New Roman"/>
                <w:sz w:val="18"/>
                <w:szCs w:val="18"/>
                <w:color w:val="000000"/>
                <w:vertAlign w:val="superscript"/>
              </w:rPr>
              <w:t>†</w:t>
            </w:r>
          </w:p>
        </w:tc>
        <w:tc>
          <w:tcPr>
            <w:tcW w:w="3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gridSpan w:val="4"/>
            <w:vMerge w:val="continue"/>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Forms of restricted stock unit award and performance stock unit</w:t>
            </w:r>
          </w:p>
        </w:tc>
        <w:tc>
          <w:tcPr>
            <w:tcW w:w="10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Annual Report on Form 10-K (File No. 001-34511)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78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award agreement under Amended and Restated 2009 Equity</w:t>
            </w:r>
          </w:p>
        </w:tc>
        <w:tc>
          <w:tcPr>
            <w:tcW w:w="100" w:type="dxa"/>
            <w:vAlign w:val="bottom"/>
          </w:tcPr>
          <w:p>
            <w:pPr>
              <w:spacing w:after="0"/>
              <w:rPr>
                <w:sz w:val="9"/>
                <w:szCs w:val="9"/>
                <w:color w:val="auto"/>
              </w:rPr>
            </w:pPr>
          </w:p>
        </w:tc>
        <w:tc>
          <w:tcPr>
            <w:tcW w:w="3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Incentive Plan (Additional Forms)</w:t>
            </w:r>
          </w:p>
        </w:tc>
        <w:tc>
          <w:tcPr>
            <w:tcW w:w="1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80" w:type="dxa"/>
            <w:vAlign w:val="bottom"/>
            <w:gridSpan w:val="4"/>
          </w:tcPr>
          <w:p>
            <w:pPr>
              <w:spacing w:after="0"/>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10.</w:t>
              </w:r>
            </w:hyperlink>
            <w:r>
              <w:rPr>
                <w:rFonts w:ascii="Times New Roman" w:cs="Times New Roman" w:eastAsia="Times New Roman" w:hAnsi="Times New Roman"/>
                <w:sz w:val="14"/>
                <w:szCs w:val="14"/>
                <w:u w:val="single" w:color="auto"/>
                <w:color w:val="0000FF"/>
              </w:rPr>
              <w:t>6</w:t>
            </w:r>
            <w:r>
              <w:rPr>
                <w:rFonts w:ascii="Times New Roman" w:cs="Times New Roman" w:eastAsia="Times New Roman" w:hAnsi="Times New Roman"/>
                <w:sz w:val="18"/>
                <w:szCs w:val="18"/>
                <w:color w:val="000000"/>
                <w:vertAlign w:val="superscript"/>
              </w:rPr>
              <w:t>†</w:t>
            </w: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Form of restricted stock unit award agreement under Amended</w:t>
            </w:r>
          </w:p>
        </w:tc>
        <w:tc>
          <w:tcPr>
            <w:tcW w:w="10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Annual Report on Form 10-K (File No. 001-34511)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and Restated 2009 Equity Incentive Plan (Additional Form)</w:t>
            </w:r>
          </w:p>
        </w:tc>
        <w:tc>
          <w:tcPr>
            <w:tcW w:w="1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980" w:type="dxa"/>
            <w:vAlign w:val="bottom"/>
            <w:gridSpan w:val="4"/>
            <w:vMerge w:val="restart"/>
          </w:tcPr>
          <w:p>
            <w:pPr>
              <w:spacing w:after="0"/>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10.</w:t>
              </w:r>
            </w:hyperlink>
            <w:r>
              <w:rPr>
                <w:rFonts w:ascii="Times New Roman" w:cs="Times New Roman" w:eastAsia="Times New Roman" w:hAnsi="Times New Roman"/>
                <w:sz w:val="14"/>
                <w:szCs w:val="14"/>
                <w:u w:val="single" w:color="auto"/>
                <w:color w:val="0000FF"/>
              </w:rPr>
              <w:t>7</w:t>
            </w:r>
            <w:r>
              <w:rPr>
                <w:rFonts w:ascii="Times New Roman" w:cs="Times New Roman" w:eastAsia="Times New Roman" w:hAnsi="Times New Roman"/>
                <w:sz w:val="18"/>
                <w:szCs w:val="18"/>
                <w:color w:val="000000"/>
                <w:vertAlign w:val="superscript"/>
              </w:rPr>
              <w:t>†</w:t>
            </w:r>
          </w:p>
        </w:tc>
        <w:tc>
          <w:tcPr>
            <w:tcW w:w="3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80" w:type="dxa"/>
            <w:vAlign w:val="bottom"/>
            <w:gridSpan w:val="4"/>
            <w:vMerge w:val="continue"/>
          </w:tcPr>
          <w:p>
            <w:pPr>
              <w:spacing w:after="0"/>
              <w:rPr>
                <w:sz w:val="17"/>
                <w:szCs w:val="17"/>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Form of stock option award agreement under Amended and</w:t>
            </w:r>
          </w:p>
        </w:tc>
        <w:tc>
          <w:tcPr>
            <w:tcW w:w="100" w:type="dxa"/>
            <w:vAlign w:val="bottom"/>
          </w:tcPr>
          <w:p>
            <w:pPr>
              <w:spacing w:after="0"/>
              <w:rPr>
                <w:sz w:val="17"/>
                <w:szCs w:val="17"/>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Annual Report on Form 10-K (File No. 001-34511)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Restated 2009 Equity Incentive Plan (Additional Form)</w:t>
            </w:r>
          </w:p>
        </w:tc>
        <w:tc>
          <w:tcPr>
            <w:tcW w:w="1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980" w:type="dxa"/>
            <w:vAlign w:val="bottom"/>
            <w:gridSpan w:val="4"/>
            <w:vMerge w:val="restart"/>
          </w:tcPr>
          <w:p>
            <w:pPr>
              <w:spacing w:after="0"/>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8</w:t>
              </w:r>
            </w:hyperlink>
            <w:r>
              <w:rPr>
                <w:rFonts w:ascii="Times New Roman" w:cs="Times New Roman" w:eastAsia="Times New Roman" w:hAnsi="Times New Roman"/>
                <w:sz w:val="18"/>
                <w:szCs w:val="18"/>
                <w:color w:val="000000"/>
                <w:vertAlign w:val="superscript"/>
              </w:rPr>
              <w:t>†</w:t>
            </w:r>
          </w:p>
        </w:tc>
        <w:tc>
          <w:tcPr>
            <w:tcW w:w="3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0" w:type="dxa"/>
            <w:vAlign w:val="bottom"/>
            <w:gridSpan w:val="4"/>
            <w:vMerge w:val="continue"/>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Fortinet, Inc. Amended Bonus Plan</w:t>
            </w:r>
          </w:p>
        </w:tc>
        <w:tc>
          <w:tcPr>
            <w:tcW w:w="10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Annual Report on Form 10-K (File No. 001-34511)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980" w:type="dxa"/>
            <w:vAlign w:val="bottom"/>
            <w:gridSpan w:val="4"/>
          </w:tcPr>
          <w:p>
            <w:pPr>
              <w:spacing w:after="0"/>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9</w:t>
              </w:r>
            </w:hyperlink>
            <w:r>
              <w:rPr>
                <w:rFonts w:ascii="Times New Roman" w:cs="Times New Roman" w:eastAsia="Times New Roman" w:hAnsi="Times New Roman"/>
                <w:sz w:val="18"/>
                <w:szCs w:val="18"/>
                <w:color w:val="000000"/>
                <w:vertAlign w:val="superscript"/>
              </w:rPr>
              <w:t>†</w:t>
            </w: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Fortinet, Inc. Cash and Equity Incentive Plan</w:t>
            </w:r>
          </w:p>
        </w:tc>
        <w:tc>
          <w:tcPr>
            <w:tcW w:w="10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Quarterly Report on Form 10-Q (File No. 001-34511)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80" w:type="dxa"/>
            <w:vAlign w:val="bottom"/>
            <w:gridSpan w:val="4"/>
          </w:tcPr>
          <w:p>
            <w:pPr>
              <w:spacing w:after="0"/>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10</w:t>
              </w:r>
            </w:hyperlink>
            <w:r>
              <w:rPr>
                <w:rFonts w:ascii="Times New Roman" w:cs="Times New Roman" w:eastAsia="Times New Roman" w:hAnsi="Times New Roman"/>
                <w:sz w:val="18"/>
                <w:szCs w:val="18"/>
                <w:color w:val="000000"/>
                <w:vertAlign w:val="superscript"/>
              </w:rPr>
              <w:t>†</w:t>
            </w: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Form of Change of Control Agreement between the Company</w:t>
            </w:r>
          </w:p>
        </w:tc>
        <w:tc>
          <w:tcPr>
            <w:tcW w:w="100" w:type="dxa"/>
            <w:vAlign w:val="bottom"/>
          </w:tcPr>
          <w:p>
            <w:pPr>
              <w:spacing w:after="0"/>
              <w:rPr>
                <w:sz w:val="19"/>
                <w:szCs w:val="19"/>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Quarterly Report on Form 10-Q (File No. 001-34511)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0" w:type="dxa"/>
            <w:vAlign w:val="bottom"/>
            <w:tcBorders>
              <w:left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and its directors</w:t>
            </w:r>
          </w:p>
        </w:tc>
        <w:tc>
          <w:tcPr>
            <w:tcW w:w="1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980" w:type="dxa"/>
            <w:vAlign w:val="bottom"/>
            <w:gridSpan w:val="4"/>
            <w:vMerge w:val="restart"/>
          </w:tcPr>
          <w:p>
            <w:pPr>
              <w:spacing w:after="0"/>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11</w:t>
              </w:r>
            </w:hyperlink>
            <w:r>
              <w:rPr>
                <w:rFonts w:ascii="Times New Roman" w:cs="Times New Roman" w:eastAsia="Times New Roman" w:hAnsi="Times New Roman"/>
                <w:sz w:val="18"/>
                <w:szCs w:val="18"/>
                <w:color w:val="000000"/>
                <w:vertAlign w:val="superscript"/>
              </w:rPr>
              <w:t>†</w:t>
            </w:r>
          </w:p>
        </w:tc>
        <w:tc>
          <w:tcPr>
            <w:tcW w:w="3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gridSpan w:val="4"/>
            <w:vMerge w:val="continue"/>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Amended and Restated Change of Control Severance</w:t>
            </w:r>
          </w:p>
        </w:tc>
        <w:tc>
          <w:tcPr>
            <w:tcW w:w="10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Quarterly Report on Form 10-Q (File No. 001-34511)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78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Agreement, effective as of August 7, 2019, between the</w:t>
            </w:r>
          </w:p>
        </w:tc>
        <w:tc>
          <w:tcPr>
            <w:tcW w:w="100" w:type="dxa"/>
            <w:vAlign w:val="bottom"/>
          </w:tcPr>
          <w:p>
            <w:pPr>
              <w:spacing w:after="0"/>
              <w:rPr>
                <w:sz w:val="9"/>
                <w:szCs w:val="9"/>
                <w:color w:val="auto"/>
              </w:rPr>
            </w:pPr>
          </w:p>
        </w:tc>
        <w:tc>
          <w:tcPr>
            <w:tcW w:w="3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Company and Ken Xie</w:t>
            </w:r>
          </w:p>
        </w:tc>
        <w:tc>
          <w:tcPr>
            <w:tcW w:w="1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80" w:type="dxa"/>
            <w:vAlign w:val="bottom"/>
            <w:gridSpan w:val="4"/>
          </w:tcPr>
          <w:p>
            <w:pPr>
              <w:spacing w:after="0"/>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12</w:t>
              </w:r>
            </w:hyperlink>
            <w:r>
              <w:rPr>
                <w:rFonts w:ascii="Times New Roman" w:cs="Times New Roman" w:eastAsia="Times New Roman" w:hAnsi="Times New Roman"/>
                <w:sz w:val="18"/>
                <w:szCs w:val="18"/>
                <w:color w:val="000000"/>
                <w:vertAlign w:val="superscript"/>
              </w:rPr>
              <w:t>†</w:t>
            </w: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Amended and Restated Change of Control Severance</w:t>
            </w:r>
          </w:p>
        </w:tc>
        <w:tc>
          <w:tcPr>
            <w:tcW w:w="100" w:type="dxa"/>
            <w:vAlign w:val="bottom"/>
          </w:tcPr>
          <w:p>
            <w:pPr>
              <w:spacing w:after="0"/>
              <w:rPr>
                <w:sz w:val="19"/>
                <w:szCs w:val="19"/>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Quarterly Report on Form 10-Q (File No. 001-34511)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78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Agreement, effective as of August 7, 2019, between the</w:t>
            </w:r>
          </w:p>
        </w:tc>
        <w:tc>
          <w:tcPr>
            <w:tcW w:w="100" w:type="dxa"/>
            <w:vAlign w:val="bottom"/>
          </w:tcPr>
          <w:p>
            <w:pPr>
              <w:spacing w:after="0"/>
              <w:rPr>
                <w:sz w:val="9"/>
                <w:szCs w:val="9"/>
                <w:color w:val="auto"/>
              </w:rPr>
            </w:pPr>
          </w:p>
        </w:tc>
        <w:tc>
          <w:tcPr>
            <w:tcW w:w="3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Company and Michael Xie</w:t>
            </w:r>
          </w:p>
        </w:tc>
        <w:tc>
          <w:tcPr>
            <w:tcW w:w="1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80" w:type="dxa"/>
            <w:vAlign w:val="bottom"/>
            <w:gridSpan w:val="4"/>
          </w:tcPr>
          <w:p>
            <w:pPr>
              <w:spacing w:after="0"/>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13</w:t>
              </w:r>
            </w:hyperlink>
            <w:r>
              <w:rPr>
                <w:rFonts w:ascii="Times New Roman" w:cs="Times New Roman" w:eastAsia="Times New Roman" w:hAnsi="Times New Roman"/>
                <w:sz w:val="18"/>
                <w:szCs w:val="18"/>
                <w:color w:val="000000"/>
                <w:vertAlign w:val="superscript"/>
              </w:rPr>
              <w:t>†</w:t>
            </w: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Amended and Restated Change of Control Severance</w:t>
            </w:r>
          </w:p>
        </w:tc>
        <w:tc>
          <w:tcPr>
            <w:tcW w:w="100" w:type="dxa"/>
            <w:vAlign w:val="bottom"/>
          </w:tcPr>
          <w:p>
            <w:pPr>
              <w:spacing w:after="0"/>
              <w:rPr>
                <w:sz w:val="19"/>
                <w:szCs w:val="19"/>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Quarterly Report on Form 10-Q (File No. 001-34511)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78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Agreement, effective as of August 7, 2019, between the</w:t>
            </w:r>
          </w:p>
        </w:tc>
        <w:tc>
          <w:tcPr>
            <w:tcW w:w="100" w:type="dxa"/>
            <w:vAlign w:val="bottom"/>
          </w:tcPr>
          <w:p>
            <w:pPr>
              <w:spacing w:after="0"/>
              <w:rPr>
                <w:sz w:val="9"/>
                <w:szCs w:val="9"/>
                <w:color w:val="auto"/>
              </w:rPr>
            </w:pPr>
          </w:p>
        </w:tc>
        <w:tc>
          <w:tcPr>
            <w:tcW w:w="3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Company and John Whittle</w:t>
            </w:r>
          </w:p>
        </w:tc>
        <w:tc>
          <w:tcPr>
            <w:tcW w:w="1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80" w:type="dxa"/>
            <w:vAlign w:val="bottom"/>
            <w:gridSpan w:val="4"/>
          </w:tcPr>
          <w:p>
            <w:pPr>
              <w:spacing w:after="0"/>
              <w:rPr>
                <w:rFonts w:ascii="Times New Roman" w:cs="Times New Roman" w:eastAsia="Times New Roman" w:hAnsi="Times New Roman"/>
                <w:sz w:val="14"/>
                <w:szCs w:val="14"/>
                <w:color w:val="0000FF"/>
              </w:rPr>
            </w:pPr>
            <w:hyperlink r:id="rId158">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14</w:t>
              </w:r>
            </w:hyperlink>
            <w:r>
              <w:rPr>
                <w:rFonts w:ascii="Times New Roman" w:cs="Times New Roman" w:eastAsia="Times New Roman" w:hAnsi="Times New Roman"/>
                <w:sz w:val="18"/>
                <w:szCs w:val="18"/>
                <w:color w:val="000000"/>
                <w:vertAlign w:val="superscript"/>
              </w:rPr>
              <w:t>†</w:t>
            </w: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Offer Letter, dated as of October 23, 2006, by and between the</w:t>
            </w:r>
          </w:p>
        </w:tc>
        <w:tc>
          <w:tcPr>
            <w:tcW w:w="10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Registration Statement on Form S-l, as amended (File No. 333-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0" w:type="dxa"/>
            <w:vAlign w:val="bottom"/>
            <w:tcBorders>
              <w:left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Company and John Whittle</w:t>
            </w:r>
          </w:p>
        </w:tc>
        <w:tc>
          <w:tcPr>
            <w:tcW w:w="3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161190)</w:t>
            </w: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980" w:type="dxa"/>
            <w:vAlign w:val="bottom"/>
            <w:gridSpan w:val="4"/>
            <w:vMerge w:val="restart"/>
          </w:tcPr>
          <w:p>
            <w:pPr>
              <w:spacing w:after="0"/>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15</w:t>
              </w:r>
            </w:hyperlink>
            <w:r>
              <w:rPr>
                <w:rFonts w:ascii="Times New Roman" w:cs="Times New Roman" w:eastAsia="Times New Roman" w:hAnsi="Times New Roman"/>
                <w:sz w:val="18"/>
                <w:szCs w:val="18"/>
                <w:color w:val="000000"/>
                <w:vertAlign w:val="superscript"/>
              </w:rPr>
              <w:t>†</w:t>
            </w:r>
          </w:p>
        </w:tc>
        <w:tc>
          <w:tcPr>
            <w:tcW w:w="3780" w:type="dxa"/>
            <w:vAlign w:val="bottom"/>
            <w:vMerge w:val="continue"/>
          </w:tcPr>
          <w:p>
            <w:pPr>
              <w:spacing w:after="0"/>
              <w:rPr>
                <w:sz w:val="14"/>
                <w:szCs w:val="14"/>
                <w:color w:val="auto"/>
              </w:rPr>
            </w:pPr>
          </w:p>
        </w:tc>
        <w:tc>
          <w:tcPr>
            <w:tcW w:w="3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80" w:type="dxa"/>
            <w:vAlign w:val="bottom"/>
            <w:gridSpan w:val="4"/>
            <w:vMerge w:val="continue"/>
          </w:tcPr>
          <w:p>
            <w:pPr>
              <w:spacing w:after="0"/>
              <w:rPr>
                <w:sz w:val="17"/>
                <w:szCs w:val="17"/>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Offer Letter, dated as of April 3, 2014, by and between the</w:t>
            </w:r>
          </w:p>
        </w:tc>
        <w:tc>
          <w:tcPr>
            <w:tcW w:w="100" w:type="dxa"/>
            <w:vAlign w:val="bottom"/>
          </w:tcPr>
          <w:p>
            <w:pPr>
              <w:spacing w:after="0"/>
              <w:rPr>
                <w:sz w:val="17"/>
                <w:szCs w:val="17"/>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Annual Report on Form 10-K (File No. 001-34511)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0" w:type="dxa"/>
            <w:vAlign w:val="bottom"/>
            <w:tcBorders>
              <w:left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Company and Keith Jensen</w:t>
            </w:r>
          </w:p>
        </w:tc>
        <w:tc>
          <w:tcPr>
            <w:tcW w:w="1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980" w:type="dxa"/>
            <w:vAlign w:val="bottom"/>
            <w:gridSpan w:val="4"/>
            <w:vMerge w:val="restart"/>
          </w:tcPr>
          <w:p>
            <w:pPr>
              <w:spacing w:after="0"/>
              <w:rPr>
                <w:rFonts w:ascii="Times New Roman" w:cs="Times New Roman" w:eastAsia="Times New Roman" w:hAnsi="Times New Roman"/>
                <w:sz w:val="14"/>
                <w:szCs w:val="14"/>
                <w:color w:val="0000FF"/>
              </w:rPr>
            </w:pPr>
            <w:hyperlink r:id="rId160">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16</w:t>
              </w:r>
            </w:hyperlink>
            <w:r>
              <w:rPr>
                <w:rFonts w:ascii="Times New Roman" w:cs="Times New Roman" w:eastAsia="Times New Roman" w:hAnsi="Times New Roman"/>
                <w:sz w:val="18"/>
                <w:szCs w:val="18"/>
                <w:color w:val="000000"/>
                <w:vertAlign w:val="superscript"/>
              </w:rPr>
              <w:t>†</w:t>
            </w:r>
          </w:p>
        </w:tc>
        <w:tc>
          <w:tcPr>
            <w:tcW w:w="3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gridSpan w:val="4"/>
            <w:vMerge w:val="continue"/>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Amended and Restated Change of Control Severance</w:t>
            </w:r>
          </w:p>
        </w:tc>
        <w:tc>
          <w:tcPr>
            <w:tcW w:w="10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Quarterly Report on Form 10-Q (File No. 001-34511)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78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Agreement, effective as of August 7, 2019, between the</w:t>
            </w:r>
          </w:p>
        </w:tc>
        <w:tc>
          <w:tcPr>
            <w:tcW w:w="100" w:type="dxa"/>
            <w:vAlign w:val="bottom"/>
          </w:tcPr>
          <w:p>
            <w:pPr>
              <w:spacing w:after="0"/>
              <w:rPr>
                <w:sz w:val="9"/>
                <w:szCs w:val="9"/>
                <w:color w:val="auto"/>
              </w:rPr>
            </w:pPr>
          </w:p>
        </w:tc>
        <w:tc>
          <w:tcPr>
            <w:tcW w:w="3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Company and Keith Jensen</w:t>
            </w:r>
          </w:p>
        </w:tc>
        <w:tc>
          <w:tcPr>
            <w:tcW w:w="1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80" w:type="dxa"/>
            <w:vAlign w:val="bottom"/>
            <w:gridSpan w:val="4"/>
          </w:tcPr>
          <w:p>
            <w:pPr>
              <w:spacing w:after="0"/>
              <w:rPr>
                <w:rFonts w:ascii="Times New Roman" w:cs="Times New Roman" w:eastAsia="Times New Roman" w:hAnsi="Times New Roman"/>
                <w:sz w:val="14"/>
                <w:szCs w:val="14"/>
                <w:color w:val="0000FF"/>
              </w:rPr>
            </w:pPr>
            <w:hyperlink r:id="rId161">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17</w:t>
              </w:r>
            </w:hyperlink>
            <w:r>
              <w:rPr>
                <w:rFonts w:ascii="Times New Roman" w:cs="Times New Roman" w:eastAsia="Times New Roman" w:hAnsi="Times New Roman"/>
                <w:sz w:val="18"/>
                <w:szCs w:val="18"/>
                <w:color w:val="000000"/>
                <w:vertAlign w:val="superscript"/>
              </w:rPr>
              <w:t>†</w:t>
            </w: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Employment Agreement, dated as of January 24, 2018, between</w:t>
            </w:r>
          </w:p>
        </w:tc>
        <w:tc>
          <w:tcPr>
            <w:tcW w:w="10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Annual Report on Form 10-K (File No. 001-34511)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0" w:type="dxa"/>
            <w:vAlign w:val="bottom"/>
            <w:tcBorders>
              <w:left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Fortinet UK Limited and Patrice Perche</w:t>
            </w:r>
          </w:p>
        </w:tc>
        <w:tc>
          <w:tcPr>
            <w:tcW w:w="1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980" w:type="dxa"/>
            <w:vAlign w:val="bottom"/>
            <w:gridSpan w:val="4"/>
            <w:vMerge w:val="restart"/>
          </w:tcPr>
          <w:p>
            <w:pPr>
              <w:spacing w:after="0"/>
              <w:rPr>
                <w:rFonts w:ascii="Times New Roman" w:cs="Times New Roman" w:eastAsia="Times New Roman" w:hAnsi="Times New Roman"/>
                <w:sz w:val="14"/>
                <w:szCs w:val="14"/>
                <w:color w:val="0000FF"/>
              </w:rPr>
            </w:pPr>
            <w:hyperlink r:id="rId162">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18</w:t>
              </w:r>
            </w:hyperlink>
            <w:r>
              <w:rPr>
                <w:rFonts w:ascii="Times New Roman" w:cs="Times New Roman" w:eastAsia="Times New Roman" w:hAnsi="Times New Roman"/>
                <w:sz w:val="18"/>
                <w:szCs w:val="18"/>
                <w:color w:val="000000"/>
                <w:vertAlign w:val="superscript"/>
              </w:rPr>
              <w:t>†</w:t>
            </w:r>
          </w:p>
        </w:tc>
        <w:tc>
          <w:tcPr>
            <w:tcW w:w="3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80" w:type="dxa"/>
            <w:vAlign w:val="bottom"/>
            <w:gridSpan w:val="4"/>
            <w:vMerge w:val="continue"/>
          </w:tcPr>
          <w:p>
            <w:pPr>
              <w:spacing w:after="0"/>
              <w:rPr>
                <w:sz w:val="17"/>
                <w:szCs w:val="17"/>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Change of Control Severance Agreement, effective as of</w:t>
            </w:r>
          </w:p>
        </w:tc>
        <w:tc>
          <w:tcPr>
            <w:tcW w:w="100" w:type="dxa"/>
            <w:vAlign w:val="bottom"/>
          </w:tcPr>
          <w:p>
            <w:pPr>
              <w:spacing w:after="0"/>
              <w:rPr>
                <w:sz w:val="17"/>
                <w:szCs w:val="17"/>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Annual Report on Form 10-K (File No. 001-34511)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0" w:type="dxa"/>
            <w:vAlign w:val="bottom"/>
            <w:tcBorders>
              <w:left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February 21, 2023, between the Company and Patrice Perche</w:t>
            </w:r>
          </w:p>
        </w:tc>
        <w:tc>
          <w:tcPr>
            <w:tcW w:w="1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980" w:type="dxa"/>
            <w:vAlign w:val="bottom"/>
            <w:gridSpan w:val="4"/>
            <w:vMerge w:val="restart"/>
          </w:tcPr>
          <w:p>
            <w:pPr>
              <w:spacing w:after="0"/>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19</w:t>
              </w:r>
            </w:hyperlink>
            <w:r>
              <w:rPr>
                <w:rFonts w:ascii="Times New Roman" w:cs="Times New Roman" w:eastAsia="Times New Roman" w:hAnsi="Times New Roman"/>
                <w:sz w:val="18"/>
                <w:szCs w:val="18"/>
                <w:color w:val="000000"/>
                <w:vertAlign w:val="superscript"/>
              </w:rPr>
              <w:t>†</w:t>
            </w:r>
          </w:p>
        </w:tc>
        <w:tc>
          <w:tcPr>
            <w:tcW w:w="3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gridSpan w:val="4"/>
            <w:vMerge w:val="continue"/>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Form of performance stock unit award agreement under</w:t>
            </w:r>
          </w:p>
        </w:tc>
        <w:tc>
          <w:tcPr>
            <w:tcW w:w="10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Quarterly Report on Form 10-Q (File No. 001-34511)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Amended and Restated 2009 Equity Incentive Plan</w:t>
            </w:r>
          </w:p>
        </w:tc>
        <w:tc>
          <w:tcPr>
            <w:tcW w:w="1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6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Date Filed</w:t>
            </w:r>
          </w:p>
        </w:tc>
        <w:tc>
          <w:tcPr>
            <w:tcW w:w="120" w:type="dxa"/>
            <w:vAlign w:val="bottom"/>
            <w:vMerge w:val="restart"/>
          </w:tcPr>
          <w:p>
            <w:pPr>
              <w:spacing w:after="0"/>
              <w:rPr>
                <w:sz w:val="13"/>
                <w:szCs w:val="13"/>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19"/>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August 7, 2023</w:t>
            </w: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57"/>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June 23, 2023</w:t>
            </w: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57"/>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November 2, 2009</w:t>
            </w: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783"/>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August 10, 2009</w:t>
            </w: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392"/>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August 1, 2019</w:t>
            </w: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257"/>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February 28, 2012</w:t>
            </w: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391"/>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August 6, 2013</w:t>
            </w: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99.1</w:t>
            </w:r>
          </w:p>
        </w:tc>
        <w:tc>
          <w:tcPr>
            <w:tcW w:w="0" w:type="dxa"/>
            <w:vAlign w:val="bottom"/>
          </w:tcPr>
          <w:p>
            <w:pPr>
              <w:spacing w:after="0"/>
              <w:rPr>
                <w:sz w:val="1"/>
                <w:szCs w:val="1"/>
                <w:color w:val="auto"/>
              </w:rPr>
            </w:pPr>
          </w:p>
        </w:tc>
      </w:tr>
      <w:tr>
        <w:trPr>
          <w:trHeight w:val="392"/>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March 2, 2015</w:t>
            </w: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540"/>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February 26, 2020</w:t>
            </w: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392"/>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February 26, 2020</w:t>
            </w: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392"/>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February 19, 2021</w:t>
            </w: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256"/>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November 5, 2013</w:t>
            </w: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257"/>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August 4, 2015</w:t>
            </w: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392"/>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August 1, 2019</w:t>
            </w: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540"/>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August 1, 2019</w:t>
            </w: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540"/>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August 1, 2019</w:t>
            </w: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540"/>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August 10, 2009</w:t>
            </w: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10.10</w:t>
            </w:r>
          </w:p>
        </w:tc>
        <w:tc>
          <w:tcPr>
            <w:tcW w:w="0" w:type="dxa"/>
            <w:vAlign w:val="bottom"/>
          </w:tcPr>
          <w:p>
            <w:pPr>
              <w:spacing w:after="0"/>
              <w:rPr>
                <w:sz w:val="1"/>
                <w:szCs w:val="1"/>
                <w:color w:val="auto"/>
              </w:rPr>
            </w:pPr>
          </w:p>
        </w:tc>
      </w:tr>
      <w:tr>
        <w:trPr>
          <w:trHeight w:val="391"/>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February 26, 2018</w:t>
            </w: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10.22</w:t>
            </w:r>
          </w:p>
        </w:tc>
        <w:tc>
          <w:tcPr>
            <w:tcW w:w="0" w:type="dxa"/>
            <w:vAlign w:val="bottom"/>
          </w:tcPr>
          <w:p>
            <w:pPr>
              <w:spacing w:after="0"/>
              <w:rPr>
                <w:sz w:val="1"/>
                <w:szCs w:val="1"/>
                <w:color w:val="auto"/>
              </w:rPr>
            </w:pPr>
          </w:p>
        </w:tc>
      </w:tr>
      <w:tr>
        <w:trPr>
          <w:trHeight w:val="392"/>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August 1, 2019</w:t>
            </w: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540"/>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February 24, 2023</w:t>
            </w: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10.17</w:t>
            </w:r>
          </w:p>
        </w:tc>
        <w:tc>
          <w:tcPr>
            <w:tcW w:w="0" w:type="dxa"/>
            <w:vAlign w:val="bottom"/>
          </w:tcPr>
          <w:p>
            <w:pPr>
              <w:spacing w:after="0"/>
              <w:rPr>
                <w:sz w:val="1"/>
                <w:szCs w:val="1"/>
                <w:color w:val="auto"/>
              </w:rPr>
            </w:pPr>
          </w:p>
        </w:tc>
      </w:tr>
      <w:tr>
        <w:trPr>
          <w:trHeight w:val="392"/>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February 24, 2023</w:t>
            </w: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10.18</w:t>
            </w:r>
          </w:p>
        </w:tc>
        <w:tc>
          <w:tcPr>
            <w:tcW w:w="0" w:type="dxa"/>
            <w:vAlign w:val="bottom"/>
          </w:tcPr>
          <w:p>
            <w:pPr>
              <w:spacing w:after="0"/>
              <w:rPr>
                <w:sz w:val="1"/>
                <w:szCs w:val="1"/>
                <w:color w:val="auto"/>
              </w:rPr>
            </w:pPr>
          </w:p>
        </w:tc>
      </w:tr>
      <w:tr>
        <w:trPr>
          <w:trHeight w:val="392"/>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May 8, 2023</w:t>
            </w: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bl>
    <w:p>
      <w:pPr>
        <w:spacing w:after="0" w:line="344" w:lineRule="exact"/>
        <w:rPr>
          <w:sz w:val="20"/>
          <w:szCs w:val="20"/>
          <w:color w:val="auto"/>
        </w:rPr>
      </w:pPr>
    </w:p>
    <w:p>
      <w:pPr>
        <w:sectPr>
          <w:pgSz w:w="11900" w:h="16838" w:orient="portrait"/>
          <w:cols w:equalWidth="0" w:num="2">
            <w:col w:w="8700" w:space="100"/>
            <w:col w:w="2380"/>
          </w:cols>
          <w:pgMar w:left="320" w:top="118" w:right="39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type w:val="continuous"/>
        </w:sectPr>
      </w:pPr>
    </w:p>
    <w:bookmarkStart w:id="115" w:name="page116"/>
    <w:bookmarkEnd w:id="115"/>
    <w:tbl>
      <w:tblPr>
        <w:tblLayout w:type="fixed"/>
        <w:tblInd w:w="0" w:type="dxa"/>
        <w:tblCellMar>
          <w:top w:w="0" w:type="dxa"/>
          <w:left w:w="0" w:type="dxa"/>
          <w:bottom w:w="0" w:type="dxa"/>
          <w:right w:w="0" w:type="dxa"/>
        </w:tblCellMar>
      </w:tblPr>
      <w:tr>
        <w:trPr>
          <w:trHeight w:val="161"/>
        </w:trPr>
        <w:tc>
          <w:tcPr>
            <w:tcW w:w="106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390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6"/>
        </w:trPr>
        <w:tc>
          <w:tcPr>
            <w:tcW w:w="10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gridSpan w:val="3"/>
          </w:tcPr>
          <w:p>
            <w:pPr>
              <w:spacing w:after="0"/>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20</w:t>
              </w:r>
            </w:hyperlink>
            <w:r>
              <w:rPr>
                <w:rFonts w:ascii="Times New Roman" w:cs="Times New Roman" w:eastAsia="Times New Roman" w:hAnsi="Times New Roman"/>
                <w:sz w:val="18"/>
                <w:szCs w:val="18"/>
                <w:color w:val="000000"/>
                <w:vertAlign w:val="superscript"/>
              </w:rPr>
              <w:t>†</w:t>
            </w:r>
          </w:p>
        </w:tc>
        <w:tc>
          <w:tcPr>
            <w:tcW w:w="40" w:type="dxa"/>
            <w:vAlign w:val="bottom"/>
          </w:tcPr>
          <w:p>
            <w:pPr>
              <w:spacing w:after="0"/>
              <w:rPr>
                <w:sz w:val="24"/>
                <w:szCs w:val="24"/>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Form of restricted stock unit award agreement under Amended</w:t>
            </w:r>
          </w:p>
        </w:tc>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Quarterly Report on Form 10-Q (File No. 001-34511)</w:t>
            </w:r>
          </w:p>
        </w:tc>
        <w:tc>
          <w:tcPr>
            <w:tcW w:w="15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May 8, 2023</w:t>
            </w:r>
          </w:p>
        </w:tc>
        <w:tc>
          <w:tcPr>
            <w:tcW w:w="11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61"/>
        </w:trPr>
        <w:tc>
          <w:tcPr>
            <w:tcW w:w="100" w:type="dxa"/>
            <w:vAlign w:val="bottom"/>
            <w:vMerge w:val="restart"/>
          </w:tcPr>
          <w:p>
            <w:pPr>
              <w:spacing w:after="0"/>
              <w:rPr>
                <w:sz w:val="14"/>
                <w:szCs w:val="14"/>
                <w:color w:val="auto"/>
              </w:rPr>
            </w:pPr>
          </w:p>
        </w:tc>
        <w:tc>
          <w:tcPr>
            <w:tcW w:w="320" w:type="dxa"/>
            <w:vAlign w:val="bottom"/>
            <w:tcBorders>
              <w:top w:val="single" w:sz="8" w:color="0000FF"/>
            </w:tcBorders>
            <w:gridSpan w:val="2"/>
            <w:vMerge w:val="restart"/>
          </w:tcPr>
          <w:p>
            <w:pPr>
              <w:spacing w:after="0"/>
              <w:rPr>
                <w:sz w:val="20"/>
                <w:szCs w:val="20"/>
                <w:color w:val="auto"/>
              </w:rPr>
            </w:pPr>
            <w:r>
              <w:rPr>
                <w:rFonts w:ascii="Times New Roman" w:cs="Times New Roman" w:eastAsia="Times New Roman" w:hAnsi="Times New Roman"/>
                <w:sz w:val="14"/>
                <w:szCs w:val="14"/>
                <w:color w:val="0000FF"/>
                <w:w w:val="98"/>
              </w:rPr>
              <w:t>21.</w:t>
            </w:r>
            <w:r>
              <w:rPr>
                <w:rFonts w:ascii="Times New Roman" w:cs="Times New Roman" w:eastAsia="Times New Roman" w:hAnsi="Times New Roman"/>
                <w:sz w:val="14"/>
                <w:szCs w:val="14"/>
                <w:u w:val="single" w:color="auto"/>
                <w:color w:val="0000FF"/>
                <w:w w:val="98"/>
              </w:rPr>
              <w:t>1</w:t>
            </w:r>
            <w:r>
              <w:rPr>
                <w:rFonts w:ascii="Times New Roman" w:cs="Times New Roman" w:eastAsia="Times New Roman" w:hAnsi="Times New Roman"/>
                <w:sz w:val="18"/>
                <w:szCs w:val="18"/>
                <w:color w:val="000000"/>
                <w:w w:val="98"/>
                <w:vertAlign w:val="superscript"/>
              </w:rPr>
              <w:t>*</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and Restated 2009 Equity Incentive Plan (Additional Form)</w:t>
            </w:r>
          </w:p>
        </w:tc>
        <w:tc>
          <w:tcPr>
            <w:tcW w:w="3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0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List of subsidiaries</w:t>
            </w:r>
          </w:p>
        </w:tc>
        <w:tc>
          <w:tcPr>
            <w:tcW w:w="3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0" w:type="dxa"/>
            <w:vAlign w:val="bottom"/>
          </w:tcPr>
          <w:p>
            <w:pPr>
              <w:spacing w:after="0"/>
              <w:rPr>
                <w:sz w:val="20"/>
                <w:szCs w:val="20"/>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98"/>
              </w:rPr>
              <w:t>23.</w:t>
            </w:r>
            <w:r>
              <w:rPr>
                <w:rFonts w:ascii="Times New Roman" w:cs="Times New Roman" w:eastAsia="Times New Roman" w:hAnsi="Times New Roman"/>
                <w:sz w:val="14"/>
                <w:szCs w:val="14"/>
                <w:u w:val="single" w:color="auto"/>
                <w:color w:val="0000FF"/>
                <w:w w:val="98"/>
              </w:rPr>
              <w:t>1</w:t>
            </w:r>
            <w:r>
              <w:rPr>
                <w:rFonts w:ascii="Times New Roman" w:cs="Times New Roman" w:eastAsia="Times New Roman" w:hAnsi="Times New Roman"/>
                <w:sz w:val="18"/>
                <w:szCs w:val="18"/>
                <w:color w:val="000000"/>
                <w:w w:val="98"/>
                <w:vertAlign w:val="superscript"/>
              </w:rPr>
              <w:t>*</w:t>
            </w: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tc>
        <w:tc>
          <w:tcPr>
            <w:tcW w:w="34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3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0" w:type="dxa"/>
            <w:vAlign w:val="bottom"/>
          </w:tcPr>
          <w:p>
            <w:pPr>
              <w:spacing w:after="0"/>
              <w:rPr>
                <w:sz w:val="20"/>
                <w:szCs w:val="20"/>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98"/>
              </w:rPr>
              <w:t>24.</w:t>
            </w:r>
            <w:r>
              <w:rPr>
                <w:rFonts w:ascii="Times New Roman" w:cs="Times New Roman" w:eastAsia="Times New Roman" w:hAnsi="Times New Roman"/>
                <w:sz w:val="14"/>
                <w:szCs w:val="14"/>
                <w:u w:val="single" w:color="auto"/>
                <w:color w:val="0000FF"/>
                <w:w w:val="98"/>
              </w:rPr>
              <w:t>1</w:t>
            </w:r>
            <w:r>
              <w:rPr>
                <w:rFonts w:ascii="Times New Roman" w:cs="Times New Roman" w:eastAsia="Times New Roman" w:hAnsi="Times New Roman"/>
                <w:sz w:val="18"/>
                <w:szCs w:val="18"/>
                <w:color w:val="000000"/>
                <w:w w:val="98"/>
                <w:vertAlign w:val="superscript"/>
              </w:rPr>
              <w:t>*</w:t>
            </w: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Power of Attorney (incorporated by reference to the signature page of this Annual Report on Form 10-K)</w:t>
            </w:r>
          </w:p>
        </w:tc>
        <w:tc>
          <w:tcPr>
            <w:tcW w:w="15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0" w:type="dxa"/>
            <w:vAlign w:val="bottom"/>
          </w:tcPr>
          <w:p>
            <w:pPr>
              <w:spacing w:after="0"/>
              <w:rPr>
                <w:sz w:val="20"/>
                <w:szCs w:val="20"/>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98"/>
              </w:rPr>
              <w:t>31.</w:t>
            </w:r>
            <w:r>
              <w:rPr>
                <w:rFonts w:ascii="Times New Roman" w:cs="Times New Roman" w:eastAsia="Times New Roman" w:hAnsi="Times New Roman"/>
                <w:sz w:val="14"/>
                <w:szCs w:val="14"/>
                <w:u w:val="single" w:color="auto"/>
                <w:color w:val="0000FF"/>
                <w:w w:val="98"/>
              </w:rPr>
              <w:t>1</w:t>
            </w:r>
            <w:r>
              <w:rPr>
                <w:rFonts w:ascii="Times New Roman" w:cs="Times New Roman" w:eastAsia="Times New Roman" w:hAnsi="Times New Roman"/>
                <w:sz w:val="18"/>
                <w:szCs w:val="18"/>
                <w:color w:val="000000"/>
                <w:w w:val="98"/>
                <w:vertAlign w:val="superscript"/>
              </w:rPr>
              <w:t>*</w:t>
            </w: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Certification of Chief Executive Officer pursuant to Exchange Act Rules 13a-14(a) and 15d-14(a), as adopted pursuant to Section 302 of the Sarbanes-Oxley Act of 2002</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0" w:type="dxa"/>
            <w:vAlign w:val="bottom"/>
          </w:tcPr>
          <w:p>
            <w:pPr>
              <w:spacing w:after="0"/>
              <w:rPr>
                <w:sz w:val="20"/>
                <w:szCs w:val="20"/>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98"/>
              </w:rPr>
              <w:t>31.</w:t>
            </w:r>
            <w:r>
              <w:rPr>
                <w:rFonts w:ascii="Times New Roman" w:cs="Times New Roman" w:eastAsia="Times New Roman" w:hAnsi="Times New Roman"/>
                <w:sz w:val="14"/>
                <w:szCs w:val="14"/>
                <w:u w:val="single" w:color="auto"/>
                <w:color w:val="0000FF"/>
                <w:w w:val="98"/>
              </w:rPr>
              <w:t>2</w:t>
            </w:r>
            <w:r>
              <w:rPr>
                <w:rFonts w:ascii="Times New Roman" w:cs="Times New Roman" w:eastAsia="Times New Roman" w:hAnsi="Times New Roman"/>
                <w:sz w:val="18"/>
                <w:szCs w:val="18"/>
                <w:color w:val="000000"/>
                <w:w w:val="98"/>
                <w:vertAlign w:val="superscript"/>
              </w:rPr>
              <w:t>*</w:t>
            </w: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Certification of Chief Financial Officer pursuant to Exchange Act Rules 13a-14(a) and 15d-14(a), as adopted pursuant to Section 302 of the Sarbanes-Oxley Act of 2002</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32.</w:t>
            </w:r>
            <w:r>
              <w:rPr>
                <w:rFonts w:ascii="Times New Roman" w:cs="Times New Roman" w:eastAsia="Times New Roman" w:hAnsi="Times New Roman"/>
                <w:sz w:val="14"/>
                <w:szCs w:val="14"/>
                <w:u w:val="single" w:color="auto"/>
                <w:color w:val="0000FF"/>
              </w:rPr>
              <w:t>1</w:t>
            </w:r>
            <w:r>
              <w:rPr>
                <w:rFonts w:ascii="Times New Roman" w:cs="Times New Roman" w:eastAsia="Times New Roman" w:hAnsi="Times New Roman"/>
                <w:sz w:val="18"/>
                <w:szCs w:val="18"/>
                <w:color w:val="000000"/>
                <w:vertAlign w:val="superscript"/>
              </w:rPr>
              <w:t>**</w:t>
            </w:r>
          </w:p>
        </w:tc>
        <w:tc>
          <w:tcPr>
            <w:tcW w:w="40" w:type="dxa"/>
            <w:vAlign w:val="bottom"/>
          </w:tcPr>
          <w:p>
            <w:pPr>
              <w:spacing w:after="0"/>
              <w:rPr>
                <w:sz w:val="19"/>
                <w:szCs w:val="19"/>
                <w:color w:val="auto"/>
              </w:rPr>
            </w:pPr>
          </w:p>
        </w:tc>
        <w:tc>
          <w:tcPr>
            <w:tcW w:w="100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Certifications of Chief Executive Officer and Chief Financial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2002</w:t>
            </w:r>
          </w:p>
        </w:tc>
        <w:tc>
          <w:tcPr>
            <w:tcW w:w="34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100" w:type="dxa"/>
            <w:vAlign w:val="bottom"/>
            <w:vMerge w:val="restart"/>
          </w:tcPr>
          <w:p>
            <w:pPr>
              <w:spacing w:after="0"/>
              <w:rPr>
                <w:sz w:val="14"/>
                <w:szCs w:val="14"/>
                <w:color w:val="auto"/>
              </w:rPr>
            </w:pP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0000FF"/>
                <w:w w:val="98"/>
              </w:rPr>
              <w:t>97.</w:t>
            </w:r>
            <w:r>
              <w:rPr>
                <w:rFonts w:ascii="Times New Roman" w:cs="Times New Roman" w:eastAsia="Times New Roman" w:hAnsi="Times New Roman"/>
                <w:sz w:val="14"/>
                <w:szCs w:val="14"/>
                <w:u w:val="single" w:color="auto"/>
                <w:color w:val="0000FF"/>
                <w:w w:val="98"/>
              </w:rPr>
              <w:t>1</w:t>
            </w:r>
            <w:r>
              <w:rPr>
                <w:rFonts w:ascii="Times New Roman" w:cs="Times New Roman" w:eastAsia="Times New Roman" w:hAnsi="Times New Roman"/>
                <w:sz w:val="18"/>
                <w:szCs w:val="18"/>
                <w:color w:val="000000"/>
                <w:w w:val="98"/>
                <w:vertAlign w:val="superscript"/>
              </w:rPr>
              <w:t>*</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900" w:type="dxa"/>
            <w:vAlign w:val="bottom"/>
            <w:vMerge w:val="continue"/>
          </w:tcPr>
          <w:p>
            <w:pPr>
              <w:spacing w:after="0"/>
              <w:rPr>
                <w:sz w:val="14"/>
                <w:szCs w:val="14"/>
                <w:color w:val="auto"/>
              </w:rPr>
            </w:pPr>
          </w:p>
        </w:tc>
        <w:tc>
          <w:tcPr>
            <w:tcW w:w="3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0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Recovery Policy</w:t>
            </w:r>
          </w:p>
        </w:tc>
        <w:tc>
          <w:tcPr>
            <w:tcW w:w="3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00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100" w:type="dxa"/>
            <w:vAlign w:val="bottom"/>
          </w:tcPr>
          <w:p>
            <w:pPr>
              <w:spacing w:after="0"/>
              <w:rPr>
                <w:sz w:val="24"/>
                <w:szCs w:val="24"/>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101.INS</w:t>
            </w:r>
            <w:r>
              <w:rPr>
                <w:rFonts w:ascii="Times New Roman" w:cs="Times New Roman" w:eastAsia="Times New Roman" w:hAnsi="Times New Roman"/>
                <w:sz w:val="18"/>
                <w:szCs w:val="18"/>
                <w:color w:val="auto"/>
                <w:vertAlign w:val="superscript"/>
              </w:rPr>
              <w:t>*</w:t>
            </w:r>
          </w:p>
        </w:tc>
        <w:tc>
          <w:tcPr>
            <w:tcW w:w="100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 file because its XBRL tags are embedded within the inline XBRL document.</w:t>
            </w: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101.SCH</w:t>
            </w:r>
            <w:r>
              <w:rPr>
                <w:rFonts w:ascii="Times New Roman" w:cs="Times New Roman" w:eastAsia="Times New Roman" w:hAnsi="Times New Roman"/>
                <w:sz w:val="18"/>
                <w:szCs w:val="18"/>
                <w:color w:val="auto"/>
                <w:vertAlign w:val="superscript"/>
              </w:rPr>
              <w:t>*</w:t>
            </w:r>
          </w:p>
        </w:tc>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34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101.CAL</w:t>
            </w:r>
            <w:r>
              <w:rPr>
                <w:rFonts w:ascii="Times New Roman" w:cs="Times New Roman" w:eastAsia="Times New Roman" w:hAnsi="Times New Roman"/>
                <w:sz w:val="18"/>
                <w:szCs w:val="18"/>
                <w:color w:val="auto"/>
                <w:vertAlign w:val="superscript"/>
              </w:rPr>
              <w:t>*</w:t>
            </w:r>
          </w:p>
        </w:tc>
        <w:tc>
          <w:tcPr>
            <w:tcW w:w="7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15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101.DEF</w:t>
            </w:r>
            <w:r>
              <w:rPr>
                <w:rFonts w:ascii="Times New Roman" w:cs="Times New Roman" w:eastAsia="Times New Roman" w:hAnsi="Times New Roman"/>
                <w:sz w:val="18"/>
                <w:szCs w:val="18"/>
                <w:color w:val="auto"/>
                <w:vertAlign w:val="superscript"/>
              </w:rPr>
              <w:t>*</w:t>
            </w:r>
          </w:p>
        </w:tc>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34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101.LAB</w:t>
            </w:r>
            <w:r>
              <w:rPr>
                <w:rFonts w:ascii="Times New Roman" w:cs="Times New Roman" w:eastAsia="Times New Roman" w:hAnsi="Times New Roman"/>
                <w:sz w:val="18"/>
                <w:szCs w:val="18"/>
                <w:color w:val="auto"/>
                <w:vertAlign w:val="superscript"/>
              </w:rPr>
              <w:t>*</w:t>
            </w:r>
          </w:p>
        </w:tc>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34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00" w:type="dxa"/>
            <w:vAlign w:val="bottom"/>
          </w:tcPr>
          <w:p>
            <w:pPr>
              <w:spacing w:after="0"/>
              <w:rPr>
                <w:sz w:val="22"/>
                <w:szCs w:val="22"/>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101.PRE</w:t>
            </w:r>
            <w:r>
              <w:rPr>
                <w:rFonts w:ascii="Times New Roman" w:cs="Times New Roman" w:eastAsia="Times New Roman" w:hAnsi="Times New Roman"/>
                <w:sz w:val="18"/>
                <w:szCs w:val="18"/>
                <w:color w:val="auto"/>
                <w:vertAlign w:val="superscript"/>
              </w:rPr>
              <w:t>*</w:t>
            </w:r>
          </w:p>
        </w:tc>
        <w:tc>
          <w:tcPr>
            <w:tcW w:w="7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15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104</w:t>
            </w:r>
            <w:r>
              <w:rPr>
                <w:rFonts w:ascii="Times New Roman" w:cs="Times New Roman" w:eastAsia="Times New Roman" w:hAnsi="Times New Roman"/>
                <w:sz w:val="18"/>
                <w:szCs w:val="18"/>
                <w:color w:val="auto"/>
                <w:vertAlign w:val="superscript"/>
              </w:rPr>
              <w:t>*</w:t>
            </w: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Cover Page Interactive Data File - the cover page from the Company’s Annual Report on Form 10-K for the year ended December 31, 2023 is formatted in inline XBRL.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w:t>
      </w:r>
    </w:p>
    <w:p>
      <w:pPr>
        <w:spacing w:after="0" w:line="258" w:lineRule="exact"/>
        <w:rPr>
          <w:sz w:val="20"/>
          <w:szCs w:val="20"/>
          <w:color w:val="auto"/>
        </w:rPr>
      </w:pPr>
    </w:p>
    <w:p>
      <w:pPr>
        <w:ind w:right="7060" w:firstLine="8"/>
        <w:spacing w:after="0" w:line="205" w:lineRule="auto"/>
        <w:tabs>
          <w:tab w:leader="none" w:pos="88" w:val="left"/>
        </w:tabs>
        <w:numPr>
          <w:ilvl w:val="0"/>
          <w:numId w:val="6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Indicates management compensatory plan, contract or arrangement. * Filed herewith.</w:t>
      </w:r>
    </w:p>
    <w:p>
      <w:pPr>
        <w:ind w:left="420" w:right="520" w:hanging="405"/>
        <w:spacing w:after="0" w:line="283"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 Furnished herewith. 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3" w:right="5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tab/>
        <w:t>Form 10-K summary</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23, 2024</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80" w:lineRule="exact"/>
        <w:rPr>
          <w:sz w:val="20"/>
          <w:szCs w:val="20"/>
          <w:color w:val="auto"/>
        </w:rPr>
      </w:pPr>
    </w:p>
    <w:p>
      <w:pPr>
        <w:ind w:left="3540"/>
        <w:spacing w:after="0"/>
        <w:tabs>
          <w:tab w:leader="none" w:pos="7140" w:val="left"/>
          <w:tab w:leader="none" w:pos="75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17145</wp:posOffset>
            </wp:positionV>
            <wp:extent cx="45345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8">
                      <a:extLst>
                        <a:ext uri="{28A0092B-C50C-407E-A947-70E740481C1C}"/>
                      </a:extLst>
                    </a:blip>
                    <a:srcRect/>
                    <a:stretch>
                      <a:fillRect/>
                    </a:stretch>
                  </pic:blipFill>
                  <pic:spPr bwMode="auto">
                    <a:xfrm>
                      <a:off x="0" y="0"/>
                      <a:ext cx="4534535" cy="8890"/>
                    </a:xfrm>
                    <a:prstGeom prst="rect">
                      <a:avLst/>
                    </a:prstGeom>
                    <a:noFill/>
                  </pic:spPr>
                </pic:pic>
              </a:graphicData>
            </a:graphic>
          </wp:anchor>
        </w:drawing>
      </w:r>
    </w:p>
    <w:p>
      <w:pPr>
        <w:spacing w:after="0" w:line="19" w:lineRule="exact"/>
        <w:rPr>
          <w:sz w:val="20"/>
          <w:szCs w:val="20"/>
          <w:color w:val="auto"/>
        </w:rPr>
      </w:pPr>
    </w:p>
    <w:p>
      <w:pPr>
        <w:jc w:val="center"/>
        <w:ind w:left="4020"/>
        <w:spacing w:after="0"/>
        <w:rPr>
          <w:sz w:val="20"/>
          <w:szCs w:val="20"/>
          <w:color w:val="auto"/>
        </w:rPr>
      </w:pPr>
      <w:r>
        <w:rPr>
          <w:rFonts w:ascii="Times New Roman" w:cs="Times New Roman" w:eastAsia="Times New Roman" w:hAnsi="Times New Roman"/>
          <w:sz w:val="16"/>
          <w:szCs w:val="16"/>
          <w:b w:val="1"/>
          <w:bCs w:val="1"/>
          <w:color w:val="auto"/>
        </w:rPr>
        <w:t>Ken Xie, Chief Executive Officer and Chairman</w:t>
      </w:r>
    </w:p>
    <w:p>
      <w:pPr>
        <w:spacing w:after="0" w:line="127" w:lineRule="exact"/>
        <w:rPr>
          <w:sz w:val="20"/>
          <w:szCs w:val="20"/>
          <w:color w:val="auto"/>
        </w:rPr>
      </w:pPr>
    </w:p>
    <w:p>
      <w:pPr>
        <w:jc w:val="center"/>
        <w:ind w:left="4020"/>
        <w:spacing w:after="0"/>
        <w:rPr>
          <w:sz w:val="20"/>
          <w:szCs w:val="20"/>
          <w:color w:val="auto"/>
        </w:rPr>
      </w:pPr>
      <w:r>
        <w:rPr>
          <w:rFonts w:ascii="Times New Roman" w:cs="Times New Roman" w:eastAsia="Times New Roman" w:hAnsi="Times New Roman"/>
          <w:sz w:val="16"/>
          <w:szCs w:val="16"/>
          <w:b w:val="1"/>
          <w:bCs w:val="1"/>
          <w:color w:val="auto"/>
        </w:rPr>
        <w:t>(Duly Authorized Officer and Principal Executive Officer)</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23, 2024</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80" w:lineRule="exact"/>
        <w:rPr>
          <w:sz w:val="20"/>
          <w:szCs w:val="20"/>
          <w:color w:val="auto"/>
        </w:rPr>
      </w:pPr>
    </w:p>
    <w:p>
      <w:pPr>
        <w:ind w:left="3540"/>
        <w:spacing w:after="0"/>
        <w:tabs>
          <w:tab w:leader="none" w:pos="6800" w:val="left"/>
          <w:tab w:leader="none" w:pos="7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17145</wp:posOffset>
            </wp:positionV>
            <wp:extent cx="45345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9">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spacing w:after="0" w:line="19" w:lineRule="exact"/>
        <w:rPr>
          <w:sz w:val="20"/>
          <w:szCs w:val="20"/>
          <w:color w:val="auto"/>
        </w:rPr>
      </w:pPr>
    </w:p>
    <w:p>
      <w:pPr>
        <w:jc w:val="center"/>
        <w:ind w:left="4020"/>
        <w:spacing w:after="0"/>
        <w:rPr>
          <w:sz w:val="20"/>
          <w:szCs w:val="20"/>
          <w:color w:val="auto"/>
        </w:rPr>
      </w:pPr>
      <w:r>
        <w:rPr>
          <w:rFonts w:ascii="Times New Roman" w:cs="Times New Roman" w:eastAsia="Times New Roman" w:hAnsi="Times New Roman"/>
          <w:sz w:val="16"/>
          <w:szCs w:val="16"/>
          <w:b w:val="1"/>
          <w:bCs w:val="1"/>
          <w:color w:val="auto"/>
        </w:rPr>
        <w:t>Keith Jensen, Chief Financial Officer</w:t>
      </w:r>
    </w:p>
    <w:p>
      <w:pPr>
        <w:spacing w:after="0" w:line="113" w:lineRule="exact"/>
        <w:rPr>
          <w:sz w:val="20"/>
          <w:szCs w:val="20"/>
          <w:color w:val="auto"/>
        </w:rPr>
      </w:pPr>
    </w:p>
    <w:p>
      <w:pPr>
        <w:jc w:val="center"/>
        <w:ind w:left="4020"/>
        <w:spacing w:after="0"/>
        <w:rPr>
          <w:sz w:val="20"/>
          <w:szCs w:val="20"/>
          <w:color w:val="auto"/>
        </w:rPr>
      </w:pPr>
      <w:r>
        <w:rPr>
          <w:rFonts w:ascii="Times New Roman" w:cs="Times New Roman" w:eastAsia="Times New Roman" w:hAnsi="Times New Roman"/>
          <w:sz w:val="16"/>
          <w:szCs w:val="16"/>
          <w:b w:val="1"/>
          <w:bCs w:val="1"/>
          <w:color w:val="auto"/>
        </w:rPr>
        <w:t>(Duly Authorized Officer and 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Ken Xie and Keith Jensen, jointly and severally, his or her attorney-in-fact,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21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5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82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520"/>
        </w:trPr>
        <w:tc>
          <w:tcPr>
            <w:tcW w:w="1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Ken Xie</w:t>
            </w:r>
          </w:p>
        </w:tc>
        <w:tc>
          <w:tcPr>
            <w:tcW w:w="1580" w:type="dxa"/>
            <w:vAlign w:val="bottom"/>
            <w:tcBorders>
              <w:bottom w:val="single" w:sz="8" w:color="auto"/>
            </w:tcBorders>
          </w:tcPr>
          <w:p>
            <w:pPr>
              <w:spacing w:after="0"/>
              <w:rPr>
                <w:sz w:val="24"/>
                <w:szCs w:val="24"/>
                <w:color w:val="auto"/>
              </w:rPr>
            </w:pPr>
          </w:p>
        </w:tc>
        <w:tc>
          <w:tcPr>
            <w:tcW w:w="53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18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8"/>
              </w:rPr>
              <w:t>February 23, 2024</w:t>
            </w:r>
          </w:p>
        </w:tc>
      </w:tr>
      <w:tr>
        <w:trPr>
          <w:trHeight w:val="232"/>
        </w:trPr>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gridSpan w:val="2"/>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9"/>
              </w:rPr>
              <w:t>Ken Xie</w:t>
            </w:r>
          </w:p>
        </w:tc>
        <w:tc>
          <w:tcPr>
            <w:tcW w:w="53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91"/>
        </w:trPr>
        <w:tc>
          <w:tcPr>
            <w:tcW w:w="1500" w:type="dxa"/>
            <w:vAlign w:val="bottom"/>
            <w:tcBorders>
              <w:bottom w:val="single" w:sz="8" w:color="auto"/>
            </w:tcBorders>
            <w:gridSpan w:val="2"/>
          </w:tcPr>
          <w:p>
            <w:pPr>
              <w:ind w:left="1140"/>
              <w:spacing w:after="0"/>
              <w:rPr>
                <w:sz w:val="20"/>
                <w:szCs w:val="20"/>
                <w:color w:val="auto"/>
              </w:rPr>
            </w:pPr>
            <w:r>
              <w:rPr>
                <w:rFonts w:ascii="Times New Roman" w:cs="Times New Roman" w:eastAsia="Times New Roman" w:hAnsi="Times New Roman"/>
                <w:sz w:val="18"/>
                <w:szCs w:val="18"/>
                <w:color w:val="auto"/>
              </w:rPr>
              <w:t>/s/</w:t>
            </w:r>
          </w:p>
        </w:tc>
        <w:tc>
          <w:tcPr>
            <w:tcW w:w="2420" w:type="dxa"/>
            <w:vAlign w:val="bottom"/>
            <w:tcBorders>
              <w:bottom w:val="single" w:sz="8" w:color="auto"/>
            </w:tcBorders>
            <w:gridSpan w:val="3"/>
          </w:tcPr>
          <w:p>
            <w:pPr>
              <w:jc w:val="center"/>
              <w:ind w:right="1500"/>
              <w:spacing w:after="0"/>
              <w:rPr>
                <w:sz w:val="20"/>
                <w:szCs w:val="20"/>
                <w:color w:val="auto"/>
              </w:rPr>
            </w:pPr>
            <w:r>
              <w:rPr>
                <w:rFonts w:ascii="Times New Roman" w:cs="Times New Roman" w:eastAsia="Times New Roman" w:hAnsi="Times New Roman"/>
                <w:sz w:val="18"/>
                <w:szCs w:val="18"/>
                <w:color w:val="auto"/>
                <w:w w:val="99"/>
              </w:rPr>
              <w:t>Keith Jensen</w:t>
            </w:r>
          </w:p>
        </w:tc>
        <w:tc>
          <w:tcPr>
            <w:tcW w:w="53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Chief Financial Officer</w:t>
            </w:r>
          </w:p>
        </w:tc>
        <w:tc>
          <w:tcPr>
            <w:tcW w:w="18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8"/>
              </w:rPr>
              <w:t>February 23, 2024</w:t>
            </w:r>
          </w:p>
        </w:tc>
      </w:tr>
      <w:tr>
        <w:trPr>
          <w:trHeight w:val="232"/>
        </w:trPr>
        <w:tc>
          <w:tcPr>
            <w:tcW w:w="1240" w:type="dxa"/>
            <w:vAlign w:val="bottom"/>
          </w:tcPr>
          <w:p>
            <w:pPr>
              <w:spacing w:after="0"/>
              <w:rPr>
                <w:sz w:val="20"/>
                <w:szCs w:val="20"/>
                <w:color w:val="auto"/>
              </w:rPr>
            </w:pPr>
          </w:p>
        </w:tc>
        <w:tc>
          <w:tcPr>
            <w:tcW w:w="2680" w:type="dxa"/>
            <w:vAlign w:val="bottom"/>
            <w:gridSpan w:val="4"/>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Keith Jensen</w:t>
            </w:r>
          </w:p>
        </w:tc>
        <w:tc>
          <w:tcPr>
            <w:tcW w:w="53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91"/>
        </w:trPr>
        <w:tc>
          <w:tcPr>
            <w:tcW w:w="1500" w:type="dxa"/>
            <w:vAlign w:val="bottom"/>
            <w:tcBorders>
              <w:bottom w:val="single" w:sz="8" w:color="auto"/>
            </w:tcBorders>
            <w:gridSpan w:val="2"/>
          </w:tcPr>
          <w:p>
            <w:pPr>
              <w:ind w:left="1160"/>
              <w:spacing w:after="0"/>
              <w:rPr>
                <w:sz w:val="20"/>
                <w:szCs w:val="20"/>
                <w:color w:val="auto"/>
              </w:rPr>
            </w:pPr>
            <w:r>
              <w:rPr>
                <w:rFonts w:ascii="Times New Roman" w:cs="Times New Roman" w:eastAsia="Times New Roman" w:hAnsi="Times New Roman"/>
                <w:sz w:val="18"/>
                <w:szCs w:val="18"/>
                <w:color w:val="auto"/>
              </w:rPr>
              <w:t>/s/</w:t>
            </w:r>
          </w:p>
        </w:tc>
        <w:tc>
          <w:tcPr>
            <w:tcW w:w="2420" w:type="dxa"/>
            <w:vAlign w:val="bottom"/>
            <w:tcBorders>
              <w:bottom w:val="single" w:sz="8" w:color="auto"/>
            </w:tcBorders>
            <w:gridSpan w:val="3"/>
          </w:tcPr>
          <w:p>
            <w:pPr>
              <w:jc w:val="center"/>
              <w:ind w:right="1500"/>
              <w:spacing w:after="0"/>
              <w:rPr>
                <w:sz w:val="20"/>
                <w:szCs w:val="20"/>
                <w:color w:val="auto"/>
              </w:rPr>
            </w:pPr>
            <w:r>
              <w:rPr>
                <w:rFonts w:ascii="Times New Roman" w:cs="Times New Roman" w:eastAsia="Times New Roman" w:hAnsi="Times New Roman"/>
                <w:sz w:val="18"/>
                <w:szCs w:val="18"/>
                <w:color w:val="auto"/>
                <w:w w:val="98"/>
              </w:rPr>
              <w:t>Michael Xie</w:t>
            </w:r>
          </w:p>
        </w:tc>
        <w:tc>
          <w:tcPr>
            <w:tcW w:w="53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President, Chief Technology Officer and Director</w:t>
            </w:r>
          </w:p>
        </w:tc>
        <w:tc>
          <w:tcPr>
            <w:tcW w:w="18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8"/>
              </w:rPr>
              <w:t>February 23, 2024</w:t>
            </w:r>
          </w:p>
        </w:tc>
      </w:tr>
      <w:tr>
        <w:trPr>
          <w:trHeight w:val="232"/>
        </w:trPr>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20" w:type="dxa"/>
            <w:vAlign w:val="bottom"/>
            <w:gridSpan w:val="3"/>
          </w:tcPr>
          <w:p>
            <w:pPr>
              <w:jc w:val="center"/>
              <w:ind w:right="1500"/>
              <w:spacing w:after="0"/>
              <w:rPr>
                <w:sz w:val="20"/>
                <w:szCs w:val="20"/>
                <w:color w:val="auto"/>
              </w:rPr>
            </w:pPr>
            <w:r>
              <w:rPr>
                <w:rFonts w:ascii="Times New Roman" w:cs="Times New Roman" w:eastAsia="Times New Roman" w:hAnsi="Times New Roman"/>
                <w:sz w:val="18"/>
                <w:szCs w:val="18"/>
                <w:b w:val="1"/>
                <w:bCs w:val="1"/>
                <w:color w:val="auto"/>
                <w:w w:val="99"/>
              </w:rPr>
              <w:t>Michael Xie</w:t>
            </w:r>
          </w:p>
        </w:tc>
        <w:tc>
          <w:tcPr>
            <w:tcW w:w="2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91"/>
        </w:trPr>
        <w:tc>
          <w:tcPr>
            <w:tcW w:w="12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/s/</w:t>
            </w:r>
          </w:p>
        </w:tc>
        <w:tc>
          <w:tcPr>
            <w:tcW w:w="2680" w:type="dxa"/>
            <w:vAlign w:val="bottom"/>
            <w:tcBorders>
              <w:bottom w:val="single" w:sz="8" w:color="auto"/>
            </w:tcBorders>
            <w:gridSpan w:val="4"/>
          </w:tcPr>
          <w:p>
            <w:pPr>
              <w:jc w:val="center"/>
              <w:ind w:right="880"/>
              <w:spacing w:after="0"/>
              <w:rPr>
                <w:sz w:val="20"/>
                <w:szCs w:val="20"/>
                <w:color w:val="auto"/>
              </w:rPr>
            </w:pPr>
            <w:r>
              <w:rPr>
                <w:rFonts w:ascii="Times New Roman" w:cs="Times New Roman" w:eastAsia="Times New Roman" w:hAnsi="Times New Roman"/>
                <w:sz w:val="18"/>
                <w:szCs w:val="18"/>
                <w:color w:val="auto"/>
              </w:rPr>
              <w:t>Kenneth A. Goldman</w:t>
            </w:r>
          </w:p>
        </w:tc>
        <w:tc>
          <w:tcPr>
            <w:tcW w:w="53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8"/>
              </w:rPr>
              <w:t>February 23, 2024</w:t>
            </w:r>
          </w:p>
        </w:tc>
      </w:tr>
      <w:tr>
        <w:trPr>
          <w:trHeight w:val="232"/>
        </w:trPr>
        <w:tc>
          <w:tcPr>
            <w:tcW w:w="39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Kenneth A. Goldman</w:t>
            </w:r>
          </w:p>
        </w:tc>
        <w:tc>
          <w:tcPr>
            <w:tcW w:w="2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91"/>
        </w:trPr>
        <w:tc>
          <w:tcPr>
            <w:tcW w:w="1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1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Ming Hsieh</w:t>
            </w:r>
          </w:p>
        </w:tc>
        <w:tc>
          <w:tcPr>
            <w:tcW w:w="53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8"/>
              </w:rPr>
              <w:t>February 23, 2024</w:t>
            </w:r>
          </w:p>
        </w:tc>
      </w:tr>
      <w:tr>
        <w:trPr>
          <w:trHeight w:val="232"/>
        </w:trPr>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2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rPr>
              <w:t>Ming Hsieh</w:t>
            </w:r>
          </w:p>
        </w:tc>
        <w:tc>
          <w:tcPr>
            <w:tcW w:w="2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91"/>
        </w:trPr>
        <w:tc>
          <w:tcPr>
            <w:tcW w:w="1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3"/>
              </w:rPr>
              <w:t>/s/</w:t>
            </w:r>
          </w:p>
        </w:tc>
        <w:tc>
          <w:tcPr>
            <w:tcW w:w="1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2"/>
          </w:tcPr>
          <w:p>
            <w:pPr>
              <w:jc w:val="center"/>
              <w:ind w:right="1600"/>
              <w:spacing w:after="0"/>
              <w:rPr>
                <w:sz w:val="20"/>
                <w:szCs w:val="20"/>
                <w:color w:val="auto"/>
              </w:rPr>
            </w:pPr>
            <w:r>
              <w:rPr>
                <w:rFonts w:ascii="Times New Roman" w:cs="Times New Roman" w:eastAsia="Times New Roman" w:hAnsi="Times New Roman"/>
                <w:sz w:val="18"/>
                <w:szCs w:val="18"/>
                <w:color w:val="auto"/>
              </w:rPr>
              <w:t>Jean Hu</w:t>
            </w:r>
          </w:p>
        </w:tc>
        <w:tc>
          <w:tcPr>
            <w:tcW w:w="53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8"/>
              </w:rPr>
              <w:t>February 23, 2024</w:t>
            </w:r>
          </w:p>
        </w:tc>
      </w:tr>
      <w:tr>
        <w:trPr>
          <w:trHeight w:val="232"/>
        </w:trPr>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gridSpan w:val="2"/>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9"/>
              </w:rPr>
              <w:t>Jean Hu</w:t>
            </w:r>
          </w:p>
        </w:tc>
        <w:tc>
          <w:tcPr>
            <w:tcW w:w="2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91"/>
        </w:trPr>
        <w:tc>
          <w:tcPr>
            <w:tcW w:w="124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w w:val="93"/>
              </w:rPr>
              <w:t>/s/</w:t>
            </w:r>
          </w:p>
        </w:tc>
        <w:tc>
          <w:tcPr>
            <w:tcW w:w="2680" w:type="dxa"/>
            <w:vAlign w:val="bottom"/>
            <w:tcBorders>
              <w:bottom w:val="single" w:sz="8" w:color="auto"/>
            </w:tcBorders>
            <w:gridSpan w:val="4"/>
          </w:tcPr>
          <w:p>
            <w:pPr>
              <w:jc w:val="center"/>
              <w:ind w:right="880"/>
              <w:spacing w:after="0"/>
              <w:rPr>
                <w:sz w:val="20"/>
                <w:szCs w:val="20"/>
                <w:color w:val="auto"/>
              </w:rPr>
            </w:pPr>
            <w:r>
              <w:rPr>
                <w:rFonts w:ascii="Times New Roman" w:cs="Times New Roman" w:eastAsia="Times New Roman" w:hAnsi="Times New Roman"/>
                <w:sz w:val="18"/>
                <w:szCs w:val="18"/>
                <w:color w:val="auto"/>
              </w:rPr>
              <w:t>William H. Neukom</w:t>
            </w:r>
          </w:p>
        </w:tc>
        <w:tc>
          <w:tcPr>
            <w:tcW w:w="53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8"/>
              </w:rPr>
              <w:t>February 23, 2024</w:t>
            </w:r>
          </w:p>
        </w:tc>
      </w:tr>
      <w:tr>
        <w:trPr>
          <w:trHeight w:val="232"/>
        </w:trPr>
        <w:tc>
          <w:tcPr>
            <w:tcW w:w="39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William H. Neukom</w:t>
            </w:r>
          </w:p>
        </w:tc>
        <w:tc>
          <w:tcPr>
            <w:tcW w:w="2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91"/>
        </w:trPr>
        <w:tc>
          <w:tcPr>
            <w:tcW w:w="1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center"/>
              <w:ind w:right="1220"/>
              <w:spacing w:after="0"/>
              <w:rPr>
                <w:sz w:val="20"/>
                <w:szCs w:val="20"/>
                <w:color w:val="auto"/>
              </w:rPr>
            </w:pPr>
            <w:r>
              <w:rPr>
                <w:rFonts w:ascii="Times New Roman" w:cs="Times New Roman" w:eastAsia="Times New Roman" w:hAnsi="Times New Roman"/>
                <w:sz w:val="18"/>
                <w:szCs w:val="18"/>
                <w:color w:val="auto"/>
                <w:w w:val="98"/>
              </w:rPr>
              <w:t>/s/ Judith Sim</w:t>
            </w:r>
          </w:p>
        </w:tc>
        <w:tc>
          <w:tcPr>
            <w:tcW w:w="53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8"/>
              </w:rPr>
              <w:t>February 23, 2024</w:t>
            </w:r>
          </w:p>
        </w:tc>
      </w:tr>
      <w:tr>
        <w:trPr>
          <w:trHeight w:val="232"/>
        </w:trPr>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20" w:type="dxa"/>
            <w:vAlign w:val="bottom"/>
            <w:gridSpan w:val="3"/>
          </w:tcPr>
          <w:p>
            <w:pPr>
              <w:jc w:val="center"/>
              <w:ind w:right="1500"/>
              <w:spacing w:after="0"/>
              <w:rPr>
                <w:sz w:val="20"/>
                <w:szCs w:val="20"/>
                <w:color w:val="auto"/>
              </w:rPr>
            </w:pPr>
            <w:r>
              <w:rPr>
                <w:rFonts w:ascii="Times New Roman" w:cs="Times New Roman" w:eastAsia="Times New Roman" w:hAnsi="Times New Roman"/>
                <w:sz w:val="18"/>
                <w:szCs w:val="18"/>
                <w:b w:val="1"/>
                <w:bCs w:val="1"/>
                <w:color w:val="auto"/>
                <w:w w:val="99"/>
              </w:rPr>
              <w:t>Judith Sim</w:t>
            </w:r>
          </w:p>
        </w:tc>
        <w:tc>
          <w:tcPr>
            <w:tcW w:w="2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37"/>
        </w:trPr>
        <w:tc>
          <w:tcPr>
            <w:tcW w:w="39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9"/>
              </w:rPr>
              <w:t>/s/ Admiral James Stavridis</w:t>
            </w:r>
          </w:p>
        </w:tc>
        <w:tc>
          <w:tcPr>
            <w:tcW w:w="53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8"/>
              </w:rPr>
              <w:t>February 23, 2024</w:t>
            </w:r>
          </w:p>
        </w:tc>
      </w:tr>
      <w:tr>
        <w:trPr>
          <w:trHeight w:val="232"/>
        </w:trPr>
        <w:tc>
          <w:tcPr>
            <w:tcW w:w="39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Admiral James Stavridis</w:t>
            </w:r>
          </w:p>
        </w:tc>
        <w:tc>
          <w:tcPr>
            <w:tcW w:w="2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20"/>
          </w:cols>
          <w:pgMar w:left="320" w:top="118" w:right="45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FORTINET’S SECURITIES REGISTERED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12 OF THE SECURITIES EXCHANGE ACT OF 1934</w:t>
      </w:r>
    </w:p>
    <w:p>
      <w:pPr>
        <w:spacing w:after="0" w:line="297" w:lineRule="exact"/>
        <w:rPr>
          <w:sz w:val="20"/>
          <w:szCs w:val="20"/>
          <w:color w:val="auto"/>
        </w:rPr>
      </w:pPr>
    </w:p>
    <w:p>
      <w:pPr>
        <w:ind w:right="220" w:firstLine="648"/>
        <w:spacing w:after="0" w:line="344" w:lineRule="auto"/>
        <w:rPr>
          <w:sz w:val="20"/>
          <w:szCs w:val="20"/>
          <w:color w:val="auto"/>
        </w:rPr>
      </w:pPr>
      <w:r>
        <w:rPr>
          <w:rFonts w:ascii="Times New Roman" w:cs="Times New Roman" w:eastAsia="Times New Roman" w:hAnsi="Times New Roman"/>
          <w:sz w:val="18"/>
          <w:szCs w:val="18"/>
          <w:color w:val="auto"/>
        </w:rPr>
        <w:t>As of December 31, 2023, Fortinet, Inc. (“we,” “us” or “our”) had one class of securities registered under Section 12 of the Securities Exchange Act of 1934, as amended: our common stock.</w:t>
      </w:r>
    </w:p>
    <w:p>
      <w:pPr>
        <w:spacing w:after="0" w:line="203" w:lineRule="exact"/>
        <w:rPr>
          <w:sz w:val="20"/>
          <w:szCs w:val="20"/>
          <w:color w:val="auto"/>
        </w:rPr>
      </w:pPr>
    </w:p>
    <w:p>
      <w:pPr>
        <w:ind w:right="80" w:firstLine="648"/>
        <w:spacing w:after="0" w:line="385" w:lineRule="auto"/>
        <w:rPr>
          <w:sz w:val="20"/>
          <w:szCs w:val="20"/>
          <w:color w:val="auto"/>
        </w:rPr>
      </w:pPr>
      <w:r>
        <w:rPr>
          <w:rFonts w:ascii="Times New Roman" w:cs="Times New Roman" w:eastAsia="Times New Roman" w:hAnsi="Times New Roman"/>
          <w:sz w:val="17"/>
          <w:szCs w:val="17"/>
          <w:color w:val="auto"/>
        </w:rPr>
        <w:t>The following summary of the terms of our common stock is based upon our restated certificate of incorporation and our amended and restated bylaws and applicable provisions of law. The summary is not complete, and is qualified by reference to our restated certificate of incorporation and our amended and restated bylaws, which are filed as exhibits to this Annual Report on Form 10-K and are incorporated by reference herein. We encourage you to read our restated certificate of incorporation, our amended and restated bylaws and the applicable provisions of the Delaware General Corporation Law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“DGCL”) for additional information.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Capitalization</w:t>
      </w:r>
    </w:p>
    <w:p>
      <w:pPr>
        <w:spacing w:after="0" w:line="297" w:lineRule="exact"/>
        <w:rPr>
          <w:sz w:val="20"/>
          <w:szCs w:val="20"/>
          <w:color w:val="auto"/>
        </w:rPr>
      </w:pPr>
    </w:p>
    <w:p>
      <w:pPr>
        <w:ind w:right="440" w:firstLine="648"/>
        <w:spacing w:after="0" w:line="329" w:lineRule="auto"/>
        <w:rPr>
          <w:sz w:val="20"/>
          <w:szCs w:val="20"/>
          <w:color w:val="auto"/>
        </w:rPr>
      </w:pPr>
      <w:r>
        <w:rPr>
          <w:rFonts w:ascii="Times New Roman" w:cs="Times New Roman" w:eastAsia="Times New Roman" w:hAnsi="Times New Roman"/>
          <w:sz w:val="18"/>
          <w:szCs w:val="18"/>
          <w:color w:val="auto"/>
        </w:rPr>
        <w:t>Our authorized capital stock consists of 1,510,000,000 shares of capital stock, including 1,500,000,000 shares of common stock, par value of $0.001 per share, and 10,000,000 shares of undesignated preferred stock, par value of $0.001 per share.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308" w:lineRule="exact"/>
        <w:rPr>
          <w:sz w:val="20"/>
          <w:szCs w:val="20"/>
          <w:color w:val="auto"/>
        </w:rPr>
      </w:pPr>
    </w:p>
    <w:p>
      <w:pPr>
        <w:ind w:right="260" w:firstLine="648"/>
        <w:spacing w:after="0" w:line="313" w:lineRule="auto"/>
        <w:rPr>
          <w:sz w:val="20"/>
          <w:szCs w:val="20"/>
          <w:color w:val="auto"/>
        </w:rPr>
      </w:pPr>
      <w:r>
        <w:rPr>
          <w:rFonts w:ascii="Times New Roman" w:cs="Times New Roman" w:eastAsia="Times New Roman" w:hAnsi="Times New Roman"/>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95" w:lineRule="exact"/>
        <w:rPr>
          <w:sz w:val="20"/>
          <w:szCs w:val="20"/>
          <w:color w:val="auto"/>
        </w:rPr>
      </w:pPr>
    </w:p>
    <w:p>
      <w:pPr>
        <w:ind w:right="80" w:firstLine="648"/>
        <w:spacing w:after="0" w:line="313"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stockholders. We have not provided for cumulative voting for the election of directors in our restated certificate of incorporation. Our restated certificate of incorporation provides for all members of our board of directors to stand for election annually for one-year terms. Our amended and restated bylaws provide for a majority voting standard for uncontested elections of directors.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Right to Receive Liquidation Distributions</w:t>
      </w:r>
    </w:p>
    <w:p>
      <w:pPr>
        <w:spacing w:after="0" w:line="281" w:lineRule="exact"/>
        <w:rPr>
          <w:sz w:val="20"/>
          <w:szCs w:val="20"/>
          <w:color w:val="auto"/>
        </w:rPr>
      </w:pPr>
    </w:p>
    <w:p>
      <w:pPr>
        <w:ind w:right="180" w:firstLine="648"/>
        <w:spacing w:after="0" w:line="321" w:lineRule="auto"/>
        <w:rPr>
          <w:sz w:val="20"/>
          <w:szCs w:val="20"/>
          <w:color w:val="auto"/>
        </w:rPr>
      </w:pPr>
      <w:r>
        <w:rPr>
          <w:rFonts w:ascii="Times New Roman" w:cs="Times New Roman" w:eastAsia="Times New Roman" w:hAnsi="Times New Roman"/>
          <w:sz w:val="18"/>
          <w:szCs w:val="18"/>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ectPr>
          <w:pgSz w:w="11900" w:h="16838" w:orient="portrait"/>
          <w:cols w:equalWidth="0" w:num="1">
            <w:col w:w="11240"/>
          </w:cols>
          <w:pgMar w:left="320" w:top="1413" w:right="339" w:bottom="1440" w:gutter="0" w:footer="0" w:header="0"/>
        </w:sectPr>
      </w:pPr>
    </w:p>
    <w:bookmarkStart w:id="120" w:name="page121"/>
    <w:bookmarkEnd w:id="120"/>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Rights and Preferences</w:t>
      </w:r>
    </w:p>
    <w:p>
      <w:pPr>
        <w:spacing w:after="0" w:line="2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not entitled to preemptive rights, and is not subject to conversion, redemption or sinking fund provisions.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310" w:lineRule="exact"/>
        <w:rPr>
          <w:sz w:val="20"/>
          <w:szCs w:val="20"/>
          <w:color w:val="auto"/>
        </w:rPr>
      </w:pPr>
    </w:p>
    <w:p>
      <w:pPr>
        <w:ind w:firstLine="648"/>
        <w:spacing w:after="0" w:line="304" w:lineRule="auto"/>
        <w:rPr>
          <w:sz w:val="20"/>
          <w:szCs w:val="20"/>
          <w:color w:val="auto"/>
        </w:rPr>
      </w:pPr>
      <w:r>
        <w:rPr>
          <w:rFonts w:ascii="Times New Roman" w:cs="Times New Roman" w:eastAsia="Times New Roman" w:hAnsi="Times New Roman"/>
          <w:sz w:val="18"/>
          <w:szCs w:val="18"/>
          <w:color w:val="auto"/>
        </w:rPr>
        <w:t>Our board of directors is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might adversely affect the market price of our common stock and the voting and other rights of the holders of our common stock.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w:t>
      </w:r>
    </w:p>
    <w:p>
      <w:pPr>
        <w:spacing w:after="0" w:line="297" w:lineRule="exact"/>
        <w:rPr>
          <w:sz w:val="20"/>
          <w:szCs w:val="20"/>
          <w:color w:val="auto"/>
        </w:rPr>
      </w:pPr>
    </w:p>
    <w:p>
      <w:pPr>
        <w:jc w:val="both"/>
        <w:ind w:right="140" w:firstLine="648"/>
        <w:spacing w:after="0" w:line="321" w:lineRule="auto"/>
        <w:rPr>
          <w:sz w:val="20"/>
          <w:szCs w:val="20"/>
          <w:color w:val="auto"/>
        </w:rPr>
      </w:pPr>
      <w:r>
        <w:rPr>
          <w:rFonts w:ascii="Times New Roman" w:cs="Times New Roman" w:eastAsia="Times New Roman" w:hAnsi="Times New Roman"/>
          <w:sz w:val="18"/>
          <w:szCs w:val="18"/>
          <w:color w:val="auto"/>
        </w:rPr>
        <w:t>The provisions of Delaware law, our restated certificate of incorporation and our amended and restated bylaws could have the effect of delaying, deferring or discouraging another person from acquiring control of our company. These provisions, which are summarized below, may have the effect of discouraging takeover bids.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Delaware Law</w:t>
      </w:r>
    </w:p>
    <w:p>
      <w:pPr>
        <w:spacing w:after="0" w:line="295" w:lineRule="exact"/>
        <w:rPr>
          <w:sz w:val="20"/>
          <w:szCs w:val="20"/>
          <w:color w:val="auto"/>
        </w:rPr>
      </w:pPr>
    </w:p>
    <w:p>
      <w:pPr>
        <w:ind w:right="180" w:firstLine="648"/>
        <w:spacing w:after="0" w:line="313"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regulating corporate takeovers. In general, Section 203 prohibits a publicly held Delaware corporation from engaging in a business combination with an interested stockholder for a period of three years following the date on which the person became an interested stockholder unless:</w:t>
      </w:r>
    </w:p>
    <w:p>
      <w:pPr>
        <w:spacing w:after="0" w:line="216" w:lineRule="exact"/>
        <w:rPr>
          <w:sz w:val="20"/>
          <w:szCs w:val="20"/>
          <w:color w:val="auto"/>
        </w:rPr>
      </w:pPr>
    </w:p>
    <w:p>
      <w:pPr>
        <w:ind w:left="1300" w:right="160" w:hanging="644"/>
        <w:spacing w:after="0" w:line="329" w:lineRule="auto"/>
        <w:tabs>
          <w:tab w:leader="none" w:pos="129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188" w:lineRule="exact"/>
        <w:rPr>
          <w:rFonts w:ascii="Times New Roman" w:cs="Times New Roman" w:eastAsia="Times New Roman" w:hAnsi="Times New Roman"/>
          <w:sz w:val="18"/>
          <w:szCs w:val="18"/>
          <w:color w:val="auto"/>
        </w:rPr>
      </w:pPr>
    </w:p>
    <w:p>
      <w:pPr>
        <w:ind w:left="1300" w:right="140" w:hanging="644"/>
        <w:spacing w:after="0" w:line="320" w:lineRule="auto"/>
        <w:tabs>
          <w:tab w:leader="none" w:pos="1295"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interested stockholder owned at least 85% of the voting stock of the corporation outstanding at the time the transaction commenced, excluding for purposes of determining the voting stock outstanding, but not the outstanding voting stock owned by the interested stockholder, (i) shares owned by persons who are directors and also officers and (ii) shares owned by employee stock plans in which</w:t>
      </w:r>
    </w:p>
    <w:p>
      <w:pPr>
        <w:spacing w:after="0" w:line="1" w:lineRule="exact"/>
        <w:rPr>
          <w:rFonts w:ascii="Times New Roman" w:cs="Times New Roman" w:eastAsia="Times New Roman" w:hAnsi="Times New Roman"/>
          <w:sz w:val="17"/>
          <w:szCs w:val="17"/>
          <w:color w:val="auto"/>
        </w:rPr>
      </w:pPr>
    </w:p>
    <w:p>
      <w:pPr>
        <w:ind w:left="1300" w:right="440"/>
        <w:spacing w:after="0" w:line="32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employee participants do not have the right to determine confidentially whether shares held subject to the plan will be tendered in a tender or exchange offer; or</w:t>
      </w:r>
    </w:p>
    <w:p>
      <w:pPr>
        <w:sectPr>
          <w:pgSz w:w="11900" w:h="16838" w:orient="portrait"/>
          <w:cols w:equalWidth="0" w:num="1">
            <w:col w:w="11200"/>
          </w:cols>
          <w:pgMar w:left="320" w:top="1440" w:right="379" w:bottom="1440" w:gutter="0" w:footer="0" w:header="0"/>
        </w:sectPr>
      </w:pPr>
    </w:p>
    <w:bookmarkStart w:id="121" w:name="page122"/>
    <w:bookmarkEnd w:id="121"/>
    <w:p>
      <w:pPr>
        <w:spacing w:after="0" w:line="5" w:lineRule="exact"/>
        <w:rPr>
          <w:sz w:val="20"/>
          <w:szCs w:val="20"/>
          <w:color w:val="auto"/>
        </w:rPr>
      </w:pPr>
    </w:p>
    <w:p>
      <w:pPr>
        <w:ind w:left="1300" w:right="160" w:hanging="644"/>
        <w:spacing w:after="0" w:line="313" w:lineRule="auto"/>
        <w:tabs>
          <w:tab w:leader="none" w:pos="129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 2/3% of the outstanding voting stock that is not owned by the interested stockholder.</w:t>
      </w:r>
    </w:p>
    <w:p>
      <w:pPr>
        <w:spacing w:after="0" w:line="216" w:lineRule="exact"/>
        <w:rPr>
          <w:sz w:val="20"/>
          <w:szCs w:val="20"/>
          <w:color w:val="auto"/>
        </w:rPr>
      </w:pPr>
    </w:p>
    <w:p>
      <w:pPr>
        <w:ind w:firstLine="648"/>
        <w:spacing w:after="0" w:line="305"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DGCL Section 203 may also discourage attempts that might result in a premium over the market price for the shares of common stock held by stockholders.</w:t>
      </w:r>
    </w:p>
    <w:p>
      <w:pPr>
        <w:spacing w:after="0" w:line="2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Restated Certificate of Incorporation and Amended and Restated Bylaw Provisions</w:t>
      </w:r>
    </w:p>
    <w:p>
      <w:pPr>
        <w:spacing w:after="0" w:line="295" w:lineRule="exact"/>
        <w:rPr>
          <w:sz w:val="20"/>
          <w:szCs w:val="20"/>
          <w:color w:val="auto"/>
        </w:rPr>
      </w:pPr>
    </w:p>
    <w:p>
      <w:pPr>
        <w:ind w:right="80" w:firstLine="648"/>
        <w:spacing w:after="0" w:line="329" w:lineRule="auto"/>
        <w:rPr>
          <w:sz w:val="20"/>
          <w:szCs w:val="20"/>
          <w:color w:val="auto"/>
        </w:rPr>
      </w:pPr>
      <w:r>
        <w:rPr>
          <w:rFonts w:ascii="Times New Roman" w:cs="Times New Roman" w:eastAsia="Times New Roman" w:hAnsi="Times New Roman"/>
          <w:sz w:val="18"/>
          <w:szCs w:val="18"/>
          <w:color w:val="auto"/>
        </w:rPr>
        <w:t>Our restated certificate of incorporation and our amended and restated bylaws include a number of provisions that could deter hostile takeovers or delay or prevent changes in control of our company, including the following:</w:t>
      </w:r>
    </w:p>
    <w:p>
      <w:pPr>
        <w:spacing w:after="0" w:line="187" w:lineRule="exact"/>
        <w:rPr>
          <w:sz w:val="20"/>
          <w:szCs w:val="20"/>
          <w:color w:val="auto"/>
        </w:rPr>
      </w:pPr>
    </w:p>
    <w:p>
      <w:pPr>
        <w:ind w:left="1300" w:right="20" w:hanging="644"/>
        <w:spacing w:after="0" w:line="303" w:lineRule="auto"/>
        <w:tabs>
          <w:tab w:leader="none" w:pos="129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Board of Directors Vacancies</w:t>
      </w:r>
      <w:r>
        <w:rPr>
          <w:rFonts w:ascii="Times New Roman" w:cs="Times New Roman" w:eastAsia="Times New Roman" w:hAnsi="Times New Roman"/>
          <w:sz w:val="18"/>
          <w:szCs w:val="18"/>
          <w:color w:val="auto"/>
        </w:rPr>
        <w:t>. Our restated certificate of incorporation and our amended and restated bylaws authorize only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to fill vacant directorships, including newly created seats. In addition, the number of directors constituting our board of directors is permitted to be set only by a resolution adopted by a majority vote of our entire board of directors. These provisions prevent a</w:t>
      </w:r>
    </w:p>
    <w:p>
      <w:pPr>
        <w:spacing w:after="0" w:line="1" w:lineRule="exact"/>
        <w:rPr>
          <w:rFonts w:ascii="Times New Roman" w:cs="Times New Roman" w:eastAsia="Times New Roman" w:hAnsi="Times New Roman"/>
          <w:sz w:val="18"/>
          <w:szCs w:val="18"/>
          <w:color w:val="auto"/>
        </w:rPr>
      </w:pPr>
    </w:p>
    <w:p>
      <w:pPr>
        <w:ind w:left="1300" w:right="2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200" w:lineRule="exact"/>
        <w:rPr>
          <w:rFonts w:ascii="Times New Roman" w:cs="Times New Roman" w:eastAsia="Times New Roman" w:hAnsi="Times New Roman"/>
          <w:sz w:val="18"/>
          <w:szCs w:val="18"/>
          <w:color w:val="auto"/>
        </w:rPr>
      </w:pPr>
    </w:p>
    <w:p>
      <w:pPr>
        <w:ind w:left="1300" w:right="200" w:hanging="644"/>
        <w:spacing w:after="0" w:line="324" w:lineRule="auto"/>
        <w:tabs>
          <w:tab w:leader="none" w:pos="1295"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Stockholder Action; Special Meetings of Stockholders</w:t>
      </w:r>
      <w:r>
        <w:rPr>
          <w:rFonts w:ascii="Times New Roman" w:cs="Times New Roman" w:eastAsia="Times New Roman" w:hAnsi="Times New Roman"/>
          <w:sz w:val="17"/>
          <w:szCs w:val="17"/>
          <w:color w:val="auto"/>
        </w:rPr>
        <w:t>. Our restated certificate of incorporation provides that our stockholders may 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take action by written consent, and may only take action at an annual or special meeting of our stockholders. Our amended and restated</w:t>
      </w:r>
    </w:p>
    <w:p>
      <w:pPr>
        <w:ind w:left="1300" w:right="20"/>
        <w:spacing w:after="0" w:line="30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bylaws further provide that special meetings of our stockholders may be called only by stockholders holding not less than 25% of the outstanding shares entitled to vote on the matters to be brought before the proposed special meeting, a majority of our board of directors, the chairperson of our board of directors, our chief executive officer or our president, thus prohibiting stockholders who do not meet the ownership threshold from calling a special meeting. These provisions might delay the ability of our stockholders to force consideration of a proposal or for stockholders to take any action, including the removal of directors.</w:t>
      </w:r>
    </w:p>
    <w:p>
      <w:pPr>
        <w:spacing w:after="0" w:line="221" w:lineRule="exact"/>
        <w:rPr>
          <w:rFonts w:ascii="Times New Roman" w:cs="Times New Roman" w:eastAsia="Times New Roman" w:hAnsi="Times New Roman"/>
          <w:sz w:val="17"/>
          <w:szCs w:val="17"/>
          <w:color w:val="auto"/>
        </w:rPr>
      </w:pPr>
    </w:p>
    <w:p>
      <w:pPr>
        <w:ind w:left="1300" w:hanging="644"/>
        <w:spacing w:after="0" w:line="305" w:lineRule="auto"/>
        <w:tabs>
          <w:tab w:leader="none" w:pos="129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r>
        <w:rPr>
          <w:rFonts w:ascii="Times New Roman" w:cs="Times New Roman" w:eastAsia="Times New Roman" w:hAnsi="Times New Roman"/>
          <w:sz w:val="18"/>
          <w:szCs w:val="18"/>
          <w:color w:val="auto"/>
        </w:rPr>
        <w:t>. Our amended and restated bylaws provide advance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notice procedures for stockholders seeking to bring 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might preclude our stockholders from bringing matters before our annual meeting of stockholders or</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5" w:lineRule="exact"/>
        <w:rPr>
          <w:sz w:val="20"/>
          <w:szCs w:val="20"/>
          <w:color w:val="auto"/>
        </w:rPr>
      </w:pPr>
    </w:p>
    <w:p>
      <w:pPr>
        <w:jc w:val="both"/>
        <w:ind w:left="644" w:right="180"/>
        <w:spacing w:after="0" w:line="313" w:lineRule="auto"/>
        <w:rPr>
          <w:sz w:val="20"/>
          <w:szCs w:val="20"/>
          <w:color w:val="auto"/>
        </w:rPr>
      </w:pPr>
      <w:r>
        <w:rPr>
          <w:rFonts w:ascii="Times New Roman" w:cs="Times New Roman" w:eastAsia="Times New Roman" w:hAnsi="Times New Roman"/>
          <w:sz w:val="18"/>
          <w:szCs w:val="18"/>
          <w:color w:val="auto"/>
        </w:rPr>
        <w:t>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214" w:lineRule="exact"/>
        <w:rPr>
          <w:sz w:val="20"/>
          <w:szCs w:val="20"/>
          <w:color w:val="auto"/>
        </w:rPr>
      </w:pPr>
    </w:p>
    <w:p>
      <w:pPr>
        <w:ind w:left="644" w:right="140" w:hanging="644"/>
        <w:spacing w:after="0" w:line="318" w:lineRule="auto"/>
        <w:tabs>
          <w:tab w:leader="none" w:pos="639"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Proxy Access</w:t>
      </w:r>
      <w:r>
        <w:rPr>
          <w:rFonts w:ascii="Times New Roman" w:cs="Times New Roman" w:eastAsia="Times New Roman" w:hAnsi="Times New Roman"/>
          <w:sz w:val="17"/>
          <w:szCs w:val="17"/>
          <w:color w:val="auto"/>
        </w:rPr>
        <w:t>. Our amended and restated bylaws provide that, in certain circumstances, a stockholder or group of up to 20 stockholders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may include director candidates that they have nominated in our annual meeting proxy materials. Such stockholder or group of stockholders need to own 3% or more of our outstanding common stock continuously for at least three years (i) preceding and including the date of submission of the nomination notice and (ii) following the date we implemented proxy access in the amended and restated Bylaws, whichever is later. The number of stockholder-nominated candidates appearing in any of our annual meeting proxy materials</w:t>
      </w:r>
    </w:p>
    <w:p>
      <w:pPr>
        <w:spacing w:after="0" w:line="2" w:lineRule="exact"/>
        <w:rPr>
          <w:rFonts w:ascii="Times New Roman" w:cs="Times New Roman" w:eastAsia="Times New Roman" w:hAnsi="Times New Roman"/>
          <w:sz w:val="17"/>
          <w:szCs w:val="17"/>
          <w:color w:val="auto"/>
        </w:rPr>
      </w:pPr>
    </w:p>
    <w:p>
      <w:pPr>
        <w:ind w:left="644" w:right="4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cannot exceed the greater of two individuals or 20% of our board of directors. The nominating stockholder or group of stockholders is also required to deliver certain information, and each nominee is required to meet certain qualifications, as described in more detail in the amended and restated bylaws.</w:t>
      </w:r>
    </w:p>
    <w:p>
      <w:pPr>
        <w:spacing w:after="0" w:line="200" w:lineRule="exact"/>
        <w:rPr>
          <w:rFonts w:ascii="Times New Roman" w:cs="Times New Roman" w:eastAsia="Times New Roman" w:hAnsi="Times New Roman"/>
          <w:sz w:val="17"/>
          <w:szCs w:val="17"/>
          <w:color w:val="auto"/>
        </w:rPr>
      </w:pPr>
    </w:p>
    <w:p>
      <w:pPr>
        <w:ind w:left="644" w:right="120" w:hanging="644"/>
        <w:spacing w:after="0" w:line="314" w:lineRule="auto"/>
        <w:tabs>
          <w:tab w:leader="none" w:pos="63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Cumulative Voting</w:t>
      </w:r>
      <w:r>
        <w:rPr>
          <w:rFonts w:ascii="Times New Roman" w:cs="Times New Roman" w:eastAsia="Times New Roman" w:hAnsi="Times New Roman"/>
          <w:sz w:val="18"/>
          <w:szCs w:val="18"/>
          <w:color w:val="auto"/>
        </w:rPr>
        <w:t>. The DGCL provides that stockholders are not entitled to the right to cumulate votes in the election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a corporation’s certificate of incorporation provides otherwise. Our restated certificate of incorporation and amended and restated bylaws do not provide for cumulative voting.</w:t>
      </w:r>
    </w:p>
    <w:p>
      <w:pPr>
        <w:spacing w:after="0" w:line="213" w:lineRule="exact"/>
        <w:rPr>
          <w:rFonts w:ascii="Times New Roman" w:cs="Times New Roman" w:eastAsia="Times New Roman" w:hAnsi="Times New Roman"/>
          <w:sz w:val="18"/>
          <w:szCs w:val="18"/>
          <w:color w:val="auto"/>
        </w:rPr>
      </w:pPr>
    </w:p>
    <w:p>
      <w:pPr>
        <w:ind w:left="644" w:hanging="644"/>
        <w:spacing w:after="0" w:line="308" w:lineRule="auto"/>
        <w:tabs>
          <w:tab w:leader="none" w:pos="63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Issuance of Undesignated Preferred Stock</w:t>
      </w:r>
      <w:r>
        <w:rPr>
          <w:rFonts w:ascii="Times New Roman" w:cs="Times New Roman" w:eastAsia="Times New Roman" w:hAnsi="Times New Roman"/>
          <w:sz w:val="18"/>
          <w:szCs w:val="18"/>
          <w:color w:val="auto"/>
        </w:rPr>
        <w:t>. Our board of directors has the authority, without further action by the stockholders, to issue 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10,000,000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 means.</w:t>
      </w:r>
    </w:p>
    <w:p>
      <w:pPr>
        <w:spacing w:after="0" w:line="206"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Choice of Forum</w:t>
      </w:r>
      <w:r>
        <w:rPr>
          <w:rFonts w:ascii="Times New Roman" w:cs="Times New Roman" w:eastAsia="Times New Roman" w:hAnsi="Times New Roman"/>
          <w:sz w:val="18"/>
          <w:szCs w:val="18"/>
          <w:color w:val="auto"/>
        </w:rPr>
        <w:t>. Our amended and restated bylaws provide that, unless we consent in writing to the selection of alternate forum, the</w:t>
      </w:r>
    </w:p>
    <w:p>
      <w:pPr>
        <w:spacing w:after="0" w:line="65" w:lineRule="exact"/>
        <w:rPr>
          <w:rFonts w:ascii="Times New Roman" w:cs="Times New Roman" w:eastAsia="Times New Roman" w:hAnsi="Times New Roman"/>
          <w:sz w:val="18"/>
          <w:szCs w:val="18"/>
          <w:color w:val="auto"/>
        </w:rPr>
      </w:pPr>
    </w:p>
    <w:p>
      <w:pPr>
        <w:ind w:left="644" w:right="200"/>
        <w:spacing w:after="0" w:line="3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Court of Chancery of the State of Delaware (or, if the Court of Chancery does not have jurisdiction, the United States District Court for the District of Delaware) are the exclusive forum for: (i) any derivative action or proceeding brought on our behalf; (ii) any action asserting a breach of a fiduciary duty owed by, or other wrongdoing by, any of our directors, officers, employees or agents to the corporation or the corporation’s stockholders; (iii) any action asserting a claim arising pursuant to any provision of the DGCL, our restated certificate of incorporation or our amended and restated bylaws; (iv) any action to interpret, apply, enforce or determine the</w:t>
      </w:r>
    </w:p>
    <w:p>
      <w:pPr>
        <w:spacing w:after="0" w:line="2" w:lineRule="exact"/>
        <w:rPr>
          <w:rFonts w:ascii="Times New Roman" w:cs="Times New Roman" w:eastAsia="Times New Roman" w:hAnsi="Times New Roman"/>
          <w:sz w:val="18"/>
          <w:szCs w:val="18"/>
          <w:color w:val="auto"/>
        </w:rPr>
      </w:pPr>
    </w:p>
    <w:p>
      <w:pPr>
        <w:ind w:left="644" w:right="160"/>
        <w:spacing w:after="0" w:line="30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validity of our restated certificate of incorporation or our amended and restated bylaws; or (v) any action asserting a claim governed by the internal affairs doctrine. Our amended and restated bylaws also provide that the federal district courts of the United States would be the exclusive forum for resolving any complaint asserting a cause of action arising under the Securities Act of 1933, as amended (the “Federal Forum Provision”). In December 2018, the Delaware Court of Chancery found that provisions such as the Federal Forum Provision are not valid under Delaware law. In light of this decision of the Delaware Court of Chancery, we do not intend to enforce the Federal Forum Provision in our amended and restated bylaws unless and until</w:t>
      </w:r>
    </w:p>
    <w:p>
      <w:pPr>
        <w:sectPr>
          <w:pgSz w:w="11900" w:h="16838" w:orient="portrait"/>
          <w:cols w:equalWidth="0" w:num="1">
            <w:col w:w="10584"/>
          </w:cols>
          <w:pgMar w:left="976" w:top="1440" w:right="339" w:bottom="1440" w:gutter="0" w:footer="0" w:header="0"/>
        </w:sectPr>
      </w:pPr>
    </w:p>
    <w:bookmarkStart w:id="123" w:name="page124"/>
    <w:bookmarkEnd w:id="123"/>
    <w:p>
      <w:pPr>
        <w:spacing w:after="0" w:line="5" w:lineRule="exact"/>
        <w:rPr>
          <w:sz w:val="20"/>
          <w:szCs w:val="20"/>
          <w:color w:val="auto"/>
        </w:rPr>
      </w:pPr>
    </w:p>
    <w:p>
      <w:pPr>
        <w:ind w:left="1300"/>
        <w:spacing w:after="0" w:line="313" w:lineRule="auto"/>
        <w:rPr>
          <w:sz w:val="20"/>
          <w:szCs w:val="20"/>
          <w:color w:val="auto"/>
        </w:rPr>
      </w:pPr>
      <w:r>
        <w:rPr>
          <w:rFonts w:ascii="Times New Roman" w:cs="Times New Roman" w:eastAsia="Times New Roman" w:hAnsi="Times New Roman"/>
          <w:sz w:val="18"/>
          <w:szCs w:val="18"/>
          <w:color w:val="auto"/>
        </w:rPr>
        <w:t>there is a final determination by the Delaware Supreme Court regarding the validity of provisions such as the Federal Forum Provision. To the extent the Delaware Supreme Court makes a final determination that provisions such as the Federal Forum Provision are not valid as a matter of Delaware law, our board of directors intends to amend our amended and restated bylaws to remove the Federal Forum Provision.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“FTNT.”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ectPr>
          <w:pgSz w:w="11900" w:h="16838" w:orient="portrait"/>
          <w:cols w:equalWidth="0" w:num="1">
            <w:col w:w="11160"/>
          </w:cols>
          <w:pgMar w:left="320" w:top="1440" w:right="41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FORTINET, INC. SUBSIDIARIES</w:t>
            </w:r>
          </w:p>
        </w:tc>
      </w:tr>
      <w:tr>
        <w:trPr>
          <w:trHeight w:val="257"/>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14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34"/>
        </w:trPr>
        <w:tc>
          <w:tcPr>
            <w:tcW w:w="37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Australia Pty Ltd</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Australia</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Fortinet Austria GmbH</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Austria</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Belgium BV</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Belgium</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Fortinet Network Security Brasil LTDA</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Technologies (Canada) ULC</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Holdings 1504 Enterprises Inc.</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Holdings 1502 Enterprises Ltd.</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Fortinet International, Inc.</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Fortinet Information Technology (Beijing) Co., Ltd.</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Accelops China Limited</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Colombia S.A.S.</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Colombia</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Fortinet Denmark ApS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Denmark</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Finland Oy</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Finland</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Fortinet S.A.R.L.</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GmbH</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Germany</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Fortinet Technologies India Private Limited</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Volon Cyber Security Private Limited</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India</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PT Fortinet Indonesia Security</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Indonesia</w:t>
            </w: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Security Israel Ltd.</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Israel</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Fortinet Security Italy S.R.L.</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Italy</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Japan G.K.</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Fortinet Security Korea Ltd.</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Korea</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Malaysia SDN. BHD.</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Malaysia</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Fortinet Networks Mauritius Ltd</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Mauritius</w:t>
            </w: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Mexico, S. de R.L. de C.V.</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Mexico</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Fortinet B.V.</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Security NZ Limited</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Zealand</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Fortinet Security Philippines, Inc.</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Philippines</w:t>
            </w: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Portugal, Unipessoal Lda</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Portugal</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Fortinet Security LLC</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Qatar</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Networks Romania S.R.L.</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Romania</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Fortinet Singapore Private Limited</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Security Spain SL</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Spain</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Fortinet Switzerland GmbH</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Switzerland</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Security Network (Thailand) Ltd.</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Thailand</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Fortinet Turkey Güvenlik Sistemleri Limited Şirketi</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Turkey</w:t>
            </w: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Branch Holding Company</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U.S.A.</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Fortinet Federal, Inc.</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U.S.A.</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Holding LLC</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U.S.A.</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enSilo LLC</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U.S.A.</w:t>
            </w: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UK Limited</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Linksys Holdings, Inc.</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Linksys Cayman, LLC</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Linksys USA, Inc.</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U.S.A.</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Linksys UK Limited</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Linksys HK Limited</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Hong Kong</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Linksys PTE LTD</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Singapore</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Linksys Trading Shanghai, Co., Ltd.</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AJ Holdings 1 K.K.</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AJ Holdings 2 K.K.</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Alaxala Networks Corporation</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w:t>
            </w:r>
          </w:p>
        </w:tc>
      </w:tr>
    </w:tbl>
    <w:p>
      <w:pPr>
        <w:sectPr>
          <w:pgSz w:w="11900" w:h="16838" w:orient="portrait"/>
          <w:cols w:equalWidth="0" w:num="1">
            <w:col w:w="10740"/>
          </w:cols>
          <w:pgMar w:left="820" w:top="887"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75" w:lineRule="exact"/>
        <w:rPr>
          <w:sz w:val="20"/>
          <w:szCs w:val="20"/>
          <w:color w:val="auto"/>
        </w:rPr>
      </w:pPr>
    </w:p>
    <w:p>
      <w:pPr>
        <w:ind w:right="240"/>
        <w:spacing w:after="0" w:line="245"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333-253341 on Form S-3 and Registration Statement Nos. 333-229894, 333-223246, 333-216362, 333-209783, 333-202402, 333-194281, 333-186921, 333-179751, 333-172459, and 333-163367 on Form S-8 of our reports dated February 23, 2024, relating to the financial statements of Fortinet, Inc. and the effectiveness of Fortinet, Inc.’s internal control over financial reporting, appearing in this Annual Report on Form 10-K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2024</w:t>
      </w:r>
    </w:p>
    <w:p>
      <w:pPr>
        <w:sectPr>
          <w:pgSz w:w="11900" w:h="16838" w:orient="portrait"/>
          <w:cols w:equalWidth="0" w:num="1">
            <w:col w:w="11240"/>
          </w:cols>
          <w:pgMar w:left="320" w:top="887"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 Xie, certify that:</w:t>
      </w:r>
    </w:p>
    <w:p>
      <w:pPr>
        <w:spacing w:after="0" w:line="171" w:lineRule="exact"/>
        <w:rPr>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Fortinet,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23,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17145</wp:posOffset>
            </wp:positionV>
            <wp:extent cx="292290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1">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Ken Xie</w:t>
      </w:r>
    </w:p>
    <w:p>
      <w:pPr>
        <w:spacing w:after="0" w:line="1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Chief Executive Officer and Chairman</w:t>
      </w:r>
    </w:p>
    <w:p>
      <w:pPr>
        <w:ind w:left="65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Keith Jensen, certify that:</w:t>
      </w:r>
    </w:p>
    <w:p>
      <w:pPr>
        <w:spacing w:after="0" w:line="171" w:lineRule="exact"/>
        <w:rPr>
          <w:sz w:val="20"/>
          <w:szCs w:val="20"/>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Fortinet,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23, 2024</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/s/ 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17145</wp:posOffset>
            </wp:positionV>
            <wp:extent cx="292290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2">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Keith Jensen</w:t>
      </w:r>
    </w:p>
    <w:p>
      <w:pPr>
        <w:spacing w:after="0" w:line="1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Chief Financial Officer</w:t>
      </w:r>
    </w:p>
    <w:p>
      <w:pPr>
        <w:ind w:left="638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ectPr>
          <w:pgSz w:w="11900" w:h="16838" w:orient="portrait"/>
          <w:cols w:equalWidth="0" w:num="1">
            <w:col w:w="11240"/>
          </w:cols>
          <w:pgMar w:left="320" w:top="887"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 CHIEF FINANCIAL OFFICER</w:t>
      </w:r>
    </w:p>
    <w:p>
      <w:pPr>
        <w:spacing w:after="0" w:line="17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I, Ken Xie, certify, pursuant to 18 U.S.C. Section 1350, as adopted pursuant to Section 906 of the Sarbanes-Oxley Act of 2002, that the Annual Report on Form 10-K of Fortinet, Inc. for the fiscal year ended December 31, 2023 fully complies with the requirements of Section 13(a) or 15(d) of the Securities Exchange Act of 1934, as amended (the “Exchange Act”), and that information contained in this Annual Report on Form 10-K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27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Ken Xie</w:t>
            </w:r>
          </w:p>
        </w:tc>
      </w:tr>
      <w:tr>
        <w:trPr>
          <w:trHeight w:val="218"/>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23, 2024</w:t>
            </w:r>
          </w:p>
        </w:tc>
        <w:tc>
          <w:tcPr>
            <w:tcW w:w="27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 Xie</w:t>
            </w:r>
          </w:p>
        </w:tc>
      </w:tr>
      <w:tr>
        <w:trPr>
          <w:trHeight w:val="180"/>
        </w:trPr>
        <w:tc>
          <w:tcPr>
            <w:tcW w:w="3920" w:type="dxa"/>
            <w:vAlign w:val="bottom"/>
          </w:tcPr>
          <w:p>
            <w:pPr>
              <w:spacing w:after="0"/>
              <w:rPr>
                <w:sz w:val="15"/>
                <w:szCs w:val="15"/>
                <w:color w:val="auto"/>
              </w:rPr>
            </w:pPr>
          </w:p>
        </w:tc>
        <w:tc>
          <w:tcPr>
            <w:tcW w:w="2700" w:type="dxa"/>
            <w:vAlign w:val="bottom"/>
          </w:tcPr>
          <w:p>
            <w:pPr>
              <w:ind w:left="200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Executive Officer and Chairman</w:t>
            </w:r>
          </w:p>
        </w:tc>
      </w:tr>
      <w:tr>
        <w:trPr>
          <w:trHeight w:val="234"/>
        </w:trPr>
        <w:tc>
          <w:tcPr>
            <w:tcW w:w="39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52" w:lineRule="exact"/>
        <w:rPr>
          <w:sz w:val="20"/>
          <w:szCs w:val="20"/>
          <w:color w:val="auto"/>
        </w:rPr>
      </w:pPr>
    </w:p>
    <w:p>
      <w:pPr>
        <w:ind w:right="160" w:firstLine="445"/>
        <w:spacing w:after="0" w:line="261" w:lineRule="auto"/>
        <w:rPr>
          <w:sz w:val="20"/>
          <w:szCs w:val="20"/>
          <w:color w:val="auto"/>
        </w:rPr>
      </w:pPr>
      <w:r>
        <w:rPr>
          <w:rFonts w:ascii="Times New Roman" w:cs="Times New Roman" w:eastAsia="Times New Roman" w:hAnsi="Times New Roman"/>
          <w:sz w:val="18"/>
          <w:szCs w:val="18"/>
          <w:color w:val="auto"/>
        </w:rPr>
        <w:t>I, Keith Jensen, certify, pursuant to 18 U.S.C. Section 1350, as adopted pursuant to Section 906 of the Sarbanes-Oxley Act of 2002, that the Annual Report on Form 10-K of Fortinet, Inc. for the fiscal year ended December 31, 2023 fully complies with the requirements of Section 13(a) or 15(d) of the Exchange Act and that information contained in this Annual Report on Form 10-K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27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Keith Jensen</w:t>
            </w:r>
          </w:p>
        </w:tc>
      </w:tr>
      <w:tr>
        <w:trPr>
          <w:trHeight w:val="218"/>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23, 2024</w:t>
            </w:r>
          </w:p>
        </w:tc>
        <w:tc>
          <w:tcPr>
            <w:tcW w:w="27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Keith Jensen</w:t>
            </w:r>
          </w:p>
        </w:tc>
      </w:tr>
      <w:tr>
        <w:trPr>
          <w:trHeight w:val="180"/>
        </w:trPr>
        <w:tc>
          <w:tcPr>
            <w:tcW w:w="3920" w:type="dxa"/>
            <w:vAlign w:val="bottom"/>
          </w:tcPr>
          <w:p>
            <w:pPr>
              <w:spacing w:after="0"/>
              <w:rPr>
                <w:sz w:val="15"/>
                <w:szCs w:val="15"/>
                <w:color w:val="auto"/>
              </w:rPr>
            </w:pPr>
          </w:p>
        </w:tc>
        <w:tc>
          <w:tcPr>
            <w:tcW w:w="2700" w:type="dxa"/>
            <w:vAlign w:val="bottom"/>
          </w:tcPr>
          <w:p>
            <w:pPr>
              <w:ind w:left="200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9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bl>
    <w:p>
      <w:pPr>
        <w:spacing w:after="0" w:line="200" w:lineRule="exact"/>
        <w:rPr>
          <w:sz w:val="20"/>
          <w:szCs w:val="20"/>
          <w:color w:val="auto"/>
        </w:rPr>
      </w:pPr>
    </w:p>
    <w:p>
      <w:pPr>
        <w:spacing w:after="0" w:line="290"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p>
      <w:pPr>
        <w:sectPr>
          <w:pgSz w:w="11900" w:h="16838" w:orient="portrait"/>
          <w:cols w:equalWidth="0" w:num="1">
            <w:col w:w="11240"/>
          </w:cols>
          <w:pgMar w:left="320" w:top="887"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(Adopted October 20, 2023)</w:t>
      </w:r>
    </w:p>
    <w:p>
      <w:pPr>
        <w:spacing w:after="0" w:line="254"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1E1E1E"/>
        </w:rPr>
        <w:t>The Board has determined that it is in the best interests of the Company and its stockholders to adopt this Policy enabling the Company to recover from specified current and former Company executives certain incentive-based compensation in the event the Company is required to prepare an accounting restatement of the Company’s financial statements due to the Company’s material non-compliance with any financial reporting requirement under the federal securities laws (including any such correction that is material to the previously issued financial statements, or that would result in a material misstatement if the error were corrected in the current period or left uncorrected in the current period)</w:t>
      </w:r>
      <w:r>
        <w:rPr>
          <w:rFonts w:ascii="Times New Roman" w:cs="Times New Roman" w:eastAsia="Times New Roman" w:hAnsi="Times New Roman"/>
          <w:sz w:val="18"/>
          <w:szCs w:val="18"/>
          <w:color w:val="000000"/>
        </w:rPr>
        <w:t>.</w:t>
      </w:r>
    </w:p>
    <w:p>
      <w:pPr>
        <w:spacing w:after="0" w:line="1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1E1E1E"/>
        </w:rPr>
        <w:t>Capitalized terms are defined in Section 14.</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1E1E1E"/>
        </w:rPr>
        <w:t xml:space="preserve">This Policy </w:t>
      </w:r>
      <w:r>
        <w:rPr>
          <w:rFonts w:ascii="Times New Roman" w:cs="Times New Roman" w:eastAsia="Times New Roman" w:hAnsi="Times New Roman"/>
          <w:sz w:val="18"/>
          <w:szCs w:val="18"/>
          <w:color w:val="161616"/>
        </w:rPr>
        <w:t>is designed to comply with Rule 10D-1 of the Exchange Act and</w:t>
      </w:r>
      <w:r>
        <w:rPr>
          <w:rFonts w:ascii="Times New Roman" w:cs="Times New Roman" w:eastAsia="Times New Roman" w:hAnsi="Times New Roman"/>
          <w:sz w:val="18"/>
          <w:szCs w:val="18"/>
          <w:color w:val="1E1E1E"/>
        </w:rPr>
        <w:t xml:space="preserve"> shall become effective on the Adoption Date.</w:t>
      </w:r>
    </w:p>
    <w:p>
      <w:pPr>
        <w:spacing w:after="0" w:line="194" w:lineRule="exact"/>
        <w:rPr>
          <w:sz w:val="20"/>
          <w:szCs w:val="20"/>
          <w:color w:val="auto"/>
        </w:rPr>
      </w:pPr>
    </w:p>
    <w:p>
      <w:pPr>
        <w:ind w:left="760" w:hanging="644"/>
        <w:spacing w:after="0"/>
        <w:tabs>
          <w:tab w:leader="none" w:pos="760" w:val="left"/>
        </w:tabs>
        <w:numPr>
          <w:ilvl w:val="0"/>
          <w:numId w:val="70"/>
        </w:numPr>
        <w:rPr>
          <w:rFonts w:ascii="Times New Roman" w:cs="Times New Roman" w:eastAsia="Times New Roman" w:hAnsi="Times New Roman"/>
          <w:sz w:val="18"/>
          <w:szCs w:val="18"/>
          <w:b w:val="1"/>
          <w:bCs w:val="1"/>
          <w:color w:val="1E1E1E"/>
        </w:rPr>
      </w:pPr>
      <w:r>
        <w:rPr>
          <w:rFonts w:ascii="Times New Roman" w:cs="Times New Roman" w:eastAsia="Times New Roman" w:hAnsi="Times New Roman"/>
          <w:sz w:val="18"/>
          <w:szCs w:val="18"/>
          <w:b w:val="1"/>
          <w:bCs w:val="1"/>
          <w:color w:val="1E1E1E"/>
        </w:rPr>
        <w:t>Administration</w:t>
      </w:r>
    </w:p>
    <w:p>
      <w:pPr>
        <w:spacing w:after="0" w:line="189" w:lineRule="exact"/>
        <w:rPr>
          <w:sz w:val="20"/>
          <w:szCs w:val="20"/>
          <w:color w:val="auto"/>
        </w:rPr>
      </w:pPr>
    </w:p>
    <w:p>
      <w:pPr>
        <w:jc w:val="both"/>
        <w:ind w:left="120" w:right="40"/>
        <w:spacing w:after="0" w:line="222" w:lineRule="auto"/>
        <w:rPr>
          <w:sz w:val="20"/>
          <w:szCs w:val="20"/>
          <w:color w:val="auto"/>
        </w:rPr>
      </w:pPr>
      <w:r>
        <w:rPr>
          <w:rFonts w:ascii="Times New Roman" w:cs="Times New Roman" w:eastAsia="Times New Roman" w:hAnsi="Times New Roman"/>
          <w:sz w:val="18"/>
          <w:szCs w:val="18"/>
          <w:color w:val="1E1E1E"/>
        </w:rPr>
        <w:t>This Policy shall be administered by the Administrator. The Administrator is authorized to interpret and construe this Policy and to make all determinations necessary, appropriate, or advisable for the administration of this Policy. For clarity, notwithstanding anything to the contrary, all</w:t>
      </w:r>
    </w:p>
    <w:p>
      <w:pPr>
        <w:spacing w:after="0" w:line="2" w:lineRule="exact"/>
        <w:rPr>
          <w:sz w:val="20"/>
          <w:szCs w:val="20"/>
          <w:color w:val="auto"/>
        </w:rPr>
      </w:pPr>
    </w:p>
    <w:p>
      <w:pPr>
        <w:jc w:val="both"/>
        <w:ind w:left="120" w:right="40"/>
        <w:spacing w:after="0" w:line="218" w:lineRule="auto"/>
        <w:rPr>
          <w:sz w:val="20"/>
          <w:szCs w:val="20"/>
          <w:color w:val="auto"/>
        </w:rPr>
      </w:pPr>
      <w:r>
        <w:rPr>
          <w:rFonts w:ascii="Times New Roman" w:cs="Times New Roman" w:eastAsia="Times New Roman" w:hAnsi="Times New Roman"/>
          <w:sz w:val="18"/>
          <w:szCs w:val="18"/>
          <w:color w:val="1E1E1E"/>
        </w:rPr>
        <w:t>determinations by the Administrator related to this Policy and interpretations thereof shall be in the sole and absolute discretion of the Administrator. The Administrator may retain, at the Company’s expense, outside legal counsel and such compensation, tax or other consultants as it may determine are advisable for purposes of administering this Policy.</w:t>
      </w:r>
    </w:p>
    <w:p>
      <w:pPr>
        <w:spacing w:after="0" w:line="168" w:lineRule="exact"/>
        <w:rPr>
          <w:sz w:val="20"/>
          <w:szCs w:val="20"/>
          <w:color w:val="auto"/>
        </w:rPr>
      </w:pPr>
    </w:p>
    <w:p>
      <w:pPr>
        <w:ind w:left="760" w:hanging="644"/>
        <w:spacing w:after="0"/>
        <w:tabs>
          <w:tab w:leader="none" w:pos="760" w:val="left"/>
        </w:tabs>
        <w:numPr>
          <w:ilvl w:val="0"/>
          <w:numId w:val="71"/>
        </w:numPr>
        <w:rPr>
          <w:rFonts w:ascii="Times New Roman" w:cs="Times New Roman" w:eastAsia="Times New Roman" w:hAnsi="Times New Roman"/>
          <w:sz w:val="18"/>
          <w:szCs w:val="18"/>
          <w:b w:val="1"/>
          <w:bCs w:val="1"/>
          <w:color w:val="1E1E1E"/>
        </w:rPr>
      </w:pPr>
      <w:r>
        <w:rPr>
          <w:rFonts w:ascii="Times New Roman" w:cs="Times New Roman" w:eastAsia="Times New Roman" w:hAnsi="Times New Roman"/>
          <w:sz w:val="18"/>
          <w:szCs w:val="18"/>
          <w:b w:val="1"/>
          <w:bCs w:val="1"/>
          <w:color w:val="1E1E1E"/>
        </w:rPr>
        <w:t>Covered Persons and Covered Compensation</w:t>
      </w:r>
    </w:p>
    <w:p>
      <w:pPr>
        <w:spacing w:after="0" w:line="189" w:lineRule="exact"/>
        <w:rPr>
          <w:sz w:val="20"/>
          <w:szCs w:val="20"/>
          <w:color w:val="auto"/>
        </w:rPr>
      </w:pPr>
    </w:p>
    <w:p>
      <w:pPr>
        <w:ind w:left="120" w:right="40"/>
        <w:spacing w:after="0" w:line="222" w:lineRule="auto"/>
        <w:rPr>
          <w:sz w:val="20"/>
          <w:szCs w:val="20"/>
          <w:color w:val="auto"/>
        </w:rPr>
      </w:pPr>
      <w:r>
        <w:rPr>
          <w:rFonts w:ascii="Times New Roman" w:cs="Times New Roman" w:eastAsia="Times New Roman" w:hAnsi="Times New Roman"/>
          <w:sz w:val="18"/>
          <w:szCs w:val="18"/>
          <w:color w:val="1E1E1E"/>
        </w:rPr>
        <w:t>This Policy applies to any Incentive-Based Compensation Received by a Covered Person: (a) on or after the Listing Rule Effective Date, (b) after beginning service as a Covered Person; (c) who served as a Covered Person at any time during the performance period for that Incentive-Based</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1E1E1E"/>
        </w:rPr>
        <w:t>Compensation; and (d) was a Covered Person during the Clawback Period.</w:t>
      </w:r>
    </w:p>
    <w:p>
      <w:pPr>
        <w:spacing w:after="0" w:line="1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1E1E1E"/>
        </w:rPr>
        <w:t>However, recoupment under this Policy is not required with respect to:</w:t>
      </w:r>
    </w:p>
    <w:p>
      <w:pPr>
        <w:spacing w:after="0" w:line="158" w:lineRule="exact"/>
        <w:rPr>
          <w:sz w:val="20"/>
          <w:szCs w:val="20"/>
          <w:color w:val="auto"/>
        </w:rPr>
      </w:pPr>
    </w:p>
    <w:p>
      <w:pPr>
        <w:ind w:left="760" w:right="160" w:hanging="434"/>
        <w:spacing w:after="0" w:line="237" w:lineRule="auto"/>
        <w:tabs>
          <w:tab w:leader="none" w:pos="754" w:val="left"/>
        </w:tabs>
        <w:numPr>
          <w:ilvl w:val="0"/>
          <w:numId w:val="72"/>
        </w:numPr>
        <w:rPr>
          <w:rFonts w:ascii="Times New Roman" w:cs="Times New Roman" w:eastAsia="Times New Roman" w:hAnsi="Times New Roman"/>
          <w:sz w:val="18"/>
          <w:szCs w:val="18"/>
          <w:color w:val="1E1E1E"/>
        </w:rPr>
      </w:pPr>
      <w:r>
        <w:rPr>
          <w:rFonts w:ascii="Times New Roman" w:cs="Times New Roman" w:eastAsia="Times New Roman" w:hAnsi="Times New Roman"/>
          <w:sz w:val="18"/>
          <w:szCs w:val="18"/>
          <w:color w:val="161616"/>
        </w:rPr>
        <w:t>Incentive</w:t>
      </w:r>
      <w:r>
        <w:rPr>
          <w:rFonts w:ascii="Times New Roman" w:cs="Times New Roman" w:eastAsia="Times New Roman" w:hAnsi="Times New Roman"/>
          <w:sz w:val="18"/>
          <w:szCs w:val="18"/>
          <w:color w:val="1E1E1E"/>
        </w:rPr>
        <w:t>-Based Compensation Received prior to an individual becoming a Covered Person, even if the individual served as a Covered Person</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1E1E1E"/>
        </w:rPr>
        <w:t>during the Clawback Period.</w:t>
      </w:r>
    </w:p>
    <w:p>
      <w:pPr>
        <w:spacing w:after="0" w:line="198" w:lineRule="exact"/>
        <w:rPr>
          <w:rFonts w:ascii="Times New Roman" w:cs="Times New Roman" w:eastAsia="Times New Roman" w:hAnsi="Times New Roman"/>
          <w:sz w:val="18"/>
          <w:szCs w:val="18"/>
          <w:color w:val="1E1E1E"/>
        </w:rPr>
      </w:pPr>
    </w:p>
    <w:p>
      <w:pPr>
        <w:ind w:left="760" w:hanging="434"/>
        <w:spacing w:after="0"/>
        <w:tabs>
          <w:tab w:leader="none" w:pos="760" w:val="left"/>
        </w:tabs>
        <w:numPr>
          <w:ilvl w:val="0"/>
          <w:numId w:val="72"/>
        </w:numPr>
        <w:rPr>
          <w:rFonts w:ascii="Times New Roman" w:cs="Times New Roman" w:eastAsia="Times New Roman" w:hAnsi="Times New Roman"/>
          <w:sz w:val="18"/>
          <w:szCs w:val="18"/>
          <w:color w:val="1E1E1E"/>
        </w:rPr>
      </w:pPr>
      <w:r>
        <w:rPr>
          <w:rFonts w:ascii="Times New Roman" w:cs="Times New Roman" w:eastAsia="Times New Roman" w:hAnsi="Times New Roman"/>
          <w:sz w:val="18"/>
          <w:szCs w:val="18"/>
          <w:color w:val="161616"/>
        </w:rPr>
        <w:t>Incentive-Based Compensation Received prior to the Listing Rule Effective Date.</w:t>
      </w:r>
    </w:p>
    <w:p>
      <w:pPr>
        <w:spacing w:after="0" w:line="292" w:lineRule="exact"/>
        <w:rPr>
          <w:rFonts w:ascii="Times New Roman" w:cs="Times New Roman" w:eastAsia="Times New Roman" w:hAnsi="Times New Roman"/>
          <w:sz w:val="18"/>
          <w:szCs w:val="18"/>
          <w:color w:val="1E1E1E"/>
        </w:rPr>
      </w:pPr>
    </w:p>
    <w:p>
      <w:pPr>
        <w:ind w:left="760" w:hanging="434"/>
        <w:spacing w:after="0"/>
        <w:tabs>
          <w:tab w:leader="none" w:pos="760" w:val="left"/>
        </w:tabs>
        <w:numPr>
          <w:ilvl w:val="0"/>
          <w:numId w:val="72"/>
        </w:numPr>
        <w:rPr>
          <w:rFonts w:ascii="Times New Roman" w:cs="Times New Roman" w:eastAsia="Times New Roman" w:hAnsi="Times New Roman"/>
          <w:sz w:val="18"/>
          <w:szCs w:val="18"/>
          <w:color w:val="1E1E1E"/>
        </w:rPr>
      </w:pPr>
      <w:r>
        <w:rPr>
          <w:rFonts w:ascii="Times New Roman" w:cs="Times New Roman" w:eastAsia="Times New Roman" w:hAnsi="Times New Roman"/>
          <w:sz w:val="18"/>
          <w:szCs w:val="18"/>
          <w:color w:val="161616"/>
        </w:rPr>
        <w:t>Incentive</w:t>
      </w:r>
      <w:r>
        <w:rPr>
          <w:rFonts w:ascii="Times New Roman" w:cs="Times New Roman" w:eastAsia="Times New Roman" w:hAnsi="Times New Roman"/>
          <w:sz w:val="18"/>
          <w:szCs w:val="18"/>
          <w:color w:val="1E1E1E"/>
        </w:rPr>
        <w:t>-Based Compensation Received prior to the Clawback Period.</w:t>
      </w:r>
    </w:p>
    <w:p>
      <w:pPr>
        <w:sectPr>
          <w:pgSz w:w="11900" w:h="16838" w:orient="portrait"/>
          <w:cols w:equalWidth="0" w:num="1">
            <w:col w:w="11180"/>
          </w:cols>
          <w:pgMar w:left="320" w:top="1359" w:right="399" w:bottom="1440" w:gutter="0" w:footer="0" w:header="0"/>
        </w:sectPr>
      </w:pPr>
    </w:p>
    <w:bookmarkStart w:id="130" w:name="page131"/>
    <w:bookmarkEnd w:id="130"/>
    <w:p>
      <w:pPr>
        <w:ind w:left="644" w:right="420" w:hanging="434"/>
        <w:spacing w:after="0" w:line="282" w:lineRule="auto"/>
        <w:tabs>
          <w:tab w:leader="none" w:pos="622" w:val="left"/>
        </w:tabs>
        <w:numPr>
          <w:ilvl w:val="0"/>
          <w:numId w:val="73"/>
        </w:numPr>
        <w:rPr>
          <w:rFonts w:ascii="Times New Roman" w:cs="Times New Roman" w:eastAsia="Times New Roman" w:hAnsi="Times New Roman"/>
          <w:sz w:val="18"/>
          <w:szCs w:val="18"/>
          <w:color w:val="1E1E1E"/>
        </w:rPr>
      </w:pPr>
      <w:r>
        <w:rPr>
          <w:rFonts w:ascii="Times New Roman" w:cs="Times New Roman" w:eastAsia="Times New Roman" w:hAnsi="Times New Roman"/>
          <w:sz w:val="18"/>
          <w:szCs w:val="18"/>
          <w:color w:val="161616"/>
        </w:rPr>
        <w:t>Incentive-Based Compensation Received while the Company did not have a class of listed securities on a national securities exchange or a national securities association, including the Exchange.</w:t>
      </w:r>
    </w:p>
    <w:p>
      <w:pPr>
        <w:spacing w:after="0" w:line="10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161616"/>
        </w:rPr>
        <w:t>In the event of a Restatement Triggering Event, it will not be relevant whether there is any fault on the part of the Covered Person or whether the</w:t>
      </w:r>
    </w:p>
    <w:p>
      <w:pPr>
        <w:spacing w:after="0" w:line="2" w:lineRule="exact"/>
        <w:rPr>
          <w:sz w:val="20"/>
          <w:szCs w:val="20"/>
          <w:color w:val="auto"/>
        </w:rPr>
      </w:pPr>
    </w:p>
    <w:p>
      <w:pPr>
        <w:ind w:left="4"/>
        <w:spacing w:after="0" w:line="226" w:lineRule="auto"/>
        <w:rPr>
          <w:sz w:val="20"/>
          <w:szCs w:val="20"/>
          <w:color w:val="auto"/>
        </w:rPr>
      </w:pPr>
      <w:r>
        <w:rPr>
          <w:rFonts w:ascii="Times New Roman" w:cs="Times New Roman" w:eastAsia="Times New Roman" w:hAnsi="Times New Roman"/>
          <w:sz w:val="18"/>
          <w:szCs w:val="18"/>
          <w:color w:val="161616"/>
        </w:rPr>
        <w:t>Covered Person was involved in preparing the financial statements and the Administrator will not consider the Covered Person’s responsibility or fault or lack thereof in enforcing this Policy with respect to recoupment required under the Final Rules.</w:t>
      </w:r>
    </w:p>
    <w:p>
      <w:pPr>
        <w:spacing w:after="0" w:line="126" w:lineRule="exact"/>
        <w:rPr>
          <w:sz w:val="20"/>
          <w:szCs w:val="20"/>
          <w:color w:val="auto"/>
        </w:rPr>
      </w:pPr>
    </w:p>
    <w:p>
      <w:pPr>
        <w:ind w:left="644" w:hanging="644"/>
        <w:spacing w:after="0"/>
        <w:tabs>
          <w:tab w:leader="none" w:pos="644"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1E1E1E"/>
        </w:rPr>
        <w:t>Triggering Event</w:t>
      </w:r>
    </w:p>
    <w:p>
      <w:pPr>
        <w:spacing w:after="0" w:line="189" w:lineRule="exact"/>
        <w:rPr>
          <w:sz w:val="20"/>
          <w:szCs w:val="20"/>
          <w:color w:val="auto"/>
        </w:rPr>
      </w:pPr>
    </w:p>
    <w:p>
      <w:pPr>
        <w:ind w:left="4" w:right="20"/>
        <w:spacing w:after="0" w:line="250" w:lineRule="auto"/>
        <w:rPr>
          <w:sz w:val="20"/>
          <w:szCs w:val="20"/>
          <w:color w:val="auto"/>
        </w:rPr>
      </w:pPr>
      <w:r>
        <w:rPr>
          <w:rFonts w:ascii="Times New Roman" w:cs="Times New Roman" w:eastAsia="Times New Roman" w:hAnsi="Times New Roman"/>
          <w:sz w:val="18"/>
          <w:szCs w:val="18"/>
          <w:color w:val="1E1E1E"/>
        </w:rPr>
        <w:t>Subject to and in accordance with the provisions of this Policy, if there is a Restatement Triggering Event, the Administrator shall require a Covered Person to reimburse or forfeit to the Company the Recoupment Amount applicable to such Covered Person.</w:t>
      </w:r>
    </w:p>
    <w:p>
      <w:pPr>
        <w:spacing w:after="0" w:line="145" w:lineRule="exact"/>
        <w:rPr>
          <w:sz w:val="20"/>
          <w:szCs w:val="20"/>
          <w:color w:val="auto"/>
        </w:rPr>
      </w:pPr>
    </w:p>
    <w:p>
      <w:pPr>
        <w:ind w:left="644" w:hanging="644"/>
        <w:spacing w:after="0"/>
        <w:tabs>
          <w:tab w:leader="none" w:pos="644" w:val="left"/>
        </w:tabs>
        <w:numPr>
          <w:ilvl w:val="0"/>
          <w:numId w:val="75"/>
        </w:numPr>
        <w:rPr>
          <w:rFonts w:ascii="Times New Roman" w:cs="Times New Roman" w:eastAsia="Times New Roman" w:hAnsi="Times New Roman"/>
          <w:sz w:val="18"/>
          <w:szCs w:val="18"/>
          <w:b w:val="1"/>
          <w:bCs w:val="1"/>
          <w:color w:val="1E1E1E"/>
        </w:rPr>
      </w:pPr>
      <w:r>
        <w:rPr>
          <w:rFonts w:ascii="Times New Roman" w:cs="Times New Roman" w:eastAsia="Times New Roman" w:hAnsi="Times New Roman"/>
          <w:sz w:val="18"/>
          <w:szCs w:val="18"/>
          <w:b w:val="1"/>
          <w:bCs w:val="1"/>
          <w:color w:val="1E1E1E"/>
        </w:rPr>
        <w:t>Calculation of Recoupment Amount</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161616"/>
        </w:rPr>
        <w:t>In the event of a Restatement Triggering Event, the Recoupment Amount will be calculated in accordance with the Final Rules. For Incentive-Based</w:t>
      </w:r>
    </w:p>
    <w:p>
      <w:pPr>
        <w:spacing w:after="0" w:line="2" w:lineRule="exact"/>
        <w:rPr>
          <w:sz w:val="20"/>
          <w:szCs w:val="20"/>
          <w:color w:val="auto"/>
        </w:rPr>
      </w:pPr>
    </w:p>
    <w:p>
      <w:pPr>
        <w:jc w:val="both"/>
        <w:ind w:left="4"/>
        <w:spacing w:after="0" w:line="208" w:lineRule="auto"/>
        <w:rPr>
          <w:sz w:val="20"/>
          <w:szCs w:val="20"/>
          <w:color w:val="auto"/>
        </w:rPr>
      </w:pPr>
      <w:r>
        <w:rPr>
          <w:rFonts w:ascii="Times New Roman" w:cs="Times New Roman" w:eastAsia="Times New Roman" w:hAnsi="Times New Roman"/>
          <w:sz w:val="18"/>
          <w:szCs w:val="18"/>
          <w:color w:val="161616"/>
        </w:rPr>
        <w:t>Compensation based on stock price or total shareholder return, where the amount of erroneously awarded compensation is not subject to mathematical recalculation directly from the information in an accounting restatement, the Administrator will determine the amount based on a reasonable estimate of the effect of the accounting restatement on the relevant stock price or total shareholder return. The Company will maintain and will provide to The</w:t>
      </w:r>
    </w:p>
    <w:p>
      <w:pPr>
        <w:spacing w:after="0" w:line="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161616"/>
        </w:rPr>
        <w:t>Nasdaq Stock Market documentation of all determinations and actions taken in complying with this Policy.</w:t>
      </w:r>
    </w:p>
    <w:p>
      <w:pPr>
        <w:spacing w:after="0" w:line="165" w:lineRule="exact"/>
        <w:rPr>
          <w:sz w:val="20"/>
          <w:szCs w:val="20"/>
          <w:color w:val="auto"/>
        </w:rPr>
      </w:pPr>
    </w:p>
    <w:p>
      <w:pPr>
        <w:jc w:val="both"/>
        <w:ind w:left="4"/>
        <w:spacing w:after="0" w:line="222" w:lineRule="auto"/>
        <w:rPr>
          <w:sz w:val="20"/>
          <w:szCs w:val="20"/>
          <w:color w:val="auto"/>
        </w:rPr>
      </w:pPr>
      <w:r>
        <w:rPr>
          <w:rFonts w:ascii="Times New Roman" w:cs="Times New Roman" w:eastAsia="Times New Roman" w:hAnsi="Times New Roman"/>
          <w:sz w:val="18"/>
          <w:szCs w:val="18"/>
          <w:color w:val="161616"/>
        </w:rPr>
        <w:t>Notwithstanding anything herein to the contrary, if recoupment is not required by the Final Rules with respect to any Covered Person or any Incentive-Based Compensation, the Administrator shall have the sole discretion to determine whether recoupment is required and the appropriate amount to be</w:t>
      </w:r>
    </w:p>
    <w:p>
      <w:pPr>
        <w:spacing w:after="0" w:line="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161616"/>
        </w:rPr>
        <w:t>recouped (which may be less but not greater than the Recoupment Amount).</w:t>
      </w:r>
    </w:p>
    <w:p>
      <w:pPr>
        <w:spacing w:after="0" w:line="161" w:lineRule="exact"/>
        <w:rPr>
          <w:sz w:val="20"/>
          <w:szCs w:val="20"/>
          <w:color w:val="auto"/>
        </w:rPr>
      </w:pPr>
    </w:p>
    <w:p>
      <w:pPr>
        <w:ind w:left="644" w:hanging="644"/>
        <w:spacing w:after="0"/>
        <w:tabs>
          <w:tab w:leader="none" w:pos="644" w:val="left"/>
        </w:tabs>
        <w:numPr>
          <w:ilvl w:val="0"/>
          <w:numId w:val="76"/>
        </w:numPr>
        <w:rPr>
          <w:rFonts w:ascii="Times New Roman" w:cs="Times New Roman" w:eastAsia="Times New Roman" w:hAnsi="Times New Roman"/>
          <w:sz w:val="18"/>
          <w:szCs w:val="18"/>
          <w:b w:val="1"/>
          <w:bCs w:val="1"/>
          <w:color w:val="161616"/>
        </w:rPr>
      </w:pPr>
      <w:r>
        <w:rPr>
          <w:rFonts w:ascii="Times New Roman" w:cs="Times New Roman" w:eastAsia="Times New Roman" w:hAnsi="Times New Roman"/>
          <w:sz w:val="18"/>
          <w:szCs w:val="18"/>
          <w:b w:val="1"/>
          <w:bCs w:val="1"/>
          <w:color w:val="161616"/>
        </w:rPr>
        <w:t>Method of Recoupment</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161616"/>
        </w:rPr>
        <w:t>Subject to compliance with the Final Rules and applicable law, the Administrator will determine, in its sole discretion, the method for recouping the</w:t>
      </w:r>
    </w:p>
    <w:p>
      <w:pPr>
        <w:spacing w:after="0" w:line="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161616"/>
        </w:rPr>
        <w:t>Recoupment Amount hereunder which may include, without limitation:</w:t>
      </w:r>
    </w:p>
    <w:p>
      <w:pPr>
        <w:spacing w:after="0" w:line="165" w:lineRule="exact"/>
        <w:rPr>
          <w:sz w:val="20"/>
          <w:szCs w:val="20"/>
          <w:color w:val="auto"/>
        </w:rPr>
      </w:pPr>
    </w:p>
    <w:p>
      <w:pPr>
        <w:ind w:left="644" w:hanging="434"/>
        <w:spacing w:after="0"/>
        <w:tabs>
          <w:tab w:leader="none" w:pos="644" w:val="left"/>
        </w:tabs>
        <w:numPr>
          <w:ilvl w:val="0"/>
          <w:numId w:val="77"/>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color w:val="161616"/>
        </w:rPr>
        <w:t>Requiring reimbursement or forfeiture of the pre-tax amount of cash Incentive-Based Compensation previously paid;</w:t>
      </w:r>
    </w:p>
    <w:p>
      <w:pPr>
        <w:spacing w:after="0" w:line="225" w:lineRule="exact"/>
        <w:rPr>
          <w:rFonts w:ascii="Times New Roman" w:cs="Times New Roman" w:eastAsia="Times New Roman" w:hAnsi="Times New Roman"/>
          <w:sz w:val="18"/>
          <w:szCs w:val="18"/>
          <w:color w:val="161616"/>
        </w:rPr>
      </w:pPr>
    </w:p>
    <w:p>
      <w:pPr>
        <w:jc w:val="both"/>
        <w:ind w:left="644" w:hanging="434"/>
        <w:spacing w:after="0" w:line="226" w:lineRule="auto"/>
        <w:tabs>
          <w:tab w:leader="none" w:pos="634" w:val="left"/>
        </w:tabs>
        <w:numPr>
          <w:ilvl w:val="0"/>
          <w:numId w:val="77"/>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color w:val="161616"/>
        </w:rPr>
        <w:t>Offsetting the Recoupment Amount from any compensation otherwise owed by the Company to the Covered Person, including without limitation, any prior cash incentive payments, executive retirement benefits, wages, equity grants or other amounts payable by the Company to the Covered Person in the future;</w:t>
      </w:r>
    </w:p>
    <w:p>
      <w:pPr>
        <w:spacing w:after="0" w:line="225" w:lineRule="exact"/>
        <w:rPr>
          <w:rFonts w:ascii="Times New Roman" w:cs="Times New Roman" w:eastAsia="Times New Roman" w:hAnsi="Times New Roman"/>
          <w:sz w:val="18"/>
          <w:szCs w:val="18"/>
          <w:color w:val="161616"/>
        </w:rPr>
      </w:pPr>
    </w:p>
    <w:p>
      <w:pPr>
        <w:ind w:left="644" w:right="20" w:hanging="434"/>
        <w:spacing w:after="0" w:line="250" w:lineRule="auto"/>
        <w:tabs>
          <w:tab w:leader="none" w:pos="644" w:val="left"/>
        </w:tabs>
        <w:numPr>
          <w:ilvl w:val="0"/>
          <w:numId w:val="77"/>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color w:val="161616"/>
        </w:rPr>
        <w:t>Seeking recovery of any gain realized on the vesting, exercise, settlement, cash sale, transfer or other disposition of any equity-based awards; and/or</w:t>
      </w:r>
    </w:p>
    <w:p>
      <w:pPr>
        <w:spacing w:after="0" w:line="200" w:lineRule="exact"/>
        <w:rPr>
          <w:sz w:val="20"/>
          <w:szCs w:val="20"/>
          <w:color w:val="auto"/>
        </w:rPr>
      </w:pPr>
    </w:p>
    <w:p>
      <w:pPr>
        <w:spacing w:after="0" w:line="373"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024"/>
          </w:cols>
          <w:pgMar w:left="436" w:top="1363" w:right="439" w:bottom="1440" w:gutter="0" w:footer="0" w:header="0"/>
        </w:sectPr>
      </w:pPr>
    </w:p>
    <w:bookmarkStart w:id="131" w:name="page132"/>
    <w:bookmarkEnd w:id="131"/>
    <w:p>
      <w:pPr>
        <w:spacing w:after="0" w:line="221" w:lineRule="exact"/>
        <w:rPr>
          <w:sz w:val="20"/>
          <w:szCs w:val="20"/>
          <w:color w:val="auto"/>
        </w:rPr>
      </w:pPr>
    </w:p>
    <w:p>
      <w:pPr>
        <w:ind w:left="624" w:hanging="414"/>
        <w:spacing w:after="0"/>
        <w:tabs>
          <w:tab w:leader="none" w:pos="62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61616"/>
        </w:rPr>
        <w:t>Taking any other remedial and recovery action permitted by law, as determined by the Administrator.</w:t>
      </w:r>
    </w:p>
    <w:p>
      <w:pPr>
        <w:spacing w:after="0" w:line="22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9"/>
        </w:numPr>
        <w:rPr>
          <w:rFonts w:ascii="Times New Roman" w:cs="Times New Roman" w:eastAsia="Times New Roman" w:hAnsi="Times New Roman"/>
          <w:sz w:val="18"/>
          <w:szCs w:val="18"/>
          <w:b w:val="1"/>
          <w:bCs w:val="1"/>
          <w:color w:val="1E1E1E"/>
        </w:rPr>
      </w:pPr>
      <w:r>
        <w:rPr>
          <w:rFonts w:ascii="Times New Roman" w:cs="Times New Roman" w:eastAsia="Times New Roman" w:hAnsi="Times New Roman"/>
          <w:sz w:val="18"/>
          <w:szCs w:val="18"/>
          <w:b w:val="1"/>
          <w:bCs w:val="1"/>
          <w:color w:val="1E1E1E"/>
        </w:rPr>
        <w:t>Arbitration</w:t>
      </w:r>
    </w:p>
    <w:p>
      <w:pPr>
        <w:spacing w:after="0" w:line="1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1E1E1E"/>
        </w:rPr>
        <w:t>To the fullest extent permitted by law, any disputes under this Policy shall be submitted to mandatory binding arbitration (the “</w:t>
      </w:r>
      <w:r>
        <w:rPr>
          <w:rFonts w:ascii="Times New Roman" w:cs="Times New Roman" w:eastAsia="Times New Roman" w:hAnsi="Times New Roman"/>
          <w:sz w:val="18"/>
          <w:szCs w:val="18"/>
          <w:b w:val="1"/>
          <w:bCs w:val="1"/>
          <w:i w:val="1"/>
          <w:iCs w:val="1"/>
          <w:color w:val="1E1E1E"/>
        </w:rPr>
        <w:t>Arbitrable Claims</w:t>
      </w:r>
      <w:r>
        <w:rPr>
          <w:rFonts w:ascii="Times New Roman" w:cs="Times New Roman" w:eastAsia="Times New Roman" w:hAnsi="Times New Roman"/>
          <w:sz w:val="18"/>
          <w:szCs w:val="18"/>
          <w:color w:val="1E1E1E"/>
        </w:rPr>
        <w:t>”),</w:t>
      </w:r>
    </w:p>
    <w:p>
      <w:pPr>
        <w:spacing w:after="0" w:line="6" w:lineRule="exact"/>
        <w:rPr>
          <w:sz w:val="20"/>
          <w:szCs w:val="20"/>
          <w:color w:val="auto"/>
        </w:rPr>
      </w:pPr>
    </w:p>
    <w:p>
      <w:pPr>
        <w:jc w:val="both"/>
        <w:ind w:left="4"/>
        <w:spacing w:after="0" w:line="218" w:lineRule="auto"/>
        <w:rPr>
          <w:sz w:val="20"/>
          <w:szCs w:val="20"/>
          <w:color w:val="auto"/>
        </w:rPr>
      </w:pPr>
      <w:r>
        <w:rPr>
          <w:rFonts w:ascii="Times New Roman" w:cs="Times New Roman" w:eastAsia="Times New Roman" w:hAnsi="Times New Roman"/>
          <w:sz w:val="18"/>
          <w:szCs w:val="18"/>
          <w:color w:val="1E1E1E"/>
        </w:rPr>
        <w:t>governed by the Federal Arbitration Act (the “</w:t>
      </w:r>
      <w:r>
        <w:rPr>
          <w:rFonts w:ascii="Times New Roman" w:cs="Times New Roman" w:eastAsia="Times New Roman" w:hAnsi="Times New Roman"/>
          <w:sz w:val="18"/>
          <w:szCs w:val="18"/>
          <w:b w:val="1"/>
          <w:bCs w:val="1"/>
          <w:i w:val="1"/>
          <w:iCs w:val="1"/>
          <w:color w:val="1E1E1E"/>
        </w:rPr>
        <w:t>FAA</w:t>
      </w:r>
      <w:r>
        <w:rPr>
          <w:rFonts w:ascii="Times New Roman" w:cs="Times New Roman" w:eastAsia="Times New Roman" w:hAnsi="Times New Roman"/>
          <w:sz w:val="18"/>
          <w:szCs w:val="18"/>
          <w:color w:val="1E1E1E"/>
        </w:rPr>
        <w:t>”). Further, to the fullest extent permitted by law, no class or collective actions can be asserted in arbitration or otherwise. All claims, whether in arbitration or otherwise, must be brought solely in a Covered Person’s individual capacity, and not as a plaintiff or class member in any purported class or collective proceeding.</w:t>
      </w:r>
    </w:p>
    <w:p>
      <w:pPr>
        <w:spacing w:after="0" w:line="172" w:lineRule="exact"/>
        <w:rPr>
          <w:sz w:val="20"/>
          <w:szCs w:val="20"/>
          <w:color w:val="auto"/>
        </w:rPr>
      </w:pPr>
    </w:p>
    <w:p>
      <w:pPr>
        <w:jc w:val="both"/>
        <w:ind w:left="4"/>
        <w:spacing w:after="0" w:line="226" w:lineRule="auto"/>
        <w:rPr>
          <w:sz w:val="20"/>
          <w:szCs w:val="20"/>
          <w:color w:val="auto"/>
        </w:rPr>
      </w:pPr>
      <w:r>
        <w:rPr>
          <w:rFonts w:ascii="Times New Roman" w:cs="Times New Roman" w:eastAsia="Times New Roman" w:hAnsi="Times New Roman"/>
          <w:sz w:val="18"/>
          <w:szCs w:val="18"/>
          <w:color w:val="1E1E1E"/>
        </w:rPr>
        <w:t>SUBJECT TO THE ABOVE PROVISO, ANY RIGHTS THAT A COVERED PERSON MAY HAVE TO TRIAL BY JURY IN REGARD TO ARBITRABLE CLAIMS ARE WAIVED. ANY RIGHTS THAT A COVERED PERSON MAY HAVE TO PURSUE OR PARTICIPATE IN A CLASS OR COLLECTIVE ACTION PERTAINING TO ANY CLAIMS BETWEEN A COVERED PERSON AND THE COMPANY ARE WAIVED.</w:t>
      </w:r>
    </w:p>
    <w:p>
      <w:pPr>
        <w:spacing w:after="0" w:line="171" w:lineRule="exact"/>
        <w:rPr>
          <w:sz w:val="20"/>
          <w:szCs w:val="20"/>
          <w:color w:val="auto"/>
        </w:rPr>
      </w:pPr>
    </w:p>
    <w:p>
      <w:pPr>
        <w:jc w:val="both"/>
        <w:ind w:left="4"/>
        <w:spacing w:after="0" w:line="229" w:lineRule="auto"/>
        <w:rPr>
          <w:sz w:val="20"/>
          <w:szCs w:val="20"/>
          <w:color w:val="auto"/>
        </w:rPr>
      </w:pPr>
      <w:r>
        <w:rPr>
          <w:rFonts w:ascii="Times New Roman" w:cs="Times New Roman" w:eastAsia="Times New Roman" w:hAnsi="Times New Roman"/>
          <w:sz w:val="17"/>
          <w:szCs w:val="17"/>
          <w:color w:val="1E1E1E"/>
        </w:rPr>
        <w:t>A Covered Person is not restricted from filing administrative claims that may be brought before any government agency where, as a matter of law, the Covered Person’s ability to file such claims may not be restricted. However, to the fullest extent permitted by law, arbitration shall be the exclusive remedy for the subject matter of such administrative claims. The arbitration shall be conducted in Santa Clara County, CA through JAMS before a single</w:t>
      </w:r>
    </w:p>
    <w:p>
      <w:pPr>
        <w:jc w:val="both"/>
        <w:ind w:left="4"/>
        <w:spacing w:after="0" w:line="208" w:lineRule="auto"/>
        <w:rPr>
          <w:sz w:val="20"/>
          <w:szCs w:val="20"/>
          <w:color w:val="auto"/>
        </w:rPr>
      </w:pPr>
      <w:r>
        <w:rPr>
          <w:rFonts w:ascii="Times New Roman" w:cs="Times New Roman" w:eastAsia="Times New Roman" w:hAnsi="Times New Roman"/>
          <w:sz w:val="18"/>
          <w:szCs w:val="18"/>
          <w:color w:val="1E1E1E"/>
        </w:rPr>
        <w:t xml:space="preserve">neutral arbitrator, in accordance with the JAMS </w:t>
      </w:r>
      <w:r>
        <w:rPr>
          <w:rFonts w:ascii="Times New Roman" w:cs="Times New Roman" w:eastAsia="Times New Roman" w:hAnsi="Times New Roman"/>
          <w:sz w:val="18"/>
          <w:szCs w:val="18"/>
          <w:color w:val="000000"/>
        </w:rPr>
        <w:t>Comprehensive Arbitration Rules and Procedures</w:t>
      </w:r>
      <w:r>
        <w:rPr>
          <w:rFonts w:ascii="Times New Roman" w:cs="Times New Roman" w:eastAsia="Times New Roman" w:hAnsi="Times New Roman"/>
          <w:sz w:val="18"/>
          <w:szCs w:val="18"/>
          <w:color w:val="1E1E1E"/>
        </w:rPr>
        <w:t xml:space="preserve"> then in effect, provided however, that the FAA, including its procedural provisions for compelling arbitration, shall govern and apply to this Arbitration provision. The Covered Person or other claimant shall bear all of their fees and costs associated with any claims related to this Policy. The arbitrator shall issue a written decision that contains</w:t>
      </w:r>
    </w:p>
    <w:p>
      <w:pPr>
        <w:spacing w:after="0" w:line="2" w:lineRule="exact"/>
        <w:rPr>
          <w:sz w:val="20"/>
          <w:szCs w:val="20"/>
          <w:color w:val="auto"/>
        </w:rPr>
      </w:pPr>
    </w:p>
    <w:p>
      <w:pPr>
        <w:jc w:val="both"/>
        <w:ind w:left="4" w:right="20"/>
        <w:spacing w:after="0" w:line="226" w:lineRule="auto"/>
        <w:rPr>
          <w:sz w:val="20"/>
          <w:szCs w:val="20"/>
          <w:color w:val="auto"/>
        </w:rPr>
      </w:pPr>
      <w:r>
        <w:rPr>
          <w:rFonts w:ascii="Times New Roman" w:cs="Times New Roman" w:eastAsia="Times New Roman" w:hAnsi="Times New Roman"/>
          <w:sz w:val="18"/>
          <w:szCs w:val="18"/>
          <w:color w:val="1E1E1E"/>
        </w:rPr>
        <w:t>the essential findings and conclusions on which the decision is based. If, for any reason, any term of this Arbitration provision is held to be invalid or unenforceable, all other valid terms and conditions herein shall be severable in nature and remain fully enforceable.</w:t>
      </w:r>
    </w:p>
    <w:p>
      <w:pPr>
        <w:spacing w:after="0" w:line="153" w:lineRule="exact"/>
        <w:rPr>
          <w:sz w:val="20"/>
          <w:szCs w:val="20"/>
          <w:color w:val="auto"/>
        </w:rPr>
      </w:pPr>
    </w:p>
    <w:p>
      <w:pPr>
        <w:ind w:left="644" w:hanging="644"/>
        <w:spacing w:after="0"/>
        <w:tabs>
          <w:tab w:leader="none" w:pos="644" w:val="left"/>
        </w:tabs>
        <w:numPr>
          <w:ilvl w:val="0"/>
          <w:numId w:val="80"/>
        </w:numPr>
        <w:rPr>
          <w:rFonts w:ascii="Times New Roman" w:cs="Times New Roman" w:eastAsia="Times New Roman" w:hAnsi="Times New Roman"/>
          <w:sz w:val="18"/>
          <w:szCs w:val="18"/>
          <w:b w:val="1"/>
          <w:bCs w:val="1"/>
          <w:color w:val="1E1E1E"/>
        </w:rPr>
      </w:pPr>
      <w:r>
        <w:rPr>
          <w:rFonts w:ascii="Times New Roman" w:cs="Times New Roman" w:eastAsia="Times New Roman" w:hAnsi="Times New Roman"/>
          <w:sz w:val="18"/>
          <w:szCs w:val="18"/>
          <w:b w:val="1"/>
          <w:bCs w:val="1"/>
          <w:color w:val="1E1E1E"/>
        </w:rPr>
        <w:t>Recovery Process; Impracticability</w:t>
      </w:r>
    </w:p>
    <w:p>
      <w:pPr>
        <w:spacing w:after="0" w:line="20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1E1E1E"/>
        </w:rPr>
        <w:t>Actions by the Administrator to recover the Recoupment Amount will be reasonably prompt.</w:t>
      </w:r>
    </w:p>
    <w:p>
      <w:pPr>
        <w:spacing w:after="0" w:line="17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1E1E1E"/>
        </w:rPr>
        <w:t>In the event of a Restatement Triggering Event, the Administrator must cause the Company to recover the Recoupment Amount unless the</w:t>
      </w:r>
    </w:p>
    <w:p>
      <w:pPr>
        <w:ind w:left="4"/>
        <w:spacing w:after="0"/>
        <w:rPr>
          <w:sz w:val="20"/>
          <w:szCs w:val="20"/>
          <w:color w:val="auto"/>
        </w:rPr>
      </w:pPr>
      <w:r>
        <w:rPr>
          <w:rFonts w:ascii="Times New Roman" w:cs="Times New Roman" w:eastAsia="Times New Roman" w:hAnsi="Times New Roman"/>
          <w:sz w:val="18"/>
          <w:szCs w:val="18"/>
          <w:color w:val="1E1E1E"/>
        </w:rPr>
        <w:t>Administrator shall have previously determined that recovery is impracticable and one of the following conditions is met:</w:t>
      </w:r>
    </w:p>
    <w:p>
      <w:pPr>
        <w:spacing w:after="0" w:line="178" w:lineRule="exact"/>
        <w:rPr>
          <w:sz w:val="20"/>
          <w:szCs w:val="20"/>
          <w:color w:val="auto"/>
        </w:rPr>
      </w:pPr>
    </w:p>
    <w:p>
      <w:pPr>
        <w:jc w:val="both"/>
        <w:ind w:left="964" w:hanging="640"/>
        <w:spacing w:after="0" w:line="224" w:lineRule="auto"/>
        <w:tabs>
          <w:tab w:leader="none" w:pos="951" w:val="left"/>
        </w:tabs>
        <w:numPr>
          <w:ilvl w:val="0"/>
          <w:numId w:val="81"/>
        </w:numPr>
        <w:rPr>
          <w:rFonts w:ascii="Times New Roman" w:cs="Times New Roman" w:eastAsia="Times New Roman" w:hAnsi="Times New Roman"/>
          <w:sz w:val="18"/>
          <w:szCs w:val="18"/>
          <w:color w:val="1E1E1E"/>
        </w:rPr>
      </w:pPr>
      <w:r>
        <w:rPr>
          <w:rFonts w:ascii="Times New Roman" w:cs="Times New Roman" w:eastAsia="Times New Roman" w:hAnsi="Times New Roman"/>
          <w:sz w:val="18"/>
          <w:szCs w:val="18"/>
          <w:color w:val="1E1E1E"/>
        </w:rPr>
        <w:t>The direct expense paid to a third party to assist in enforcing this Policy would exceed the amount to be recovered; before concluding that it would be impracticable to recover any Recoupment Amount based on expense of enforcement, the Company must make a reasonable attempt to recover such Recoupment Amount, document such reasonable attempt(s) to recover, and provide that documentation to the Exchange;</w:t>
      </w:r>
    </w:p>
    <w:p>
      <w:pPr>
        <w:spacing w:after="0" w:line="200" w:lineRule="exact"/>
        <w:rPr>
          <w:sz w:val="20"/>
          <w:szCs w:val="20"/>
          <w:color w:val="auto"/>
        </w:rPr>
      </w:pPr>
    </w:p>
    <w:p>
      <w:pPr>
        <w:spacing w:after="0" w:line="274" w:lineRule="exact"/>
        <w:rPr>
          <w:sz w:val="20"/>
          <w:szCs w:val="20"/>
          <w:color w:val="auto"/>
        </w:rPr>
      </w:pPr>
    </w:p>
    <w:p>
      <w:pPr>
        <w:jc w:val="center"/>
        <w:ind w:right="56"/>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024"/>
          </w:cols>
          <w:pgMar w:left="436" w:top="1440" w:right="439" w:bottom="1440" w:gutter="0" w:footer="0" w:header="0"/>
        </w:sectPr>
      </w:pPr>
    </w:p>
    <w:bookmarkStart w:id="132" w:name="page133"/>
    <w:bookmarkEnd w:id="132"/>
    <w:p>
      <w:pPr>
        <w:jc w:val="both"/>
        <w:ind w:left="964" w:hanging="640"/>
        <w:spacing w:after="0" w:line="224" w:lineRule="auto"/>
        <w:tabs>
          <w:tab w:leader="none" w:pos="960" w:val="left"/>
        </w:tabs>
        <w:numPr>
          <w:ilvl w:val="0"/>
          <w:numId w:val="82"/>
        </w:numPr>
        <w:rPr>
          <w:rFonts w:ascii="Times New Roman" w:cs="Times New Roman" w:eastAsia="Times New Roman" w:hAnsi="Times New Roman"/>
          <w:sz w:val="18"/>
          <w:szCs w:val="18"/>
          <w:color w:val="1E1E1E"/>
        </w:rPr>
      </w:pPr>
      <w:r>
        <w:rPr>
          <w:rFonts w:ascii="Times New Roman" w:cs="Times New Roman" w:eastAsia="Times New Roman" w:hAnsi="Times New Roman"/>
          <w:sz w:val="18"/>
          <w:szCs w:val="18"/>
          <w:color w:val="1E1E1E"/>
        </w:rPr>
        <w:t>Recovery would violate home country law where that law was adopted prior to November 28, 2022; before concluding that it would be impracticable to recover any amount of erroneously awarded Incentive-Based Compensation based on violation of home country law, the Company must obtain an opinion of home country counsel, acceptable to the Exchange, that recovery would result in such a violation, and must provide such opinion to the Exchange; or</w:t>
      </w:r>
    </w:p>
    <w:p>
      <w:pPr>
        <w:spacing w:after="0" w:line="185" w:lineRule="exact"/>
        <w:rPr>
          <w:rFonts w:ascii="Times New Roman" w:cs="Times New Roman" w:eastAsia="Times New Roman" w:hAnsi="Times New Roman"/>
          <w:sz w:val="18"/>
          <w:szCs w:val="18"/>
          <w:color w:val="1E1E1E"/>
        </w:rPr>
      </w:pPr>
    </w:p>
    <w:p>
      <w:pPr>
        <w:ind w:left="964" w:right="20" w:hanging="640"/>
        <w:spacing w:after="0" w:line="250" w:lineRule="auto"/>
        <w:tabs>
          <w:tab w:leader="none" w:pos="956" w:val="left"/>
        </w:tabs>
        <w:numPr>
          <w:ilvl w:val="0"/>
          <w:numId w:val="82"/>
        </w:numPr>
        <w:rPr>
          <w:rFonts w:ascii="Times New Roman" w:cs="Times New Roman" w:eastAsia="Times New Roman" w:hAnsi="Times New Roman"/>
          <w:sz w:val="18"/>
          <w:szCs w:val="18"/>
          <w:color w:val="1E1E1E"/>
        </w:rPr>
      </w:pPr>
      <w:r>
        <w:rPr>
          <w:rFonts w:ascii="Times New Roman" w:cs="Times New Roman" w:eastAsia="Times New Roman" w:hAnsi="Times New Roman"/>
          <w:sz w:val="18"/>
          <w:szCs w:val="18"/>
          <w:color w:val="1E1E1E"/>
        </w:rPr>
        <w:t>Recovery would likely cause an otherwise tax-qualified retirement plan, under which benefits are broadly available to employees of the Company, to fail to meet the requirements of 26 U.S.C. 401(a)(13) or 26 U.S.C. 411(a) and regulations thereunder.</w:t>
      </w:r>
    </w:p>
    <w:p>
      <w:pPr>
        <w:spacing w:after="0" w:line="172" w:lineRule="exact"/>
        <w:rPr>
          <w:sz w:val="20"/>
          <w:szCs w:val="20"/>
          <w:color w:val="auto"/>
        </w:rPr>
      </w:pPr>
    </w:p>
    <w:p>
      <w:pPr>
        <w:ind w:left="644" w:hanging="644"/>
        <w:spacing w:after="0"/>
        <w:tabs>
          <w:tab w:leader="none" w:pos="644" w:val="left"/>
        </w:tabs>
        <w:numPr>
          <w:ilvl w:val="0"/>
          <w:numId w:val="83"/>
        </w:numPr>
        <w:rPr>
          <w:rFonts w:ascii="Times New Roman" w:cs="Times New Roman" w:eastAsia="Times New Roman" w:hAnsi="Times New Roman"/>
          <w:sz w:val="18"/>
          <w:szCs w:val="18"/>
          <w:b w:val="1"/>
          <w:bCs w:val="1"/>
          <w:color w:val="161616"/>
        </w:rPr>
      </w:pPr>
      <w:r>
        <w:rPr>
          <w:rFonts w:ascii="Times New Roman" w:cs="Times New Roman" w:eastAsia="Times New Roman" w:hAnsi="Times New Roman"/>
          <w:sz w:val="18"/>
          <w:szCs w:val="18"/>
          <w:b w:val="1"/>
          <w:bCs w:val="1"/>
          <w:color w:val="161616"/>
        </w:rPr>
        <w:t>Non-Exclusivity</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161616"/>
        </w:rPr>
        <w:t>The Administrator intends that this Policy will be applied to the fullest extent of the law. Without limitation to any broader or alternate clawback</w:t>
      </w:r>
    </w:p>
    <w:p>
      <w:pPr>
        <w:spacing w:after="0" w:line="2" w:lineRule="exact"/>
        <w:rPr>
          <w:sz w:val="20"/>
          <w:szCs w:val="20"/>
          <w:color w:val="auto"/>
        </w:rPr>
      </w:pPr>
    </w:p>
    <w:p>
      <w:pPr>
        <w:jc w:val="both"/>
        <w:ind w:left="4" w:right="20"/>
        <w:spacing w:after="0" w:line="208" w:lineRule="auto"/>
        <w:rPr>
          <w:sz w:val="20"/>
          <w:szCs w:val="20"/>
          <w:color w:val="auto"/>
        </w:rPr>
      </w:pPr>
      <w:r>
        <w:rPr>
          <w:rFonts w:ascii="Times New Roman" w:cs="Times New Roman" w:eastAsia="Times New Roman" w:hAnsi="Times New Roman"/>
          <w:sz w:val="18"/>
          <w:szCs w:val="18"/>
          <w:color w:val="161616"/>
        </w:rPr>
        <w:t>authorized in any written document with a Covered Person, (a) the Administrator may require that any eligibility to participate in a bonus program, employment agreement, equity award agreement, or similar agreement entered into or eligibility on or after the Adoption Date shall, as a condition to the grant of any benefit thereunder, require a Covered Person to agree to abide by the terms of this Policy, and (b) this Policy will nonetheless apply to</w:t>
      </w:r>
    </w:p>
    <w:p>
      <w:pPr>
        <w:spacing w:after="0" w:line="2" w:lineRule="exact"/>
        <w:rPr>
          <w:sz w:val="20"/>
          <w:szCs w:val="20"/>
          <w:color w:val="auto"/>
        </w:rPr>
      </w:pPr>
    </w:p>
    <w:p>
      <w:pPr>
        <w:jc w:val="both"/>
        <w:ind w:left="4"/>
        <w:spacing w:after="0" w:line="208" w:lineRule="auto"/>
        <w:rPr>
          <w:sz w:val="20"/>
          <w:szCs w:val="20"/>
          <w:color w:val="auto"/>
        </w:rPr>
      </w:pPr>
      <w:r>
        <w:rPr>
          <w:rFonts w:ascii="Times New Roman" w:cs="Times New Roman" w:eastAsia="Times New Roman" w:hAnsi="Times New Roman"/>
          <w:sz w:val="18"/>
          <w:szCs w:val="18"/>
          <w:color w:val="161616"/>
        </w:rPr>
        <w:t>Incentive-Based Compensation as required by the Final Rules, whether or not specifically referenced in those arrangements. 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or regulations</w:t>
      </w:r>
    </w:p>
    <w:p>
      <w:pPr>
        <w:spacing w:after="0" w:line="2" w:lineRule="exact"/>
        <w:rPr>
          <w:sz w:val="20"/>
          <w:szCs w:val="20"/>
          <w:color w:val="auto"/>
        </w:rPr>
      </w:pPr>
    </w:p>
    <w:p>
      <w:pPr>
        <w:jc w:val="both"/>
        <w:ind w:left="4" w:right="20"/>
        <w:spacing w:after="0" w:line="226" w:lineRule="auto"/>
        <w:rPr>
          <w:sz w:val="20"/>
          <w:szCs w:val="20"/>
          <w:color w:val="auto"/>
        </w:rPr>
      </w:pPr>
      <w:r>
        <w:rPr>
          <w:rFonts w:ascii="Times New Roman" w:cs="Times New Roman" w:eastAsia="Times New Roman" w:hAnsi="Times New Roman"/>
          <w:sz w:val="18"/>
          <w:szCs w:val="18"/>
          <w:color w:val="161616"/>
        </w:rPr>
        <w:t>available or applicable to the Company (including SOX 304). If recovery is required under both SOX 304 and this Policy, any amounts recovered pursuant to SOX 304 may be credited toward the amount recovered under this Policy, or vice versa.</w:t>
      </w:r>
    </w:p>
    <w:p>
      <w:pPr>
        <w:spacing w:after="0" w:line="153" w:lineRule="exact"/>
        <w:rPr>
          <w:sz w:val="20"/>
          <w:szCs w:val="20"/>
          <w:color w:val="auto"/>
        </w:rPr>
      </w:pPr>
    </w:p>
    <w:p>
      <w:pPr>
        <w:ind w:left="644" w:hanging="644"/>
        <w:spacing w:after="0"/>
        <w:tabs>
          <w:tab w:leader="none" w:pos="644" w:val="left"/>
        </w:tabs>
        <w:numPr>
          <w:ilvl w:val="0"/>
          <w:numId w:val="84"/>
        </w:numPr>
        <w:rPr>
          <w:rFonts w:ascii="Times New Roman" w:cs="Times New Roman" w:eastAsia="Times New Roman" w:hAnsi="Times New Roman"/>
          <w:sz w:val="18"/>
          <w:szCs w:val="18"/>
          <w:b w:val="1"/>
          <w:bCs w:val="1"/>
          <w:color w:val="161616"/>
        </w:rPr>
      </w:pPr>
      <w:r>
        <w:rPr>
          <w:rFonts w:ascii="Times New Roman" w:cs="Times New Roman" w:eastAsia="Times New Roman" w:hAnsi="Times New Roman"/>
          <w:sz w:val="18"/>
          <w:szCs w:val="18"/>
          <w:b w:val="1"/>
          <w:bCs w:val="1"/>
          <w:color w:val="161616"/>
        </w:rPr>
        <w:t>No Indemnification</w:t>
      </w:r>
    </w:p>
    <w:p>
      <w:pPr>
        <w:spacing w:after="0" w:line="202" w:lineRule="exact"/>
        <w:rPr>
          <w:sz w:val="20"/>
          <w:szCs w:val="20"/>
          <w:color w:val="auto"/>
        </w:rPr>
      </w:pPr>
    </w:p>
    <w:p>
      <w:pPr>
        <w:jc w:val="both"/>
        <w:ind w:left="4"/>
        <w:spacing w:after="0" w:line="216" w:lineRule="auto"/>
        <w:rPr>
          <w:sz w:val="20"/>
          <w:szCs w:val="20"/>
          <w:color w:val="auto"/>
        </w:rPr>
      </w:pPr>
      <w:r>
        <w:rPr>
          <w:rFonts w:ascii="Times New Roman" w:cs="Times New Roman" w:eastAsia="Times New Roman" w:hAnsi="Times New Roman"/>
          <w:sz w:val="18"/>
          <w:szCs w:val="18"/>
          <w:color w:val="1E1E1E"/>
        </w:rPr>
        <w:t xml:space="preserve">The Company shall not indemnify any Covered Persons against (a) the loss of any Recoupment Amount </w:t>
      </w:r>
      <w:r>
        <w:rPr>
          <w:rFonts w:ascii="Times New Roman" w:cs="Times New Roman" w:eastAsia="Times New Roman" w:hAnsi="Times New Roman"/>
          <w:sz w:val="18"/>
          <w:szCs w:val="18"/>
          <w:color w:val="161616"/>
        </w:rPr>
        <w:t>or any adverse tax consequences associated</w:t>
      </w:r>
      <w:r>
        <w:rPr>
          <w:rFonts w:ascii="Times New Roman" w:cs="Times New Roman" w:eastAsia="Times New Roman" w:hAnsi="Times New Roman"/>
          <w:sz w:val="18"/>
          <w:szCs w:val="18"/>
          <w:color w:val="1E1E1E"/>
        </w:rPr>
        <w:t xml:space="preserve"> </w:t>
      </w:r>
      <w:r>
        <w:rPr>
          <w:rFonts w:ascii="Times New Roman" w:cs="Times New Roman" w:eastAsia="Times New Roman" w:hAnsi="Times New Roman"/>
          <w:sz w:val="18"/>
          <w:szCs w:val="18"/>
          <w:color w:val="161616"/>
        </w:rPr>
        <w:t>with any Recoupment Amount or any recoupment hereunder, or (b) any claims relating to the Company enforcement of its rights under this Policy. For the avoidance of doubt, this prohibition on indemnification will also prohibit the Company from reimbursing or paying any premium or payment of any</w:t>
      </w:r>
    </w:p>
    <w:p>
      <w:pPr>
        <w:spacing w:after="0" w:line="1" w:lineRule="exact"/>
        <w:rPr>
          <w:sz w:val="20"/>
          <w:szCs w:val="20"/>
          <w:color w:val="auto"/>
        </w:rPr>
      </w:pPr>
    </w:p>
    <w:p>
      <w:pPr>
        <w:jc w:val="both"/>
        <w:ind w:left="4" w:right="20"/>
        <w:spacing w:after="0" w:line="226" w:lineRule="auto"/>
        <w:rPr>
          <w:sz w:val="20"/>
          <w:szCs w:val="20"/>
          <w:color w:val="auto"/>
        </w:rPr>
      </w:pPr>
      <w:r>
        <w:rPr>
          <w:rFonts w:ascii="Times New Roman" w:cs="Times New Roman" w:eastAsia="Times New Roman" w:hAnsi="Times New Roman"/>
          <w:sz w:val="18"/>
          <w:szCs w:val="18"/>
          <w:color w:val="161616"/>
        </w:rPr>
        <w:t>third-party insurance policy to fund potential recovery obligations obtained by the Covered Person directly. No Covered Person will seek or retain any such prohibited indemnification or reimbursement.</w:t>
      </w:r>
    </w:p>
    <w:p>
      <w:pPr>
        <w:spacing w:after="0" w:line="15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161616"/>
        </w:rPr>
        <w:t>Further, the Company shall not enter into any agreement that exempts any Incentive-Based Compensation from the application of this Policy or that</w:t>
      </w:r>
    </w:p>
    <w:p>
      <w:pPr>
        <w:spacing w:after="0" w:line="2" w:lineRule="exact"/>
        <w:rPr>
          <w:sz w:val="20"/>
          <w:szCs w:val="20"/>
          <w:color w:val="auto"/>
        </w:rPr>
      </w:pPr>
    </w:p>
    <w:p>
      <w:pPr>
        <w:jc w:val="both"/>
        <w:ind w:left="4" w:right="20"/>
        <w:spacing w:after="0" w:line="226" w:lineRule="auto"/>
        <w:rPr>
          <w:sz w:val="20"/>
          <w:szCs w:val="20"/>
          <w:color w:val="auto"/>
        </w:rPr>
      </w:pPr>
      <w:r>
        <w:rPr>
          <w:rFonts w:ascii="Times New Roman" w:cs="Times New Roman" w:eastAsia="Times New Roman" w:hAnsi="Times New Roman"/>
          <w:sz w:val="18"/>
          <w:szCs w:val="18"/>
          <w:color w:val="161616"/>
        </w:rPr>
        <w:t>waives the Company’s right to recovery of any Recoupment Amount and this Policy shall supersede any such agreement (whether entered into before, on or after the Adoption Date).</w:t>
      </w:r>
    </w:p>
    <w:p>
      <w:pPr>
        <w:spacing w:after="0" w:line="153" w:lineRule="exact"/>
        <w:rPr>
          <w:sz w:val="20"/>
          <w:szCs w:val="20"/>
          <w:color w:val="auto"/>
        </w:rPr>
      </w:pPr>
    </w:p>
    <w:p>
      <w:pPr>
        <w:ind w:left="644" w:hanging="644"/>
        <w:spacing w:after="0"/>
        <w:tabs>
          <w:tab w:leader="none" w:pos="644" w:val="left"/>
        </w:tabs>
        <w:numPr>
          <w:ilvl w:val="0"/>
          <w:numId w:val="85"/>
        </w:numPr>
        <w:rPr>
          <w:rFonts w:ascii="Times New Roman" w:cs="Times New Roman" w:eastAsia="Times New Roman" w:hAnsi="Times New Roman"/>
          <w:sz w:val="18"/>
          <w:szCs w:val="18"/>
          <w:b w:val="1"/>
          <w:bCs w:val="1"/>
          <w:color w:val="161616"/>
        </w:rPr>
      </w:pPr>
      <w:r>
        <w:rPr>
          <w:rFonts w:ascii="Times New Roman" w:cs="Times New Roman" w:eastAsia="Times New Roman" w:hAnsi="Times New Roman"/>
          <w:sz w:val="18"/>
          <w:szCs w:val="18"/>
          <w:b w:val="1"/>
          <w:bCs w:val="1"/>
          <w:color w:val="161616"/>
        </w:rPr>
        <w:t>Covered Person Acknowledgement and Agreement</w:t>
      </w:r>
    </w:p>
    <w:p>
      <w:pPr>
        <w:spacing w:after="0" w:line="202" w:lineRule="exact"/>
        <w:rPr>
          <w:sz w:val="20"/>
          <w:szCs w:val="20"/>
          <w:color w:val="auto"/>
        </w:rPr>
      </w:pPr>
    </w:p>
    <w:p>
      <w:pPr>
        <w:ind w:left="4" w:right="20"/>
        <w:spacing w:after="0" w:line="237" w:lineRule="auto"/>
        <w:rPr>
          <w:sz w:val="20"/>
          <w:szCs w:val="20"/>
          <w:color w:val="auto"/>
        </w:rPr>
      </w:pPr>
      <w:r>
        <w:rPr>
          <w:rFonts w:ascii="Times New Roman" w:cs="Times New Roman" w:eastAsia="Times New Roman" w:hAnsi="Times New Roman"/>
          <w:sz w:val="18"/>
          <w:szCs w:val="18"/>
          <w:color w:val="161616"/>
        </w:rPr>
        <w:t xml:space="preserve">All Covered Persons subject to this Policy must acknowledge their understanding of, and agreement to comply with, the Policy by executing the certification attached hereto as </w:t>
      </w:r>
      <w:r>
        <w:rPr>
          <w:rFonts w:ascii="Times New Roman" w:cs="Times New Roman" w:eastAsia="Times New Roman" w:hAnsi="Times New Roman"/>
          <w:sz w:val="18"/>
          <w:szCs w:val="18"/>
          <w:u w:val="single" w:color="auto"/>
          <w:color w:val="161616"/>
        </w:rPr>
        <w:t>Exhibit A</w:t>
      </w:r>
      <w:r>
        <w:rPr>
          <w:rFonts w:ascii="Times New Roman" w:cs="Times New Roman" w:eastAsia="Times New Roman" w:hAnsi="Times New Roman"/>
          <w:sz w:val="18"/>
          <w:szCs w:val="18"/>
          <w:color w:val="161616"/>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024"/>
          </w:cols>
          <w:pgMar w:left="436" w:top="1404" w:right="439" w:bottom="1440" w:gutter="0" w:footer="0" w:header="0"/>
        </w:sectPr>
      </w:pPr>
    </w:p>
    <w:bookmarkStart w:id="133" w:name="page134"/>
    <w:bookmarkEnd w:id="133"/>
    <w:p>
      <w:pPr>
        <w:ind w:left="4"/>
        <w:spacing w:after="0"/>
        <w:rPr>
          <w:sz w:val="20"/>
          <w:szCs w:val="20"/>
          <w:color w:val="auto"/>
        </w:rPr>
      </w:pPr>
      <w:r>
        <w:rPr>
          <w:rFonts w:ascii="Times New Roman" w:cs="Times New Roman" w:eastAsia="Times New Roman" w:hAnsi="Times New Roman"/>
          <w:sz w:val="18"/>
          <w:szCs w:val="18"/>
          <w:b w:val="1"/>
          <w:bCs w:val="1"/>
          <w:u w:val="single" w:color="auto"/>
          <w:color w:val="161616"/>
        </w:rPr>
        <w:t>Notwithstanding the foregoing, this Policy will apply to Covered Persons whether or not such person executes such certification.</w:t>
      </w:r>
    </w:p>
    <w:p>
      <w:pPr>
        <w:spacing w:after="0" w:line="185" w:lineRule="exact"/>
        <w:rPr>
          <w:sz w:val="20"/>
          <w:szCs w:val="20"/>
          <w:color w:val="auto"/>
        </w:rPr>
      </w:pPr>
    </w:p>
    <w:p>
      <w:pPr>
        <w:ind w:left="624" w:hanging="624"/>
        <w:spacing w:after="0"/>
        <w:tabs>
          <w:tab w:leader="none" w:pos="624" w:val="left"/>
        </w:tabs>
        <w:numPr>
          <w:ilvl w:val="0"/>
          <w:numId w:val="86"/>
        </w:numPr>
        <w:rPr>
          <w:rFonts w:ascii="Times New Roman" w:cs="Times New Roman" w:eastAsia="Times New Roman" w:hAnsi="Times New Roman"/>
          <w:sz w:val="18"/>
          <w:szCs w:val="18"/>
          <w:b w:val="1"/>
          <w:bCs w:val="1"/>
          <w:color w:val="161616"/>
        </w:rPr>
      </w:pPr>
      <w:r>
        <w:rPr>
          <w:rFonts w:ascii="Times New Roman" w:cs="Times New Roman" w:eastAsia="Times New Roman" w:hAnsi="Times New Roman"/>
          <w:sz w:val="18"/>
          <w:szCs w:val="18"/>
          <w:b w:val="1"/>
          <w:bCs w:val="1"/>
          <w:color w:val="161616"/>
        </w:rPr>
        <w:t>Successors</w:t>
      </w:r>
    </w:p>
    <w:p>
      <w:pPr>
        <w:spacing w:after="0" w:line="202" w:lineRule="exact"/>
        <w:rPr>
          <w:sz w:val="20"/>
          <w:szCs w:val="20"/>
          <w:color w:val="auto"/>
        </w:rPr>
      </w:pPr>
    </w:p>
    <w:p>
      <w:pPr>
        <w:ind w:left="4"/>
        <w:spacing w:after="0" w:line="237" w:lineRule="auto"/>
        <w:rPr>
          <w:sz w:val="20"/>
          <w:szCs w:val="20"/>
          <w:color w:val="auto"/>
        </w:rPr>
      </w:pPr>
      <w:r>
        <w:rPr>
          <w:rFonts w:ascii="Times New Roman" w:cs="Times New Roman" w:eastAsia="Times New Roman" w:hAnsi="Times New Roman"/>
          <w:sz w:val="18"/>
          <w:szCs w:val="18"/>
          <w:color w:val="161616"/>
        </w:rPr>
        <w:t>This Policy shall be binding and enforceable against all Covered Persons and their beneficiaries, heirs, executors, administrators or other legal representatives and shall inure to the benefit of any successor to the Company.</w:t>
      </w:r>
    </w:p>
    <w:p>
      <w:pPr>
        <w:spacing w:after="0" w:line="154" w:lineRule="exact"/>
        <w:rPr>
          <w:sz w:val="20"/>
          <w:szCs w:val="20"/>
          <w:color w:val="auto"/>
        </w:rPr>
      </w:pPr>
    </w:p>
    <w:p>
      <w:pPr>
        <w:ind w:left="644" w:hanging="644"/>
        <w:spacing w:after="0"/>
        <w:tabs>
          <w:tab w:leader="none" w:pos="644" w:val="left"/>
        </w:tabs>
        <w:numPr>
          <w:ilvl w:val="0"/>
          <w:numId w:val="87"/>
        </w:numPr>
        <w:rPr>
          <w:rFonts w:ascii="Times New Roman" w:cs="Times New Roman" w:eastAsia="Times New Roman" w:hAnsi="Times New Roman"/>
          <w:sz w:val="18"/>
          <w:szCs w:val="18"/>
          <w:b w:val="1"/>
          <w:bCs w:val="1"/>
          <w:color w:val="161616"/>
        </w:rPr>
      </w:pPr>
      <w:r>
        <w:rPr>
          <w:rFonts w:ascii="Times New Roman" w:cs="Times New Roman" w:eastAsia="Times New Roman" w:hAnsi="Times New Roman"/>
          <w:sz w:val="18"/>
          <w:szCs w:val="18"/>
          <w:b w:val="1"/>
          <w:bCs w:val="1"/>
          <w:color w:val="161616"/>
        </w:rPr>
        <w:t>Interpretation of Policy</w:t>
      </w:r>
    </w:p>
    <w:p>
      <w:pPr>
        <w:spacing w:after="0" w:line="202" w:lineRule="exact"/>
        <w:rPr>
          <w:sz w:val="20"/>
          <w:szCs w:val="20"/>
          <w:color w:val="auto"/>
        </w:rPr>
      </w:pPr>
    </w:p>
    <w:p>
      <w:pPr>
        <w:jc w:val="both"/>
        <w:ind w:left="4"/>
        <w:spacing w:after="0" w:line="216" w:lineRule="auto"/>
        <w:rPr>
          <w:sz w:val="20"/>
          <w:szCs w:val="20"/>
          <w:color w:val="auto"/>
        </w:rPr>
      </w:pPr>
      <w:r>
        <w:rPr>
          <w:rFonts w:ascii="Times New Roman" w:cs="Times New Roman" w:eastAsia="Times New Roman" w:hAnsi="Times New Roman"/>
          <w:sz w:val="18"/>
          <w:szCs w:val="18"/>
          <w:color w:val="161616"/>
        </w:rPr>
        <w:t>To the extent there is any ambiguity between this Policy and the Final Rules, this Policy shall be interpreted so that it complies with the Final Rules. If any provision of this Policy, or the application of such provision to any Covered Person or circumstance, shall be held invalid, the remainder of this Policy, or the application of such provision to Covered Persons or circumstances other than those as to which it is held invalid, shall not be affected</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161616"/>
        </w:rPr>
        <w:t>thereby.</w:t>
      </w:r>
    </w:p>
    <w:p>
      <w:pPr>
        <w:spacing w:after="0" w:line="165" w:lineRule="exact"/>
        <w:rPr>
          <w:sz w:val="20"/>
          <w:szCs w:val="20"/>
          <w:color w:val="auto"/>
        </w:rPr>
      </w:pPr>
    </w:p>
    <w:p>
      <w:pPr>
        <w:jc w:val="both"/>
        <w:ind w:left="4"/>
        <w:spacing w:after="0" w:line="237" w:lineRule="auto"/>
        <w:rPr>
          <w:sz w:val="20"/>
          <w:szCs w:val="20"/>
          <w:color w:val="auto"/>
        </w:rPr>
      </w:pPr>
      <w:r>
        <w:rPr>
          <w:rFonts w:ascii="Times New Roman" w:cs="Times New Roman" w:eastAsia="Times New Roman" w:hAnsi="Times New Roman"/>
          <w:sz w:val="18"/>
          <w:szCs w:val="18"/>
          <w:color w:val="161616"/>
        </w:rPr>
        <w:t>In the event any provision of this Policy with respect to a Restatement Triggering Event is inconsistent with any requirement of any Final Rules, the Administrator, in its sole discretion, shall amend and administer this Policy and bring it into compliance with such rules.</w:t>
      </w:r>
    </w:p>
    <w:p>
      <w:pPr>
        <w:spacing w:after="0" w:line="172" w:lineRule="exact"/>
        <w:rPr>
          <w:sz w:val="20"/>
          <w:szCs w:val="20"/>
          <w:color w:val="auto"/>
        </w:rPr>
      </w:pPr>
    </w:p>
    <w:p>
      <w:pPr>
        <w:jc w:val="both"/>
        <w:ind w:left="4"/>
        <w:spacing w:after="0" w:line="237" w:lineRule="auto"/>
        <w:rPr>
          <w:sz w:val="20"/>
          <w:szCs w:val="20"/>
          <w:color w:val="auto"/>
        </w:rPr>
      </w:pPr>
      <w:r>
        <w:rPr>
          <w:rFonts w:ascii="Times New Roman" w:cs="Times New Roman" w:eastAsia="Times New Roman" w:hAnsi="Times New Roman"/>
          <w:sz w:val="18"/>
          <w:szCs w:val="18"/>
          <w:color w:val="161616"/>
        </w:rPr>
        <w:t>Any determination under this Policy by the Administrator shall be conclusive and binding on the applicable Covered Person. Determinations of the Administrator need not be uniform with respect to Covered Persons or from one payment or grant to another.</w:t>
      </w:r>
    </w:p>
    <w:p>
      <w:pPr>
        <w:spacing w:after="0" w:line="154" w:lineRule="exact"/>
        <w:rPr>
          <w:sz w:val="20"/>
          <w:szCs w:val="20"/>
          <w:color w:val="auto"/>
        </w:rPr>
      </w:pPr>
    </w:p>
    <w:p>
      <w:pPr>
        <w:ind w:left="644" w:hanging="644"/>
        <w:spacing w:after="0"/>
        <w:tabs>
          <w:tab w:leader="none" w:pos="644"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 Termination</w:t>
      </w:r>
    </w:p>
    <w:p>
      <w:pPr>
        <w:spacing w:after="0" w:line="202" w:lineRule="exact"/>
        <w:rPr>
          <w:sz w:val="20"/>
          <w:szCs w:val="20"/>
          <w:color w:val="auto"/>
        </w:rPr>
      </w:pPr>
    </w:p>
    <w:p>
      <w:pPr>
        <w:ind w:left="4" w:right="20"/>
        <w:spacing w:after="0" w:line="237" w:lineRule="auto"/>
        <w:rPr>
          <w:sz w:val="20"/>
          <w:szCs w:val="20"/>
          <w:color w:val="auto"/>
        </w:rPr>
      </w:pPr>
      <w:r>
        <w:rPr>
          <w:rFonts w:ascii="Times New Roman" w:cs="Times New Roman" w:eastAsia="Times New Roman" w:hAnsi="Times New Roman"/>
          <w:sz w:val="18"/>
          <w:szCs w:val="18"/>
          <w:color w:val="1E1E1E"/>
        </w:rPr>
        <w:t>The Administrator may make any amendments to this Policy as required under applicable law, the Rules, or as otherwise determined by the Administrator in its sole discretion.</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1E1E1E"/>
        </w:rPr>
        <w:t>The Administrator may terminate this Policy at any time, subject to compliance with the Final Rules.</w:t>
      </w:r>
    </w:p>
    <w:p>
      <w:pPr>
        <w:spacing w:after="0" w:line="194" w:lineRule="exact"/>
        <w:rPr>
          <w:sz w:val="20"/>
          <w:szCs w:val="20"/>
          <w:color w:val="auto"/>
        </w:rPr>
      </w:pPr>
    </w:p>
    <w:p>
      <w:pPr>
        <w:ind w:left="644" w:hanging="644"/>
        <w:spacing w:after="0"/>
        <w:tabs>
          <w:tab w:leader="none" w:pos="644" w:val="left"/>
        </w:tabs>
        <w:numPr>
          <w:ilvl w:val="0"/>
          <w:numId w:val="89"/>
        </w:numPr>
        <w:rPr>
          <w:rFonts w:ascii="Times New Roman" w:cs="Times New Roman" w:eastAsia="Times New Roman" w:hAnsi="Times New Roman"/>
          <w:sz w:val="18"/>
          <w:szCs w:val="18"/>
          <w:b w:val="1"/>
          <w:bCs w:val="1"/>
          <w:color w:val="161616"/>
        </w:rPr>
      </w:pPr>
      <w:r>
        <w:rPr>
          <w:rFonts w:ascii="Times New Roman" w:cs="Times New Roman" w:eastAsia="Times New Roman" w:hAnsi="Times New Roman"/>
          <w:sz w:val="18"/>
          <w:szCs w:val="18"/>
          <w:b w:val="1"/>
          <w:bCs w:val="1"/>
          <w:color w:val="161616"/>
        </w:rPr>
        <w:t>Definitions</w:t>
      </w:r>
    </w:p>
    <w:p>
      <w:pPr>
        <w:spacing w:after="0" w:line="185" w:lineRule="exact"/>
        <w:rPr>
          <w:sz w:val="20"/>
          <w:szCs w:val="20"/>
          <w:color w:val="auto"/>
        </w:rPr>
      </w:pPr>
    </w:p>
    <w:p>
      <w:pPr>
        <w:ind w:left="4" w:right="20"/>
        <w:spacing w:after="0" w:line="239" w:lineRule="auto"/>
        <w:rPr>
          <w:sz w:val="20"/>
          <w:szCs w:val="20"/>
          <w:color w:val="auto"/>
        </w:rPr>
      </w:pPr>
      <w:r>
        <w:rPr>
          <w:rFonts w:ascii="Times New Roman" w:cs="Times New Roman" w:eastAsia="Times New Roman" w:hAnsi="Times New Roman"/>
          <w:sz w:val="18"/>
          <w:szCs w:val="18"/>
          <w:color w:val="1E1E1E"/>
        </w:rPr>
        <w:t>“</w:t>
      </w:r>
      <w:r>
        <w:rPr>
          <w:rFonts w:ascii="Times New Roman" w:cs="Times New Roman" w:eastAsia="Times New Roman" w:hAnsi="Times New Roman"/>
          <w:sz w:val="18"/>
          <w:szCs w:val="18"/>
          <w:b w:val="1"/>
          <w:bCs w:val="1"/>
          <w:i w:val="1"/>
          <w:iCs w:val="1"/>
          <w:color w:val="1E1E1E"/>
        </w:rPr>
        <w:t>Administrator</w:t>
      </w:r>
      <w:r>
        <w:rPr>
          <w:rFonts w:ascii="Times New Roman" w:cs="Times New Roman" w:eastAsia="Times New Roman" w:hAnsi="Times New Roman"/>
          <w:sz w:val="18"/>
          <w:szCs w:val="18"/>
          <w:color w:val="1E1E1E"/>
        </w:rPr>
        <w:t>” means the Human Resources Committee of the Board, or in the absence of a committee of independent directors responsible for executive compensation decisions, a majority of the independent directors serving on the Board.</w:t>
      </w:r>
    </w:p>
    <w:p>
      <w:pPr>
        <w:spacing w:after="0" w:line="263" w:lineRule="exact"/>
        <w:rPr>
          <w:sz w:val="20"/>
          <w:szCs w:val="20"/>
          <w:color w:val="auto"/>
        </w:rPr>
      </w:pPr>
    </w:p>
    <w:p>
      <w:pPr>
        <w:ind w:left="4" w:right="720"/>
        <w:spacing w:after="0" w:line="490" w:lineRule="auto"/>
        <w:rPr>
          <w:sz w:val="20"/>
          <w:szCs w:val="20"/>
          <w:color w:val="auto"/>
        </w:rPr>
      </w:pPr>
      <w:r>
        <w:rPr>
          <w:rFonts w:ascii="Times New Roman" w:cs="Times New Roman" w:eastAsia="Times New Roman" w:hAnsi="Times New Roman"/>
          <w:sz w:val="18"/>
          <w:szCs w:val="18"/>
          <w:color w:val="1E1E1E"/>
        </w:rPr>
        <w:t>“</w:t>
      </w:r>
      <w:r>
        <w:rPr>
          <w:rFonts w:ascii="Times New Roman" w:cs="Times New Roman" w:eastAsia="Times New Roman" w:hAnsi="Times New Roman"/>
          <w:sz w:val="18"/>
          <w:szCs w:val="18"/>
          <w:b w:val="1"/>
          <w:bCs w:val="1"/>
          <w:i w:val="1"/>
          <w:iCs w:val="1"/>
          <w:color w:val="1E1E1E"/>
        </w:rPr>
        <w:t>Adoption Date</w:t>
      </w:r>
      <w:r>
        <w:rPr>
          <w:rFonts w:ascii="Times New Roman" w:cs="Times New Roman" w:eastAsia="Times New Roman" w:hAnsi="Times New Roman"/>
          <w:sz w:val="18"/>
          <w:szCs w:val="18"/>
          <w:color w:val="1E1E1E"/>
        </w:rPr>
        <w:t>” means October 20, 2023, the date the Policy was adopted by the Board. “</w:t>
      </w:r>
      <w:r>
        <w:rPr>
          <w:rFonts w:ascii="Times New Roman" w:cs="Times New Roman" w:eastAsia="Times New Roman" w:hAnsi="Times New Roman"/>
          <w:sz w:val="18"/>
          <w:szCs w:val="18"/>
          <w:b w:val="1"/>
          <w:bCs w:val="1"/>
          <w:i w:val="1"/>
          <w:iCs w:val="1"/>
          <w:color w:val="1E1E1E"/>
        </w:rPr>
        <w:t>Board</w:t>
      </w:r>
      <w:r>
        <w:rPr>
          <w:rFonts w:ascii="Times New Roman" w:cs="Times New Roman" w:eastAsia="Times New Roman" w:hAnsi="Times New Roman"/>
          <w:sz w:val="18"/>
          <w:szCs w:val="18"/>
          <w:color w:val="1E1E1E"/>
        </w:rPr>
        <w:t>” means the Board of Directors of the Company.</w:t>
      </w:r>
    </w:p>
    <w:p>
      <w:pPr>
        <w:spacing w:after="0" w:line="10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161616"/>
        </w:rPr>
        <w:t>“</w:t>
      </w:r>
      <w:r>
        <w:rPr>
          <w:rFonts w:ascii="Times New Roman" w:cs="Times New Roman" w:eastAsia="Times New Roman" w:hAnsi="Times New Roman"/>
          <w:sz w:val="18"/>
          <w:szCs w:val="18"/>
          <w:b w:val="1"/>
          <w:bCs w:val="1"/>
          <w:i w:val="1"/>
          <w:iCs w:val="1"/>
          <w:color w:val="161616"/>
        </w:rPr>
        <w:t>Clawback Measurement Date</w:t>
      </w:r>
      <w:r>
        <w:rPr>
          <w:rFonts w:ascii="Times New Roman" w:cs="Times New Roman" w:eastAsia="Times New Roman" w:hAnsi="Times New Roman"/>
          <w:sz w:val="18"/>
          <w:szCs w:val="18"/>
          <w:color w:val="161616"/>
        </w:rPr>
        <w:t>” is the earlier to occur of:</w:t>
      </w:r>
    </w:p>
    <w:p>
      <w:pPr>
        <w:spacing w:after="0" w:line="216" w:lineRule="exact"/>
        <w:rPr>
          <w:sz w:val="20"/>
          <w:szCs w:val="20"/>
          <w:color w:val="auto"/>
        </w:rPr>
      </w:pPr>
    </w:p>
    <w:p>
      <w:pPr>
        <w:ind w:left="644" w:right="360" w:hanging="434"/>
        <w:spacing w:after="0" w:line="237" w:lineRule="auto"/>
        <w:tabs>
          <w:tab w:leader="none" w:pos="638" w:val="left"/>
        </w:tabs>
        <w:numPr>
          <w:ilvl w:val="0"/>
          <w:numId w:val="90"/>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color w:val="161616"/>
        </w:rPr>
        <w:t>The date the Board, a committee of the Board or the officer or officers of the Company authorized to take such action if Board action is not required, concludes, or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024"/>
          </w:cols>
          <w:pgMar w:left="436" w:top="1400" w:right="439" w:bottom="1440" w:gutter="0" w:footer="0" w:header="0"/>
        </w:sectPr>
      </w:pPr>
    </w:p>
    <w:bookmarkStart w:id="134" w:name="page135"/>
    <w:bookmarkEnd w:id="134"/>
    <w:p>
      <w:pPr>
        <w:ind w:left="640"/>
        <w:spacing w:after="0"/>
        <w:rPr>
          <w:sz w:val="20"/>
          <w:szCs w:val="20"/>
          <w:color w:val="auto"/>
        </w:rPr>
      </w:pPr>
      <w:r>
        <w:rPr>
          <w:rFonts w:ascii="Times New Roman" w:cs="Times New Roman" w:eastAsia="Times New Roman" w:hAnsi="Times New Roman"/>
          <w:sz w:val="18"/>
          <w:szCs w:val="18"/>
          <w:color w:val="161616"/>
        </w:rPr>
        <w:t>should have concluded, that the Company is required to prepare an accounting restatement as described in this Policy; or</w:t>
      </w:r>
    </w:p>
    <w:p>
      <w:pPr>
        <w:spacing w:after="0" w:line="212" w:lineRule="exact"/>
        <w:rPr>
          <w:sz w:val="20"/>
          <w:szCs w:val="20"/>
          <w:color w:val="auto"/>
        </w:rPr>
      </w:pPr>
    </w:p>
    <w:p>
      <w:pPr>
        <w:ind w:left="640" w:right="480" w:hanging="434"/>
        <w:spacing w:after="0" w:line="250" w:lineRule="auto"/>
        <w:tabs>
          <w:tab w:leader="none" w:pos="630" w:val="left"/>
        </w:tabs>
        <w:numPr>
          <w:ilvl w:val="0"/>
          <w:numId w:val="91"/>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color w:val="161616"/>
        </w:rPr>
        <w:t>The date a court, regulator or other legally authorized body directs the Company to prepare an accounting restatement as described in this Policy.</w:t>
      </w:r>
    </w:p>
    <w:p>
      <w:pPr>
        <w:spacing w:after="0" w:line="145"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7"/>
          <w:szCs w:val="17"/>
          <w:color w:val="161616"/>
        </w:rPr>
        <w:t>“</w:t>
      </w:r>
      <w:r>
        <w:rPr>
          <w:rFonts w:ascii="Times New Roman" w:cs="Times New Roman" w:eastAsia="Times New Roman" w:hAnsi="Times New Roman"/>
          <w:sz w:val="17"/>
          <w:szCs w:val="17"/>
          <w:b w:val="1"/>
          <w:bCs w:val="1"/>
          <w:i w:val="1"/>
          <w:iCs w:val="1"/>
          <w:color w:val="161616"/>
        </w:rPr>
        <w:t>Clawback Period</w:t>
      </w:r>
      <w:r>
        <w:rPr>
          <w:rFonts w:ascii="Times New Roman" w:cs="Times New Roman" w:eastAsia="Times New Roman" w:hAnsi="Times New Roman"/>
          <w:sz w:val="17"/>
          <w:szCs w:val="17"/>
          <w:color w:val="161616"/>
        </w:rPr>
        <w:t>” means the Company’s three completed fiscal years immediately prior to the Clawback Measurement Date and any transition period between the last day of the Company’s previous fiscal year end and the first day of its new fiscal year (that results from a change in the Company’s fiscal</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161616"/>
        </w:rPr>
        <w:t>year) within or immediately following such three-year period; provided, that any transition period between the last day of the Company’s previous fiscal year end and the first day of its new fiscal year that comprises a period of nine to 12 months will be deemed a completed fiscal year.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E1E1E"/>
        </w:rPr>
        <w:t>“</w:t>
      </w:r>
      <w:r>
        <w:rPr>
          <w:rFonts w:ascii="Times New Roman" w:cs="Times New Roman" w:eastAsia="Times New Roman" w:hAnsi="Times New Roman"/>
          <w:sz w:val="18"/>
          <w:szCs w:val="18"/>
          <w:b w:val="1"/>
          <w:bCs w:val="1"/>
          <w:i w:val="1"/>
          <w:iCs w:val="1"/>
          <w:color w:val="1E1E1E"/>
        </w:rPr>
        <w:t>Company</w:t>
      </w:r>
      <w:r>
        <w:rPr>
          <w:rFonts w:ascii="Times New Roman" w:cs="Times New Roman" w:eastAsia="Times New Roman" w:hAnsi="Times New Roman"/>
          <w:sz w:val="18"/>
          <w:szCs w:val="18"/>
          <w:color w:val="1E1E1E"/>
        </w:rPr>
        <w:t>” means Fortinet, Inc., a Delaware corporation, or any successor corporation.</w:t>
      </w:r>
    </w:p>
    <w:p>
      <w:pPr>
        <w:spacing w:after="0" w:line="198"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1E1E1E"/>
        </w:rPr>
        <w:t>“</w:t>
      </w:r>
      <w:r>
        <w:rPr>
          <w:rFonts w:ascii="Times New Roman" w:cs="Times New Roman" w:eastAsia="Times New Roman" w:hAnsi="Times New Roman"/>
          <w:sz w:val="18"/>
          <w:szCs w:val="18"/>
          <w:b w:val="1"/>
          <w:bCs w:val="1"/>
          <w:i w:val="1"/>
          <w:iCs w:val="1"/>
          <w:color w:val="1E1E1E"/>
        </w:rPr>
        <w:t>Covered Person</w:t>
      </w:r>
      <w:r>
        <w:rPr>
          <w:rFonts w:ascii="Times New Roman" w:cs="Times New Roman" w:eastAsia="Times New Roman" w:hAnsi="Times New Roman"/>
          <w:sz w:val="18"/>
          <w:szCs w:val="18"/>
          <w:color w:val="1E1E1E"/>
        </w:rPr>
        <w:t xml:space="preserve">” means any Executive Officer (as defined in the Final Rules), including, but not limited to, </w:t>
      </w:r>
      <w:r>
        <w:rPr>
          <w:rFonts w:ascii="Times New Roman" w:cs="Times New Roman" w:eastAsia="Times New Roman" w:hAnsi="Times New Roman"/>
          <w:sz w:val="18"/>
          <w:szCs w:val="18"/>
          <w:color w:val="000000"/>
        </w:rPr>
        <w:t>those persons who are or have been</w:t>
      </w:r>
      <w:r>
        <w:rPr>
          <w:rFonts w:ascii="Times New Roman" w:cs="Times New Roman" w:eastAsia="Times New Roman" w:hAnsi="Times New Roman"/>
          <w:sz w:val="18"/>
          <w:szCs w:val="18"/>
          <w:color w:val="1E1E1E"/>
        </w:rPr>
        <w:t xml:space="preserve"> </w:t>
      </w:r>
      <w:r>
        <w:rPr>
          <w:rFonts w:ascii="Times New Roman" w:cs="Times New Roman" w:eastAsia="Times New Roman" w:hAnsi="Times New Roman"/>
          <w:sz w:val="18"/>
          <w:szCs w:val="18"/>
          <w:color w:val="000000"/>
        </w:rPr>
        <w:t>determined to be “officers” of the Company within the meaning of Section 16 of Rule 16a-1(f) of the rules promulgated under the Exchange Act, and “executive officers” of the Company within the meaning of Item 401(b) of Regulation S-K, Rule 3b-7 promulgated under the Exchange Act, and Rule</w:t>
      </w:r>
    </w:p>
    <w:p>
      <w:pPr>
        <w:spacing w:after="0" w:line="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405 promulgated under the Securities Act of 1933, as amended</w:t>
      </w:r>
      <w:r>
        <w:rPr>
          <w:rFonts w:ascii="Times New Roman" w:cs="Times New Roman" w:eastAsia="Times New Roman" w:hAnsi="Times New Roman"/>
          <w:sz w:val="18"/>
          <w:szCs w:val="18"/>
          <w:color w:val="1E1E1E"/>
        </w:rPr>
        <w:t>; provided, that the Administrator may identify additional employees who shall be treated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E1E1E"/>
        </w:rPr>
        <w:t>as Covered Persons for the purposes of this Policy with prospective effect, in accordance with the Final Rules</w:t>
      </w:r>
      <w:r>
        <w:rPr>
          <w:rFonts w:ascii="Times New Roman" w:cs="Times New Roman" w:eastAsia="Times New Roman" w:hAnsi="Times New Roman"/>
          <w:sz w:val="18"/>
          <w:szCs w:val="18"/>
          <w:color w:val="000000"/>
        </w:rPr>
        <w:t>; and provided further, unless otherwise</w:t>
      </w:r>
      <w:r>
        <w:rPr>
          <w:rFonts w:ascii="Times New Roman" w:cs="Times New Roman" w:eastAsia="Times New Roman" w:hAnsi="Times New Roman"/>
          <w:sz w:val="18"/>
          <w:szCs w:val="18"/>
          <w:color w:val="1E1E1E"/>
        </w:rPr>
        <w:t xml:space="preserve"> </w:t>
      </w:r>
      <w:r>
        <w:rPr>
          <w:rFonts w:ascii="Times New Roman" w:cs="Times New Roman" w:eastAsia="Times New Roman" w:hAnsi="Times New Roman"/>
          <w:sz w:val="18"/>
          <w:szCs w:val="18"/>
          <w:color w:val="000000"/>
        </w:rPr>
        <w:t>determined by the Administrator at a later date, any participant in the Company’s Senior Management Incentive Bonus Program (or any successor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 shall be a Covered Person.</w:t>
      </w:r>
    </w:p>
    <w:p>
      <w:pPr>
        <w:spacing w:after="0" w:line="16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1E1E1E"/>
        </w:rPr>
        <w:t>“</w:t>
      </w:r>
      <w:r>
        <w:rPr>
          <w:rFonts w:ascii="Times New Roman" w:cs="Times New Roman" w:eastAsia="Times New Roman" w:hAnsi="Times New Roman"/>
          <w:sz w:val="18"/>
          <w:szCs w:val="18"/>
          <w:b w:val="1"/>
          <w:bCs w:val="1"/>
          <w:i w:val="1"/>
          <w:iCs w:val="1"/>
          <w:color w:val="1E1E1E"/>
        </w:rPr>
        <w:t>Exchange</w:t>
      </w:r>
      <w:r>
        <w:rPr>
          <w:rFonts w:ascii="Times New Roman" w:cs="Times New Roman" w:eastAsia="Times New Roman" w:hAnsi="Times New Roman"/>
          <w:sz w:val="18"/>
          <w:szCs w:val="18"/>
          <w:color w:val="1E1E1E"/>
        </w:rPr>
        <w:t>” means the Nasdaq Global Select Market or any other national securities exchange or national securities association in the United States on which the Company has listed its securities for trading.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E1E1E"/>
        </w:rPr>
        <w:t>“</w:t>
      </w:r>
      <w:r>
        <w:rPr>
          <w:rFonts w:ascii="Times New Roman" w:cs="Times New Roman" w:eastAsia="Times New Roman" w:hAnsi="Times New Roman"/>
          <w:sz w:val="18"/>
          <w:szCs w:val="18"/>
          <w:b w:val="1"/>
          <w:bCs w:val="1"/>
          <w:i w:val="1"/>
          <w:iCs w:val="1"/>
          <w:color w:val="1E1E1E"/>
        </w:rPr>
        <w:t>Exchange Act</w:t>
      </w:r>
      <w:r>
        <w:rPr>
          <w:rFonts w:ascii="Times New Roman" w:cs="Times New Roman" w:eastAsia="Times New Roman" w:hAnsi="Times New Roman"/>
          <w:sz w:val="18"/>
          <w:szCs w:val="18"/>
          <w:color w:val="1E1E1E"/>
        </w:rPr>
        <w:t>” means the Securities Exchange Act of 1934, as amended.</w:t>
      </w:r>
    </w:p>
    <w:p>
      <w:pPr>
        <w:spacing w:after="0" w:line="185"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8"/>
          <w:szCs w:val="18"/>
          <w:color w:val="1E1E1E"/>
        </w:rPr>
        <w:t>“</w:t>
      </w:r>
      <w:r>
        <w:rPr>
          <w:rFonts w:ascii="Times New Roman" w:cs="Times New Roman" w:eastAsia="Times New Roman" w:hAnsi="Times New Roman"/>
          <w:sz w:val="18"/>
          <w:szCs w:val="18"/>
          <w:b w:val="1"/>
          <w:bCs w:val="1"/>
          <w:i w:val="1"/>
          <w:iCs w:val="1"/>
          <w:color w:val="1E1E1E"/>
        </w:rPr>
        <w:t>Final Rules</w:t>
      </w:r>
      <w:r>
        <w:rPr>
          <w:rFonts w:ascii="Times New Roman" w:cs="Times New Roman" w:eastAsia="Times New Roman" w:hAnsi="Times New Roman"/>
          <w:sz w:val="18"/>
          <w:szCs w:val="18"/>
          <w:color w:val="1E1E1E"/>
        </w:rPr>
        <w:t xml:space="preserve">” means the final rules promulgated by the SEC under Section 954 of the Dodd-Frank Act, Rule 10D-1 and </w:t>
      </w:r>
      <w:r>
        <w:rPr>
          <w:rFonts w:ascii="Times New Roman" w:cs="Times New Roman" w:eastAsia="Times New Roman" w:hAnsi="Times New Roman"/>
          <w:sz w:val="18"/>
          <w:szCs w:val="18"/>
          <w:color w:val="161616"/>
        </w:rPr>
        <w:t>Exchange listing standards, as</w:t>
      </w:r>
      <w:r>
        <w:rPr>
          <w:rFonts w:ascii="Times New Roman" w:cs="Times New Roman" w:eastAsia="Times New Roman" w:hAnsi="Times New Roman"/>
          <w:sz w:val="18"/>
          <w:szCs w:val="18"/>
          <w:color w:val="1E1E1E"/>
        </w:rPr>
        <w:t xml:space="preserve"> </w:t>
      </w:r>
      <w:r>
        <w:rPr>
          <w:rFonts w:ascii="Times New Roman" w:cs="Times New Roman" w:eastAsia="Times New Roman" w:hAnsi="Times New Roman"/>
          <w:sz w:val="18"/>
          <w:szCs w:val="18"/>
          <w:color w:val="161616"/>
        </w:rPr>
        <w:t>may be amended from time to time</w:t>
      </w:r>
      <w:r>
        <w:rPr>
          <w:rFonts w:ascii="Times New Roman" w:cs="Times New Roman" w:eastAsia="Times New Roman" w:hAnsi="Times New Roman"/>
          <w:sz w:val="18"/>
          <w:szCs w:val="18"/>
          <w:color w:val="1E1E1E"/>
        </w:rPr>
        <w:t>.</w:t>
      </w:r>
    </w:p>
    <w:p>
      <w:pPr>
        <w:spacing w:after="0" w:line="168"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161616"/>
        </w:rPr>
        <w:t>“</w:t>
      </w:r>
      <w:r>
        <w:rPr>
          <w:rFonts w:ascii="Times New Roman" w:cs="Times New Roman" w:eastAsia="Times New Roman" w:hAnsi="Times New Roman"/>
          <w:sz w:val="18"/>
          <w:szCs w:val="18"/>
          <w:b w:val="1"/>
          <w:bCs w:val="1"/>
          <w:i w:val="1"/>
          <w:iCs w:val="1"/>
          <w:color w:val="161616"/>
        </w:rPr>
        <w:t>Financial Reporting Measure</w:t>
      </w:r>
      <w:r>
        <w:rPr>
          <w:rFonts w:ascii="Times New Roman" w:cs="Times New Roman" w:eastAsia="Times New Roman" w:hAnsi="Times New Roman"/>
          <w:sz w:val="18"/>
          <w:szCs w:val="18"/>
          <w:color w:val="161616"/>
        </w:rPr>
        <w:t>” are measures that are determined and presented in accordance with the accounting principles used in preparing the Company’s financial statements, and any measures that are derived wholly or in part from such measures. Stock price and TSR are also financial reporting measures. A financial reporting measure need not be presented within the financial statements or included in a filing with the SEC.</w:t>
      </w:r>
    </w:p>
    <w:p>
      <w:pPr>
        <w:spacing w:after="0" w:line="169"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Incentive-Based Compensation</w:t>
      </w:r>
      <w:r>
        <w:rPr>
          <w:rFonts w:ascii="Times New Roman" w:cs="Times New Roman" w:eastAsia="Times New Roman" w:hAnsi="Times New Roman"/>
          <w:sz w:val="18"/>
          <w:szCs w:val="18"/>
          <w:color w:val="auto"/>
        </w:rPr>
        <w:t>” means compensation that is granted, earned or vested based wholly or in part on the attainment of any Financial Reporting Measure. Examples of “Incentive- Based Compensation” include, but are not limited to: non-equity incentive plan awards that are earned based wholly or in part on satisfying a Financial Reporting Measure performance goal; bonuses paid from a “bonus pool,” the size of which is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determined based wholly or in part on satisfying a Financial Reporting Measure performance goal; other cash awards based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020"/>
          </w:cols>
          <w:pgMar w:left="440" w:top="1404" w:right="439" w:bottom="1440" w:gutter="0" w:footer="0" w:header="0"/>
        </w:sectPr>
      </w:pPr>
    </w:p>
    <w:bookmarkStart w:id="135" w:name="page136"/>
    <w:bookmarkEnd w:id="135"/>
    <w:p>
      <w:pPr>
        <w:jc w:val="both"/>
        <w:spacing w:after="0" w:line="222" w:lineRule="auto"/>
        <w:rPr>
          <w:sz w:val="20"/>
          <w:szCs w:val="20"/>
          <w:color w:val="auto"/>
        </w:rPr>
      </w:pPr>
      <w:r>
        <w:rPr>
          <w:rFonts w:ascii="Times New Roman" w:cs="Times New Roman" w:eastAsia="Times New Roman" w:hAnsi="Times New Roman"/>
          <w:sz w:val="18"/>
          <w:szCs w:val="18"/>
          <w:color w:val="auto"/>
        </w:rPr>
        <w:t>satisfaction of a Financial Reporting Measure performance goal; restricted stock, restricted stock units, performance share units, stock options, and stock appreciation rights that are granted or become vested based wholly or in part on satisfying a Financial Reporting Measure goal; and proceeds received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upon the sale of shares acquired through an incentive plan that were granted or vested based wholly or in part on satisfying a Financial Reporting Measure goal. “Incentive-Based Compensation” excludes, for example, time-based awards such as stock options or restricted stock units that are granted or vest </w:t>
      </w:r>
      <w:r>
        <w:rPr>
          <w:rFonts w:ascii="Times New Roman" w:cs="Times New Roman" w:eastAsia="Times New Roman" w:hAnsi="Times New Roman"/>
          <w:sz w:val="18"/>
          <w:szCs w:val="18"/>
          <w:i w:val="1"/>
          <w:iCs w:val="1"/>
          <w:color w:val="auto"/>
        </w:rPr>
        <w:t>solely</w:t>
      </w:r>
      <w:r>
        <w:rPr>
          <w:rFonts w:ascii="Times New Roman" w:cs="Times New Roman" w:eastAsia="Times New Roman" w:hAnsi="Times New Roman"/>
          <w:sz w:val="18"/>
          <w:szCs w:val="18"/>
          <w:color w:val="auto"/>
        </w:rPr>
        <w:t xml:space="preserve"> upon completion of a service period; awards based on non- financial strategic or operating metrics such as the consummation of a merger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achievement of non-financial business goals; service-based retention bonuses; discretionary compensation; and salary.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61616"/>
        </w:rPr>
        <w:t>“</w:t>
      </w:r>
      <w:r>
        <w:rPr>
          <w:rFonts w:ascii="Times New Roman" w:cs="Times New Roman" w:eastAsia="Times New Roman" w:hAnsi="Times New Roman"/>
          <w:sz w:val="18"/>
          <w:szCs w:val="18"/>
          <w:b w:val="1"/>
          <w:bCs w:val="1"/>
          <w:i w:val="1"/>
          <w:iCs w:val="1"/>
          <w:color w:val="161616"/>
        </w:rPr>
        <w:t>Listing Rule Effective Date</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1E1E1E"/>
        </w:rPr>
        <w:t>means October 2,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means this Compensation Recovery Policy.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61616"/>
        </w:rPr>
        <w:t>Incentive-Based Compensation is deemed “</w:t>
      </w:r>
      <w:r>
        <w:rPr>
          <w:rFonts w:ascii="Times New Roman" w:cs="Times New Roman" w:eastAsia="Times New Roman" w:hAnsi="Times New Roman"/>
          <w:sz w:val="18"/>
          <w:szCs w:val="18"/>
          <w:b w:val="1"/>
          <w:bCs w:val="1"/>
          <w:i w:val="1"/>
          <w:iCs w:val="1"/>
          <w:color w:val="161616"/>
        </w:rPr>
        <w:t>Received</w:t>
      </w:r>
      <w:r>
        <w:rPr>
          <w:rFonts w:ascii="Times New Roman" w:cs="Times New Roman" w:eastAsia="Times New Roman" w:hAnsi="Times New Roman"/>
          <w:sz w:val="18"/>
          <w:szCs w:val="18"/>
          <w:color w:val="161616"/>
        </w:rPr>
        <w:t>” in the Company’s fiscal period during which the relevant Financial Reporting Measure specified</w:t>
      </w:r>
    </w:p>
    <w:p>
      <w:pPr>
        <w:spacing w:after="0" w:line="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161616"/>
        </w:rPr>
        <w:t>in the Incentive-Based Compensation award is attained, irrespective of whether the payment or grant occurs on a later date or if there are additional vesting or payment requirements, such as time-based vesting or certification or approval by the Compensation Committee or Board, that have not yet been satisfied.</w:t>
      </w:r>
    </w:p>
    <w:p>
      <w:pPr>
        <w:spacing w:after="0" w:line="168"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161616"/>
        </w:rPr>
        <w:t>“</w:t>
      </w:r>
      <w:r>
        <w:rPr>
          <w:rFonts w:ascii="Times New Roman" w:cs="Times New Roman" w:eastAsia="Times New Roman" w:hAnsi="Times New Roman"/>
          <w:sz w:val="18"/>
          <w:szCs w:val="18"/>
          <w:b w:val="1"/>
          <w:bCs w:val="1"/>
          <w:i w:val="1"/>
          <w:iCs w:val="1"/>
          <w:color w:val="161616"/>
        </w:rPr>
        <w:t>Recoupment Amount</w:t>
      </w:r>
      <w:r>
        <w:rPr>
          <w:rFonts w:ascii="Times New Roman" w:cs="Times New Roman" w:eastAsia="Times New Roman" w:hAnsi="Times New Roman"/>
          <w:sz w:val="18"/>
          <w:szCs w:val="18"/>
          <w:color w:val="161616"/>
        </w:rPr>
        <w:t>” means the amount of Incentive-Based Compensation Received by the Covered Person based on the financial statements prior to the restatement that exceeds the amount such Covered Person would have received had the Incentive-Based Compensation been determined based on the Company’s restated financial results, computed without regard to any taxes paid (</w:t>
      </w:r>
      <w:r>
        <w:rPr>
          <w:rFonts w:ascii="Times New Roman" w:cs="Times New Roman" w:eastAsia="Times New Roman" w:hAnsi="Times New Roman"/>
          <w:sz w:val="18"/>
          <w:szCs w:val="18"/>
          <w:i w:val="1"/>
          <w:iCs w:val="1"/>
          <w:color w:val="161616"/>
        </w:rPr>
        <w:t>i.e</w:t>
      </w:r>
      <w:r>
        <w:rPr>
          <w:rFonts w:ascii="Times New Roman" w:cs="Times New Roman" w:eastAsia="Times New Roman" w:hAnsi="Times New Roman"/>
          <w:sz w:val="18"/>
          <w:szCs w:val="18"/>
          <w:color w:val="161616"/>
        </w:rPr>
        <w:t>., gross of taxes withheld).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61616"/>
        </w:rPr>
        <w:t>“</w:t>
      </w:r>
      <w:r>
        <w:rPr>
          <w:rFonts w:ascii="Times New Roman" w:cs="Times New Roman" w:eastAsia="Times New Roman" w:hAnsi="Times New Roman"/>
          <w:sz w:val="18"/>
          <w:szCs w:val="18"/>
          <w:b w:val="1"/>
          <w:bCs w:val="1"/>
          <w:i w:val="1"/>
          <w:iCs w:val="1"/>
          <w:color w:val="161616"/>
        </w:rPr>
        <w:t>SEC</w:t>
      </w:r>
      <w:r>
        <w:rPr>
          <w:rFonts w:ascii="Times New Roman" w:cs="Times New Roman" w:eastAsia="Times New Roman" w:hAnsi="Times New Roman"/>
          <w:sz w:val="18"/>
          <w:szCs w:val="18"/>
          <w:color w:val="161616"/>
        </w:rPr>
        <w:t>” means the U.S.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61616"/>
        </w:rPr>
        <w:t>“</w:t>
      </w:r>
      <w:r>
        <w:rPr>
          <w:rFonts w:ascii="Times New Roman" w:cs="Times New Roman" w:eastAsia="Times New Roman" w:hAnsi="Times New Roman"/>
          <w:sz w:val="18"/>
          <w:szCs w:val="18"/>
          <w:b w:val="1"/>
          <w:bCs w:val="1"/>
          <w:i w:val="1"/>
          <w:iCs w:val="1"/>
          <w:color w:val="161616"/>
        </w:rPr>
        <w:t>SOX 304</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1E1E1E"/>
        </w:rPr>
        <w:t>means</w:t>
      </w:r>
      <w:r>
        <w:rPr>
          <w:rFonts w:ascii="Times New Roman" w:cs="Times New Roman" w:eastAsia="Times New Roman" w:hAnsi="Times New Roman"/>
          <w:sz w:val="18"/>
          <w:szCs w:val="18"/>
          <w:color w:val="161616"/>
        </w:rPr>
        <w:t xml:space="preserve"> Section 304 of the Sarbanes-Oxley Act of 2002</w:t>
      </w:r>
      <w:r>
        <w:rPr>
          <w:rFonts w:ascii="Times New Roman" w:cs="Times New Roman" w:eastAsia="Times New Roman" w:hAnsi="Times New Roman"/>
          <w:sz w:val="18"/>
          <w:szCs w:val="18"/>
          <w:color w:val="1E1E1E"/>
        </w:rPr>
        <w:t>.</w:t>
      </w:r>
    </w:p>
    <w:p>
      <w:pPr>
        <w:spacing w:after="0" w:line="2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1E1E1E"/>
        </w:rPr>
        <w:t>“</w:t>
      </w:r>
      <w:r>
        <w:rPr>
          <w:rFonts w:ascii="Times New Roman" w:cs="Times New Roman" w:eastAsia="Times New Roman" w:hAnsi="Times New Roman"/>
          <w:sz w:val="18"/>
          <w:szCs w:val="18"/>
          <w:b w:val="1"/>
          <w:bCs w:val="1"/>
          <w:i w:val="1"/>
          <w:iCs w:val="1"/>
          <w:color w:val="1E1E1E"/>
        </w:rPr>
        <w:t>Restatement Triggering Event</w:t>
      </w:r>
      <w:r>
        <w:rPr>
          <w:rFonts w:ascii="Times New Roman" w:cs="Times New Roman" w:eastAsia="Times New Roman" w:hAnsi="Times New Roman"/>
          <w:sz w:val="18"/>
          <w:szCs w:val="18"/>
          <w:color w:val="1E1E1E"/>
        </w:rPr>
        <w:t>” means any event in which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61616"/>
        </w:rPr>
        <w:t>“</w:t>
      </w:r>
      <w:r>
        <w:rPr>
          <w:rFonts w:ascii="Times New Roman" w:cs="Times New Roman" w:eastAsia="Times New Roman" w:hAnsi="Times New Roman"/>
          <w:sz w:val="18"/>
          <w:szCs w:val="18"/>
          <w:b w:val="1"/>
          <w:bCs w:val="1"/>
          <w:i w:val="1"/>
          <w:iCs w:val="1"/>
          <w:color w:val="161616"/>
        </w:rPr>
        <w:t>TSR</w:t>
      </w:r>
      <w:r>
        <w:rPr>
          <w:rFonts w:ascii="Times New Roman" w:cs="Times New Roman" w:eastAsia="Times New Roman" w:hAnsi="Times New Roman"/>
          <w:sz w:val="18"/>
          <w:szCs w:val="18"/>
          <w:color w:val="161616"/>
        </w:rPr>
        <w:t>” means total stockholder return.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161616"/>
        </w:rPr>
        <w:t>* * * * * * * * * *</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020"/>
          </w:cols>
          <w:pgMar w:left="440" w:top="1404" w:right="439" w:bottom="1440" w:gutter="0" w:footer="0" w:header="0"/>
        </w:sectPr>
      </w:pPr>
    </w:p>
    <w:bookmarkStart w:id="136" w:name="page137"/>
    <w:bookmarkEnd w:id="136"/>
    <w:p>
      <w:pPr>
        <w:jc w:val="center"/>
        <w:ind w:right="-4"/>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39"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I certify that:</w:t>
      </w:r>
    </w:p>
    <w:p>
      <w:pPr>
        <w:spacing w:after="0" w:line="208" w:lineRule="exact"/>
        <w:rPr>
          <w:sz w:val="20"/>
          <w:szCs w:val="20"/>
          <w:color w:val="auto"/>
        </w:rPr>
      </w:pPr>
    </w:p>
    <w:p>
      <w:pPr>
        <w:ind w:left="325" w:right="20" w:hanging="325"/>
        <w:spacing w:after="0" w:line="239" w:lineRule="auto"/>
        <w:tabs>
          <w:tab w:leader="none" w:pos="32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read and understand the Company’s Compensation Recovery Policy (the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I understand that the General Counsel is available to answer any questions I have regarding the Policy.</w:t>
      </w:r>
    </w:p>
    <w:p>
      <w:pPr>
        <w:spacing w:after="0" w:line="172" w:lineRule="exact"/>
        <w:rPr>
          <w:rFonts w:ascii="Times New Roman" w:cs="Times New Roman" w:eastAsia="Times New Roman" w:hAnsi="Times New Roman"/>
          <w:sz w:val="18"/>
          <w:szCs w:val="18"/>
          <w:color w:val="auto"/>
        </w:rPr>
      </w:pPr>
    </w:p>
    <w:p>
      <w:pPr>
        <w:ind w:left="325" w:hanging="325"/>
        <w:spacing w:after="0" w:line="237" w:lineRule="auto"/>
        <w:tabs>
          <w:tab w:leader="none" w:pos="32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that the Policy applies to all of my existing and future compensation-related agreements with the Company with respect to Incentive-Based Compensation Received after the Listing Rule Effective Date, whether or not explicitly stated therein.</w:t>
      </w:r>
    </w:p>
    <w:p>
      <w:pPr>
        <w:spacing w:after="0" w:line="158" w:lineRule="exact"/>
        <w:rPr>
          <w:rFonts w:ascii="Times New Roman" w:cs="Times New Roman" w:eastAsia="Times New Roman" w:hAnsi="Times New Roman"/>
          <w:sz w:val="18"/>
          <w:szCs w:val="18"/>
          <w:color w:val="auto"/>
        </w:rPr>
      </w:pPr>
    </w:p>
    <w:p>
      <w:pPr>
        <w:jc w:val="both"/>
        <w:ind w:left="325" w:hanging="325"/>
        <w:spacing w:after="0" w:line="231" w:lineRule="auto"/>
        <w:tabs>
          <w:tab w:leader="none" w:pos="32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that notwithstanding the Company’s certificate of incorporation, bylaws and any agreement I have with the Company, including any indemnity agreement I have with the Company, I will not be entitled to, and will not seek indemnification from the Company for, any amounts recovered or recoverable by the Company in accordance with the Policy.</w:t>
      </w:r>
    </w:p>
    <w:p>
      <w:pPr>
        <w:spacing w:after="0" w:line="158" w:lineRule="exact"/>
        <w:rPr>
          <w:rFonts w:ascii="Times New Roman" w:cs="Times New Roman" w:eastAsia="Times New Roman" w:hAnsi="Times New Roman"/>
          <w:sz w:val="18"/>
          <w:szCs w:val="18"/>
          <w:color w:val="auto"/>
        </w:rPr>
      </w:pPr>
    </w:p>
    <w:p>
      <w:pPr>
        <w:jc w:val="both"/>
        <w:ind w:left="325" w:hanging="325"/>
        <w:spacing w:after="0" w:line="220" w:lineRule="auto"/>
        <w:tabs>
          <w:tab w:leader="none" w:pos="32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and agree that in the event of a conflict between the Policy and the foregoing agreements and understandings on the one hand, and any prior, existing or future agreement, arrangement or understanding, whether oral or written, with respect to the subject matter of the Policy and this Certification, on the other hand, the terms of the Policy and this Certification shall control, and the terms of this Certification shall supersede any provision of such an agreement, arrangement or understanding to the extent of such conflict with respect to the subject matter of the Policy and this Certification; provided that, in accordance with Section 8 of the Policy, nothing herein limits any other remedies or rights of recoupment that may be available to the Company.</w:t>
      </w:r>
    </w:p>
    <w:p>
      <w:pPr>
        <w:spacing w:after="0" w:line="157" w:lineRule="exact"/>
        <w:rPr>
          <w:rFonts w:ascii="Times New Roman" w:cs="Times New Roman" w:eastAsia="Times New Roman" w:hAnsi="Times New Roman"/>
          <w:sz w:val="18"/>
          <w:szCs w:val="18"/>
          <w:color w:val="auto"/>
        </w:rPr>
      </w:pPr>
    </w:p>
    <w:p>
      <w:pPr>
        <w:ind w:left="325" w:hanging="325"/>
        <w:spacing w:after="0" w:line="250" w:lineRule="auto"/>
        <w:tabs>
          <w:tab w:leader="none" w:pos="32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to abide by the terms of the Policy, including, without limitation, by returning any Recoupment Amount to the Company to the extent required by, and in a manner permitted by, the Policy.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65"/>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1003300</wp:posOffset>
            </wp:positionH>
            <wp:positionV relativeFrom="paragraph">
              <wp:posOffset>17145</wp:posOffset>
            </wp:positionV>
            <wp:extent cx="217741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3">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273" w:lineRule="exact"/>
        <w:rPr>
          <w:sz w:val="20"/>
          <w:szCs w:val="20"/>
          <w:color w:val="auto"/>
        </w:rPr>
      </w:pPr>
    </w:p>
    <w:p>
      <w:pPr>
        <w:ind w:left="565"/>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1003300</wp:posOffset>
            </wp:positionH>
            <wp:positionV relativeFrom="paragraph">
              <wp:posOffset>17145</wp:posOffset>
            </wp:positionV>
            <wp:extent cx="217741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4">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5"/>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1003300</wp:posOffset>
            </wp:positionH>
            <wp:positionV relativeFrom="paragraph">
              <wp:posOffset>17145</wp:posOffset>
            </wp:positionV>
            <wp:extent cx="21774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5">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286" w:lineRule="exact"/>
        <w:rPr>
          <w:sz w:val="20"/>
          <w:szCs w:val="20"/>
          <w:color w:val="auto"/>
        </w:rPr>
      </w:pPr>
    </w:p>
    <w:p>
      <w:pPr>
        <w:ind w:left="565"/>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1003300</wp:posOffset>
            </wp:positionH>
            <wp:positionV relativeFrom="paragraph">
              <wp:posOffset>34290</wp:posOffset>
            </wp:positionV>
            <wp:extent cx="217741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6">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sectPr>
      <w:pgSz w:w="11900" w:h="16838" w:orient="portrait"/>
      <w:cols w:equalWidth="0" w:num="1">
        <w:col w:w="11025"/>
      </w:cols>
      <w:pgMar w:left="435" w:top="134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lvl w:ilvl="1">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1)"/>
      <w:numFmt w:val="lowerRoman"/>
      <w:start w:val="1"/>
    </w:lvl>
  </w:abstractNum>
  <w:abstractNum w:abstractNumId="26">
    <w:nsid w:val="15B5AF5C"/>
    <w:multiLevelType w:val="hybridMultilevel"/>
    <w:lvl w:ilvl="0">
      <w:lvlJc w:val="left"/>
      <w:lvlText w:val="(%1)"/>
      <w:numFmt w:val="lowerRoman"/>
      <w:start w:val="3"/>
    </w:lvl>
  </w:abstractNum>
  <w:abstractNum w:abstractNumId="27">
    <w:nsid w:val="741226BB"/>
    <w:multiLevelType w:val="hybridMultilevel"/>
    <w:lvl w:ilvl="0">
      <w:lvlJc w:val="left"/>
      <w:lvlText w:val="*"/>
      <w:numFmt w:val="bullet"/>
      <w:start w:val="1"/>
    </w:lvl>
  </w:abstractNum>
  <w:abstractNum w:abstractNumId="28">
    <w:nsid w:val="D34B6A8"/>
    <w:multiLevelType w:val="hybridMultilevel"/>
    <w:lvl w:ilvl="0">
      <w:lvlJc w:val="left"/>
      <w:lvlText w:val="•"/>
      <w:numFmt w:val="bullet"/>
      <w:start w:val="1"/>
    </w:lvl>
  </w:abstractNum>
  <w:abstractNum w:abstractNumId="29">
    <w:nsid w:val="10233C99"/>
    <w:multiLevelType w:val="hybridMultilevel"/>
    <w:lvl w:ilvl="0">
      <w:lvlJc w:val="left"/>
      <w:lvlText w:val="•"/>
      <w:numFmt w:val="bullet"/>
      <w:start w:val="1"/>
    </w:lvl>
  </w:abstractNum>
  <w:abstractNum w:abstractNumId="30">
    <w:nsid w:val="3F6AB60F"/>
    <w:multiLevelType w:val="hybridMultilevel"/>
    <w:lvl w:ilvl="0">
      <w:lvlJc w:val="left"/>
      <w:lvlText w:val="•"/>
      <w:numFmt w:val="bullet"/>
      <w:start w:val="1"/>
    </w:lvl>
  </w:abstractNum>
  <w:abstractNum w:abstractNumId="31">
    <w:nsid w:val="61574095"/>
    <w:multiLevelType w:val="hybridMultilevel"/>
    <w:lvl w:ilvl="0">
      <w:lvlJc w:val="left"/>
      <w:lvlText w:val="•"/>
      <w:numFmt w:val="bullet"/>
      <w:start w:val="1"/>
    </w:lvl>
  </w:abstractNum>
  <w:abstractNum w:abstractNumId="32">
    <w:nsid w:val="7E0C57B1"/>
    <w:multiLevelType w:val="hybridMultilevel"/>
    <w:lvl w:ilvl="0">
      <w:lvlJc w:val="left"/>
      <w:lvlText w:val="•"/>
      <w:numFmt w:val="bullet"/>
      <w:start w:val="1"/>
    </w:lvl>
  </w:abstractNum>
  <w:abstractNum w:abstractNumId="33">
    <w:nsid w:val="77AE35EB"/>
    <w:multiLevelType w:val="hybridMultilevel"/>
    <w:lvl w:ilvl="0">
      <w:lvlJc w:val="left"/>
      <w:lvlText w:val="•"/>
      <w:numFmt w:val="bullet"/>
      <w:start w:val="1"/>
    </w:lvl>
  </w:abstractNum>
  <w:abstractNum w:abstractNumId="34">
    <w:nsid w:val="579BE4F1"/>
    <w:multiLevelType w:val="hybridMultilevel"/>
    <w:lvl w:ilvl="0">
      <w:lvlJc w:val="left"/>
      <w:lvlText w:val="•"/>
      <w:numFmt w:val="bullet"/>
      <w:start w:val="1"/>
    </w:lvl>
  </w:abstractNum>
  <w:abstractNum w:abstractNumId="35">
    <w:nsid w:val="310C50B3"/>
    <w:multiLevelType w:val="hybridMultilevel"/>
    <w:lvl w:ilvl="0">
      <w:lvlJc w:val="left"/>
      <w:lvlText w:val="•"/>
      <w:numFmt w:val="bullet"/>
      <w:start w:val="1"/>
    </w:lvl>
  </w:abstractNum>
  <w:abstractNum w:abstractNumId="36">
    <w:nsid w:val="5FF87E05"/>
    <w:multiLevelType w:val="hybridMultilevel"/>
    <w:lvl w:ilvl="0">
      <w:lvlJc w:val="left"/>
      <w:lvlText w:val="•"/>
      <w:numFmt w:val="bullet"/>
      <w:start w:val="1"/>
    </w:lvl>
  </w:abstractNum>
  <w:abstractNum w:abstractNumId="37">
    <w:nsid w:val="2F305DEF"/>
    <w:multiLevelType w:val="hybridMultilevel"/>
    <w:lvl w:ilvl="0">
      <w:lvlJc w:val="left"/>
      <w:lvlText w:val="•"/>
      <w:numFmt w:val="bullet"/>
      <w:start w:val="1"/>
    </w:lvl>
  </w:abstractNum>
  <w:abstractNum w:abstractNumId="38">
    <w:nsid w:val="25A70BF7"/>
    <w:multiLevelType w:val="hybridMultilevel"/>
    <w:lvl w:ilvl="0">
      <w:lvlJc w:val="left"/>
      <w:lvlText w:val="•"/>
      <w:numFmt w:val="bullet"/>
      <w:start w:val="1"/>
    </w:lvl>
  </w:abstractNum>
  <w:abstractNum w:abstractNumId="39">
    <w:nsid w:val="1DBABF00"/>
    <w:multiLevelType w:val="hybridMultilevel"/>
    <w:lvl w:ilvl="0">
      <w:lvlJc w:val="left"/>
      <w:lvlText w:val="•"/>
      <w:numFmt w:val="bullet"/>
      <w:start w:val="1"/>
    </w:lvl>
  </w:abstractNum>
  <w:abstractNum w:abstractNumId="40">
    <w:nsid w:val="4AD084E9"/>
    <w:multiLevelType w:val="hybridMultilevel"/>
    <w:lvl w:ilvl="0">
      <w:lvlJc w:val="left"/>
      <w:lvlText w:val="•"/>
      <w:numFmt w:val="bullet"/>
      <w:start w:val="1"/>
    </w:lvl>
  </w:abstractNum>
  <w:abstractNum w:abstractNumId="41">
    <w:nsid w:val="1F48EAA1"/>
    <w:multiLevelType w:val="hybridMultilevel"/>
    <w:lvl w:ilvl="0">
      <w:lvlJc w:val="left"/>
      <w:lvlText w:val="%1."/>
      <w:numFmt w:val="decimal"/>
      <w:start w:val="1"/>
    </w:lvl>
  </w:abstractNum>
  <w:abstractNum w:abstractNumId="42">
    <w:nsid w:val="1381823A"/>
    <w:multiLevelType w:val="hybridMultilevel"/>
    <w:lvl w:ilvl="0">
      <w:lvlJc w:val="left"/>
      <w:lvlText w:val="•"/>
      <w:numFmt w:val="bullet"/>
      <w:start w:val="1"/>
    </w:lvl>
  </w:abstractNum>
  <w:abstractNum w:abstractNumId="43">
    <w:nsid w:val="5DB70AE5"/>
    <w:multiLevelType w:val="hybridMultilevel"/>
    <w:lvl w:ilvl="0">
      <w:lvlJc w:val="left"/>
      <w:lvlText w:val="%1."/>
      <w:numFmt w:val="decimal"/>
      <w:start w:val="2"/>
    </w:lvl>
  </w:abstractNum>
  <w:abstractNum w:abstractNumId="44">
    <w:nsid w:val="100F8FCA"/>
    <w:multiLevelType w:val="hybridMultilevel"/>
    <w:lvl w:ilvl="0">
      <w:lvlJc w:val="left"/>
      <w:lvlText w:val="%1."/>
      <w:numFmt w:val="decimal"/>
      <w:start w:val="3"/>
    </w:lvl>
  </w:abstractNum>
  <w:abstractNum w:abstractNumId="45">
    <w:nsid w:val="6590700B"/>
    <w:multiLevelType w:val="hybridMultilevel"/>
    <w:lvl w:ilvl="0">
      <w:lvlJc w:val="left"/>
      <w:lvlText w:val="%1."/>
      <w:numFmt w:val="decimal"/>
      <w:start w:val="6"/>
    </w:lvl>
  </w:abstractNum>
  <w:abstractNum w:abstractNumId="46">
    <w:nsid w:val="15014ACB"/>
    <w:multiLevelType w:val="hybridMultilevel"/>
    <w:lvl w:ilvl="0">
      <w:lvlJc w:val="left"/>
      <w:lvlText w:val="%1."/>
      <w:numFmt w:val="decimal"/>
      <w:start w:val="7"/>
    </w:lvl>
  </w:abstractNum>
  <w:abstractNum w:abstractNumId="47">
    <w:nsid w:val="5F5E7FD0"/>
    <w:multiLevelType w:val="hybridMultilevel"/>
    <w:lvl w:ilvl="0">
      <w:lvlJc w:val="left"/>
      <w:lvlText w:val="%1."/>
      <w:numFmt w:val="decimal"/>
      <w:start w:val="9"/>
    </w:lvl>
  </w:abstractNum>
  <w:abstractNum w:abstractNumId="48">
    <w:nsid w:val="98A3148"/>
    <w:multiLevelType w:val="hybridMultilevel"/>
    <w:lvl w:ilvl="0">
      <w:lvlJc w:val="left"/>
      <w:lvlText w:val="%1."/>
      <w:numFmt w:val="decimal"/>
      <w:start w:val="10"/>
    </w:lvl>
  </w:abstractNum>
  <w:abstractNum w:abstractNumId="49">
    <w:nsid w:val="799D0247"/>
    <w:multiLevelType w:val="hybridMultilevel"/>
    <w:lvl w:ilvl="0">
      <w:lvlJc w:val="left"/>
      <w:lvlText w:val="(%1)"/>
      <w:numFmt w:val="decimal"/>
      <w:start w:val="1"/>
    </w:lvl>
  </w:abstractNum>
  <w:abstractNum w:abstractNumId="50">
    <w:nsid w:val="6B94764"/>
    <w:multiLevelType w:val="hybridMultilevel"/>
    <w:lvl w:ilvl="0">
      <w:lvlJc w:val="left"/>
      <w:lvlText w:val="%1."/>
      <w:numFmt w:val="decimal"/>
      <w:start w:val="11"/>
    </w:lvl>
  </w:abstractNum>
  <w:abstractNum w:abstractNumId="51">
    <w:nsid w:val="42C296BD"/>
    <w:multiLevelType w:val="hybridMultilevel"/>
    <w:lvl w:ilvl="0">
      <w:lvlJc w:val="left"/>
      <w:lvlText w:val="%1."/>
      <w:numFmt w:val="decimal"/>
      <w:start w:val="12"/>
    </w:lvl>
  </w:abstractNum>
  <w:abstractNum w:abstractNumId="52">
    <w:nsid w:val="168E121F"/>
    <w:multiLevelType w:val="hybridMultilevel"/>
    <w:lvl w:ilvl="0">
      <w:lvlJc w:val="left"/>
      <w:lvlText w:val="%1."/>
      <w:numFmt w:val="decimal"/>
      <w:start w:val="13"/>
    </w:lvl>
  </w:abstractNum>
  <w:abstractNum w:abstractNumId="53">
    <w:nsid w:val="1EBA5D23"/>
    <w:multiLevelType w:val="hybridMultilevel"/>
    <w:lvl w:ilvl="0">
      <w:lvlJc w:val="left"/>
      <w:lvlText w:val="%1."/>
      <w:numFmt w:val="decimal"/>
      <w:start w:val="14"/>
    </w:lvl>
  </w:abstractNum>
  <w:abstractNum w:abstractNumId="54">
    <w:nsid w:val="661E3F1E"/>
    <w:multiLevelType w:val="hybridMultilevel"/>
    <w:lvl w:ilvl="0">
      <w:lvlJc w:val="left"/>
      <w:lvlText w:val="%1."/>
      <w:numFmt w:val="decimal"/>
      <w:start w:val="15"/>
    </w:lvl>
  </w:abstractNum>
  <w:abstractNum w:abstractNumId="55">
    <w:nsid w:val="5DC79EA8"/>
    <w:multiLevelType w:val="hybridMultilevel"/>
    <w:lvl w:ilvl="0">
      <w:lvlJc w:val="left"/>
      <w:lvlText w:val="%1."/>
      <w:numFmt w:val="decimal"/>
      <w:start w:val="16"/>
    </w:lvl>
  </w:abstractNum>
  <w:abstractNum w:abstractNumId="56">
    <w:nsid w:val="540A471C"/>
    <w:multiLevelType w:val="hybridMultilevel"/>
    <w:lvl w:ilvl="0">
      <w:lvlJc w:val="left"/>
      <w:lvlText w:val="$"/>
      <w:numFmt w:val="bullet"/>
      <w:start w:val="1"/>
    </w:lvl>
  </w:abstractNum>
  <w:abstractNum w:abstractNumId="57">
    <w:nsid w:val="7BD3EE7B"/>
    <w:multiLevelType w:val="hybridMultilevel"/>
    <w:lvl w:ilvl="0">
      <w:lvlJc w:val="left"/>
      <w:lvlText w:val="$"/>
      <w:numFmt w:val="bullet"/>
      <w:start w:val="1"/>
    </w:lvl>
  </w:abstractNum>
  <w:abstractNum w:abstractNumId="58">
    <w:nsid w:val="51D9C564"/>
    <w:multiLevelType w:val="hybridMultilevel"/>
    <w:lvl w:ilvl="0">
      <w:lvlJc w:val="left"/>
      <w:lvlText w:val="$"/>
      <w:numFmt w:val="bullet"/>
      <w:start w:val="1"/>
    </w:lvl>
  </w:abstractNum>
  <w:abstractNum w:abstractNumId="59">
    <w:nsid w:val="613EFDC5"/>
    <w:multiLevelType w:val="hybridMultilevel"/>
    <w:lvl w:ilvl="0">
      <w:lvlJc w:val="left"/>
      <w:lvlText w:val="$"/>
      <w:numFmt w:val="bullet"/>
      <w:start w:val="1"/>
    </w:lvl>
  </w:abstractNum>
  <w:abstractNum w:abstractNumId="60">
    <w:nsid w:val="BF72B14"/>
    <w:multiLevelType w:val="hybridMultilevel"/>
    <w:lvl w:ilvl="0">
      <w:lvlJc w:val="left"/>
      <w:lvlText w:val="%1."/>
      <w:numFmt w:val="decimal"/>
      <w:start w:val="17"/>
    </w:lvl>
  </w:abstractNum>
  <w:abstractNum w:abstractNumId="61">
    <w:nsid w:val="11447B73"/>
    <w:multiLevelType w:val="hybridMultilevel"/>
    <w:lvl w:ilvl="0">
      <w:lvlJc w:val="left"/>
      <w:lvlText w:val="%1."/>
      <w:numFmt w:val="decimal"/>
      <w:start w:val="1"/>
    </w:lvl>
  </w:abstractNum>
  <w:abstractNum w:abstractNumId="62">
    <w:nsid w:val="42963E5A"/>
    <w:multiLevelType w:val="hybridMultilevel"/>
    <w:lvl w:ilvl="0">
      <w:lvlJc w:val="left"/>
      <w:lvlText w:val="†"/>
      <w:numFmt w:val="bullet"/>
      <w:start w:val="1"/>
    </w:lvl>
  </w:abstractNum>
  <w:abstractNum w:abstractNumId="63">
    <w:nsid w:val="A0382C5"/>
    <w:multiLevelType w:val="hybridMultilevel"/>
    <w:lvl w:ilvl="0">
      <w:lvlJc w:val="left"/>
      <w:lvlText w:val="•"/>
      <w:numFmt w:val="bullet"/>
      <w:start w:val="1"/>
    </w:lvl>
  </w:abstractNum>
  <w:abstractNum w:abstractNumId="64">
    <w:nsid w:val="8F2B15E"/>
    <w:multiLevelType w:val="hybridMultilevel"/>
    <w:lvl w:ilvl="0">
      <w:lvlJc w:val="left"/>
      <w:lvlText w:val="•"/>
      <w:numFmt w:val="bullet"/>
      <w:start w:val="1"/>
    </w:lvl>
  </w:abstractNum>
  <w:abstractNum w:abstractNumId="65">
    <w:nsid w:val="1A32234B"/>
    <w:multiLevelType w:val="hybridMultilevel"/>
    <w:lvl w:ilvl="0">
      <w:lvlJc w:val="left"/>
      <w:lvlText w:val="•"/>
      <w:numFmt w:val="bullet"/>
      <w:start w:val="1"/>
    </w:lvl>
  </w:abstractNum>
  <w:abstractNum w:abstractNumId="66">
    <w:nsid w:val="3B0FD379"/>
    <w:multiLevelType w:val="hybridMultilevel"/>
    <w:lvl w:ilvl="0">
      <w:lvlJc w:val="left"/>
      <w:lvlText w:val="•"/>
      <w:numFmt w:val="bullet"/>
      <w:start w:val="1"/>
    </w:lvl>
  </w:abstractNum>
  <w:abstractNum w:abstractNumId="67">
    <w:nsid w:val="68EB2F63"/>
    <w:multiLevelType w:val="hybridMultilevel"/>
    <w:lvl w:ilvl="0">
      <w:lvlJc w:val="left"/>
      <w:lvlText w:val="%1."/>
      <w:numFmt w:val="decimal"/>
      <w:start w:val="1"/>
    </w:lvl>
    <w:lvl w:ilvl="1">
      <w:lvlJc w:val="left"/>
      <w:lvlText w:val="%2."/>
      <w:numFmt w:val="lowerLetter"/>
      <w:start w:val="1"/>
    </w:lvl>
  </w:abstractNum>
  <w:abstractNum w:abstractNumId="68">
    <w:nsid w:val="4962813B"/>
    <w:multiLevelType w:val="hybridMultilevel"/>
    <w:lvl w:ilvl="0">
      <w:lvlJc w:val="left"/>
      <w:lvlText w:val="%1."/>
      <w:numFmt w:val="decimal"/>
      <w:start w:val="1"/>
    </w:lvl>
    <w:lvl w:ilvl="1">
      <w:lvlJc w:val="left"/>
      <w:lvlText w:val="%2."/>
      <w:numFmt w:val="lowerLetter"/>
      <w:start w:val="1"/>
    </w:lvl>
  </w:abstractNum>
  <w:abstractNum w:abstractNumId="69">
    <w:nsid w:val="60B6DF70"/>
    <w:multiLevelType w:val="hybridMultilevel"/>
    <w:lvl w:ilvl="0">
      <w:lvlJc w:val="left"/>
      <w:lvlText w:val="%1."/>
      <w:numFmt w:val="decimal"/>
      <w:start w:val="1"/>
    </w:lvl>
  </w:abstractNum>
  <w:abstractNum w:abstractNumId="70">
    <w:nsid w:val="6A5EE64"/>
    <w:multiLevelType w:val="hybridMultilevel"/>
    <w:lvl w:ilvl="0">
      <w:lvlJc w:val="left"/>
      <w:lvlText w:val="%1."/>
      <w:numFmt w:val="decimal"/>
      <w:start w:val="2"/>
    </w:lvl>
  </w:abstractNum>
  <w:abstractNum w:abstractNumId="71">
    <w:nsid w:val="14330624"/>
    <w:multiLevelType w:val="hybridMultilevel"/>
    <w:lvl w:ilvl="0">
      <w:lvlJc w:val="left"/>
      <w:lvlText w:val="%1."/>
      <w:numFmt w:val="lowerRoman"/>
      <w:start w:val="1"/>
    </w:lvl>
  </w:abstractNum>
  <w:abstractNum w:abstractNumId="72">
    <w:nsid w:val="7FFFCA11"/>
    <w:multiLevelType w:val="hybridMultilevel"/>
    <w:lvl w:ilvl="0">
      <w:lvlJc w:val="left"/>
      <w:lvlText w:val="%1."/>
      <w:numFmt w:val="lowerRoman"/>
      <w:start w:val="4"/>
    </w:lvl>
  </w:abstractNum>
  <w:abstractNum w:abstractNumId="73">
    <w:nsid w:val="1A27709E"/>
    <w:multiLevelType w:val="hybridMultilevel"/>
    <w:lvl w:ilvl="0">
      <w:lvlJc w:val="left"/>
      <w:lvlText w:val="%1."/>
      <w:numFmt w:val="decimal"/>
      <w:start w:val="3"/>
    </w:lvl>
  </w:abstractNum>
  <w:abstractNum w:abstractNumId="74">
    <w:nsid w:val="71EA1109"/>
    <w:multiLevelType w:val="hybridMultilevel"/>
    <w:lvl w:ilvl="0">
      <w:lvlJc w:val="left"/>
      <w:lvlText w:val="%1."/>
      <w:numFmt w:val="decimal"/>
      <w:start w:val="4"/>
    </w:lvl>
  </w:abstractNum>
  <w:abstractNum w:abstractNumId="75">
    <w:nsid w:val="100F59DC"/>
    <w:multiLevelType w:val="hybridMultilevel"/>
    <w:lvl w:ilvl="0">
      <w:lvlJc w:val="left"/>
      <w:lvlText w:val="%1."/>
      <w:numFmt w:val="decimal"/>
      <w:start w:val="5"/>
    </w:lvl>
  </w:abstractNum>
  <w:abstractNum w:abstractNumId="76">
    <w:nsid w:val="7FB7E0AA"/>
    <w:multiLevelType w:val="hybridMultilevel"/>
    <w:lvl w:ilvl="0">
      <w:lvlJc w:val="left"/>
      <w:lvlText w:val="%1."/>
      <w:numFmt w:val="lowerRoman"/>
      <w:start w:val="1"/>
    </w:lvl>
  </w:abstractNum>
  <w:abstractNum w:abstractNumId="77">
    <w:nsid w:val="6EB5BD4"/>
    <w:multiLevelType w:val="hybridMultilevel"/>
    <w:lvl w:ilvl="0">
      <w:lvlJc w:val="left"/>
      <w:lvlText w:val="%1"/>
      <w:numFmt w:val="decimal"/>
      <w:start w:val="1"/>
    </w:lvl>
    <w:lvl w:ilvl="1">
      <w:lvlJc w:val="left"/>
      <w:lvlText w:val="%2."/>
      <w:numFmt w:val="lowerRoman"/>
      <w:start w:val="4"/>
    </w:lvl>
  </w:abstractNum>
  <w:abstractNum w:abstractNumId="78">
    <w:nsid w:val="6F6DD9AC"/>
    <w:multiLevelType w:val="hybridMultilevel"/>
    <w:lvl w:ilvl="0">
      <w:lvlJc w:val="left"/>
      <w:lvlText w:val="%1."/>
      <w:numFmt w:val="decimal"/>
      <w:start w:val="6"/>
    </w:lvl>
    <w:lvl w:ilvl="1">
      <w:lvlJc w:val="left"/>
      <w:lvlText w:val="%2"/>
      <w:numFmt w:val="lowerRoman"/>
      <w:start w:val="1"/>
    </w:lvl>
  </w:abstractNum>
  <w:abstractNum w:abstractNumId="79">
    <w:nsid w:val="94211F2"/>
    <w:multiLevelType w:val="hybridMultilevel"/>
    <w:lvl w:ilvl="0">
      <w:lvlJc w:val="left"/>
      <w:lvlText w:val="%1."/>
      <w:numFmt w:val="decimal"/>
      <w:start w:val="7"/>
    </w:lvl>
  </w:abstractNum>
  <w:abstractNum w:abstractNumId="80">
    <w:nsid w:val="885E1B"/>
    <w:multiLevelType w:val="hybridMultilevel"/>
    <w:lvl w:ilvl="0">
      <w:lvlJc w:val="left"/>
      <w:lvlText w:val="%1."/>
      <w:numFmt w:val="lowerRoman"/>
      <w:start w:val="1"/>
    </w:lvl>
  </w:abstractNum>
  <w:abstractNum w:abstractNumId="81">
    <w:nsid w:val="76272110"/>
    <w:multiLevelType w:val="hybridMultilevel"/>
    <w:lvl w:ilvl="0">
      <w:lvlJc w:val="left"/>
      <w:lvlText w:val="%1."/>
      <w:numFmt w:val="lowerRoman"/>
      <w:start w:val="2"/>
    </w:lvl>
  </w:abstractNum>
  <w:abstractNum w:abstractNumId="82">
    <w:nsid w:val="4C04A8AF"/>
    <w:multiLevelType w:val="hybridMultilevel"/>
    <w:lvl w:ilvl="0">
      <w:lvlJc w:val="left"/>
      <w:lvlText w:val="%1."/>
      <w:numFmt w:val="decimal"/>
      <w:start w:val="8"/>
    </w:lvl>
  </w:abstractNum>
  <w:abstractNum w:abstractNumId="83">
    <w:nsid w:val="1716703B"/>
    <w:multiLevelType w:val="hybridMultilevel"/>
    <w:lvl w:ilvl="0">
      <w:lvlJc w:val="left"/>
      <w:lvlText w:val="%1."/>
      <w:numFmt w:val="decimal"/>
      <w:start w:val="9"/>
    </w:lvl>
  </w:abstractNum>
  <w:abstractNum w:abstractNumId="84">
    <w:nsid w:val="14E17E33"/>
    <w:multiLevelType w:val="hybridMultilevel"/>
    <w:lvl w:ilvl="0">
      <w:lvlJc w:val="left"/>
      <w:lvlText w:val="%1."/>
      <w:numFmt w:val="decimal"/>
      <w:start w:val="10"/>
    </w:lvl>
  </w:abstractNum>
  <w:abstractNum w:abstractNumId="85">
    <w:nsid w:val="3222E7CD"/>
    <w:multiLevelType w:val="hybridMultilevel"/>
    <w:lvl w:ilvl="0">
      <w:lvlJc w:val="left"/>
      <w:lvlText w:val="%1."/>
      <w:numFmt w:val="decimal"/>
      <w:start w:val="11"/>
    </w:lvl>
  </w:abstractNum>
  <w:abstractNum w:abstractNumId="86">
    <w:nsid w:val="74DE0EE3"/>
    <w:multiLevelType w:val="hybridMultilevel"/>
    <w:lvl w:ilvl="0">
      <w:lvlJc w:val="left"/>
      <w:lvlText w:val="%1."/>
      <w:numFmt w:val="decimal"/>
      <w:start w:val="12"/>
    </w:lvl>
  </w:abstractNum>
  <w:abstractNum w:abstractNumId="87">
    <w:nsid w:val="68EBC550"/>
    <w:multiLevelType w:val="hybridMultilevel"/>
    <w:lvl w:ilvl="0">
      <w:lvlJc w:val="left"/>
      <w:lvlText w:val="%1."/>
      <w:numFmt w:val="decimal"/>
      <w:start w:val="13"/>
    </w:lvl>
  </w:abstractNum>
  <w:abstractNum w:abstractNumId="88">
    <w:nsid w:val="2DF6D648"/>
    <w:multiLevelType w:val="hybridMultilevel"/>
    <w:lvl w:ilvl="0">
      <w:lvlJc w:val="left"/>
      <w:lvlText w:val="%1."/>
      <w:numFmt w:val="decimal"/>
      <w:start w:val="14"/>
    </w:lvl>
  </w:abstractNum>
  <w:abstractNum w:abstractNumId="89">
    <w:nsid w:val="46B7D447"/>
    <w:multiLevelType w:val="hybridMultilevel"/>
    <w:lvl w:ilvl="0">
      <w:lvlJc w:val="left"/>
      <w:lvlText w:val="%1."/>
      <w:numFmt w:val="lowerRoman"/>
      <w:start w:val="1"/>
    </w:lvl>
  </w:abstractNum>
  <w:abstractNum w:abstractNumId="90">
    <w:nsid w:val="4A2AC315"/>
    <w:multiLevelType w:val="hybridMultilevel"/>
    <w:lvl w:ilvl="0">
      <w:lvlJc w:val="left"/>
      <w:lvlText w:val="%1."/>
      <w:numFmt w:val="lowerRoman"/>
      <w:start w:val="2"/>
    </w:lvl>
  </w:abstractNum>
  <w:abstractNum w:abstractNumId="91">
    <w:nsid w:val="39EE01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64" Type="http://schemas.openxmlformats.org/officeDocument/2006/relationships/image" Target="media/image135.png"/><Relationship Id="rId166" Type="http://schemas.openxmlformats.org/officeDocument/2006/relationships/image" Target="media/image136.png"/><Relationship Id="rId167" Type="http://schemas.openxmlformats.org/officeDocument/2006/relationships/image" Target="media/image137.png"/><Relationship Id="rId168" Type="http://schemas.openxmlformats.org/officeDocument/2006/relationships/image" Target="media/image138.png"/><Relationship Id="rId169" Type="http://schemas.openxmlformats.org/officeDocument/2006/relationships/image" Target="media/image139.png"/><Relationship Id="rId170" Type="http://schemas.openxmlformats.org/officeDocument/2006/relationships/image" Target="media/image140.png"/><Relationship Id="rId171" Type="http://schemas.openxmlformats.org/officeDocument/2006/relationships/image" Target="media/image141.png"/><Relationship Id="rId172" Type="http://schemas.openxmlformats.org/officeDocument/2006/relationships/image" Target="media/image142.png"/><Relationship Id="rId173" Type="http://schemas.openxmlformats.org/officeDocument/2006/relationships/image" Target="media/image143.png"/><Relationship Id="rId174" Type="http://schemas.openxmlformats.org/officeDocument/2006/relationships/image" Target="media/image144.png"/><Relationship Id="rId175" Type="http://schemas.openxmlformats.org/officeDocument/2006/relationships/image" Target="media/image145.png"/><Relationship Id="rId176" Type="http://schemas.openxmlformats.org/officeDocument/2006/relationships/image" Target="media/image146.png"/><Relationship Id="rId142" Type="http://schemas.openxmlformats.org/officeDocument/2006/relationships/hyperlink" Target="https://www.sec.gov/Archives/edgar/data/1262039/000126203923000032/ftnt-ex33_20230630x10q.htm" TargetMode="External"/><Relationship Id="rId143" Type="http://schemas.openxmlformats.org/officeDocument/2006/relationships/hyperlink" Target="https://www.sec.gov/Archives/edgar/data/1262039/000126203923000024/ftnt-ex33restatedbylaws.htm" TargetMode="External"/><Relationship Id="rId144" Type="http://schemas.openxmlformats.org/officeDocument/2006/relationships/hyperlink" Target="http://www.sec.gov/Archives/edgar/data/1262039/000119312509220527/dex41.htm" TargetMode="External"/><Relationship Id="rId145" Type="http://schemas.openxmlformats.org/officeDocument/2006/relationships/hyperlink" Target="http://www.sec.gov/Archives/edgar/data/1262039/000119312509169817/dex101.htm" TargetMode="External"/><Relationship Id="rId146" Type="http://schemas.openxmlformats.org/officeDocument/2006/relationships/hyperlink" Target="http://www.sec.gov/Archives/edgar/data/1262039/000126203919000023/ftnt-ex101amendedandre.htm" TargetMode="External"/><Relationship Id="rId147" Type="http://schemas.openxmlformats.org/officeDocument/2006/relationships/hyperlink" Target="http://www.sec.gov/Archives/edgar/data/1262039/000126203912000013/ftnt-ex105_20111231xk.htm" TargetMode="External"/><Relationship Id="rId148" Type="http://schemas.openxmlformats.org/officeDocument/2006/relationships/hyperlink" Target="http://www.sec.gov/Archives/edgar/data/1262039/000126203913000044/fortinet_20130630x10-qex991.htm" TargetMode="External"/><Relationship Id="rId149" Type="http://schemas.openxmlformats.org/officeDocument/2006/relationships/hyperlink" Target="http://www.sec.gov/Archives/edgar/data/1262039/000126203915000009/ftnt-ex107_20141231xk.htm" TargetMode="External"/><Relationship Id="rId150" Type="http://schemas.openxmlformats.org/officeDocument/2006/relationships/hyperlink" Target="https://www.sec.gov/Archives/edgar/data/1262039/000126203920000011/ftnt-ex10620191231xk.htm" TargetMode="External"/><Relationship Id="rId151" Type="http://schemas.openxmlformats.org/officeDocument/2006/relationships/hyperlink" Target="https://www.sec.gov/Archives/edgar/data/1262039/000126203920000011/ftnt-ex10720191231xk.htm" TargetMode="External"/><Relationship Id="rId152" Type="http://schemas.openxmlformats.org/officeDocument/2006/relationships/hyperlink" Target="https://www.sec.gov/Archives/edgar/data/1262039/000126203921000008/ftnt-ex108_20201231xk.htm" TargetMode="External"/><Relationship Id="rId153" Type="http://schemas.openxmlformats.org/officeDocument/2006/relationships/hyperlink" Target="http://www.sec.gov/Archives/edgar/data/1262039/000126203913000055/fortinet_20130930x10-qex101.htm" TargetMode="External"/><Relationship Id="rId154" Type="http://schemas.openxmlformats.org/officeDocument/2006/relationships/hyperlink" Target="http://www.sec.gov/Archives/edgar/data/1262039/000126203915000024/ftnt-ex101_20150630xqxcoca.htm" TargetMode="External"/><Relationship Id="rId155" Type="http://schemas.openxmlformats.org/officeDocument/2006/relationships/hyperlink" Target="http://www.sec.gov/Archives/edgar/data/1262039/000126203919000023/ftnt-ex102changeofctrl.htm" TargetMode="External"/><Relationship Id="rId156" Type="http://schemas.openxmlformats.org/officeDocument/2006/relationships/hyperlink" Target="http://www.sec.gov/Archives/edgar/data/1262039/000126203919000023/ftnt-ex103changeofctrl.htm" TargetMode="External"/><Relationship Id="rId157" Type="http://schemas.openxmlformats.org/officeDocument/2006/relationships/hyperlink" Target="http://www.sec.gov/Archives/edgar/data/1262039/000126203919000023/ftnt-ex104changeofctrl.htm" TargetMode="External"/><Relationship Id="rId158" Type="http://schemas.openxmlformats.org/officeDocument/2006/relationships/hyperlink" Target="http://www.sec.gov/Archives/edgar/data/1262039/000119312509169817/dex1010.htm" TargetMode="External"/><Relationship Id="rId159" Type="http://schemas.openxmlformats.org/officeDocument/2006/relationships/hyperlink" Target="http://www.sec.gov/Archives/edgar/data/1262039/000126203918000009/ftnt-ex1022_20171231xk.htm" TargetMode="External"/><Relationship Id="rId160" Type="http://schemas.openxmlformats.org/officeDocument/2006/relationships/hyperlink" Target="http://www.sec.gov/Archives/edgar/data/1262039/000126203919000023/ftnt-ex105changeofctrl.htm" TargetMode="External"/><Relationship Id="rId161" Type="http://schemas.openxmlformats.org/officeDocument/2006/relationships/hyperlink" Target="https://www.sec.gov/Archives/edgar/data/1262039/000126203923000010/patricepercheemploymentagr.htm" TargetMode="External"/><Relationship Id="rId162" Type="http://schemas.openxmlformats.org/officeDocument/2006/relationships/hyperlink" Target="https://www.sec.gov/Archives/edgar/data/1262039/000126203923000010/ftnt-pperchechangeofctrlse.htm" TargetMode="External"/><Relationship Id="rId163" Type="http://schemas.openxmlformats.org/officeDocument/2006/relationships/hyperlink" Target="https://www.sec.gov/Archives/edgar/data/1262039/000126203923000021/exhibit101-formofpsuawarda.htm" TargetMode="External"/><Relationship Id="rId165" Type="http://schemas.openxmlformats.org/officeDocument/2006/relationships/hyperlink" Target="https://www.sec.gov/Archives/edgar/data/1262039/000126203923000021/exhibit102-globalrsuagree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2024-02-26T05:41:11Z</dcterms:created>
  <dcterms:modified xsi:type="dcterms:W3CDTF">2024-02-26T05:41:11Z</dcterms:modified>
</cp:coreProperties>
</file>