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117475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1" w:lineRule="exact"/>
        <w:rPr>
          <w:sz w:val="24"/>
          <w:szCs w:val="24"/>
          <w:color w:val="auto"/>
        </w:rPr>
      </w:pPr>
    </w:p>
    <w:p>
      <w:pPr>
        <w:jc w:val="center"/>
        <w:ind w:left="3440"/>
        <w:spacing w:after="0" w:line="268"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96520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8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2">
            <w:col w:w="3120" w:space="720"/>
            <w:col w:w="6039"/>
          </w:cols>
          <w:pgMar w:left="580" w:top="205" w:right="1440" w:bottom="1440"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sectPr>
          <w:pgSz w:w="11900" w:h="16838" w:orient="portrait"/>
          <w:cols w:equalWidth="0" w:num="2">
            <w:col w:w="3600" w:space="240"/>
            <w:col w:w="6039"/>
          </w:cols>
          <w:pgMar w:left="580" w:top="205" w:right="1440"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77"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05"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323850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77"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3502025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509905</wp:posOffset>
            </wp:positionV>
            <wp:extent cx="280289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028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2099" w:firstLine="1692"/>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NOTICE OF 2022 ANNUAL MEETING OF STOCKHOLDERS </w:t>
      </w:r>
      <w:r>
        <w:rPr>
          <w:rFonts w:ascii="Times New Roman" w:cs="Times New Roman" w:eastAsia="Times New Roman" w:hAnsi="Times New Roman"/>
          <w:sz w:val="18"/>
          <w:szCs w:val="18"/>
          <w:color w:val="auto"/>
        </w:rPr>
        <w:t>Dear Fortinet Stockholder:</w:t>
      </w: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(the “2022 Annual Meeting”) of Fortinet, Inc., a Delaware corporation (“Fortinet,” “we,” “us” or “our”), will be held on Friday, June 17, 2022, at 10:00 a.m. Pacific time, in a virtual-only format, for the following purposes:</w:t>
      </w:r>
    </w:p>
    <w:p>
      <w:pPr>
        <w:spacing w:after="0" w:line="108" w:lineRule="exact"/>
        <w:rPr>
          <w:sz w:val="20"/>
          <w:szCs w:val="20"/>
          <w:color w:val="auto"/>
        </w:rPr>
      </w:pPr>
    </w:p>
    <w:p>
      <w:pPr>
        <w:ind w:left="1980" w:right="71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listed in the accompanying proxy statement to serve for a one-year term expiring at Fortinet’s 2023 Annual Meeting of Stockholders (the “2023 Annual Meeting”) and until their respective successors have been duly elected and qualified.</w:t>
      </w:r>
    </w:p>
    <w:p>
      <w:pPr>
        <w:spacing w:after="0" w:line="108"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Fortinet’s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named executive officer compensation.</w:t>
      </w:r>
    </w:p>
    <w:p>
      <w:pPr>
        <w:spacing w:after="0" w:line="157" w:lineRule="exact"/>
        <w:rPr>
          <w:rFonts w:ascii="Times New Roman" w:cs="Times New Roman" w:eastAsia="Times New Roman" w:hAnsi="Times New Roman"/>
          <w:sz w:val="18"/>
          <w:szCs w:val="18"/>
          <w:color w:val="auto"/>
        </w:rPr>
      </w:pPr>
    </w:p>
    <w:p>
      <w:pPr>
        <w:ind w:left="1980" w:right="559" w:hanging="360"/>
        <w:spacing w:after="0" w:line="263"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 amended and restated certificate of incorporation for Fortinet (the “Restated Certificate”) in order to implement a five-for-one forward stock split (the “Stock Split Proposal”) and to make certain other changes as reflected in the Restated Certificate and described in the Proxy Statement.</w:t>
      </w:r>
    </w:p>
    <w:p>
      <w:pPr>
        <w:spacing w:after="0" w:line="33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if properly presented before the meeting.</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proposals, if properly presented before the meeting.</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believe that a virtual stockholder meeting provides greater access to those who may want to attend and provides a safer forum in light of the ongoing COVID-19 pandemic, and therefore we have chosen this over an in-person meeting. We believe that hosting a virtual meeting will allow for greater stockholder attendance and participation from any location around the world. This approach also lowers costs and aligns with our broader sustainability goals.</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preceding items of business are more fully described in the proxy statement accompanying this notice. Any action on the items of business described above may be considered at the 2022 Annual Meeting at the time and on the date specified above or at any time and date to which the 2022 Annual Meeting may be properly adjourned or postponed. Only stockholders of record at the close of business on April 18, 2022 are entitled to notice of, and to vote at, the 2022 Annual Meeting.</w:t>
      </w:r>
    </w:p>
    <w:p>
      <w:pPr>
        <w:spacing w:after="0" w:line="10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Accordingly, stockholders of record at the close of business on April 18, 2022 will receive a Notice of Internet Availability of Proxy Materials and may vote at the 2022 Annual Meeting and any meetings pursuant to postponements or adjournments of the 2022 Annual Meeting. We expect to mail the Notice of Internet Availability of Proxy Materials on or about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2207260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Your vote is very important. Whether or not you plan to attend the 2022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2022 Annual Meeting and Procedural Matters” and the instructions on the Notice of Internet Availability of Proxy Materials.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ongoing support of Fortinet.</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128905</wp:posOffset>
            </wp:positionV>
            <wp:extent cx="109728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Ken Xie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5608320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6"/>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PROXY SUMMARY</w:t>
            </w:r>
          </w:p>
        </w:tc>
        <w:tc>
          <w:tcPr>
            <w:tcW w:w="5820" w:type="dxa"/>
            <w:vAlign w:val="bottom"/>
            <w:gridSpan w:val="26"/>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QUESTIONS AND ANSWERS ABOUT THE 2022 ANNUAL MEETING AND PROCEDURAL</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2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Why am I receiving these materials?</w:t>
            </w:r>
          </w:p>
        </w:tc>
        <w:tc>
          <w:tcPr>
            <w:tcW w:w="4460" w:type="dxa"/>
            <w:vAlign w:val="bottom"/>
            <w:gridSpan w:val="21"/>
          </w:tcPr>
          <w:p>
            <w:pPr>
              <w:spacing w:after="0"/>
              <w:rPr>
                <w:sz w:val="22"/>
                <w:szCs w:val="22"/>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Why did I receive a one-page notice in the mail regarding the internet availability of proxy</w:t>
            </w:r>
          </w:p>
        </w:tc>
        <w:tc>
          <w:tcPr>
            <w:tcW w:w="36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materials instead of a full set of proxy materials?</w:t>
            </w:r>
          </w:p>
        </w:tc>
        <w:tc>
          <w:tcPr>
            <w:tcW w:w="3340" w:type="dxa"/>
            <w:vAlign w:val="bottom"/>
            <w:gridSpan w:val="17"/>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can I get electronic access to the proxy materials?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Can I attend the 2022 Annual Meeting?</w:t>
            </w:r>
          </w:p>
        </w:tc>
        <w:tc>
          <w:tcPr>
            <w:tcW w:w="1180" w:type="dxa"/>
            <w:vAlign w:val="bottom"/>
            <w:gridSpan w:val="5"/>
          </w:tcPr>
          <w:p>
            <w:pPr>
              <w:spacing w:after="0"/>
              <w:rPr>
                <w:sz w:val="20"/>
                <w:szCs w:val="20"/>
                <w:color w:val="auto"/>
              </w:rPr>
            </w:pPr>
          </w:p>
        </w:tc>
        <w:tc>
          <w:tcPr>
            <w:tcW w:w="3060" w:type="dxa"/>
            <w:vAlign w:val="bottom"/>
            <w:gridSpan w:val="14"/>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can I ask questions at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Who is entitled to vote at the 2022 Annual Meeting?</w:t>
            </w:r>
          </w:p>
        </w:tc>
        <w:tc>
          <w:tcPr>
            <w:tcW w:w="3140" w:type="dxa"/>
            <w:vAlign w:val="bottom"/>
            <w:gridSpan w:val="15"/>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What is the difference between holding shares as a stockholder of record or as a beneficial</w:t>
            </w:r>
          </w:p>
        </w:tc>
        <w:tc>
          <w:tcPr>
            <w:tcW w:w="34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owner?</w:t>
            </w:r>
          </w:p>
        </w:tc>
        <w:tc>
          <w:tcPr>
            <w:tcW w:w="6480" w:type="dxa"/>
            <w:vAlign w:val="bottom"/>
            <w:gridSpan w:val="28"/>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5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How can I vote my shares without attending the 2022 Annual Meeting?</w:t>
            </w:r>
          </w:p>
        </w:tc>
        <w:tc>
          <w:tcPr>
            <w:tcW w:w="1820" w:type="dxa"/>
            <w:vAlign w:val="bottom"/>
            <w:gridSpan w:val="7"/>
          </w:tcPr>
          <w:p>
            <w:pPr>
              <w:spacing w:after="0"/>
              <w:rPr>
                <w:sz w:val="22"/>
                <w:szCs w:val="22"/>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7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How many shares must be present or represented to conduct business at the 2022 Annual</w:t>
            </w:r>
          </w:p>
        </w:tc>
        <w:tc>
          <w:tcPr>
            <w:tcW w:w="460" w:type="dxa"/>
            <w:vAlign w:val="bottom"/>
            <w:gridSpan w:val="5"/>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What proposals will be voted on at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What is the voting requirement to approve each of the proposals?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How are votes counted?</w:t>
            </w:r>
          </w:p>
        </w:tc>
        <w:tc>
          <w:tcPr>
            <w:tcW w:w="3100" w:type="dxa"/>
            <w:vAlign w:val="bottom"/>
            <w:gridSpan w:val="14"/>
          </w:tcPr>
          <w:p>
            <w:pPr>
              <w:spacing w:after="0"/>
              <w:rPr>
                <w:sz w:val="21"/>
                <w:szCs w:val="21"/>
                <w:color w:val="auto"/>
              </w:rPr>
            </w:pPr>
          </w:p>
        </w:tc>
        <w:tc>
          <w:tcPr>
            <w:tcW w:w="2300" w:type="dxa"/>
            <w:vAlign w:val="bottom"/>
            <w:gridSpan w:val="1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does the Board of Directors recommend that I vote?</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What happens if additional matters are presented at the 2022 Annual Meeting?</w:t>
            </w:r>
          </w:p>
        </w:tc>
        <w:tc>
          <w:tcPr>
            <w:tcW w:w="1280" w:type="dxa"/>
            <w:vAlign w:val="bottom"/>
            <w:gridSpan w:val="6"/>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Can I change my vote?</w:t>
            </w:r>
          </w:p>
        </w:tc>
        <w:tc>
          <w:tcPr>
            <w:tcW w:w="4200" w:type="dxa"/>
            <w:vAlign w:val="bottom"/>
            <w:gridSpan w:val="19"/>
          </w:tcPr>
          <w:p>
            <w:pPr>
              <w:spacing w:after="0"/>
              <w:rPr>
                <w:sz w:val="21"/>
                <w:szCs w:val="21"/>
                <w:color w:val="auto"/>
              </w:rPr>
            </w:pPr>
          </w:p>
        </w:tc>
        <w:tc>
          <w:tcPr>
            <w:tcW w:w="1280" w:type="dxa"/>
            <w:vAlign w:val="bottom"/>
            <w:gridSpan w:val="6"/>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What should I do if I receive more than one set of voting materials?</w:t>
            </w:r>
          </w:p>
        </w:tc>
        <w:tc>
          <w:tcPr>
            <w:tcW w:w="2100" w:type="dxa"/>
            <w:vAlign w:val="bottom"/>
            <w:gridSpan w:val="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Is my vote confidential?</w:t>
            </w:r>
          </w:p>
        </w:tc>
        <w:tc>
          <w:tcPr>
            <w:tcW w:w="3300" w:type="dxa"/>
            <w:vAlign w:val="bottom"/>
            <w:gridSpan w:val="15"/>
          </w:tcPr>
          <w:p>
            <w:pPr>
              <w:spacing w:after="0"/>
              <w:rPr>
                <w:sz w:val="21"/>
                <w:szCs w:val="21"/>
                <w:color w:val="auto"/>
              </w:rPr>
            </w:pPr>
          </w:p>
        </w:tc>
        <w:tc>
          <w:tcPr>
            <w:tcW w:w="2100" w:type="dxa"/>
            <w:vAlign w:val="bottom"/>
            <w:gridSpan w:val="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Who will serve as inspector of election?</w:t>
            </w:r>
          </w:p>
        </w:tc>
        <w:tc>
          <w:tcPr>
            <w:tcW w:w="4240" w:type="dxa"/>
            <w:vAlign w:val="bottom"/>
            <w:gridSpan w:val="1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Where can I find the voting results of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Who will bear the cost of soliciting votes for the 2022 Annual Meeting?</w:t>
            </w:r>
          </w:p>
        </w:tc>
        <w:tc>
          <w:tcPr>
            <w:tcW w:w="1820" w:type="dxa"/>
            <w:vAlign w:val="bottom"/>
            <w:gridSpan w:val="7"/>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7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What is the deadline to propose actions for consideration at next year’s annual meeting of</w:t>
            </w:r>
          </w:p>
        </w:tc>
        <w:tc>
          <w:tcPr>
            <w:tcW w:w="440" w:type="dxa"/>
            <w:vAlign w:val="bottom"/>
            <w:gridSpan w:val="4"/>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stockholders or to nominate individuals to serve as directors?</w:t>
            </w:r>
          </w:p>
        </w:tc>
        <w:tc>
          <w:tcPr>
            <w:tcW w:w="2400" w:type="dxa"/>
            <w:vAlign w:val="bottom"/>
            <w:gridSpan w:val="11"/>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5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How may I obtain a separate set of proxy materials or the 2021 Annual Report?</w:t>
            </w:r>
          </w:p>
        </w:tc>
        <w:tc>
          <w:tcPr>
            <w:tcW w:w="1280" w:type="dxa"/>
            <w:vAlign w:val="bottom"/>
            <w:gridSpan w:val="6"/>
          </w:tcPr>
          <w:p>
            <w:pPr>
              <w:spacing w:after="0"/>
              <w:rPr>
                <w:sz w:val="24"/>
                <w:szCs w:val="24"/>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PROPOSAL ONE — ELECTION OF DIRECTORS</w:t>
            </w:r>
          </w:p>
        </w:tc>
        <w:tc>
          <w:tcPr>
            <w:tcW w:w="3480" w:type="dxa"/>
            <w:vAlign w:val="bottom"/>
            <w:gridSpan w:val="1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General</w:t>
            </w:r>
          </w:p>
        </w:tc>
        <w:tc>
          <w:tcPr>
            <w:tcW w:w="3140" w:type="dxa"/>
            <w:vAlign w:val="bottom"/>
            <w:gridSpan w:val="11"/>
          </w:tcPr>
          <w:p>
            <w:pPr>
              <w:spacing w:after="0"/>
              <w:rPr>
                <w:sz w:val="21"/>
                <w:szCs w:val="21"/>
                <w:color w:val="auto"/>
              </w:rPr>
            </w:pPr>
          </w:p>
        </w:tc>
        <w:tc>
          <w:tcPr>
            <w:tcW w:w="3480" w:type="dxa"/>
            <w:vAlign w:val="bottom"/>
            <w:gridSpan w:val="1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Nominees</w:t>
            </w:r>
          </w:p>
        </w:tc>
        <w:tc>
          <w:tcPr>
            <w:tcW w:w="6480" w:type="dxa"/>
            <w:vAlign w:val="bottom"/>
            <w:gridSpan w:val="2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Information Regarding the Board of Directors and Director Nominees</w:t>
            </w:r>
          </w:p>
        </w:tc>
        <w:tc>
          <w:tcPr>
            <w:tcW w:w="1940" w:type="dxa"/>
            <w:vAlign w:val="bottom"/>
            <w:gridSpan w:val="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Director Expertise and Experience</w:t>
            </w:r>
          </w:p>
        </w:tc>
        <w:tc>
          <w:tcPr>
            <w:tcW w:w="2680" w:type="dxa"/>
            <w:vAlign w:val="bottom"/>
            <w:gridSpan w:val="14"/>
          </w:tcPr>
          <w:p>
            <w:pPr>
              <w:spacing w:after="0"/>
              <w:rPr>
                <w:sz w:val="21"/>
                <w:szCs w:val="21"/>
                <w:color w:val="auto"/>
              </w:rPr>
            </w:pPr>
          </w:p>
        </w:tc>
        <w:tc>
          <w:tcPr>
            <w:tcW w:w="1940" w:type="dxa"/>
            <w:vAlign w:val="bottom"/>
            <w:gridSpan w:val="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Board Diversity Matrix</w:t>
            </w:r>
          </w:p>
        </w:tc>
        <w:tc>
          <w:tcPr>
            <w:tcW w:w="4620" w:type="dxa"/>
            <w:vAlign w:val="bottom"/>
            <w:gridSpan w:val="22"/>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Director Tenure and Age Distribution</w:t>
            </w:r>
          </w:p>
        </w:tc>
        <w:tc>
          <w:tcPr>
            <w:tcW w:w="4380" w:type="dxa"/>
            <w:vAlign w:val="bottom"/>
            <w:gridSpan w:val="2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Board Evaluations</w:t>
            </w:r>
          </w:p>
        </w:tc>
        <w:tc>
          <w:tcPr>
            <w:tcW w:w="1440" w:type="dxa"/>
            <w:vAlign w:val="bottom"/>
            <w:gridSpan w:val="6"/>
          </w:tcPr>
          <w:p>
            <w:pPr>
              <w:spacing w:after="0"/>
              <w:rPr>
                <w:sz w:val="21"/>
                <w:szCs w:val="21"/>
                <w:color w:val="auto"/>
              </w:rPr>
            </w:pPr>
          </w:p>
        </w:tc>
        <w:tc>
          <w:tcPr>
            <w:tcW w:w="4380" w:type="dxa"/>
            <w:vAlign w:val="bottom"/>
            <w:gridSpan w:val="2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PROPOSAL TWO — RATIFICATION OF APPOINTMENT OF INDEPENDENT REGISTERED</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4780" w:type="dxa"/>
            <w:vAlign w:val="bottom"/>
            <w:gridSpan w:val="23"/>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General</w:t>
            </w:r>
          </w:p>
        </w:tc>
        <w:tc>
          <w:tcPr>
            <w:tcW w:w="1840" w:type="dxa"/>
            <w:vAlign w:val="bottom"/>
            <w:gridSpan w:val="6"/>
          </w:tcPr>
          <w:p>
            <w:pPr>
              <w:spacing w:after="0"/>
              <w:rPr>
                <w:sz w:val="24"/>
                <w:szCs w:val="24"/>
                <w:color w:val="auto"/>
              </w:rPr>
            </w:pPr>
          </w:p>
        </w:tc>
        <w:tc>
          <w:tcPr>
            <w:tcW w:w="4780" w:type="dxa"/>
            <w:vAlign w:val="bottom"/>
            <w:gridSpan w:val="23"/>
          </w:tcPr>
          <w:p>
            <w:pPr>
              <w:spacing w:after="0"/>
              <w:rPr>
                <w:sz w:val="24"/>
                <w:szCs w:val="24"/>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-6299835</wp:posOffset>
            </wp:positionV>
            <wp:extent cx="52120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-5828665</wp:posOffset>
            </wp:positionV>
            <wp:extent cx="52120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-5502910</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-5177155</wp:posOffset>
            </wp:positionV>
            <wp:extent cx="52120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-4705350</wp:posOffset>
            </wp:positionV>
            <wp:extent cx="521208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-4234180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-3891280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-3548380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-3205480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-2862580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-2519680</wp:posOffset>
            </wp:positionV>
            <wp:extent cx="52120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-1344930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-1002030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-6779895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8420" w:type="dxa"/>
            <w:vAlign w:val="bottom"/>
            <w:gridSpan w:val="32"/>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gridSpan w:val="4"/>
          </w:tcPr>
          <w:p>
            <w:pPr>
              <w:ind w:left="5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Approval of Audit and Non-Audit Services</w:t>
            </w:r>
          </w:p>
        </w:tc>
        <w:tc>
          <w:tcPr>
            <w:tcW w:w="3720" w:type="dxa"/>
            <w:vAlign w:val="bottom"/>
            <w:gridSpan w:val="13"/>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8420" w:type="dxa"/>
            <w:vAlign w:val="bottom"/>
            <w:gridSpan w:val="32"/>
          </w:tcPr>
          <w:p>
            <w:pPr>
              <w:ind w:left="1260"/>
              <w:spacing w:after="0"/>
              <w:rPr>
                <w:sz w:val="20"/>
                <w:szCs w:val="20"/>
                <w:color w:val="auto"/>
              </w:rPr>
            </w:pPr>
            <w:r>
              <w:rPr>
                <w:rFonts w:ascii="Times New Roman" w:cs="Times New Roman" w:eastAsia="Times New Roman" w:hAnsi="Times New Roman"/>
                <w:sz w:val="18"/>
                <w:szCs w:val="18"/>
                <w:color w:val="0000EE"/>
              </w:rPr>
              <w:t>PROPOSAL THREE — ADVISORY VOTE TO APPROVE NAMED EXECUTIVE OFFICER</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5540" w:type="dxa"/>
            <w:vAlign w:val="bottom"/>
            <w:tcBorders>
              <w:top w:val="single" w:sz="8" w:color="0000EE"/>
            </w:tcBorders>
            <w:gridSpan w:val="26"/>
          </w:tcPr>
          <w:p>
            <w:pPr>
              <w:spacing w:after="0"/>
              <w:rPr>
                <w:sz w:val="17"/>
                <w:szCs w:val="17"/>
                <w:color w:val="auto"/>
              </w:rPr>
            </w:pPr>
          </w:p>
        </w:tc>
        <w:tc>
          <w:tcPr>
            <w:tcW w:w="2300" w:type="dxa"/>
            <w:vAlign w:val="bottom"/>
            <w:gridSpan w:val="4"/>
          </w:tcPr>
          <w:p>
            <w:pPr>
              <w:ind w:left="5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68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PROPOSAL FOUR — ADOPTION OF AMENDED AND RESTATED CERTIFICATE OF</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INCORPORATION TO IMPLEMENT FIVE-FOR-ONE FORWARD STOCK SPLIT</w:t>
            </w:r>
          </w:p>
        </w:tc>
        <w:tc>
          <w:tcPr>
            <w:tcW w:w="580" w:type="dxa"/>
            <w:vAlign w:val="bottom"/>
            <w:gridSpan w:val="2"/>
          </w:tcPr>
          <w:p>
            <w:pPr>
              <w:spacing w:after="0"/>
              <w:rPr>
                <w:sz w:val="17"/>
                <w:szCs w:val="17"/>
                <w:color w:val="auto"/>
              </w:rPr>
            </w:pPr>
          </w:p>
        </w:tc>
        <w:tc>
          <w:tcPr>
            <w:tcW w:w="2300" w:type="dxa"/>
            <w:vAlign w:val="bottom"/>
            <w:gridSpan w:val="4"/>
          </w:tcPr>
          <w:p>
            <w:pPr>
              <w:ind w:left="5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PROPOSAL FIVE — STOCKHOLDER PROPOSAL</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CORPORATE SOCIAL RESPONSIBILITY</w:t>
            </w:r>
          </w:p>
        </w:tc>
        <w:tc>
          <w:tcPr>
            <w:tcW w:w="680" w:type="dxa"/>
            <w:vAlign w:val="bottom"/>
            <w:gridSpan w:val="3"/>
          </w:tcPr>
          <w:p>
            <w:pPr>
              <w:spacing w:after="0"/>
              <w:rPr>
                <w:sz w:val="20"/>
                <w:szCs w:val="20"/>
                <w:color w:val="auto"/>
              </w:rPr>
            </w:pPr>
          </w:p>
        </w:tc>
        <w:tc>
          <w:tcPr>
            <w:tcW w:w="3140" w:type="dxa"/>
            <w:vAlign w:val="bottom"/>
            <w:gridSpan w:val="11"/>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Environment</w:t>
            </w:r>
          </w:p>
        </w:tc>
        <w:tc>
          <w:tcPr>
            <w:tcW w:w="2180" w:type="dxa"/>
            <w:vAlign w:val="bottom"/>
            <w:gridSpan w:val="13"/>
          </w:tcPr>
          <w:p>
            <w:pPr>
              <w:spacing w:after="0"/>
              <w:rPr>
                <w:sz w:val="20"/>
                <w:szCs w:val="20"/>
                <w:color w:val="auto"/>
              </w:rPr>
            </w:pPr>
          </w:p>
        </w:tc>
        <w:tc>
          <w:tcPr>
            <w:tcW w:w="3820" w:type="dxa"/>
            <w:vAlign w:val="bottom"/>
            <w:gridSpan w:val="14"/>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rPr>
              <w:t>Social</w:t>
            </w:r>
          </w:p>
        </w:tc>
        <w:tc>
          <w:tcPr>
            <w:tcW w:w="500" w:type="dxa"/>
            <w:vAlign w:val="bottom"/>
            <w:gridSpan w:val="2"/>
          </w:tcPr>
          <w:p>
            <w:pPr>
              <w:spacing w:after="0"/>
              <w:rPr>
                <w:sz w:val="20"/>
                <w:szCs w:val="20"/>
                <w:color w:val="auto"/>
              </w:rPr>
            </w:pPr>
          </w:p>
        </w:tc>
        <w:tc>
          <w:tcPr>
            <w:tcW w:w="6000" w:type="dxa"/>
            <w:vAlign w:val="bottom"/>
            <w:gridSpan w:val="27"/>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Governance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Human Capital Management</w:t>
            </w:r>
          </w:p>
        </w:tc>
        <w:tc>
          <w:tcPr>
            <w:tcW w:w="4820" w:type="dxa"/>
            <w:vAlign w:val="bottom"/>
            <w:gridSpan w:val="23"/>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Corporate Governance Guidelines</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4140" w:type="dxa"/>
            <w:vAlign w:val="bottom"/>
            <w:gridSpan w:val="1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Majority Voting Standard for Director Elections and Director Resignation Policy</w:t>
            </w:r>
          </w:p>
        </w:tc>
        <w:tc>
          <w:tcPr>
            <w:tcW w:w="880" w:type="dxa"/>
            <w:vAlign w:val="bottom"/>
            <w:gridSpan w:val="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4380" w:type="dxa"/>
            <w:vAlign w:val="bottom"/>
            <w:gridSpan w:val="22"/>
          </w:tcPr>
          <w:p>
            <w:pPr>
              <w:spacing w:after="0"/>
              <w:rPr>
                <w:sz w:val="21"/>
                <w:szCs w:val="21"/>
                <w:color w:val="auto"/>
              </w:rPr>
            </w:pPr>
          </w:p>
        </w:tc>
        <w:tc>
          <w:tcPr>
            <w:tcW w:w="880" w:type="dxa"/>
            <w:vAlign w:val="bottom"/>
            <w:gridSpan w:val="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Board Meetings and Committees</w:t>
            </w:r>
          </w:p>
        </w:tc>
        <w:tc>
          <w:tcPr>
            <w:tcW w:w="4560" w:type="dxa"/>
            <w:vAlign w:val="bottom"/>
            <w:gridSpan w:val="20"/>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Human Resources Committee Interlocks and Insider Participation</w:t>
            </w:r>
          </w:p>
        </w:tc>
        <w:tc>
          <w:tcPr>
            <w:tcW w:w="2020" w:type="dxa"/>
            <w:vAlign w:val="bottom"/>
            <w:gridSpan w:val="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Anti-Hedging and Anti-Pledging Policy</w:t>
            </w:r>
          </w:p>
        </w:tc>
        <w:tc>
          <w:tcPr>
            <w:tcW w:w="2020" w:type="dxa"/>
            <w:vAlign w:val="bottom"/>
            <w:gridSpan w:val="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Board Leadership Structure</w:t>
            </w:r>
          </w:p>
        </w:tc>
        <w:tc>
          <w:tcPr>
            <w:tcW w:w="940" w:type="dxa"/>
            <w:vAlign w:val="bottom"/>
            <w:gridSpan w:val="8"/>
          </w:tcPr>
          <w:p>
            <w:pPr>
              <w:spacing w:after="0"/>
              <w:rPr>
                <w:sz w:val="21"/>
                <w:szCs w:val="21"/>
                <w:color w:val="auto"/>
              </w:rPr>
            </w:pP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Board of Directors’ Role in Risk Oversight</w:t>
            </w:r>
          </w:p>
        </w:tc>
        <w:tc>
          <w:tcPr>
            <w:tcW w:w="3720" w:type="dxa"/>
            <w:vAlign w:val="bottom"/>
            <w:gridSpan w:val="1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Cybersecurity Risk Oversight</w:t>
            </w:r>
          </w:p>
        </w:tc>
        <w:tc>
          <w:tcPr>
            <w:tcW w:w="1020" w:type="dxa"/>
            <w:vAlign w:val="bottom"/>
            <w:gridSpan w:val="9"/>
          </w:tcPr>
          <w:p>
            <w:pPr>
              <w:spacing w:after="0"/>
              <w:rPr>
                <w:sz w:val="21"/>
                <w:szCs w:val="21"/>
                <w:color w:val="auto"/>
              </w:rPr>
            </w:pPr>
          </w:p>
        </w:tc>
        <w:tc>
          <w:tcPr>
            <w:tcW w:w="3720" w:type="dxa"/>
            <w:vAlign w:val="bottom"/>
            <w:gridSpan w:val="1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Management Succession Planning</w:t>
            </w:r>
          </w:p>
        </w:tc>
        <w:tc>
          <w:tcPr>
            <w:tcW w:w="4420" w:type="dxa"/>
            <w:vAlign w:val="bottom"/>
            <w:gridSpan w:val="1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Oversight of Corporate Strategy</w:t>
            </w:r>
          </w:p>
        </w:tc>
        <w:tc>
          <w:tcPr>
            <w:tcW w:w="4420" w:type="dxa"/>
            <w:vAlign w:val="bottom"/>
            <w:gridSpan w:val="1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Process for Recommending Candidates for Election to the Board of Directors</w:t>
            </w:r>
          </w:p>
        </w:tc>
        <w:tc>
          <w:tcPr>
            <w:tcW w:w="1140" w:type="dxa"/>
            <w:vAlign w:val="bottom"/>
            <w:gridSpan w:val="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Proxy Access</w:t>
            </w:r>
          </w:p>
        </w:tc>
        <w:tc>
          <w:tcPr>
            <w:tcW w:w="1140" w:type="dxa"/>
            <w:vAlign w:val="bottom"/>
            <w:gridSpan w:val="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Attendance at Annual Meetings of Stockholders by the Board of Directors</w:t>
            </w:r>
          </w:p>
        </w:tc>
        <w:tc>
          <w:tcPr>
            <w:tcW w:w="1380" w:type="dxa"/>
            <w:vAlign w:val="bottom"/>
            <w:gridSpan w:val="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Contacting the Board of Directors</w:t>
            </w:r>
          </w:p>
        </w:tc>
        <w:tc>
          <w:tcPr>
            <w:tcW w:w="1380" w:type="dxa"/>
            <w:vAlign w:val="bottom"/>
            <w:gridSpan w:val="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EXECUTIVE OFFICERS</w:t>
            </w:r>
          </w:p>
        </w:tc>
        <w:tc>
          <w:tcPr>
            <w:tcW w:w="5260" w:type="dxa"/>
            <w:vAlign w:val="bottom"/>
            <w:gridSpan w:val="2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640" w:type="dxa"/>
            <w:vAlign w:val="bottom"/>
            <w:gridSpan w:val="21"/>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Elements of Our Compensation Program</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Determining the Amount of Elements of Executives’ Compensation in 2021</w:t>
            </w:r>
          </w:p>
        </w:tc>
        <w:tc>
          <w:tcPr>
            <w:tcW w:w="1240" w:type="dxa"/>
            <w:vAlign w:val="bottom"/>
            <w:gridSpan w:val="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Human Resources Committee Report</w:t>
            </w:r>
          </w:p>
        </w:tc>
        <w:tc>
          <w:tcPr>
            <w:tcW w:w="1240" w:type="dxa"/>
            <w:vAlign w:val="bottom"/>
            <w:gridSpan w:val="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2021 Summary Compensation Table</w:t>
            </w:r>
          </w:p>
        </w:tc>
        <w:tc>
          <w:tcPr>
            <w:tcW w:w="4240" w:type="dxa"/>
            <w:vAlign w:val="bottom"/>
            <w:gridSpan w:val="18"/>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Grants of Plan-Based Awards in 2021 Table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Outstanding Equity Awards at 2021 Fiscal Year-End Table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2021 Option Exercises and Stock Vested Table</w:t>
            </w:r>
          </w:p>
        </w:tc>
        <w:tc>
          <w:tcPr>
            <w:tcW w:w="2580" w:type="dxa"/>
            <w:vAlign w:val="bottom"/>
            <w:gridSpan w:val="10"/>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of Control</w:t>
            </w:r>
          </w:p>
        </w:tc>
        <w:tc>
          <w:tcPr>
            <w:tcW w:w="2440" w:type="dxa"/>
            <w:vAlign w:val="bottom"/>
            <w:gridSpan w:val="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CEO Pay Ratio Disclosure</w:t>
            </w:r>
          </w:p>
        </w:tc>
        <w:tc>
          <w:tcPr>
            <w:tcW w:w="2520" w:type="dxa"/>
            <w:vAlign w:val="bottom"/>
            <w:gridSpan w:val="15"/>
          </w:tcPr>
          <w:p>
            <w:pPr>
              <w:spacing w:after="0"/>
              <w:rPr>
                <w:sz w:val="21"/>
                <w:szCs w:val="21"/>
                <w:color w:val="auto"/>
              </w:rPr>
            </w:pPr>
          </w:p>
        </w:tc>
        <w:tc>
          <w:tcPr>
            <w:tcW w:w="2440" w:type="dxa"/>
            <w:vAlign w:val="bottom"/>
            <w:gridSpan w:val="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Compensation of Directors</w:t>
            </w:r>
          </w:p>
        </w:tc>
        <w:tc>
          <w:tcPr>
            <w:tcW w:w="4960" w:type="dxa"/>
            <w:vAlign w:val="bottom"/>
            <w:gridSpan w:val="2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color w:val="auto"/>
              </w:rPr>
              <w:t xml:space="preserve"> ​​</w:t>
            </w:r>
          </w:p>
        </w:tc>
      </w:tr>
      <w:tr>
        <w:trPr>
          <w:trHeight w:val="614"/>
        </w:trPr>
        <w:tc>
          <w:tcPr>
            <w:tcW w:w="1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ii</w:t>
            </w:r>
          </w:p>
        </w:tc>
        <w:tc>
          <w:tcPr>
            <w:tcW w:w="214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-7431405</wp:posOffset>
            </wp:positionV>
            <wp:extent cx="521208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3175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-6951345</wp:posOffset>
            </wp:positionV>
            <wp:extent cx="52120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-6625590</wp:posOffset>
            </wp:positionV>
            <wp:extent cx="52120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-6299835</wp:posOffset>
            </wp:positionV>
            <wp:extent cx="52120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-5974080</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-5631180</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-5288280</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-4945380</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-4259580</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-3916680</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-3573780</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-2887980</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-2545080</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-2202180</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-7920355</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70" w:type="dxa"/>
        <w:tblCellMar>
          <w:top w:w="0" w:type="dxa"/>
          <w:left w:w="0" w:type="dxa"/>
          <w:bottom w:w="0" w:type="dxa"/>
          <w:right w:w="0" w:type="dxa"/>
        </w:tblCellMar>
      </w:tblPr>
      <w:tr>
        <w:trPr>
          <w:trHeight w:val="379"/>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ind w:left="7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21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Related-Person Transactions</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9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Review of Related-Person Transactions</w:t>
            </w:r>
          </w:p>
        </w:tc>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480" w:type="dxa"/>
            <w:vAlign w:val="bottom"/>
            <w:tcBorders>
              <w:left w:val="single" w:sz="8" w:color="CCEEFF"/>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OWNERSHIP OF SECURITIES</w:t>
            </w:r>
          </w:p>
        </w:tc>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2"/>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198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56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520" w:type="dxa"/>
            <w:vAlign w:val="bottom"/>
            <w:tcBorders>
              <w:left w:val="single" w:sz="8" w:color="CCEEFF"/>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960" w:type="dxa"/>
            <w:vAlign w:val="bottom"/>
            <w:tcBorders>
              <w:bottom w:val="single" w:sz="8" w:color="CCEEFF"/>
            </w:tcBorders>
            <w:gridSpan w:val="5"/>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900" w:type="dxa"/>
            <w:vAlign w:val="bottom"/>
            <w:tcBorders>
              <w:top w:val="single" w:sz="8" w:color="CCEEFF"/>
            </w:tcBorders>
            <w:gridSpan w:val="9"/>
          </w:tcPr>
          <w:p>
            <w:pPr>
              <w:spacing w:after="0"/>
              <w:rPr>
                <w:sz w:val="20"/>
                <w:szCs w:val="20"/>
                <w:color w:val="auto"/>
              </w:rPr>
            </w:pPr>
            <w:r>
              <w:rPr>
                <w:rFonts w:ascii="Times New Roman" w:cs="Times New Roman" w:eastAsia="Times New Roman" w:hAnsi="Times New Roman"/>
                <w:sz w:val="18"/>
                <w:szCs w:val="18"/>
                <w:color w:val="0000EE"/>
              </w:rPr>
              <w:t>APPENDIX A — RECONCILIATION BETWEEN GAAP AND NON-GAAP FINANCIAL</w:t>
            </w: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MEASURES</w:t>
            </w:r>
          </w:p>
        </w:tc>
        <w:tc>
          <w:tcPr>
            <w:tcW w:w="136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b w:val="1"/>
                <w:bCs w:val="1"/>
                <w:color w:val="auto"/>
              </w:rPr>
              <w:t>​</w:t>
            </w:r>
          </w:p>
        </w:tc>
      </w:tr>
      <w:tr>
        <w:trPr>
          <w:trHeight w:val="34"/>
        </w:trPr>
        <w:tc>
          <w:tcPr>
            <w:tcW w:w="180" w:type="dxa"/>
            <w:vAlign w:val="bottom"/>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6900" w:type="dxa"/>
            <w:vAlign w:val="bottom"/>
            <w:tcBorders>
              <w:lef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B — PROPOSED RESTATED CERTIFICATE</w:t>
            </w:r>
          </w:p>
        </w:tc>
        <w:tc>
          <w:tcPr>
            <w:tcW w:w="1320" w:type="dxa"/>
            <w:vAlign w:val="bottom"/>
            <w:tcBorders>
              <w:right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180" w:type="dxa"/>
            <w:vAlign w:val="bottom"/>
            <w:tcBorders>
              <w:left w:val="single" w:sz="8" w:color="CCEEFF"/>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-1310640</wp:posOffset>
            </wp:positionV>
            <wp:extent cx="50063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for the Annual Meeting.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or “us.”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FINANCIAL AND BUSINESS HIGHLIGHTS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list below highlights our financial highlights for 2021.</w:t>
      </w:r>
    </w:p>
    <w:p>
      <w:pPr>
        <w:spacing w:after="0" w:line="104" w:lineRule="exact"/>
        <w:rPr>
          <w:sz w:val="20"/>
          <w:szCs w:val="20"/>
          <w:color w:val="auto"/>
        </w:rPr>
      </w:pPr>
    </w:p>
    <w:p>
      <w:pPr>
        <w:ind w:left="1800" w:right="11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added to the Nasdaq-100, an index of 100 of the largest nonfinancial Nasdaq-listed companies.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$3.34 billion for 2021, an increase of 29% compared to $2.59 billion in 2020.</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was $1.26 billion for 2021, an increase of 37% compared to $916.4 million in 2020.</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was $2.09 billion for 2021, an increase of 24% compared to $1.68 billion in 2020.</w:t>
      </w:r>
    </w:p>
    <w:p>
      <w:pPr>
        <w:spacing w:after="0" w:line="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were $4.18 billion for 2021, an increase of 35% compared to $3.09 billion in 2020.</w:t>
      </w:r>
      <w:r>
        <w:rPr>
          <w:rFonts w:ascii="Times New Roman" w:cs="Times New Roman" w:eastAsia="Times New Roman" w:hAnsi="Times New Roman"/>
          <w:sz w:val="26"/>
          <w:szCs w:val="26"/>
          <w:color w:val="auto"/>
          <w:vertAlign w:val="superscript"/>
        </w:rPr>
        <w:t>1</w:t>
      </w:r>
    </w:p>
    <w:p>
      <w:pPr>
        <w:spacing w:after="0" w:line="5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$1.50 billion during 2021, compared to $1.08 billion in 2020.</w:t>
      </w:r>
    </w:p>
    <w:p>
      <w:pPr>
        <w:spacing w:after="0" w:line="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$1.20 billion during 2021, compared to $907.8 million in 2020.</w:t>
      </w:r>
      <w:r>
        <w:rPr>
          <w:rFonts w:ascii="Times New Roman" w:cs="Times New Roman" w:eastAsia="Times New Roman" w:hAnsi="Times New Roman"/>
          <w:sz w:val="26"/>
          <w:szCs w:val="26"/>
          <w:color w:val="auto"/>
          <w:vertAlign w:val="superscript"/>
        </w:rPr>
        <w:t>1</w:t>
      </w:r>
    </w:p>
    <w:p>
      <w:pPr>
        <w:spacing w:after="0" w:line="59"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assigned rating of BBB+ from S&amp;P Global Ratings and a Baa1 rating from Moody’s Corporation as of December 31, 2021.</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accounted for approximately 36.8% of global UTM, Firewall and VPN shipments through 2021, according to International Data Corporation’s Worldwide Security Appliance Tracker.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ENVIRONMENTAL, SOCIAL AND GOVERNANCE HIGHLIGHTS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are committed to responsible environmental, social and governance (“ESG”) practices. The list below includes some of our ESG highlights for 2021, as discussed further in this Proxy Statement.</w:t>
      </w:r>
    </w:p>
    <w:p>
      <w:pPr>
        <w:spacing w:after="0" w:line="40" w:lineRule="exact"/>
        <w:rPr>
          <w:sz w:val="20"/>
          <w:szCs w:val="20"/>
          <w:color w:val="auto"/>
        </w:rPr>
      </w:pPr>
    </w:p>
    <w:p>
      <w:pPr>
        <w:ind w:left="1800" w:right="5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our commitment to become carbon neutral by 2030 in alignment with Science Based Targets Initiatives (“SBTi”).</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headquarters campus in Sunnyvale, California is on track for LEED Gold certification.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published our inaugural Diversity and Inclusion Report in 2021.</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comprised of directors with diverse backgrounds and experiences. More than 50% of our directors self-report racial diversity and 33% self-report gender diversity.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AND BOARD HIGHLIGHTS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spacing w:after="0" w:line="61" w:lineRule="exact"/>
        <w:rPr>
          <w:sz w:val="20"/>
          <w:szCs w:val="20"/>
          <w:color w:val="auto"/>
        </w:rPr>
      </w:pPr>
    </w:p>
    <w:p>
      <w:pPr>
        <w:ind w:left="1800" w:hanging="180"/>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directors are independent (seven out of nine current directors).</w:t>
      </w:r>
    </w:p>
    <w:p>
      <w:pPr>
        <w:spacing w:after="0" w:line="10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Independent Director is elected annually, to serve and function separately from the Chairman of the Board of Directors.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committees of the Board of Directors are composed of independent directors, with the exception of the Social Responsibility Committee of the Board of Directors (the “Social Responsibility Committee”).</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1620" w:right="739" w:hanging="36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See Appendix A for a reconciliation of the GAAP to Non-GAAP measures. An explanation of these measures is also included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-375920</wp:posOffset>
            </wp:positionV>
            <wp:extent cx="123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focused on enhancing diversity, equity and inclusion. Management frequently presents to the Human Resources Committee of the Board of Directors (the “Human Resources Committee”) on progress around diversity, equity and inclusion initiatives.</w:t>
      </w:r>
    </w:p>
    <w:p>
      <w:pPr>
        <w:spacing w:after="0" w:line="9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established the Social Responsibility Committee to oversee our Corporate Social Responsibility (“CSR”) strategy, initiatives and execution related to ESG practices.</w:t>
      </w:r>
    </w:p>
    <w:p>
      <w:pPr>
        <w:spacing w:after="0" w:line="8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focuses on broad risk oversight practices, including CSR, cybersecurity, data privacy, legal and regulatory matters, and other critical evolving areas.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regularly reviews our governance practices. Over the years, on its own initiative, our Board of Directors has made adjustments to our corporate governance practices as we have matured as a public company, such as changing from a Board of Directors with three-year staggered terms for each director, to one-year terms.</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regular executive sessions.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maintain open communication and strong working relationships among themselves and have regular access to management.</w:t>
      </w:r>
    </w:p>
    <w:p>
      <w:pPr>
        <w:spacing w:after="0" w:line="8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conducts a robust annual Board of Directors and committee self-assessment process.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related-party transaction standards for any direct or indirect involvement of a director in the company’s business activities.</w:t>
      </w:r>
    </w:p>
    <w:p>
      <w:pPr>
        <w:spacing w:after="0" w:line="8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non-employee directors are required to hold shares of our common stock pursuant to our Stock Ownership Guidelines for our non-employee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Agenda and Voting Recommendations</w:t>
      </w:r>
    </w:p>
    <w:p>
      <w:pPr>
        <w:spacing w:after="0" w:line="110" w:lineRule="exact"/>
        <w:rPr>
          <w:sz w:val="20"/>
          <w:szCs w:val="20"/>
          <w:color w:val="auto"/>
        </w:rPr>
      </w:pPr>
    </w:p>
    <w:p>
      <w:pPr>
        <w:jc w:val="both"/>
        <w:ind w:left="1260"/>
        <w:spacing w:after="0"/>
        <w:tabs>
          <w:tab w:leader="none" w:pos="6640" w:val="left"/>
          <w:tab w:leader="none" w:pos="94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ONE</w:t>
      </w:r>
    </w:p>
    <w:p>
      <w:pPr>
        <w:sectPr>
          <w:pgSz w:w="11900" w:h="16838" w:orient="portrait"/>
          <w:cols w:equalWidth="0" w:num="1">
            <w:col w:w="9879"/>
          </w:cols>
          <w:pgMar w:left="580" w:top="97" w:right="1440" w:bottom="1440" w:gutter="0" w:footer="0" w:header="0"/>
        </w:sectPr>
      </w:pP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122"/>
        </w:trPr>
        <w:tc>
          <w:tcPr>
            <w:tcW w:w="536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ELECTION OF DIRECTORS</w:t>
            </w:r>
          </w:p>
        </w:tc>
        <w:tc>
          <w:tcPr>
            <w:tcW w:w="140" w:type="dxa"/>
            <w:vAlign w:val="bottom"/>
            <w:tcBorders>
              <w:bottom w:val="single" w:sz="8" w:color="auto"/>
            </w:tcBorders>
          </w:tcPr>
          <w:p>
            <w:pPr>
              <w:spacing w:after="0"/>
              <w:rPr>
                <w:sz w:val="10"/>
                <w:szCs w:val="10"/>
                <w:color w:val="auto"/>
              </w:rPr>
            </w:pPr>
          </w:p>
        </w:tc>
      </w:tr>
      <w:tr>
        <w:trPr>
          <w:trHeight w:val="155"/>
        </w:trPr>
        <w:tc>
          <w:tcPr>
            <w:tcW w:w="53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w:t>
            </w:r>
          </w:p>
        </w:tc>
      </w:tr>
      <w:tr>
        <w:trPr>
          <w:trHeight w:val="63"/>
        </w:trPr>
        <w:tc>
          <w:tcPr>
            <w:tcW w:w="536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We are asking our stockholders to elect eight directors for a one-year</w:t>
            </w:r>
          </w:p>
        </w:tc>
        <w:tc>
          <w:tcPr>
            <w:tcW w:w="140" w:type="dxa"/>
            <w:vAlign w:val="bottom"/>
          </w:tcPr>
          <w:p>
            <w:pPr>
              <w:spacing w:after="0"/>
              <w:rPr>
                <w:sz w:val="5"/>
                <w:szCs w:val="5"/>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term expiring at Fortinet’s 2023 Annual Meeting of Stockholders (the</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“2023 Annual Meeting”) and until such director’s successor is duly</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elected and qualified or until such director’s earlier death, resignation,</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 The table below sets forth information</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our eight nominees standing for election. All of the</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nominees are currently serving as directors. Additional information</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about our director nominees and their respective qualifications can be</w:t>
            </w:r>
          </w:p>
        </w:tc>
        <w:tc>
          <w:tcPr>
            <w:tcW w:w="1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found under the section titled “Proposal One — Election of Directors</w:t>
            </w:r>
          </w:p>
        </w:tc>
        <w:tc>
          <w:tcPr>
            <w:tcW w:w="14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 Nominees to Our Board of Directors.”</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-442595</wp:posOffset>
            </wp:positionV>
            <wp:extent cx="248920" cy="248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each of the nominees</w:t>
      </w:r>
    </w:p>
    <w:p>
      <w:pPr>
        <w:spacing w:after="0" w:line="858" w:lineRule="exact"/>
        <w:rPr>
          <w:sz w:val="20"/>
          <w:szCs w:val="20"/>
          <w:color w:val="auto"/>
        </w:rPr>
      </w:pPr>
    </w:p>
    <w:p>
      <w:pPr>
        <w:sectPr>
          <w:pgSz w:w="11900" w:h="16838" w:orient="portrait"/>
          <w:cols w:equalWidth="0" w:num="2">
            <w:col w:w="6760" w:space="360"/>
            <w:col w:w="27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51"/>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Director Since</w:t>
            </w:r>
          </w:p>
        </w:tc>
      </w:tr>
      <w:tr>
        <w:trPr>
          <w:trHeight w:val="218"/>
        </w:trPr>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 Xie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2000</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February 2001</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Kenneth A. Goldman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October 2020</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Ming Hsieh</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April 2013</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Jean Hu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October 2019</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William H. Neukom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January 2013</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Judith Sim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June 2015</w:t>
            </w:r>
          </w:p>
        </w:tc>
      </w:tr>
      <w:tr>
        <w:trPr>
          <w:trHeight w:val="47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49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October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-1652270</wp:posOffset>
            </wp:positionV>
            <wp:extent cx="5212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7"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TWO</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38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RATIFICATION OF APPOINTMENT OF INDEPENDENT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3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We are asking our stockholders to ratify the audit committee’s</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Deloitte &amp; Touche LLP as our independent registered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public accounting firm for the year ending December 31, 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regarding fees paid to Deloitte &amp; Touche LLP during 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and 2020 can be found under the section titled “Proposal Two —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285750</wp:posOffset>
            </wp:positionV>
            <wp:extent cx="24892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“FOR” Proposal Two</w:t>
      </w:r>
    </w:p>
    <w:p>
      <w:pPr>
        <w:spacing w:after="0" w:line="774"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THREE</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34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34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ADVISORY VOTE TO APPROVE NAMED EXECUTIVE OFFICER</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3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We are asking our stockholders to approve, on an advisory and non-</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binding basis, the compensation of our named executive officers as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disclosed in accordance with the SEC’s rules in the “</w:t>
            </w:r>
            <w:r>
              <w:rPr>
                <w:rFonts w:ascii="Times New Roman" w:cs="Times New Roman" w:eastAsia="Times New Roman" w:hAnsi="Times New Roman"/>
                <w:sz w:val="18"/>
                <w:szCs w:val="18"/>
                <w:i w:val="1"/>
                <w:iCs w:val="1"/>
                <w:color w:val="auto"/>
              </w:rPr>
              <w:t>Executive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section of this proxy statement. Information regarding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of our named executive officers can be found under the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section titled “Proposal Three — Vote to Approve Named Executive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285750</wp:posOffset>
            </wp:positionV>
            <wp:extent cx="24892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jc w:val="right"/>
        <w:ind w:right="819"/>
        <w:spacing w:after="0" w:line="290" w:lineRule="auto"/>
        <w:rPr>
          <w:sz w:val="20"/>
          <w:szCs w:val="20"/>
          <w:color w:val="auto"/>
        </w:rPr>
      </w:pPr>
      <w:r>
        <w:rPr>
          <w:rFonts w:ascii="Times New Roman" w:cs="Times New Roman" w:eastAsia="Times New Roman" w:hAnsi="Times New Roman"/>
          <w:sz w:val="17"/>
          <w:szCs w:val="17"/>
          <w:b w:val="1"/>
          <w:bCs w:val="1"/>
          <w:color w:val="auto"/>
        </w:rPr>
        <w:t>RECOMMENDATION: “FOR” Proposal Three</w:t>
      </w:r>
    </w:p>
    <w:p>
      <w:pPr>
        <w:spacing w:after="0" w:line="724"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03"/>
        </w:trPr>
        <w:tc>
          <w:tcPr>
            <w:tcW w:w="53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FOUR</w:t>
            </w:r>
          </w:p>
        </w:tc>
        <w:tc>
          <w:tcPr>
            <w:tcW w:w="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55"/>
        </w:trPr>
        <w:tc>
          <w:tcPr>
            <w:tcW w:w="53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r>
      <w:tr>
        <w:trPr>
          <w:trHeight w:val="59"/>
        </w:trPr>
        <w:tc>
          <w:tcPr>
            <w:tcW w:w="530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ADOPTION OF AMENDED AND RESTATED CERTIFICATE 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INCORPORATION TO IMPLEMENT FIVE-FOR-ONE FORWARD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SPLIT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2" w:lineRule="exact"/>
        <w:rPr>
          <w:sz w:val="20"/>
          <w:szCs w:val="20"/>
          <w:color w:val="auto"/>
        </w:rPr>
      </w:pPr>
    </w:p>
    <w:p>
      <w:pPr>
        <w:ind w:left="1260" w:right="120"/>
        <w:spacing w:after="0" w:line="259" w:lineRule="auto"/>
        <w:rPr>
          <w:sz w:val="20"/>
          <w:szCs w:val="20"/>
          <w:color w:val="auto"/>
        </w:rPr>
      </w:pPr>
      <w:r>
        <w:rPr>
          <w:rFonts w:ascii="Times New Roman" w:cs="Times New Roman" w:eastAsia="Times New Roman" w:hAnsi="Times New Roman"/>
          <w:sz w:val="18"/>
          <w:szCs w:val="18"/>
          <w:color w:val="auto"/>
        </w:rPr>
        <w:t>​We are asking our stockholders to approve the adoption of the Restated ​ Certificate in order to implement a five-for-one forward stock split and to make certain other administrative changes as reflected in the Restated Certificate and described in this Proxy Statement. Information regarding the Restated Certificate and the Stock Split Proposal can be found under the section titled “Proposal Four — Adoption of Amended and Restated Certificate of Incorporation to Implement Five-for-One Forward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-1130935</wp:posOffset>
            </wp:positionV>
            <wp:extent cx="3497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422910</wp:posOffset>
            </wp:positionV>
            <wp:extent cx="24892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Proposal Four</w:t>
      </w:r>
    </w:p>
    <w:p>
      <w:pPr>
        <w:spacing w:after="0" w:line="910"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p>
      <w:pPr>
        <w:ind w:left="1260"/>
        <w:spacing w:after="0"/>
        <w:tabs>
          <w:tab w:leader="none" w:pos="6640" w:val="left"/>
          <w:tab w:leader="none" w:pos="94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FIVE</w:t>
      </w:r>
    </w:p>
    <w:p>
      <w:pPr>
        <w:sectPr>
          <w:pgSz w:w="11900" w:h="16838" w:orient="portrait"/>
          <w:cols w:equalWidth="0" w:num="1">
            <w:col w:w="9879"/>
          </w:cols>
          <w:pgMar w:left="580" w:top="97" w:right="1440" w:bottom="1440" w:gutter="0" w:footer="0" w:header="0"/>
          <w:type w:val="continuous"/>
        </w:sectPr>
      </w:pP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121"/>
        </w:trPr>
        <w:tc>
          <w:tcPr>
            <w:tcW w:w="538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STOCKHOLDER PROPOSAL</w:t>
            </w:r>
          </w:p>
        </w:tc>
        <w:tc>
          <w:tcPr>
            <w:tcW w:w="120" w:type="dxa"/>
            <w:vAlign w:val="bottom"/>
            <w:tcBorders>
              <w:bottom w:val="single" w:sz="8" w:color="auto"/>
            </w:tcBorders>
          </w:tcPr>
          <w:p>
            <w:pPr>
              <w:spacing w:after="0"/>
              <w:rPr>
                <w:sz w:val="10"/>
                <w:szCs w:val="10"/>
                <w:color w:val="auto"/>
              </w:rPr>
            </w:pPr>
          </w:p>
        </w:tc>
      </w:tr>
      <w:tr>
        <w:trPr>
          <w:trHeight w:val="155"/>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r>
      <w:tr>
        <w:trPr>
          <w:trHeight w:val="63"/>
        </w:trPr>
        <w:tc>
          <w:tcPr>
            <w:tcW w:w="53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The Board of Directors has considered the proposal relating to the</w:t>
            </w:r>
          </w:p>
        </w:tc>
        <w:tc>
          <w:tcPr>
            <w:tcW w:w="120" w:type="dxa"/>
            <w:vAlign w:val="bottom"/>
          </w:tcPr>
          <w:p>
            <w:pPr>
              <w:spacing w:after="0"/>
              <w:rPr>
                <w:sz w:val="5"/>
                <w:szCs w:val="5"/>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removal of supermajority voting standards in our amended and restated</w:t>
            </w:r>
          </w:p>
        </w:tc>
        <w:tc>
          <w:tcPr>
            <w:tcW w:w="1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amended and restated bylaws and has</w:t>
            </w:r>
          </w:p>
        </w:tc>
        <w:tc>
          <w:tcPr>
            <w:tcW w:w="1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determined to make no voting recommendation to our stockholders.</w:t>
            </w:r>
          </w:p>
        </w:tc>
        <w:tc>
          <w:tcPr>
            <w:tcW w:w="12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 proposal is advisory in nature only.</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59690</wp:posOffset>
            </wp:positionV>
            <wp:extent cx="5212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HAS NO VOTING</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RECOMMENDATION FOR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THIS PROPOSAL</w:t>
      </w:r>
    </w:p>
    <w:p>
      <w:pPr>
        <w:spacing w:after="0" w:line="614" w:lineRule="exact"/>
        <w:rPr>
          <w:sz w:val="20"/>
          <w:szCs w:val="20"/>
          <w:color w:val="auto"/>
        </w:rPr>
      </w:pPr>
    </w:p>
    <w:p>
      <w:pPr>
        <w:sectPr>
          <w:pgSz w:w="11900" w:h="16838" w:orient="portrait"/>
          <w:cols w:equalWidth="0" w:num="2">
            <w:col w:w="6760" w:space="200"/>
            <w:col w:w="29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899 Kifer Road</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201930</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174" w:lineRule="exact"/>
        <w:rPr>
          <w:sz w:val="20"/>
          <w:szCs w:val="20"/>
          <w:color w:val="auto"/>
        </w:rPr>
      </w:pPr>
    </w:p>
    <w:p>
      <w:pPr>
        <w:ind w:left="1260" w:right="479" w:firstLine="70"/>
        <w:spacing w:after="0" w:line="409" w:lineRule="auto"/>
        <w:rPr>
          <w:sz w:val="20"/>
          <w:szCs w:val="20"/>
          <w:color w:val="auto"/>
        </w:rPr>
      </w:pPr>
      <w:r>
        <w:rPr>
          <w:rFonts w:ascii="Times New Roman" w:cs="Times New Roman" w:eastAsia="Times New Roman" w:hAnsi="Times New Roman"/>
          <w:sz w:val="18"/>
          <w:szCs w:val="18"/>
          <w:b w:val="1"/>
          <w:bCs w:val="1"/>
          <w:color w:val="auto"/>
        </w:rPr>
        <w:t>QUESTIONS AND ANSWERS ABOUT THE 2022 ANNUAL MEETING AND PROCEDURAL MATTERS Q: Why am I receiving these materials?</w:t>
      </w:r>
    </w:p>
    <w:p>
      <w:pPr>
        <w:spacing w:after="0" w:line="1" w:lineRule="exact"/>
        <w:rPr>
          <w:sz w:val="20"/>
          <w:szCs w:val="20"/>
          <w:color w:val="auto"/>
        </w:rPr>
      </w:pPr>
    </w:p>
    <w:p>
      <w:pPr>
        <w:ind w:left="1620" w:right="539" w:hanging="360"/>
        <w:spacing w:after="0" w:line="258"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(the “Board of Directors”) of Fortinet, Inc. (“Fortinet,” “we,” “us” or “our”) is providing these proxy materials to you in connection with the solicitation of proxies for use at Fortinet’s 2022 Annual Meeting of Stockholders (the “2022 Annual Meeting”), to be held on Friday, June 17, 2022 at 10:00 a.m. Pacific time, and at any adjournment or postponement thereof, for the purpose of considering and acting upon the matters set forth in this proxy statement.</w:t>
      </w:r>
    </w:p>
    <w:p>
      <w:pPr>
        <w:spacing w:after="0" w:line="88" w:lineRule="exact"/>
        <w:rPr>
          <w:rFonts w:ascii="Times New Roman" w:cs="Times New Roman" w:eastAsia="Times New Roman" w:hAnsi="Times New Roman"/>
          <w:sz w:val="18"/>
          <w:szCs w:val="18"/>
          <w:color w:val="auto"/>
        </w:rPr>
      </w:pPr>
    </w:p>
    <w:p>
      <w:pPr>
        <w:ind w:left="1620" w:right="7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expect to mail the Notice of Internet Availability of Proxy Materials (the “Notice”) on or about May 4, 2022. Copies of our proxy materials and 2021 Annual Report are available at </w:t>
      </w:r>
      <w:r>
        <w:rPr>
          <w:rFonts w:ascii="Times New Roman" w:cs="Times New Roman" w:eastAsia="Times New Roman" w:hAnsi="Times New Roman"/>
          <w:sz w:val="18"/>
          <w:szCs w:val="18"/>
          <w:i w:val="1"/>
          <w:iCs w:val="1"/>
          <w:color w:val="auto"/>
        </w:rPr>
        <w:t>www.edocumentview.com/FTNT</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public health risk of the COVID-19 pandemic and to support the health and well-being of our stockholders and other meeting participants, the 2022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2022 Annual Meeting in person.</w:t>
      </w:r>
    </w:p>
    <w:p>
      <w:pPr>
        <w:spacing w:after="0" w:line="298" w:lineRule="exact"/>
        <w:rPr>
          <w:sz w:val="20"/>
          <w:szCs w:val="20"/>
          <w:color w:val="auto"/>
        </w:rPr>
      </w:pPr>
    </w:p>
    <w:p>
      <w:pPr>
        <w:ind w:left="1620" w:right="919" w:hanging="360"/>
        <w:spacing w:after="0" w:line="286" w:lineRule="auto"/>
        <w:tabs>
          <w:tab w:leader="none" w:pos="1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78" w:lineRule="exact"/>
        <w:rPr>
          <w:sz w:val="20"/>
          <w:szCs w:val="20"/>
          <w:color w:val="auto"/>
        </w:rPr>
      </w:pPr>
    </w:p>
    <w:p>
      <w:pPr>
        <w:ind w:left="1620" w:right="479" w:hanging="360"/>
        <w:spacing w:after="0" w:line="255"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w:t>
      </w:r>
    </w:p>
    <w:p>
      <w:pPr>
        <w:spacing w:after="0" w:line="2"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10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get electronic access to the proxy materials?</w:t>
      </w:r>
    </w:p>
    <w:p>
      <w:pPr>
        <w:spacing w:after="0" w:line="148"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will provide you with instructions regarding how to:</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2022 Annual Meeting on the internet;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future proxy materials sent to you electronically by email.</w:t>
      </w:r>
    </w:p>
    <w:p>
      <w:pPr>
        <w:spacing w:after="0" w:line="158" w:lineRule="exact"/>
        <w:rPr>
          <w:sz w:val="20"/>
          <w:szCs w:val="20"/>
          <w:color w:val="auto"/>
        </w:rPr>
      </w:pPr>
    </w:p>
    <w:p>
      <w:pPr>
        <w:ind w:left="1620" w:right="459"/>
        <w:spacing w:after="0" w:line="250"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9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attend the 2022 Annual Meeting?</w:t>
      </w:r>
    </w:p>
    <w:p>
      <w:pPr>
        <w:spacing w:after="0" w:line="148" w:lineRule="exact"/>
        <w:rPr>
          <w:sz w:val="20"/>
          <w:szCs w:val="20"/>
          <w:color w:val="auto"/>
        </w:rPr>
      </w:pPr>
    </w:p>
    <w:p>
      <w:pPr>
        <w:ind w:left="1620" w:right="459" w:hanging="36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a stockholder of record at the close of business on April 18, 2022 (the “Record Date”) (i.e., your shares were registered directly in your name with our transfer agent, Computershare Trust Company, N.A. (“Computershare”)) or if you are a proxy holder for such a stockholder, you may participate in the 2022 Annual Meeting by following the instructions below:</w:t>
      </w:r>
    </w:p>
    <w:p>
      <w:pPr>
        <w:spacing w:after="0" w:line="7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at 9:45 a.m. Pacific Time on June 17, 2022, please visit www.meetnow.global/MVG5Z49.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the 15-digit control number on the Proxy Card or Notice of Availability of Proxy Materials you receive.</w:t>
      </w:r>
    </w:p>
    <w:p>
      <w:pPr>
        <w:spacing w:after="0" w:line="94" w:lineRule="exact"/>
        <w:rPr>
          <w:sz w:val="20"/>
          <w:szCs w:val="20"/>
          <w:color w:val="auto"/>
        </w:rPr>
      </w:pPr>
    </w:p>
    <w:p>
      <w:pPr>
        <w:jc w:val="both"/>
        <w:ind w:left="1620" w:right="919"/>
        <w:spacing w:after="0" w:line="266" w:lineRule="auto"/>
        <w:rPr>
          <w:sz w:val="20"/>
          <w:szCs w:val="20"/>
          <w:color w:val="auto"/>
        </w:rPr>
      </w:pPr>
      <w:r>
        <w:rPr>
          <w:rFonts w:ascii="Times New Roman" w:cs="Times New Roman" w:eastAsia="Times New Roman" w:hAnsi="Times New Roman"/>
          <w:sz w:val="18"/>
          <w:szCs w:val="18"/>
          <w:color w:val="auto"/>
        </w:rPr>
        <w:t>If you held your shares through an intermediary on the Record Date (i.e., you hold your shares in “street name” through an intermediary, such as a bank or broker), you must register in advance to virtually attend the 2022 Annual Meeting by following the instructions below:</w:t>
      </w:r>
    </w:p>
    <w:p>
      <w:pPr>
        <w:spacing w:after="0" w:line="68" w:lineRule="exact"/>
        <w:rPr>
          <w:sz w:val="20"/>
          <w:szCs w:val="20"/>
          <w:color w:val="auto"/>
        </w:rPr>
      </w:pPr>
    </w:p>
    <w:p>
      <w:pPr>
        <w:ind w:left="1800" w:right="51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obtain a legal proxy, executed in your favor, from the holder of record reflecting the number of shares of common stock you held as of the Record Date, along with your name and email address.</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proof of your legal proxy by forwarding the email from your broker, or attaching an image of your legal proxy, to legalproxy@computershare.com. Requests for registration must be labeled as “Legal Proxy” and be received no later than 5:00 p.m. Eastern Time, on June 10, 2022. You will then receive a confirmation of your registration, with a control number, by email from Computershare.</w:t>
      </w:r>
    </w:p>
    <w:p>
      <w:pPr>
        <w:spacing w:after="0" w:line="71"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2022 Annual Meeting, go to www.meetnow.global/MVG5Z49 and enter your control number.</w:t>
      </w:r>
    </w:p>
    <w:p>
      <w:pPr>
        <w:spacing w:after="0" w:line="94"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www.meetnow.global/MVG5Z49.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(888) 724-2416.</w:t>
      </w:r>
    </w:p>
    <w:p>
      <w:pPr>
        <w:spacing w:after="0" w:line="19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ask questions at the 2022 Annual Meeting?</w:t>
      </w:r>
    </w:p>
    <w:p>
      <w:pPr>
        <w:spacing w:after="0" w:line="162" w:lineRule="exact"/>
        <w:rPr>
          <w:sz w:val="20"/>
          <w:szCs w:val="20"/>
          <w:color w:val="auto"/>
        </w:rPr>
      </w:pPr>
    </w:p>
    <w:p>
      <w:pPr>
        <w:ind w:left="1620" w:right="459" w:hanging="360"/>
        <w:spacing w:after="0" w:line="266"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able to attend the 2022 Annual Meeting online and submit your questions during the meeting by visiting www.meetnow.global/MVG5Z49. For technical support, please call Computershare toll free at (866) 276-4119.</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2022 Annual Meeting?</w:t>
      </w:r>
    </w:p>
    <w:p>
      <w:pPr>
        <w:spacing w:after="0" w:line="162" w:lineRule="exact"/>
        <w:rPr>
          <w:sz w:val="20"/>
          <w:szCs w:val="20"/>
          <w:color w:val="auto"/>
        </w:rPr>
      </w:pPr>
    </w:p>
    <w:p>
      <w:pPr>
        <w:ind w:left="1620" w:right="479" w:hanging="360"/>
        <w:spacing w:after="0" w:line="259"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your shares of Fortinet common stock if our records show that you owned your shares at the close of business on the Record Date. At the close of business on the Record Date, there were 160,268,931 shares of Fortinet common stock outstanding and entitled to vote at the 2022 Annual Meeting. You may cast one vote for each share of common stock held by you as of the Record Date on all matters presented.</w:t>
      </w:r>
    </w:p>
    <w:p>
      <w:pPr>
        <w:spacing w:after="0" w:line="39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 What is the difference between holding shares as a stockholder of record or as a beneficial owner?</w:t>
      </w:r>
    </w:p>
    <w:p>
      <w:pPr>
        <w:spacing w:after="0" w:line="148" w:lineRule="exact"/>
        <w:rPr>
          <w:sz w:val="20"/>
          <w:szCs w:val="20"/>
          <w:color w:val="auto"/>
        </w:rPr>
      </w:pPr>
    </w:p>
    <w:p>
      <w:pPr>
        <w:ind w:left="1620" w:right="459" w:hanging="360"/>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2022 Annual Meeting.</w:t>
      </w:r>
    </w:p>
    <w:p>
      <w:pPr>
        <w:spacing w:after="0" w:line="112" w:lineRule="exact"/>
        <w:rPr>
          <w:rFonts w:ascii="Times New Roman" w:cs="Times New Roman" w:eastAsia="Times New Roman" w:hAnsi="Times New Roman"/>
          <w:sz w:val="18"/>
          <w:szCs w:val="18"/>
          <w:color w:val="auto"/>
        </w:rPr>
      </w:pPr>
    </w:p>
    <w:p>
      <w:pPr>
        <w:ind w:left="1620" w:right="4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2022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2022 Annual Meeting unless you obtain a “legal proxy” from the broker, trustee or nominee that holds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your shares, giving you the right to vote the shares at the 2022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w:t>
      </w:r>
    </w:p>
    <w:p>
      <w:pPr>
        <w:spacing w:after="0" w:line="117" w:lineRule="exact"/>
        <w:rPr>
          <w:sz w:val="20"/>
          <w:szCs w:val="20"/>
          <w:color w:val="auto"/>
        </w:rPr>
      </w:pPr>
    </w:p>
    <w:p>
      <w:pPr>
        <w:jc w:val="both"/>
        <w:ind w:left="1800" w:right="5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not have the authority to exercise discretion to vote your shares with respect to the election of directors, the advisory vote on named executive officer compensation or the stockholder proposal.</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have the authority to exercise discretion to vote your shares with respect to the appointment of Deloitte &amp; Touche LLP as our independent registered public accounting firm for the year ending December 31, 2022 and the vote on the Stock Split Proposal, because those matters are treated as routine under NYSE rules.</w:t>
      </w:r>
    </w:p>
    <w:p>
      <w:pPr>
        <w:spacing w:after="0" w:line="112"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Because the proposals to be acted upon at the 2022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108"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vote my shares without attending the 2022 Annual Meeting?</w:t>
      </w:r>
    </w:p>
    <w:p>
      <w:pPr>
        <w:spacing w:after="0" w:line="158" w:lineRule="exact"/>
        <w:rPr>
          <w:sz w:val="20"/>
          <w:szCs w:val="20"/>
          <w:color w:val="auto"/>
        </w:rPr>
      </w:pPr>
    </w:p>
    <w:p>
      <w:pPr>
        <w:ind w:left="1620" w:right="439" w:hanging="360"/>
        <w:spacing w:after="0" w:line="259"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are encouraged to vote your shares in advance of the 2022 Annual Meeting. </w:t>
      </w:r>
      <w:r>
        <w:rPr>
          <w:rFonts w:ascii="Times New Roman" w:cs="Times New Roman" w:eastAsia="Times New Roman" w:hAnsi="Times New Roman"/>
          <w:sz w:val="18"/>
          <w:szCs w:val="18"/>
          <w:color w:val="auto"/>
        </w:rPr>
        <w:t>If voting in advance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2022 Annual Meeting, the steps required to cast your votes are the same as indicated in the materials received with the Proxy Statement. If you have not already voted your shares in advance, you will be able to vote your shares electronically during the 2022 Annual Meeting by clicking on the “Cast Your Vote” link on the Meeting Center site.</w:t>
      </w:r>
    </w:p>
    <w:p>
      <w:pPr>
        <w:spacing w:after="0" w:line="115" w:lineRule="exact"/>
        <w:rPr>
          <w:rFonts w:ascii="Times New Roman" w:cs="Times New Roman" w:eastAsia="Times New Roman" w:hAnsi="Times New Roman"/>
          <w:sz w:val="18"/>
          <w:szCs w:val="18"/>
          <w:color w:val="auto"/>
        </w:rPr>
      </w:pPr>
    </w:p>
    <w:p>
      <w:pPr>
        <w:jc w:val="both"/>
        <w:ind w:left="1620" w:right="5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hold shares directly as the stockholder of record or beneficially in street name, you may direct how your shares are voted without attending the 2022 Annual Meeting. There are three ways to vote by proxy:</w:t>
      </w:r>
    </w:p>
    <w:p>
      <w:pPr>
        <w:spacing w:after="0" w:line="90" w:lineRule="exact"/>
        <w:rPr>
          <w:rFonts w:ascii="Times New Roman" w:cs="Times New Roman" w:eastAsia="Times New Roman" w:hAnsi="Times New Roman"/>
          <w:sz w:val="18"/>
          <w:szCs w:val="18"/>
          <w:color w:val="auto"/>
        </w:rPr>
      </w:pPr>
    </w:p>
    <w:p>
      <w:pPr>
        <w:ind w:left="1620" w:right="51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If you are a stockholder of record, you may vote by submitting a proxy card; please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108" w:lineRule="exact"/>
        <w:rPr>
          <w:rFonts w:ascii="Times New Roman" w:cs="Times New Roman" w:eastAsia="Times New Roman" w:hAnsi="Times New Roman"/>
          <w:sz w:val="18"/>
          <w:szCs w:val="18"/>
          <w:color w:val="auto"/>
        </w:rPr>
      </w:pPr>
    </w:p>
    <w:p>
      <w:pPr>
        <w:ind w:left="1620" w:right="53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Stockholders of record of Fortinet common stock with internet access may submit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proxies by following the “Vote by Internet” instructions described in the Notice until 11:59 p.m. Eastern time on Thursday, June 16, 2022 or by following the instructions at www.meetnow.global/MVG5Z49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Most Fortinet stockholders who hold shares beneficially in street name may vote by accessing the website specified in the voting instructions provided by their brokers, trustees or nominees. Please check the voting instructions for internet voting availability.</w:t>
      </w:r>
    </w:p>
    <w:p>
      <w:pPr>
        <w:spacing w:after="0" w:line="101" w:lineRule="exact"/>
        <w:rPr>
          <w:rFonts w:ascii="Times New Roman" w:cs="Times New Roman" w:eastAsia="Times New Roman" w:hAnsi="Times New Roman"/>
          <w:sz w:val="18"/>
          <w:szCs w:val="18"/>
          <w:color w:val="auto"/>
        </w:rPr>
      </w:pPr>
    </w:p>
    <w:p>
      <w:pPr>
        <w:ind w:left="1620" w:right="5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 Depending on how your shares are held, you may be able to vote by telephone.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available to you, you will have received information with the Notice or the voting instruction card provided by your broker, trustee or nominee explaining this procedure.</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many shares must be present or represented to conduct business at the 2022 Annual Meeting?</w:t>
      </w:r>
    </w:p>
    <w:p>
      <w:pPr>
        <w:spacing w:after="0" w:line="162" w:lineRule="exact"/>
        <w:rPr>
          <w:sz w:val="20"/>
          <w:szCs w:val="20"/>
          <w:color w:val="auto"/>
        </w:rPr>
      </w:pPr>
    </w:p>
    <w:p>
      <w:pPr>
        <w:ind w:left="1620" w:right="479" w:hanging="360"/>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the holders of a majority of the issued and outstanding shares of our capital stock entitled to vote at the 2022 Annual Meeting is necessary to constitute a quorum at the 2022 Annual Meeting. Such stockholders are counted as present at the meeting if they (i) are present in person at the 2022 Annual Meeting or (ii) represented by proxy.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8"/>
          <w:szCs w:val="18"/>
          <w:color w:val="auto"/>
        </w:rPr>
        <w:t>Under Delaware law, abstentions and broker non-votes are counted as present and entitled to vote for purposes of determining whether a quorum is present at the 2022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proposals will be voted on at the 2022 Annual Meeting?</w:t>
      </w:r>
    </w:p>
    <w:p>
      <w:pPr>
        <w:spacing w:after="0" w:line="148" w:lineRule="exact"/>
        <w:rPr>
          <w:sz w:val="20"/>
          <w:szCs w:val="20"/>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scheduled to be voted on at the 2022 Annual Meeting are: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nine directors set forth in Proposal One to serve for a one-year term expiring at the 2023 Annual Meeting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our named executive officer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Split Proposal;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proposal, if properly presented before the meeting.</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voting requirement to approve each of the proposals?</w:t>
      </w:r>
    </w:p>
    <w:p>
      <w:pPr>
        <w:spacing w:after="0" w:line="162" w:lineRule="exact"/>
        <w:rPr>
          <w:sz w:val="20"/>
          <w:szCs w:val="20"/>
          <w:color w:val="auto"/>
        </w:rPr>
      </w:pPr>
    </w:p>
    <w:p>
      <w:pPr>
        <w:ind w:left="1620" w:right="45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94" w:lineRule="exact"/>
        <w:rPr>
          <w:rFonts w:ascii="Times New Roman" w:cs="Times New Roman" w:eastAsia="Times New Roman" w:hAnsi="Times New Roman"/>
          <w:sz w:val="18"/>
          <w:szCs w:val="18"/>
          <w:color w:val="auto"/>
        </w:rPr>
      </w:pPr>
    </w:p>
    <w:p>
      <w:pPr>
        <w:ind w:left="162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shares of our common stock that are present in person or represented by proxy at the 2022 Annual Meeting and entitled to vote is required to ratify the appointment of Deloitte &amp; Touche LLP as our independent registered public accounting firm (Proposal Two), to approve the advisory resolution on named executive compensation (Proposal Three) and to approve the stockholder proposal (Proposal Five).</w:t>
      </w:r>
    </w:p>
    <w:p>
      <w:pPr>
        <w:spacing w:after="0" w:line="109" w:lineRule="exact"/>
        <w:rPr>
          <w:rFonts w:ascii="Times New Roman" w:cs="Times New Roman" w:eastAsia="Times New Roman" w:hAnsi="Times New Roman"/>
          <w:sz w:val="18"/>
          <w:szCs w:val="18"/>
          <w:color w:val="auto"/>
        </w:rPr>
      </w:pPr>
    </w:p>
    <w:p>
      <w:pPr>
        <w:ind w:left="1620" w:right="699"/>
        <w:spacing w:after="0" w:line="2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Stock Split Proposal, the affirmative vote of at least 66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shares of our common stock outstanding as of the Record Date is required to adopt the Restated Certificate in order to implement the proposed stock split (Proposal Four).</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are votes counted?</w:t>
      </w:r>
    </w:p>
    <w:p>
      <w:pPr>
        <w:spacing w:after="0" w:line="162" w:lineRule="exact"/>
        <w:rPr>
          <w:sz w:val="20"/>
          <w:szCs w:val="20"/>
          <w:color w:val="auto"/>
        </w:rPr>
      </w:pPr>
    </w:p>
    <w:p>
      <w:pPr>
        <w:jc w:val="both"/>
        <w:ind w:left="1620" w:right="41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“FOR” or “AGAINST” each of the nominees for election as director in Proposal One and on each of Proposal Two, Proposal Three, Proposal Four and Proposal Five. You may also “ABSTAIN” from voting.</w:t>
      </w:r>
    </w:p>
    <w:p>
      <w:pPr>
        <w:spacing w:after="0" w:line="90" w:lineRule="exact"/>
        <w:rPr>
          <w:rFonts w:ascii="Times New Roman" w:cs="Times New Roman" w:eastAsia="Times New Roman" w:hAnsi="Times New Roman"/>
          <w:sz w:val="18"/>
          <w:szCs w:val="18"/>
          <w:color w:val="auto"/>
        </w:rPr>
      </w:pPr>
    </w:p>
    <w:p>
      <w:pPr>
        <w:ind w:left="1620" w:right="419"/>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Abstentions are deemed to be shares present or represented by proxy and entitled to vote. Abstentions have no effect on Proposal One and the same effect as a vote against Proposals Two, Three, Four and Five</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8"/>
          <w:szCs w:val="18"/>
          <w:color w:val="auto"/>
        </w:rPr>
      </w:pPr>
    </w:p>
    <w:p>
      <w:pPr>
        <w:ind w:left="1620" w:right="5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not deemed to be shares entitled to vote on and will have no effect on Proposals One and Three. Brokers have discretionary authority to vote shares that are beneficially owned on Proposal Two and Proposal Four. If a broker chooses not to vote shares for or against Proposal Two or Proposal Four, it would have the same effect as an abstention.</w:t>
      </w:r>
    </w:p>
    <w:p>
      <w:pPr>
        <w:spacing w:after="0" w:line="112" w:lineRule="exact"/>
        <w:rPr>
          <w:rFonts w:ascii="Times New Roman" w:cs="Times New Roman" w:eastAsia="Times New Roman" w:hAnsi="Times New Roman"/>
          <w:sz w:val="18"/>
          <w:szCs w:val="18"/>
          <w:color w:val="auto"/>
        </w:rPr>
      </w:pPr>
    </w:p>
    <w:p>
      <w:pPr>
        <w:ind w:left="1620" w:right="6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entitled to vote and represented by properly submitted proxies received prior to the 2022 Annual Meeting (and not revoked) will be voted at the 2022 Annual Meeting in accordance with the instructions indicated by such proxy. If no instructions are indicated on such proxy, the shares represented by that proxy will be voted as recommended by the Board of Directors.</w:t>
      </w:r>
    </w:p>
    <w:p>
      <w:pPr>
        <w:spacing w:after="0" w:line="9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Board of Directors recommend that I vote?</w:t>
      </w:r>
    </w:p>
    <w:p>
      <w:pPr>
        <w:spacing w:after="0" w:line="162"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recommends that you vote your shares:</w:t>
      </w:r>
    </w:p>
    <w:p>
      <w:pPr>
        <w:spacing w:after="0" w:line="11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nine nominees for election as directors (Proposal One);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619" w:hanging="180"/>
        <w:spacing w:after="0" w:line="28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 fiscal year ending December 31, 2022 (Proposal Two);</w:t>
      </w:r>
    </w:p>
    <w:p>
      <w:pPr>
        <w:spacing w:after="0" w:line="60"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resolution to approve named executive officer compensation (Proposal Three); and</w:t>
      </w:r>
    </w:p>
    <w:p>
      <w:pPr>
        <w:spacing w:after="0" w:line="3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Split Proposal (Proposal Four).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has no voting recommendation for the stockholder proposal (Proposal Five).</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additional matters are presented at the 2022 Annual Meeting?</w:t>
      </w:r>
    </w:p>
    <w:p>
      <w:pPr>
        <w:spacing w:after="0" w:line="162" w:lineRule="exact"/>
        <w:rPr>
          <w:sz w:val="20"/>
          <w:szCs w:val="20"/>
          <w:color w:val="auto"/>
        </w:rPr>
      </w:pPr>
    </w:p>
    <w:p>
      <w:pPr>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matters are properly presented for consideration at the 2022 Annual Meeting, including, among other things, consideration of a motion to adjourn the 2022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2022 Annual Meeting.</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w:t>
      </w:r>
    </w:p>
    <w:p>
      <w:pPr>
        <w:spacing w:after="0" w:line="162" w:lineRule="exact"/>
        <w:rPr>
          <w:sz w:val="20"/>
          <w:szCs w:val="20"/>
          <w:color w:val="auto"/>
        </w:rPr>
      </w:pPr>
    </w:p>
    <w:p>
      <w:pPr>
        <w:ind w:left="1620" w:right="4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rules your broker, trustee or nominee may have, you may change your proxy instructions at any time before your proxy is voted at the 2022 Annual Meeting.</w:t>
      </w:r>
    </w:p>
    <w:p>
      <w:pPr>
        <w:spacing w:after="0" w:line="80" w:lineRule="exact"/>
        <w:rPr>
          <w:rFonts w:ascii="Times New Roman" w:cs="Times New Roman" w:eastAsia="Times New Roman" w:hAnsi="Times New Roman"/>
          <w:sz w:val="18"/>
          <w:szCs w:val="18"/>
          <w:color w:val="auto"/>
        </w:rPr>
      </w:pPr>
    </w:p>
    <w:p>
      <w:pPr>
        <w:ind w:left="1620" w:right="4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2022 Annual Meeting and voting virtually. Attendance at the meeting will not cause your previously granted proxy to be revoked unless you specifically so request.</w:t>
      </w:r>
    </w:p>
    <w:p>
      <w:pPr>
        <w:spacing w:after="0" w:line="336" w:lineRule="exact"/>
        <w:rPr>
          <w:sz w:val="20"/>
          <w:szCs w:val="20"/>
          <w:color w:val="auto"/>
        </w:rPr>
      </w:pPr>
    </w:p>
    <w:p>
      <w:pPr>
        <w:ind w:left="1620" w:right="43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2022 Annual Meeting and voting virtually.</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62" w:lineRule="exact"/>
        <w:rPr>
          <w:sz w:val="20"/>
          <w:szCs w:val="20"/>
          <w:color w:val="auto"/>
        </w:rPr>
      </w:pPr>
    </w:p>
    <w:p>
      <w:pPr>
        <w:ind w:left="1620" w:right="49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Is my vote confidential?</w:t>
      </w:r>
    </w:p>
    <w:p>
      <w:pPr>
        <w:spacing w:after="0" w:line="148" w:lineRule="exact"/>
        <w:rPr>
          <w:sz w:val="20"/>
          <w:szCs w:val="20"/>
          <w:color w:val="auto"/>
        </w:rPr>
      </w:pPr>
    </w:p>
    <w:p>
      <w:pPr>
        <w:ind w:left="1620" w:right="479" w:hanging="360"/>
        <w:spacing w:after="0" w:line="25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serve as inspector of election?</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The inspector of election will be a representative of Computershare.</w:t>
      </w:r>
    </w:p>
    <w:p>
      <w:pPr>
        <w:spacing w:after="0" w:line="15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2022 Annual Meeting?</w:t>
      </w:r>
    </w:p>
    <w:p>
      <w:pPr>
        <w:spacing w:after="0" w:line="148" w:lineRule="exact"/>
        <w:rPr>
          <w:sz w:val="20"/>
          <w:szCs w:val="20"/>
          <w:color w:val="auto"/>
        </w:rPr>
      </w:pPr>
    </w:p>
    <w:p>
      <w:pPr>
        <w:ind w:left="1620" w:right="47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2022 Annual Meeting. We will disclose final voting results in a Current Report on a Form 8-K filed with the SEC within four business days after the 2022 Annual Meeting.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bear the cost of soliciting votes for the 2022 Annual Meeting?</w:t>
      </w:r>
    </w:p>
    <w:p>
      <w:pPr>
        <w:spacing w:after="0" w:line="162" w:lineRule="exact"/>
        <w:rPr>
          <w:sz w:val="20"/>
          <w:szCs w:val="20"/>
          <w:color w:val="auto"/>
        </w:rPr>
      </w:pPr>
    </w:p>
    <w:p>
      <w:pPr>
        <w:ind w:left="1620" w:right="439" w:hanging="360"/>
        <w:spacing w:after="0" w:line="25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117" w:lineRule="exact"/>
        <w:rPr>
          <w:sz w:val="20"/>
          <w:szCs w:val="20"/>
          <w:color w:val="auto"/>
        </w:rPr>
      </w:pPr>
    </w:p>
    <w:p>
      <w:pPr>
        <w:ind w:left="1620" w:right="539" w:hanging="360"/>
        <w:spacing w:after="0" w:line="286" w:lineRule="auto"/>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91" w:lineRule="exact"/>
        <w:rPr>
          <w:sz w:val="20"/>
          <w:szCs w:val="20"/>
          <w:color w:val="auto"/>
        </w:rPr>
      </w:pPr>
    </w:p>
    <w:p>
      <w:pPr>
        <w:ind w:left="1620" w:right="71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proposals, including nominations of director candidates, for consideration at future stockholder meetings.</w:t>
      </w:r>
    </w:p>
    <w:p>
      <w:pPr>
        <w:spacing w:after="0" w:line="76" w:lineRule="exact"/>
        <w:rPr>
          <w:rFonts w:ascii="Times New Roman" w:cs="Times New Roman" w:eastAsia="Times New Roman" w:hAnsi="Times New Roman"/>
          <w:sz w:val="18"/>
          <w:szCs w:val="18"/>
          <w:color w:val="auto"/>
        </w:rPr>
      </w:pPr>
    </w:p>
    <w:p>
      <w:pPr>
        <w:ind w:left="1620" w:right="4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inclusion in Fortinet’s proxy materials</w:t>
      </w:r>
      <w:r>
        <w:rPr>
          <w:rFonts w:ascii="Times New Roman" w:cs="Times New Roman" w:eastAsia="Times New Roman" w:hAnsi="Times New Roman"/>
          <w:sz w:val="18"/>
          <w:szCs w:val="18"/>
          <w:color w:val="auto"/>
        </w:rPr>
        <w:t> — Stockholders may present proper proposals for inclusion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Fortinet’s proxy statement and for consideration at the next annual meeting of stockholders by submitting their proposals in writing to Fortinet’s Corporate Secretary in a timely manner. In order to be included in the proxy statement for the 2023 Annual Meeting, stockholder proposals must be received by Fortinet’s Corporate Secretary no later than January 2, 2023, and must otherwise comply with the requirements of Rule 14a-8 of the Securities Exchange Act of 1934, as amended (the “Exchange Act”).</w:t>
      </w:r>
    </w:p>
    <w:p>
      <w:pPr>
        <w:spacing w:after="0" w:line="335" w:lineRule="exact"/>
        <w:rPr>
          <w:rFonts w:ascii="Times New Roman" w:cs="Times New Roman" w:eastAsia="Times New Roman" w:hAnsi="Times New Roman"/>
          <w:sz w:val="18"/>
          <w:szCs w:val="18"/>
          <w:color w:val="auto"/>
        </w:rPr>
      </w:pPr>
    </w:p>
    <w:p>
      <w:pPr>
        <w:ind w:left="1620" w:right="63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be brought before the annual meeting</w:t>
      </w:r>
      <w:r>
        <w:rPr>
          <w:rFonts w:ascii="Times New Roman" w:cs="Times New Roman" w:eastAsia="Times New Roman" w:hAnsi="Times New Roman"/>
          <w:sz w:val="18"/>
          <w:szCs w:val="18"/>
          <w:color w:val="auto"/>
        </w:rPr>
        <w:t> — In addition, Fortinet’s amended and restated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an advance notice procedure for stockholders who wish to present certain matters before an annual meeting of stockholders. In general, nominations for the election of directors may be made</w:t>
      </w:r>
    </w:p>
    <w:p>
      <w:pPr>
        <w:ind w:left="16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or at the direction of the Board of Directors or (ii) by a stockholder who has delivered written notice to Fortinet’s Secretary within the Notice Period (as defined below) and who was a stockholder at the time of such notice and as of the record date. The notice must contain specified information about the nominees and about the stockholder proposing such nominations.</w:t>
      </w:r>
    </w:p>
    <w:p>
      <w:pPr>
        <w:spacing w:after="0" w:line="121"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Fortinet’s amended and restated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11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The “Notice Period” is defined as that period not less than 45 days nor more than 75 days prior to the one-year anniversary of the date on which Fortinet mailed its proxy materials or the Notice (whichever is earlier) to stockholders in connection with the preceding year’s annual meeting of stockholders. As a result, assuming a Notice mailing date of May 4, 2022, the Notice Period for the 2023 Annual Meeting will start on February 18, 2023 and end on March 20, 2023.</w:t>
      </w:r>
    </w:p>
    <w:p>
      <w:pPr>
        <w:spacing w:after="0" w:line="116" w:lineRule="exact"/>
        <w:rPr>
          <w:sz w:val="20"/>
          <w:szCs w:val="20"/>
          <w:color w:val="auto"/>
        </w:rPr>
      </w:pPr>
    </w:p>
    <w:p>
      <w:pPr>
        <w:ind w:left="1620" w:right="599"/>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108" w:lineRule="exact"/>
        <w:rPr>
          <w:sz w:val="20"/>
          <w:szCs w:val="20"/>
          <w:color w:val="auto"/>
        </w:rPr>
      </w:pPr>
    </w:p>
    <w:p>
      <w:pPr>
        <w:ind w:left="1620" w:right="459"/>
        <w:spacing w:after="0" w:line="259" w:lineRule="auto"/>
        <w:rPr>
          <w:sz w:val="20"/>
          <w:szCs w:val="20"/>
          <w:color w:val="auto"/>
        </w:rPr>
      </w:pPr>
      <w:r>
        <w:rPr>
          <w:rFonts w:ascii="Times New Roman" w:cs="Times New Roman" w:eastAsia="Times New Roman" w:hAnsi="Times New Roman"/>
          <w:sz w:val="18"/>
          <w:szCs w:val="18"/>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All notices of proposals by stockholders, whether or not included in Fortinet’s proxy materials, should be sent to Fortinet’s Corporate Secretary at our principal executive offices.</w:t>
      </w:r>
    </w:p>
    <w:p>
      <w:pPr>
        <w:spacing w:after="0" w:line="31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may I obtain a separate set of proxy materials or the 2021 Annual Report?</w:t>
      </w:r>
    </w:p>
    <w:p>
      <w:pPr>
        <w:spacing w:after="0" w:line="162" w:lineRule="exact"/>
        <w:rPr>
          <w:sz w:val="20"/>
          <w:szCs w:val="20"/>
          <w:color w:val="auto"/>
        </w:rPr>
      </w:pPr>
    </w:p>
    <w:p>
      <w:pPr>
        <w:ind w:left="1620" w:right="55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share an address with another stockholder, each stockholder may not receive a separate copy of our proxy materials and 2021 Annual Report. Stockholders who do not receive a separate copy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6" w:lineRule="auto"/>
        <w:rPr>
          <w:sz w:val="20"/>
          <w:szCs w:val="20"/>
          <w:color w:val="auto"/>
        </w:rPr>
      </w:pPr>
      <w:r>
        <w:rPr>
          <w:rFonts w:ascii="Times New Roman" w:cs="Times New Roman" w:eastAsia="Times New Roman" w:hAnsi="Times New Roman"/>
          <w:sz w:val="18"/>
          <w:szCs w:val="18"/>
          <w:color w:val="auto"/>
        </w:rPr>
        <w:t>our proxy materials and 2021 Annual Report and want to receive a separate copy may request to receive a separate copy of, or stockholders may request additional copies of, our proxy materials and 2021 Annual Report by calling (408) 235-7700 or by writing to Fortinet, Inc., 899 Kifer Road, Sunnyvale, California 94086, Attention: Investor Relations. Stockholders who share an address and receive multiple copies of our proxy materials and 2021 Annual Report can also request to receive a single copy by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The Board of Directors currently consists of nine members, and our amended and restated certificate of incorporation provides that the entire Board of Directors will stand for election annually for one-year terms. Each director holds office until that director’s successor is duly elected and qualified. Our amended and restated bylaws permit the Board of Directors to establish by resolution the authorized number of directors, and nine directors are currently authorized.</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Eight candidates have been nominated for election as directors at the 2022 Annual Meeting for a one-year term expiring at the 2022 Annual Meeting. Upon recommendation of the Governance Committee of the Board of Directors (the “Governance Committee”), the Board of Directors has nominated Ken Xie, Michael Xie, Kenneth A. Goldman, Ming Hsieh, Jean Hu, William H. Neukom, Judith Sim and Admiral James Stavridis (Ret)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Kelly Ducourty has decided not to stand for re-election at the 2022 Annual Meeting. We thank Ms.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Ducourty for her distinguished service.</w:t>
      </w:r>
    </w:p>
    <w:p>
      <w:pPr>
        <w:spacing w:after="0" w:line="12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Each nominee has agreed to serve if elected, and management has no reason to believe that any nominee will be unavailable to serve. In the event any nominee is unable or declines to serve as a director at the time of the 2022 Annual Meeting, the proxies will be voted for any nominee who may be proposed by the Governance Committee and designated by the present Board of Directors to fill the vacancy.</w:t>
      </w:r>
    </w:p>
    <w:p>
      <w:pPr>
        <w:spacing w:after="0" w:line="104"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If you sign your proxy card or voting instruction card or vote by telephone or over the internet but do not give instructions with respect to the voting of directors, your shares will be voted for the nine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w:t>
      </w:r>
    </w:p>
    <w:p>
      <w:pPr>
        <w:spacing w:after="0" w:line="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KEN XIE, MICHAEL XIE, KENNETH A. GOLDMAN, JEAN HU, MING HSIEH, WILLIAM H. NEUKOM,</w:t>
      </w:r>
    </w:p>
    <w:p>
      <w:pPr>
        <w:ind w:left="3120"/>
        <w:spacing w:after="0"/>
        <w:rPr>
          <w:sz w:val="20"/>
          <w:szCs w:val="20"/>
          <w:color w:val="auto"/>
        </w:rPr>
      </w:pPr>
      <w:r>
        <w:rPr>
          <w:rFonts w:ascii="Times New Roman" w:cs="Times New Roman" w:eastAsia="Times New Roman" w:hAnsi="Times New Roman"/>
          <w:sz w:val="18"/>
          <w:szCs w:val="18"/>
          <w:b w:val="1"/>
          <w:bCs w:val="1"/>
          <w:color w:val="auto"/>
        </w:rPr>
        <w:t>JUDITH SIM AND ADMIRAL JAMES STAVRIDIS (RET).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Director Nominees</w:t>
      </w:r>
    </w:p>
    <w:p>
      <w:pPr>
        <w:spacing w:after="0" w:line="148" w:lineRule="exact"/>
        <w:rPr>
          <w:sz w:val="20"/>
          <w:szCs w:val="20"/>
          <w:color w:val="auto"/>
        </w:rPr>
      </w:pPr>
    </w:p>
    <w:p>
      <w:pPr>
        <w:jc w:val="both"/>
        <w:ind w:left="1260" w:right="1019" w:firstLine="360"/>
        <w:spacing w:after="0" w:line="236" w:lineRule="auto"/>
        <w:rPr>
          <w:sz w:val="20"/>
          <w:szCs w:val="20"/>
          <w:color w:val="auto"/>
        </w:rPr>
      </w:pPr>
      <w:r>
        <w:rPr>
          <w:rFonts w:ascii="Times New Roman" w:cs="Times New Roman" w:eastAsia="Times New Roman" w:hAnsi="Times New Roman"/>
          <w:sz w:val="18"/>
          <w:szCs w:val="18"/>
          <w:color w:val="auto"/>
        </w:rPr>
        <w:t>The names of the members of the Board of Directors and our proposed director nominees, their respective ages, their positions with Fortinet (as applicable) and other biographical information as of March 31, 2022, are set forth below.</w:t>
      </w:r>
    </w:p>
    <w:p>
      <w:pPr>
        <w:spacing w:after="0" w:line="105"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Messrs. Ken Xie and Michael Xie are brothers. There are no other family relationships among any of our directors or executive officers.</w:t>
      </w:r>
    </w:p>
    <w:p>
      <w:pPr>
        <w:sectPr>
          <w:pgSz w:w="11900" w:h="16838" w:orient="portrait"/>
          <w:cols w:equalWidth="0" w:num="1">
            <w:col w:w="9879"/>
          </w:cols>
          <w:pgMar w:left="580" w:top="97" w:right="1440" w:bottom="1440" w:gutter="0" w:footer="0" w:header="0"/>
        </w:sectPr>
      </w:pP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3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5"/>
        </w:trPr>
        <w:tc>
          <w:tcPr>
            <w:tcW w:w="2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Ken Xie</w:t>
            </w:r>
          </w:p>
        </w:tc>
        <w:tc>
          <w:tcPr>
            <w:tcW w:w="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02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 Chairman of the Board of Directors and</w:t>
            </w:r>
          </w:p>
        </w:tc>
        <w:tc>
          <w:tcPr>
            <w:tcW w:w="0" w:type="dxa"/>
            <w:vAlign w:val="bottom"/>
          </w:tcPr>
          <w:p>
            <w:pPr>
              <w:spacing w:after="0"/>
              <w:rPr>
                <w:sz w:val="1"/>
                <w:szCs w:val="1"/>
                <w:color w:val="auto"/>
              </w:rPr>
            </w:pPr>
          </w:p>
        </w:tc>
      </w:tr>
      <w:tr>
        <w:trPr>
          <w:trHeight w:val="21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Michael Xie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vMerge w:val="continue"/>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President, Chief Technology Officer, Director and Director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Nominee</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Kelly Ducourty</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(1)(2)</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73</w:t>
            </w:r>
          </w:p>
        </w:tc>
        <w:tc>
          <w:tcPr>
            <w:tcW w:w="5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Ming Hsieh</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66</w:t>
            </w:r>
          </w:p>
        </w:tc>
        <w:tc>
          <w:tcPr>
            <w:tcW w:w="5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Jean Hu</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William H. Neukom</w:t>
            </w:r>
            <w:r>
              <w:rPr>
                <w:rFonts w:ascii="Times New Roman" w:cs="Times New Roman" w:eastAsia="Times New Roman" w:hAnsi="Times New Roman"/>
                <w:sz w:val="23"/>
                <w:szCs w:val="23"/>
                <w:color w:val="auto"/>
                <w:vertAlign w:val="superscript"/>
              </w:rPr>
              <w:t>(3)</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80</w:t>
            </w:r>
          </w:p>
        </w:tc>
        <w:tc>
          <w:tcPr>
            <w:tcW w:w="5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Lead Independent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Judith Sim</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47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r>
              <w:rPr>
                <w:rFonts w:ascii="Times New Roman" w:cs="Times New Roman" w:eastAsia="Times New Roman" w:hAnsi="Times New Roman"/>
                <w:sz w:val="23"/>
                <w:szCs w:val="23"/>
                <w:color w:val="auto"/>
                <w:vertAlign w:val="superscript"/>
              </w:rPr>
              <w:t>(4)</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and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wp:posOffset>
            </wp:positionV>
            <wp:extent cx="123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0" w:lineRule="exact"/>
        <w:rPr>
          <w:sz w:val="20"/>
          <w:szCs w:val="20"/>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Human Resources Committee.</w:t>
      </w:r>
    </w:p>
    <w:p>
      <w:pPr>
        <w:spacing w:after="0" w:line="90"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76"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Governance Committee.</w:t>
      </w:r>
    </w:p>
    <w:p>
      <w:pPr>
        <w:spacing w:after="0" w:line="76"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Social Responsibility Committee.</w:t>
      </w:r>
    </w:p>
    <w:p>
      <w:pPr>
        <w:spacing w:after="0" w:line="76" w:lineRule="exact"/>
        <w:rPr>
          <w:rFonts w:ascii="Times New Roman" w:cs="Times New Roman" w:eastAsia="Times New Roman" w:hAnsi="Times New Roman"/>
          <w:sz w:val="18"/>
          <w:szCs w:val="18"/>
          <w:color w:val="auto"/>
        </w:rPr>
      </w:pPr>
    </w:p>
    <w:p>
      <w:pPr>
        <w:ind w:left="1260" w:right="4460"/>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Governance Committee. ** Chairperson of the Audit Committee.</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Human Resources Committee.</w:t>
      </w:r>
    </w:p>
    <w:p>
      <w:pPr>
        <w:spacing w:after="0" w:line="90"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Social Responsibility Committee.</w:t>
      </w:r>
    </w:p>
    <w:p>
      <w:pPr>
        <w:spacing w:after="0" w:line="77" w:lineRule="exact"/>
        <w:rPr>
          <w:sz w:val="20"/>
          <w:szCs w:val="20"/>
          <w:color w:val="auto"/>
        </w:rPr>
      </w:pPr>
    </w:p>
    <w:p>
      <w:pPr>
        <w:ind w:left="1720" w:right="220" w:hanging="460"/>
        <w:spacing w:after="0" w:line="266" w:lineRule="auto"/>
        <w:tabs>
          <w:tab w:leader="none" w:pos="1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Ducourty has decided not to stand for re-election at the 2022 Annual Meeting and her term as a director and service on the Human Resources Committee and the Social Responsibility Committee will end at the 2022 Annual Meeting.</w:t>
      </w:r>
    </w:p>
    <w:p>
      <w:pPr>
        <w:spacing w:after="0" w:line="104" w:lineRule="exact"/>
        <w:rPr>
          <w:sz w:val="20"/>
          <w:szCs w:val="20"/>
          <w:color w:val="auto"/>
        </w:rPr>
      </w:pPr>
    </w:p>
    <w:p>
      <w:pPr>
        <w:ind w:left="1260" w:right="60"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Xie </w:t>
      </w:r>
      <w:r>
        <w:rPr>
          <w:rFonts w:ascii="Times New Roman" w:cs="Times New Roman" w:eastAsia="Times New Roman" w:hAnsi="Times New Roman"/>
          <w:sz w:val="18"/>
          <w:szCs w:val="18"/>
          <w:color w:val="auto"/>
        </w:rPr>
        <w:t>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391"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Ken Xie has more than 25 years of technical and management experience in the networking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security industries, which includes his roles as a founder of Fortinet, NetScreen and SIS and as President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Chief Executive Officer of each of the foregoing companies. The Board of Directors also believes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Ken Xie provides valuable perspective and experience as a co-founder of Fortinet and one of its largest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w:t>
      </w:r>
    </w:p>
    <w:p>
      <w:pPr>
        <w:spacing w:after="0" w:line="135"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Xie </w:t>
      </w:r>
      <w:r>
        <w:rPr>
          <w:rFonts w:ascii="Times New Roman" w:cs="Times New Roman" w:eastAsia="Times New Roman" w:hAnsi="Times New Roman"/>
          <w:sz w:val="18"/>
          <w:szCs w:val="18"/>
          <w:color w:val="auto"/>
        </w:rPr>
        <w:t>has served as our President and Chief Technology Officer since November 2013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w:t>
      </w:r>
    </w:p>
    <w:p>
      <w:pPr>
        <w:spacing w:after="0" w:line="3" w:lineRule="exact"/>
        <w:rPr>
          <w:sz w:val="20"/>
          <w:szCs w:val="20"/>
          <w:color w:val="auto"/>
        </w:rPr>
      </w:pPr>
    </w:p>
    <w:p>
      <w:pPr>
        <w:ind w:left="1260" w:right="759"/>
        <w:spacing w:after="0" w:line="260" w:lineRule="auto"/>
        <w:rPr>
          <w:sz w:val="20"/>
          <w:szCs w:val="20"/>
          <w:color w:val="auto"/>
        </w:rPr>
      </w:pPr>
      <w:r>
        <w:rPr>
          <w:rFonts w:ascii="Times New Roman" w:cs="Times New Roman" w:eastAsia="Times New Roman" w:hAnsi="Times New Roman"/>
          <w:sz w:val="18"/>
          <w:szCs w:val="18"/>
          <w:color w:val="auto"/>
        </w:rPr>
        <w:t>Mr. Michael Xie provides valuable perspective and experience as a co-founder of Fortinet and one of its largest stockholders.</w:t>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Ducourty </w:t>
      </w:r>
      <w:r>
        <w:rPr>
          <w:rFonts w:ascii="Times New Roman" w:cs="Times New Roman" w:eastAsia="Times New Roman" w:hAnsi="Times New Roman"/>
          <w:sz w:val="18"/>
          <w:szCs w:val="18"/>
          <w:color w:val="auto"/>
        </w:rPr>
        <w:t>has served as a member of the Board of Directors since April 2020. Since October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Ducourty has served as Vice President, Strategy and Operations for Google Cloud, a subsidiary of Alphabet Inc. that provides cloud computing services, and previously served as Managing Director, Strategy and Operations from March 2020 to October 2020 and Managing Director, Global Enablement and Sales Activation at Google Cloud from October 2019 to March 2020. From July 1998 until October 2019,</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Ms. Ducourty served in various roles at Hewlett Packard Enterprise, an information technology company, including most recently in various Senior Vice President roles from November 2016 until October 2019 and as Vice President, Strategic Accounts, from September 2014 to November 2016. Ms. Ducourty received a B.A. in International Marketing Management from Bournemouth University.</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Ms. Ducourty has decided not to stand for re-election at the 2022 Annual Meeting, and we thank her for her distinguished service.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Kenneth A. Goldman </w:t>
      </w:r>
      <w:r>
        <w:rPr>
          <w:rFonts w:ascii="Times New Roman" w:cs="Times New Roman" w:eastAsia="Times New Roman" w:hAnsi="Times New Roman"/>
          <w:sz w:val="18"/>
          <w:szCs w:val="18"/>
          <w:color w:val="auto"/>
        </w:rPr>
        <w:t>has served as a member of the Board of Directors since October 2020.</w:t>
      </w:r>
    </w:p>
    <w:p>
      <w:pPr>
        <w:spacing w:after="0" w:line="31"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Mr. Goldman currently serves on the boards of directors of GoPro, Inc., NXP Semiconductor N.V. (“NXP”), RingCentral, Inc. and Zuora, Inc. In April 2022, NXP announced in its proxy statement that Mr. Goldman is retiring from NXP’s Board of Directors at the expiration of his current term, which ends as of NXP’s 2022 annual general meeting of shareholders, to be held on May 4, 2022. Mr. Goldman is also on the board of directors of the Value Reporting Foundation (“VRF”), which is responsible for the financing, oversight, administration and appointment of the VRF Standard Board. Mr. Goldman holds a B.S. in Electrical Engineering from Cornell University and an M.B.A. from Harvard Business School.</w:t>
      </w:r>
    </w:p>
    <w:p>
      <w:pPr>
        <w:spacing w:after="0" w:line="125"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spacing w:after="0" w:line="9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Ming Hsieh </w:t>
      </w:r>
      <w:r>
        <w:rPr>
          <w:rFonts w:ascii="Times New Roman" w:cs="Times New Roman" w:eastAsia="Times New Roman" w:hAnsi="Times New Roman"/>
          <w:sz w:val="18"/>
          <w:szCs w:val="18"/>
          <w:color w:val="auto"/>
        </w:rPr>
        <w:t>has served as a member of the Board of Directors since April 2013. Mr. Hsieh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12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Mr. Hsieh has leadership, operational and executive experience by serving as Chief Executive Officer, President and Chairman of the board of directors of Cogent.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Jean Hu </w:t>
      </w:r>
      <w:r>
        <w:rPr>
          <w:rFonts w:ascii="Times New Roman" w:cs="Times New Roman" w:eastAsia="Times New Roman" w:hAnsi="Times New Roman"/>
          <w:sz w:val="18"/>
          <w:szCs w:val="18"/>
          <w:color w:val="auto"/>
        </w:rPr>
        <w:t>has served as a member of the Board of Directors since October 2019. Since August 2016,</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Hu has served as Executive Vice President and Chief Financial Officer of Marvell Technology Group</w:t>
      </w:r>
    </w:p>
    <w:p>
      <w:pPr>
        <w:ind w:left="1260"/>
        <w:spacing w:after="0" w:line="234" w:lineRule="auto"/>
        <w:rPr>
          <w:sz w:val="20"/>
          <w:szCs w:val="20"/>
          <w:color w:val="auto"/>
        </w:rPr>
      </w:pPr>
      <w:r>
        <w:rPr>
          <w:rFonts w:ascii="Times New Roman" w:cs="Times New Roman" w:eastAsia="Times New Roman" w:hAnsi="Times New Roman"/>
          <w:sz w:val="18"/>
          <w:szCs w:val="18"/>
          <w:color w:val="auto"/>
        </w:rPr>
        <w:t>Ltd., a semiconductor company. Prior to Marvell, Ms. Hu served as Senior Vice President and Chief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Officer of QLogic Corporation, a network server and storage networking company, from</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2011 to August 2016, and as acting Chief Executive Officer of QLogic from May 2013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February 2014 and from August 2015 to August 2016. From 2004 to 2011, Ms. Hu served in various senior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positions at Conexant Systems, Inc., a semiconductor company, including as Chief Financial Officer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Senior Vice President, Business Development from December 2008 to April 2011 and as Treasurer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June 2009 until April 2011. Ms. Hu holds a B.S. in Chemical Engineering from Beijing University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Chemical Engineering and a Ph.D. in Economics from Claremont Graduate University.</w:t>
      </w:r>
    </w:p>
    <w:p>
      <w:pPr>
        <w:spacing w:after="0" w:line="12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Ms. Hu has extensive experience in the management of technology companies from her positions at Marvell and QLogic, and expertise in corporate financing, accounting and financial reporting.</w:t>
      </w:r>
    </w:p>
    <w:p>
      <w:pPr>
        <w:spacing w:after="0" w:line="7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H. Neukom </w:t>
      </w:r>
      <w:r>
        <w:rPr>
          <w:rFonts w:ascii="Times New Roman" w:cs="Times New Roman" w:eastAsia="Times New Roman" w:hAnsi="Times New Roman"/>
          <w:sz w:val="18"/>
          <w:szCs w:val="18"/>
          <w:color w:val="auto"/>
        </w:rPr>
        <w:t>has served as a member of the Board of Directors since January 2013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32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w:t>
      </w:r>
    </w:p>
    <w:p>
      <w:pPr>
        <w:spacing w:after="0" w:line="3" w:lineRule="exact"/>
        <w:rPr>
          <w:sz w:val="20"/>
          <w:szCs w:val="20"/>
          <w:color w:val="auto"/>
        </w:rPr>
      </w:pPr>
    </w:p>
    <w:p>
      <w:pPr>
        <w:ind w:left="1260" w:right="679"/>
        <w:spacing w:after="0" w:line="245" w:lineRule="auto"/>
        <w:rPr>
          <w:sz w:val="20"/>
          <w:szCs w:val="20"/>
          <w:color w:val="auto"/>
        </w:rPr>
      </w:pPr>
      <w:r>
        <w:rPr>
          <w:rFonts w:ascii="Times New Roman" w:cs="Times New Roman" w:eastAsia="Times New Roman" w:hAnsi="Times New Roman"/>
          <w:sz w:val="18"/>
          <w:szCs w:val="18"/>
          <w:color w:val="auto"/>
        </w:rPr>
        <w:t>Mr. Neukom, with his experience with the technology industry and his expertise in legal, governance and compliance matters, brings a unique and valuable perspective to the Board of Directors.</w:t>
      </w:r>
    </w:p>
    <w:p>
      <w:pPr>
        <w:spacing w:after="0" w:line="10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Judith Sim </w:t>
      </w:r>
      <w:r>
        <w:rPr>
          <w:rFonts w:ascii="Times New Roman" w:cs="Times New Roman" w:eastAsia="Times New Roman" w:hAnsi="Times New Roman"/>
          <w:sz w:val="18"/>
          <w:szCs w:val="18"/>
          <w:color w:val="auto"/>
        </w:rPr>
        <w:t>has served as a member of the Board of Directors since June 2015. Ms. Sim previously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customer-related and marketing positions at Oracle Corporation from 1991 to April 2020, including as its Chief Marketing Officer from 2005 to April 2020. Ms. Sim received a B.S. in dietetics from the University of California at Davis.</w:t>
      </w:r>
    </w:p>
    <w:p>
      <w:pPr>
        <w:spacing w:after="0" w:line="107"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pacing w:after="0" w:line="98" w:lineRule="exact"/>
        <w:rPr>
          <w:sz w:val="20"/>
          <w:szCs w:val="20"/>
          <w:color w:val="auto"/>
        </w:rPr>
      </w:pPr>
    </w:p>
    <w:p>
      <w:pPr>
        <w:ind w:left="1260" w:right="499" w:firstLine="36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Admiral James Stavridis</w:t>
      </w:r>
      <w:r>
        <w:rPr>
          <w:rFonts w:ascii="Times New Roman" w:cs="Times New Roman" w:eastAsia="Times New Roman" w:hAnsi="Times New Roman"/>
          <w:sz w:val="18"/>
          <w:szCs w:val="18"/>
          <w:color w:val="auto"/>
        </w:rPr>
        <w:t>, USN (Ret), PhD has served as a member of the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2021. Admiral Stavridis (Ret) spent 37 years in the U.S. Navy, rising to the rank of 4 -star Admiral. Among Admiral Stavridis’ (Ret) many commands were four years as the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Supreme Allied Commander</w:t>
      </w:r>
    </w:p>
    <w:p>
      <w:pPr>
        <w:spacing w:after="0" w:line="2"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Managing Director and Vice Chairman, Global Affairs of The Carlyle Group and is Chair of the Board of Trustees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20"/>
        <w:spacing w:after="0" w:line="282" w:lineRule="auto"/>
        <w:rPr>
          <w:sz w:val="20"/>
          <w:szCs w:val="20"/>
          <w:color w:val="auto"/>
        </w:rPr>
      </w:pPr>
      <w:r>
        <w:rPr>
          <w:rFonts w:ascii="Times New Roman" w:cs="Times New Roman" w:eastAsia="Times New Roman" w:hAnsi="Times New Roman"/>
          <w:sz w:val="18"/>
          <w:szCs w:val="18"/>
          <w:color w:val="auto"/>
        </w:rPr>
        <w:t>Rockefeller Foundation. Admiral Stavridis (Ret) attended the U.S. Naval Academy at Annapolis and earned a PhD in international relations from The Fletcher School at Tufts University.</w:t>
      </w:r>
    </w:p>
    <w:p>
      <w:pPr>
        <w:spacing w:after="0" w:line="94" w:lineRule="exact"/>
        <w:rPr>
          <w:sz w:val="20"/>
          <w:szCs w:val="20"/>
          <w:color w:val="auto"/>
        </w:rPr>
      </w:pPr>
    </w:p>
    <w:p>
      <w:pPr>
        <w:jc w:val="both"/>
        <w:ind w:left="1260" w:right="1380" w:firstLine="360"/>
        <w:spacing w:after="0" w:line="266" w:lineRule="auto"/>
        <w:rPr>
          <w:sz w:val="20"/>
          <w:szCs w:val="20"/>
          <w:color w:val="auto"/>
        </w:rPr>
      </w:pPr>
      <w:r>
        <w:rPr>
          <w:rFonts w:ascii="Times New Roman" w:cs="Times New Roman" w:eastAsia="Times New Roman" w:hAnsi="Times New Roman"/>
          <w:sz w:val="18"/>
          <w:szCs w:val="18"/>
          <w:color w:val="auto"/>
        </w:rPr>
        <w:t>Admiral Stavridis (Ret) has extensive government and leadership experience as a result of his military service. The Board of Directors believes that Admiral Stavridis (Ret), with his experience with NATO and his expertise governance matters, brings a unique and valuable perspective to the Board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Expertise and Experience</w:t>
      </w:r>
    </w:p>
    <w:p>
      <w:pPr>
        <w:spacing w:after="0" w:line="162" w:lineRule="exact"/>
        <w:rPr>
          <w:sz w:val="20"/>
          <w:szCs w:val="20"/>
          <w:color w:val="auto"/>
        </w:rPr>
      </w:pPr>
    </w:p>
    <w:p>
      <w:pPr>
        <w:ind w:left="1260" w:right="1320"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 The “Number of Directors” columns below include Kelly Ducourty, who has decided not to stand for re-election at the 2022 Annual Meeting and whose term as a director will end at the 2022 Annual Meeting.</w:t>
      </w:r>
    </w:p>
    <w:p>
      <w:pPr>
        <w:sectPr>
          <w:pgSz w:w="11900" w:h="16838" w:orient="portrait"/>
          <w:cols w:equalWidth="0" w:num="1">
            <w:col w:w="10720"/>
          </w:cols>
          <w:pgMar w:left="580" w:top="97" w:right="599" w:bottom="1440" w:gutter="0" w:footer="0" w:header="0"/>
        </w:sectPr>
      </w:pP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268"/>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Expertise, Experience or Attribute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2"/>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Cybersecurity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Extensive knowledge of corporate and global issues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related to cybersecurity challenges within private and</w:t>
            </w:r>
          </w:p>
        </w:tc>
        <w:tc>
          <w:tcPr>
            <w:tcW w:w="200" w:type="dxa"/>
            <w:vAlign w:val="bottom"/>
          </w:tcPr>
          <w:p>
            <w:pPr>
              <w:spacing w:after="0"/>
              <w:rPr>
                <w:sz w:val="16"/>
                <w:szCs w:val="16"/>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public organizations.</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Number of Directors </w:t>
      </w:r>
      <w:r>
        <w:rPr>
          <w:rFonts w:ascii="Times New Roman" w:cs="Times New Roman" w:eastAsia="Times New Roman" w:hAnsi="Times New Roman"/>
          <w:sz w:val="28"/>
          <w:szCs w:val="28"/>
          <w:b w:val="1"/>
          <w:bCs w:val="1"/>
          <w:color w:val="auto"/>
          <w:vertAlign w:val="subscript"/>
        </w:rPr>
        <w: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3 of 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sectPr>
          <w:pgSz w:w="11900" w:h="16838" w:orient="portrait"/>
          <w:cols w:equalWidth="0" w:num="2">
            <w:col w:w="8060" w:space="20"/>
            <w:col w:w="2640"/>
          </w:cols>
          <w:pgMar w:left="580" w:top="97" w:right="599" w:bottom="1440" w:gutter="0" w:footer="0" w:header="0"/>
          <w:type w:val="continuous"/>
        </w:sectPr>
      </w:pPr>
    </w:p>
    <w:p>
      <w:pPr>
        <w:spacing w:after="0" w:line="85" w:lineRule="exact"/>
        <w:rPr>
          <w:sz w:val="20"/>
          <w:szCs w:val="20"/>
          <w:color w:val="auto"/>
        </w:rPr>
      </w:pPr>
    </w:p>
    <w:p>
      <w:pPr>
        <w:ind w:left="1260" w:right="20"/>
        <w:spacing w:after="0" w:line="286" w:lineRule="auto"/>
        <w:rPr>
          <w:sz w:val="20"/>
          <w:szCs w:val="20"/>
          <w:color w:val="auto"/>
        </w:rPr>
      </w:pPr>
      <w:r>
        <w:rPr>
          <w:rFonts w:ascii="Times New Roman" w:cs="Times New Roman" w:eastAsia="Times New Roman" w:hAnsi="Times New Roman"/>
          <w:sz w:val="18"/>
          <w:szCs w:val="18"/>
          <w:b w:val="1"/>
          <w:bCs w:val="1"/>
          <w:color w:val="auto"/>
        </w:rPr>
        <w:t>Technology and Product Development</w:t>
      </w:r>
    </w:p>
    <w:p>
      <w:pPr>
        <w:spacing w:after="0" w:line="39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Leadership</w:t>
      </w: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Public Service and Legal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4440" w:type="dxa"/>
            <w:vAlign w:val="bottom"/>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Significant background working in the technology</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44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industry and in management of technology companies;</w:t>
            </w:r>
          </w:p>
        </w:tc>
        <w:tc>
          <w:tcPr>
            <w:tcW w:w="260" w:type="dxa"/>
            <w:vAlign w:val="bottom"/>
          </w:tcPr>
          <w:p>
            <w:pPr>
              <w:spacing w:after="0"/>
              <w:rPr>
                <w:sz w:val="16"/>
                <w:szCs w:val="16"/>
                <w:color w:val="auto"/>
              </w:rPr>
            </w:pPr>
          </w:p>
        </w:tc>
      </w:tr>
      <w:tr>
        <w:trPr>
          <w:trHeight w:val="203"/>
        </w:trPr>
        <w:tc>
          <w:tcPr>
            <w:tcW w:w="44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experience in product development, including</w:t>
            </w:r>
          </w:p>
        </w:tc>
        <w:tc>
          <w:tcPr>
            <w:tcW w:w="260" w:type="dxa"/>
            <w:vAlign w:val="bottom"/>
          </w:tcPr>
          <w:p>
            <w:pPr>
              <w:spacing w:after="0"/>
              <w:rPr>
                <w:sz w:val="17"/>
                <w:szCs w:val="17"/>
                <w:color w:val="auto"/>
              </w:rPr>
            </w:pPr>
          </w:p>
        </w:tc>
      </w:tr>
      <w:tr>
        <w:trPr>
          <w:trHeight w:val="234"/>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engineering and design.</w:t>
            </w:r>
          </w:p>
        </w:tc>
        <w:tc>
          <w:tcPr>
            <w:tcW w:w="260" w:type="dxa"/>
            <w:vAlign w:val="bottom"/>
          </w:tcPr>
          <w:p>
            <w:pPr>
              <w:spacing w:after="0"/>
              <w:rPr>
                <w:sz w:val="20"/>
                <w:szCs w:val="20"/>
                <w:color w:val="auto"/>
              </w:rPr>
            </w:pPr>
          </w:p>
        </w:tc>
      </w:tr>
    </w:tbl>
    <w:p>
      <w:pPr>
        <w:spacing w:after="0" w:line="9" w:lineRule="exact"/>
        <w:rPr>
          <w:sz w:val="20"/>
          <w:szCs w:val="20"/>
          <w:color w:val="auto"/>
        </w:rPr>
      </w:pPr>
    </w:p>
    <w:p>
      <w:pPr>
        <w:ind w:left="220" w:hanging="215"/>
        <w:spacing w:after="0" w:line="199"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Extensive executive, director or management experience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from leadership and governance roles in corporations, government or public organizations.</w:t>
      </w:r>
    </w:p>
    <w:tbl>
      <w:tblPr>
        <w:tblLayout w:type="fixed"/>
        <w:tblInd w:w="0" w:type="dxa"/>
        <w:tblCellMar>
          <w:top w:w="0" w:type="dxa"/>
          <w:left w:w="0" w:type="dxa"/>
          <w:bottom w:w="0" w:type="dxa"/>
          <w:right w:w="0" w:type="dxa"/>
        </w:tblCellMar>
      </w:tblPr>
      <w:tr>
        <w:trPr>
          <w:trHeight w:val="282"/>
        </w:trPr>
        <w:tc>
          <w:tcPr>
            <w:tcW w:w="4480" w:type="dxa"/>
            <w:vAlign w:val="bottom"/>
          </w:tcPr>
          <w:p>
            <w:pPr>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Dedication to public service through leadership of</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government, non-governmental organizations and not-</w:t>
            </w:r>
          </w:p>
        </w:tc>
        <w:tc>
          <w:tcPr>
            <w:tcW w:w="220" w:type="dxa"/>
            <w:vAlign w:val="bottom"/>
          </w:tcPr>
          <w:p>
            <w:pPr>
              <w:spacing w:after="0"/>
              <w:rPr>
                <w:sz w:val="16"/>
                <w:szCs w:val="16"/>
                <w:color w:val="auto"/>
              </w:rPr>
            </w:pPr>
          </w:p>
        </w:tc>
      </w:tr>
      <w:tr>
        <w:trPr>
          <w:trHeight w:val="203"/>
        </w:trPr>
        <w:tc>
          <w:tcPr>
            <w:tcW w:w="44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for-profit institutions; extensive experience in legal and</w:t>
            </w:r>
          </w:p>
        </w:tc>
        <w:tc>
          <w:tcPr>
            <w:tcW w:w="220" w:type="dxa"/>
            <w:vAlign w:val="bottom"/>
          </w:tcPr>
          <w:p>
            <w:pPr>
              <w:spacing w:after="0"/>
              <w:rPr>
                <w:sz w:val="17"/>
                <w:szCs w:val="17"/>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matters.</w:t>
            </w:r>
          </w:p>
        </w:tc>
        <w:tc>
          <w:tcPr>
            <w:tcW w:w="220" w:type="dxa"/>
            <w:vAlign w:val="bottom"/>
          </w:tcPr>
          <w:p>
            <w:pPr>
              <w:spacing w:after="0"/>
              <w:rPr>
                <w:sz w:val="20"/>
                <w:szCs w:val="20"/>
                <w:color w:val="auto"/>
              </w:rPr>
            </w:pPr>
          </w:p>
        </w:tc>
      </w:tr>
      <w:tr>
        <w:trPr>
          <w:trHeight w:val="292"/>
        </w:trPr>
        <w:tc>
          <w:tcPr>
            <w:tcW w:w="4480" w:type="dxa"/>
            <w:vAlign w:val="bottom"/>
          </w:tcPr>
          <w:p>
            <w:pPr>
              <w:spacing w:after="0" w:line="291"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Leadership of a financial firm or management of the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function of an enterprise, resulting in financial</w:t>
            </w:r>
          </w:p>
        </w:tc>
        <w:tc>
          <w:tcPr>
            <w:tcW w:w="220" w:type="dxa"/>
            <w:vAlign w:val="bottom"/>
          </w:tcPr>
          <w:p>
            <w:pPr>
              <w:spacing w:after="0"/>
              <w:rPr>
                <w:sz w:val="18"/>
                <w:szCs w:val="18"/>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proficiency and expertise.</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3"/>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5"/>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4"/>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32" w:lineRule="exact"/>
        <w:rPr>
          <w:sz w:val="20"/>
          <w:szCs w:val="20"/>
          <w:color w:val="auto"/>
        </w:rPr>
      </w:pPr>
    </w:p>
    <w:p>
      <w:pPr>
        <w:sectPr>
          <w:pgSz w:w="11900" w:h="16838" w:orient="portrait"/>
          <w:cols w:equalWidth="0" w:num="3">
            <w:col w:w="3080" w:space="240"/>
            <w:col w:w="4700" w:space="540"/>
            <w:col w:w="2160"/>
          </w:cols>
          <w:pgMar w:left="580" w:top="97" w:right="599" w:bottom="1440" w:gutter="0" w:footer="0" w:header="0"/>
          <w:type w:val="continuous"/>
        </w:sectPr>
      </w:pPr>
    </w:p>
    <w:tbl>
      <w:tblPr>
        <w:tblLayout w:type="fixed"/>
        <w:tblInd w:w="1260" w:type="dxa"/>
        <w:tblCellMar>
          <w:top w:w="0" w:type="dxa"/>
          <w:left w:w="0" w:type="dxa"/>
          <w:bottom w:w="0" w:type="dxa"/>
          <w:right w:w="0" w:type="dxa"/>
        </w:tblCellMar>
      </w:tblPr>
      <w:tr>
        <w:trPr>
          <w:trHeight w:val="34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tc>
        <w:tc>
          <w:tcPr>
            <w:tcW w:w="4580" w:type="dxa"/>
            <w:vAlign w:val="bottom"/>
          </w:tcPr>
          <w:p>
            <w:pPr>
              <w:ind w:left="260"/>
              <w:spacing w:after="0" w:line="34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Experience in sales or marketing, and leadership of</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0" w:type="dxa"/>
            <w:vAlign w:val="bottom"/>
          </w:tcPr>
          <w:p>
            <w:pPr>
              <w:spacing w:after="0"/>
              <w:rPr>
                <w:sz w:val="20"/>
                <w:szCs w:val="20"/>
                <w:color w:val="auto"/>
              </w:rPr>
            </w:pPr>
          </w:p>
        </w:tc>
        <w:tc>
          <w:tcPr>
            <w:tcW w:w="4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sales or marketing functions.</w:t>
            </w: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62" w:lineRule="exact"/>
        <w:rPr>
          <w:sz w:val="20"/>
          <w:szCs w:val="20"/>
          <w:color w:val="auto"/>
        </w:rPr>
      </w:pPr>
    </w:p>
    <w:p>
      <w:pPr>
        <w:ind w:left="1260" w:right="1320" w:firstLine="360"/>
        <w:spacing w:after="0" w:line="256" w:lineRule="auto"/>
        <w:rPr>
          <w:sz w:val="20"/>
          <w:szCs w:val="20"/>
          <w:color w:val="auto"/>
        </w:rPr>
      </w:pPr>
      <w:r>
        <w:rPr>
          <w:rFonts w:ascii="Times New Roman" w:cs="Times New Roman" w:eastAsia="Times New Roman" w:hAnsi="Times New Roman"/>
          <w:sz w:val="18"/>
          <w:szCs w:val="18"/>
          <w:color w:val="auto"/>
        </w:rPr>
        <w:t>We believe that representation of gender, ethnic, geographic, cultural or other perspectives expands the Board of Directors’ understanding of the needs and viewpoints of our customers, partners, employees and other stakeholders. The following matrix discloses the gender and demographic backgrounds of our directors, as self-identified by its members in accordance with Nasdaq Listing Rule 5606. Some of the columns below include Kelly Ducourty, who has decided not to stand for re-election at the 2022 Annual Meeting and whose term as a director will end at the 2022 Annual Meeting.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6"/>
          </w:tcPr>
          <w:p>
            <w:pPr>
              <w:ind w:left="15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w:t>
            </w:r>
          </w:p>
        </w:tc>
        <w:tc>
          <w:tcPr>
            <w:tcW w:w="3420" w:type="dxa"/>
            <w:vAlign w:val="bottom"/>
            <w:gridSpan w:val="9"/>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Disclose Gender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6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6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tc>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6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6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6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of Native American</w:t>
            </w:r>
          </w:p>
        </w:tc>
        <w:tc>
          <w:tcPr>
            <w:tcW w:w="16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6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81"/>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-1637030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-1637030</wp:posOffset>
            </wp:positionV>
            <wp:extent cx="39776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60" w:type="dxa"/>
            <w:vAlign w:val="bottom"/>
          </w:tcPr>
          <w:p>
            <w:pPr>
              <w:spacing w:after="0"/>
              <w:rPr>
                <w:sz w:val="14"/>
                <w:szCs w:val="14"/>
                <w:color w:val="auto"/>
              </w:rPr>
            </w:pP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120" w:type="dxa"/>
            <w:vAlign w:val="bottom"/>
            <w:gridSpan w:val="9"/>
          </w:tcPr>
          <w:p>
            <w:pPr>
              <w:ind w:left="7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Disclose Gender</w:t>
            </w:r>
            <w:r>
              <w:rPr>
                <w:rFonts w:ascii="Times New Roman" w:cs="Times New Roman" w:eastAsia="Times New Roman" w:hAnsi="Times New Roman"/>
                <w:sz w:val="24"/>
                <w:szCs w:val="24"/>
                <w:b w:val="1"/>
                <w:bCs w:val="1"/>
                <w:color w:val="auto"/>
                <w:vertAlign w:val="subscript"/>
              </w:rPr>
              <w:t>​</w:t>
            </w:r>
          </w:p>
        </w:tc>
      </w:tr>
      <w:tr>
        <w:trPr>
          <w:trHeight w:val="20"/>
        </w:trPr>
        <w:tc>
          <w:tcPr>
            <w:tcW w:w="4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3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Military Veteran</w:t>
            </w:r>
          </w:p>
        </w:tc>
        <w:tc>
          <w:tcPr>
            <w:tcW w:w="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1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-1174115</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-1174115</wp:posOffset>
            </wp:positionV>
            <wp:extent cx="40201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Tenure and Age Distribution</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2022). The following tables include Kelly Ducourty, who has decided not to stand for re-election at the 2022 Annual Meeting and whose term as a director will end at the 2022 Annual Meeting.</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6"/>
              </w:rPr>
              <w:t>Tenure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Directors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Directors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20" w:type="dxa"/>
            <w:vAlign w:val="bottom"/>
          </w:tcPr>
          <w:p>
            <w:pPr>
              <w:spacing w:after="0"/>
              <w:rPr>
                <w:sz w:val="15"/>
                <w:szCs w:val="15"/>
                <w:color w:val="auto"/>
              </w:rPr>
            </w:pPr>
          </w:p>
        </w:tc>
        <w:tc>
          <w:tcPr>
            <w:tcW w:w="220" w:type="dxa"/>
            <w:vAlign w:val="bottom"/>
            <w:tcBorders>
              <w:top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center"/>
              <w:ind w:right="135"/>
              <w:spacing w:after="0" w:line="182" w:lineRule="exact"/>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 years</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rPr>
              <w:t>6 – 10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 – 70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rPr>
              <w:t>0 – 5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 – 60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Evaluations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on the processes, structure, composition and effectiveness of the Board of the Directors. The survey is a detailed written questionnaire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evaluation process is used:</w:t>
      </w:r>
    </w:p>
    <w:p>
      <w:pPr>
        <w:spacing w:after="0" w:line="104" w:lineRule="exact"/>
        <w:rPr>
          <w:sz w:val="20"/>
          <w:szCs w:val="20"/>
          <w:color w:val="auto"/>
        </w:rPr>
      </w:pPr>
    </w:p>
    <w:p>
      <w:pPr>
        <w:jc w:val="both"/>
        <w:ind w:left="1800" w:right="63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spacing w:after="0" w:line="54"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and the Governance Committee to identify the strengths and areas of opportunity of each member of the Board of Directors, the Board of Directors as a whole and each committee;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to provide insight into how the Board as a whole, each committee and each member of the Board of Directors can be most valuable;</w:t>
      </w:r>
    </w:p>
    <w:p>
      <w:pPr>
        <w:spacing w:after="0" w:line="40"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improve agenda topics of the Board of Directors and its committees so that information they receive enables them to effectively address the issues they consider most critical; and</w:t>
      </w:r>
    </w:p>
    <w:p>
      <w:pPr>
        <w:spacing w:after="0" w:line="26"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Governance Committee as part of its annual review of each director’s performance when considering whether to recommend the nomination of the director for re-election to the Board of Directors.</w:t>
      </w:r>
    </w:p>
    <w:p>
      <w:pPr>
        <w:spacing w:after="0" w:line="106" w:lineRule="exact"/>
        <w:rPr>
          <w:sz w:val="20"/>
          <w:szCs w:val="20"/>
          <w:color w:val="auto"/>
        </w:rPr>
      </w:pPr>
    </w:p>
    <w:p>
      <w:pPr>
        <w:ind w:left="1260" w:right="10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i w:val="1"/>
          <w:iCs w:val="1"/>
          <w:color w:val="auto"/>
        </w:rPr>
        <w:t>Executive Compensation — Compensation of Directors</w:t>
      </w:r>
      <w:r>
        <w:rPr>
          <w:rFonts w:ascii="Times New Roman" w:cs="Times New Roman" w:eastAsia="Times New Roman" w:hAnsi="Times New Roman"/>
          <w:sz w:val="18"/>
          <w:szCs w:val="18"/>
          <w:color w:val="auto"/>
        </w:rPr>
        <w:t>” for additional information regarding the Board of Directors.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has selected Deloitte &amp; Touche LLP as Fortinet’s independent registered public accounting firm to audit the financial statements of Fortinet for the fiscal year ending December 31, 2022, which will include an audit of the effectiveness of Fortinet’s internal control over financial reporting. A representative of Deloitte &amp; Touche LLP is expected to be present at the 2022 Annual Meeting, will have the opportunity to make a statement if such representative desires to do so and is expected to be available to respond to appropriate questions.</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79" w:lineRule="exact"/>
        <w:rPr>
          <w:sz w:val="20"/>
          <w:szCs w:val="20"/>
          <w:color w:val="auto"/>
        </w:rPr>
      </w:pPr>
    </w:p>
    <w:p>
      <w:pPr>
        <w:jc w:val="center"/>
        <w:ind w:left="1880" w:right="180"/>
        <w:spacing w:after="0" w:line="291"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THE APPOINTMENT OF DELOITTE &amp; TOUCHE LLP AS FORTINET’S INDEPENDENT REGISTERED PUBLIC ACCOUNTING FIRM FOR THE FISCAL YEAR ENDING DECEMBER 31, 2022.</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billed for professional audit services and other services rendered to Fortinet by Deloitte &amp; Touche LLP for the years ended December 31, 2021 and December 31, 2020.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520" w:type="dxa"/>
            <w:vAlign w:val="bottom"/>
            <w:gridSpan w:val="2"/>
            <w:vMerge w:val="continue"/>
            <w:shd w:val="clear" w:color="auto" w:fill="CCEEFF"/>
          </w:tcPr>
          <w:p>
            <w:pPr>
              <w:spacing w:after="0"/>
              <w:rPr>
                <w:sz w:val="24"/>
                <w:szCs w:val="24"/>
                <w:color w:val="auto"/>
              </w:rPr>
            </w:pPr>
          </w:p>
        </w:tc>
        <w:tc>
          <w:tcPr>
            <w:tcW w:w="3960" w:type="dxa"/>
            <w:vAlign w:val="bottom"/>
            <w:gridSpan w:val="8"/>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​​$3,109,169​​ ​​$2,850,299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969,300​​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28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619,244​​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tc>
        <w:tc>
          <w:tcPr>
            <w:tcW w:w="2280" w:type="dxa"/>
            <w:vAlign w:val="bottom"/>
            <w:gridSpan w:val="2"/>
          </w:tcPr>
          <w:p>
            <w:pPr>
              <w:ind w:left="1900"/>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400" w:type="dxa"/>
            <w:vAlign w:val="bottom"/>
          </w:tcPr>
          <w:p>
            <w:pPr>
              <w:spacing w:after="0"/>
              <w:rPr>
                <w:sz w:val="24"/>
                <w:szCs w:val="24"/>
                <w:color w:val="auto"/>
              </w:rPr>
            </w:pPr>
          </w:p>
        </w:tc>
        <w:tc>
          <w:tcPr>
            <w:tcW w:w="640" w:type="dxa"/>
            <w:vAlign w:val="bottom"/>
            <w:gridSpan w:val="3"/>
          </w:tcPr>
          <w:p>
            <w:pPr>
              <w:jc w:val="right"/>
              <w:ind w:right="40"/>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680" w:type="dxa"/>
            <w:vAlign w:val="bottom"/>
            <w:gridSpan w:val="3"/>
          </w:tcPr>
          <w:p>
            <w:pPr>
              <w:jc w:val="right"/>
              <w:spacing w:after="0" w:line="297" w:lineRule="exact"/>
              <w:rPr>
                <w:sz w:val="20"/>
                <w:szCs w:val="20"/>
                <w:color w:val="auto"/>
              </w:rPr>
            </w:pPr>
            <w:r>
              <w:rPr>
                <w:rFonts w:ascii="Times New Roman" w:cs="Times New Roman" w:eastAsia="Times New Roman" w:hAnsi="Times New Roman"/>
                <w:sz w:val="18"/>
                <w:szCs w:val="18"/>
                <w:color w:val="auto"/>
              </w:rPr>
              <w:t>1,895</w:t>
            </w:r>
            <w:r>
              <w:rPr>
                <w:rFonts w:ascii="Times New Roman" w:cs="Times New Roman" w:eastAsia="Times New Roman" w:hAnsi="Times New Roman"/>
                <w:sz w:val="34"/>
                <w:szCs w:val="34"/>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8"/>
            <w:shd w:val="clear" w:color="auto" w:fill="CCEEFF"/>
          </w:tcPr>
          <w:p>
            <w:pPr>
              <w:ind w:left="190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4,697,713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4,142,555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225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-1019810</wp:posOffset>
            </wp:positionV>
            <wp:extent cx="42176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10" w:lineRule="exact"/>
        <w:rPr>
          <w:sz w:val="20"/>
          <w:szCs w:val="20"/>
          <w:color w:val="auto"/>
        </w:rPr>
      </w:pPr>
    </w:p>
    <w:p>
      <w:pPr>
        <w:ind w:left="1620" w:right="479" w:hanging="360"/>
        <w:spacing w:after="0" w:line="258"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3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the audit or review of our consolidated financial statements and which are not reported under Audit Fees above. In 2021, Audit-Related Fees related primarily to the debt offering, business combination and equity investment.</w:t>
      </w:r>
    </w:p>
    <w:p>
      <w:pPr>
        <w:spacing w:after="0" w:line="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services related to federal and state income tax compliance, transfer pricing review, reports related to research and development credits, country-by-country reporting, the Foreign Derived Intangible Income and U.S. tax reform.</w:t>
      </w:r>
    </w:p>
    <w:p>
      <w:pPr>
        <w:spacing w:after="0" w:line="27"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products and services provided by Deloitte &amp; Touche LLP that are not included in the service categories reported above.</w:t>
      </w: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of Audit and Non-Audit Services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10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All Deloitte &amp; Touche LLP services and fees in fiscal 2021 and fiscal 2020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12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Fortinet, the Human Resources Committee or the Board of Directors. Following the 2022 Annual Meeting, the next such non-binding advisory vote to approve our named executive officers’ compensation as a whole is scheduled to occur at the 2023 Annual Meeting.</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and in particular the information discussed in “</w:t>
      </w:r>
      <w:r>
        <w:rPr>
          <w:rFonts w:ascii="Times New Roman" w:cs="Times New Roman" w:eastAsia="Times New Roman" w:hAnsi="Times New Roman"/>
          <w:sz w:val="18"/>
          <w:szCs w:val="18"/>
          <w:i w:val="1"/>
          <w:iCs w:val="1"/>
          <w:color w:val="auto"/>
        </w:rPr>
        <w:t>Executive Compensation —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demonstrates that our executive compensation program was designed appropriately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to ensure our executive officers’ interests are aligned with our stockholders’ interests. Accordingly, we ask our stockholders to vote “FOR” the following resolution at the 2022 Annual Meeting:</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“RESOLVED, that Fortinet’s stockholders approve, on an advisory basis, the compensation of the named executive officers, as disclosed in Fortinet’s proxy statement for the 2022 Annual Meeting pursuant to the Item 402 of Regulation S-K, including the Compensation Discussion and Analysis, the compensation tables and narrative discussion and the other related disclosure.”</w:t>
      </w:r>
    </w:p>
    <w:p>
      <w:pPr>
        <w:spacing w:after="0" w:line="1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left="1860" w:right="60"/>
        <w:spacing w:after="0" w:line="243" w:lineRule="auto"/>
        <w:rPr>
          <w:sz w:val="20"/>
          <w:szCs w:val="20"/>
          <w:color w:val="auto"/>
        </w:rPr>
      </w:pPr>
      <w:r>
        <w:rPr>
          <w:rFonts w:ascii="Times New Roman" w:cs="Times New Roman" w:eastAsia="Times New Roman" w:hAnsi="Times New Roman"/>
          <w:sz w:val="18"/>
          <w:szCs w:val="18"/>
          <w:b w:val="1"/>
          <w:bCs w:val="1"/>
          <w:color w:val="auto"/>
        </w:rPr>
        <w:t>ADOPTION OF AMENDED AND RESTATED CERTIFICATE OF INCORPORATION TO IMPLEMENT FIVE-FOR-ONE FORWARD STOCK SPLIT</w:t>
      </w:r>
    </w:p>
    <w:p>
      <w:pPr>
        <w:spacing w:after="0" w:line="11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Board of Directors has deemed it advisable and in the best interests of our stockholders to effect a five-for-one forward split of our common stock. The trading price of our common stock has experienced significant growth since our initial public offering in 2009. The Board of Directors regularly evaluates the effect of such growth on the liquidity and marketability of our common stock and believes the considerable appreciation in the trading price of our common stock makes our common stock less affordable on a per-share basis to certain of our investors and employees. The per share closing stock price of our common stock on March 31, 2022 was $341.74. The Board of Directors believes effecting a five-for-one stock split would make our shares more affordable, attract a broader group of potential investors and employees and increase liquidity in the trading of shares of our common stock.</w:t>
      </w:r>
    </w:p>
    <w:p>
      <w:pPr>
        <w:spacing w:after="0" w:line="11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At present, our amended and restated certificate of incorporation authorizes the issuance of up to 300,000,000 shares of common stock, par value $0.001 per share, and 10,000,000 shares of preferred stock, par value $0.001 per share. As of March 31, 2022, 160,266,932 shares of common stock were issued and outstanding. Of the unissued shares, approximately 17,131,647 shares of common stock were reserved for issuance under our Amended and Restated 2009 Equity Incentive Plan (the “2009 Plan”). No shares of preferred stock have been issued.</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April 14, 2022, subject to approval by our stockholders, the Board of Directors approved the Restated Certificate, which: (i) effects a five-for-one forward stock split of our common stock (the “Stock Split”); (ii) proportionally increases the number of authorized shares of our common stock from 300,000,000 to 1,500,000,000 (the “Share Increase”); and (iii) makes certain other changes to our existing amended and restated certificate of incorporation in order to remove certain no longer applicable provisions thereof relating to the transition from the classified Board of Directors that we had prior to 2018 to the declassified Board of Directors that is now in place. The additional shares of common stock would have rights identical to the currently outstanding common stock.</w:t>
      </w:r>
    </w:p>
    <w:p>
      <w:pPr>
        <w:spacing w:after="0" w:line="119" w:lineRule="exact"/>
        <w:rPr>
          <w:sz w:val="20"/>
          <w:szCs w:val="20"/>
          <w:color w:val="auto"/>
        </w:rPr>
      </w:pPr>
    </w:p>
    <w:p>
      <w:pPr>
        <w:jc w:val="both"/>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recommends that our stockholders approve the Restated Certificate in order to effect the Stock Split and the Share Increase. A copy of the Restated Certificate is attached as Appendix B to this Proxy Statement, which Restated Certificate also sets forth the procedure for the Stock Split.</w:t>
      </w: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Additions to our existing amended and restated certificate of incorporation are indicated by underlining, and deletions are indicated by strikethroughs.</w:t>
      </w:r>
    </w:p>
    <w:p>
      <w:pPr>
        <w:spacing w:after="0" w:line="11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our stockholders approve the Restated Certificate, the Stock Split and Share Increase would become effective upon the filing and effectiveness of the Restated Certificate with the Secretary of State of the State of Delaware. It is expected that this filing will take place promptly following the stockholders’ approval of the Restated Certificate. The Board of Directors reserves the right, notwithstanding stockholder approval and without further action by our stockholders, to elect not to proceed with the Stock Split and Share Increase if, at any time prior to filing the Restated Certificate, the Board of Directors, in its sole discretion, determines that it is no longer in our best interests and the best interests of our stockholders to proceed with the Stock Split and Share Increase.</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Upon filing and effectiveness of the Restated Certificate with the Secretary of State of the State of Delaware effecting the Stock Split and Share Increase, the Stock Split and Share Increase shall occur without any further action on the part of Fortinet or the holders of shares of our common stock. Book-entries dated as of a date prior to the effective time of the Stock Split representing outstanding shares of common stock shall, immediately after the effective time of the stock split, represent a number of shares equal to the same number of shares of common stock as is reflected on the book-entries, multiplied by five.</w:t>
      </w:r>
    </w:p>
    <w:p>
      <w:pPr>
        <w:spacing w:after="0" w:line="11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Following the Stock Split, if ultimately implemented, we currently estimate that we will have approximately 801,344,655 shares of common stock outstanding, based on the number of shares of common stock that were issued and outstanding as of the Record Date. We also will have reserved for issuance the maximum number of shares of common stock subject to options and other awards which have been granted or may be granted under the 2009 Plan, which provide that the number of shares of common stock reserved for issuance shall be appropriately adjusted in the event of a stock split.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believes it is in our best interests to increase proportionately the number of authorized shares of common stock so as to accommodate the Stock Split and so as to have additional authorized but unissued shares available for issuance by the Board of Directors in connection with any future stock dividends or splits, grants under the 2009 Plan, financings, mergers or acquisitions and for other general corporate purposes without the delay and expense associated with convening a special stockholders’ meeting or soliciting stockholders’ written consents. Aside from the shares currently reserved or to be reserved for issuance under the 2009 Plan, the Board of Directors has not authorized the issuance of any additional shares of common stock, and there are no current agreements or commitments for the issuance of additional shares.</w:t>
      </w:r>
    </w:p>
    <w:p>
      <w:pPr>
        <w:spacing w:after="0" w:line="34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Stockholders’ current ownership of common stock will not give them automatic rights to purchase any of the additional authorized shares of common stock. If the Restated Certificate is adopted, the additional authorized shares of common stock will be available for issuance from time to time at the discretion of the Board of Directors without further action by the stockholders, except where stockholder approval is required by Nasdaq or to obtain favorable tax treatment for certain employee benefit plans. Article IV of our amended and restated certificate of incorporation authorizes the Board of Directors, without further stockholder approval, to issue preferred stock having such designations, powers, preferences and rights as may be determined by the Board of Directors. Any future issuance of additional authorized shares of common stock may, among other things, dilute the earnings per share of the common stock and the equity and voting rights of those holding common stock at the time the additional shares are issued. Issuance of shares of preferred stock would dilute the earnings per share and book value per share of existing shares of common stock. Holders of preferred stock would have such voting rights as may be provided for by law and as determined by the Board of Directors.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Although an increase in the authorized shares of common stock could, under certain circumstances, be construed as having an anti-takeover effect (for example, by diluting the stock ownership of a person seeking to effect a change in the composition of the Board of Directors or contemplating a tender offer or other transaction for the combination of our company with another company), the Board of Directors is not proposing to adopt the Restated Certificate in response to any effort to accumulate our stock or obtain control of the company by means of a merger, tender offer or solicitation in opposition of management. Also, while we have no present intention to issue shares of preferred stock in a manner which would have an anti-takeover effect or otherwise, the issuance of preferred stock could have certain other anti-takeover effects under certain circumstances. Since the voting rights to be accorded to any series of preferred stock remain to be fixed by the Board of Directors, the holders of preferred stock may be authorized by the Board of Directors to vote separately as a class in connection with approval of certain extraordinary corporate transactions or be given a large number of votes per share. Such preferred stock could also be convertible into a large number of shares of common stock under certain circumstances or have other terms which might render the acquisition of a controlling interest in us more difficult or more costly. Shares of preferred stock could be privately placed with purchasers who might side with the management of Fortinet in opposing a hostile tender offer or other attempt to obtain control. The issuance of preferred stock as an anti-takeover device might preclude stockholders from taking advantage of a situation which might be favorable to their interests.</w:t>
      </w:r>
    </w:p>
    <w:p>
      <w:pPr>
        <w:spacing w:after="0" w:line="328"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 xml:space="preserve">As set forth our amended and restated certificate of incorporation, the affirmative vote of the holders of at least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shares of our common stock outstanding as of the Record Date is required for approval of the Restated Certificate.</w:t>
      </w:r>
    </w:p>
    <w:p>
      <w:pPr>
        <w:spacing w:after="0" w:line="16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THE BOARD OF DIRECTORS HAS NO VOTING RECOMMENDATION FOR</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FOLLOWING STOCKHOLDER PROPOSAL</w:t>
      </w:r>
    </w:p>
    <w:p>
      <w:pPr>
        <w:spacing w:after="0" w:line="12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Management has been advised that John Chevedden, 2215 Nelson Avenue, No. 205, Redondo Beach, California 90278, intends to submit the following proposal at the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Proposal Five — Simple Majority Vote</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RESOLVED, Shareholders request that our board take the necessary steps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 If necessary this means the closest standard to a majority of the votes cast for and against such proposals consistent with applicable laws. This includes any existing supermajority vote requirement that results from default to state law and can be subject to elimination.</w:t>
      </w:r>
    </w:p>
    <w:p>
      <w:pPr>
        <w:spacing w:after="0" w:line="32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proposals supported by most shareholders but opposed by a status quo management.</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This proposal topic won from 74% to 88% support at Weyerhaeuser, Alcoa, Waste Management, Goldman Sachs, FirstEnergy, McGraw-Hill and Macy’s. The proponents of these proposals included Ray T. Chevedden and William Steiner. The votes would have been higher than 74% to 88% if more shareholders had access to independent proxy voting advice.</w:t>
      </w:r>
    </w:p>
    <w:p>
      <w:pPr>
        <w:spacing w:after="0" w:line="11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Church &amp; Dwight shareholders gave 99% support to a 2020 proposal on this same topic. This proposal topic also won 99%-support at the 2021 Conoco Phillips annual meeting.</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Currently Fortinet has a 67% vote requirement. This means that an 87% vote from the shares that vote at the Fortinet annual meeting are required to meet the 67% voting requirement — an almost impossible requirement.</w:t>
      </w:r>
    </w:p>
    <w:p>
      <w:pPr>
        <w:spacing w:after="0" w:line="10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This is not the only shortcoming in Fortinet corporate governance. Mr. Kenneth Goldman joined the Fortinet Board of Directors in October 2020 and received 40 times the negative votes as most of the other Fortinet directors in 2021.</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Please vote yes:</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Simple Majority Vote — Proposal Five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 to Approve Proposal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affirmative vote of a majority of the shares of our common stock that are present in person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proxy at the 2022 Annual Meeting and entitled to vote is required to approve Proposal Five.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Response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has considered the proposal set forth above relating to the removal of supermajority voting standards in our amended and restated certificate of incorporation and amended and restated bylaws and has determined to make no voting recommendation to our stockholders. The proposal is advisory in nature only. Stockholders should note that approval of this proposal would not, by itself, implement a majority voting standard as described in the proposal, and the Board of Directors and our</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stockholders would need to take subsequent action to amend our amended and restated certificate of incorporation and/or our amended and restated bylaws.</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a meeting and entitled to vote on the subject matter is the voting standard for nearly all matters voted upon by our stockholders. Our use of supermajority voting standards is limited in our amended and restated certificate of incorporation and our amended and restated bylaws solely to certain amendments of each such governing document. This limited use of supermajority voting standards has been approved by our stockholders on multiple occasions, most recently at our 2018 Annual Meeting of Stockholders when stockholders approved our current amended and restated certificate of incorporation by 99% of shares present at the meeting (i.e. excluding broker non-votes). We believe higher voting requirements are appropriate in limited circumstances because certain fundamental matters should require broad support and consensus from our stockholders. In addition, under a majority voting standard as proposed, holders of a significant minority of our outstanding shares could approve certain fundamental corporate changes without broad stockholder support, as a mere majority of the votes cast at a meeting could in many cases represent significantly less than a majority of our shares outstanding.</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However, we recognize that some stockholders prefer a universal majority voting standard. As such, we want to use this proposal as an opportunity for stockholders to express their views on this subject. We will consider the voting results on this proposal, together with additional stockholder input received in the course of our regular stockholder engagement program, in our future deliberations regarding the appropriate voting standards within our amended and restated certificate of incorporation and our amended and restated bylaws.</w:t>
      </w:r>
    </w:p>
    <w:p>
      <w:pPr>
        <w:spacing w:after="0" w:line="400" w:lineRule="exact"/>
        <w:rPr>
          <w:sz w:val="20"/>
          <w:szCs w:val="20"/>
          <w:color w:val="auto"/>
        </w:rPr>
      </w:pPr>
    </w:p>
    <w:p>
      <w:pPr>
        <w:jc w:val="center"/>
        <w:ind w:left="18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TAKES NO POSITION AND MAKES NO RECOMMENDATION ON THIS PROPOSAL. PROXIES RETURNED WITHOUT VOTING INSTRUCTIONS WILL BE VOTED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believe that our corporate vision — a digital world you can always trust — is essential to achieving just and sustainable societies, and that it is our responsibility to deliver on that vision by innovating sustainable security technologies, diversifying cybersecurity talent and promoting responsible business across our value chain. This responsibility drives our ESG practices.</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commitment to CSR starts at the highest level with the Social Responsibility Committee, which the Board of Directors established on its own initiative in 2021 to ensure proper focus on, and provide proper oversight of, our CSR strategy, initiatives and execution. Our senior leadership sponsors and helps oversee the integration of our CSR priorities broadly throughout our business operations, and our Global Head of Sustainability &amp; CSR manages a team and chairs an internal cross-functional employee CSR Committee to define our CSR strategy and lead execution.</w:t>
      </w:r>
    </w:p>
    <w:p>
      <w:pPr>
        <w:spacing w:after="0" w:line="106"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Our objective is to promote long-term value for our stakeholders, including customers, partners, suppliers, employees, stockholders and communities. In 2021, we conducted a formal materiality assessment with outside experts, which informed our sustainability strategy as follows: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Growing an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Inclusive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8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Innovating for a Safe Internet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Cybersecurity Workforce   </w:t>
            </w:r>
            <w:r>
              <w:rPr>
                <w:rFonts w:ascii="Times New Roman" w:cs="Times New Roman" w:eastAsia="Times New Roman" w:hAnsi="Times New Roman"/>
                <w:sz w:val="24"/>
                <w:szCs w:val="24"/>
                <w:b w:val="1"/>
                <w:bCs w:val="1"/>
                <w:color w:val="auto"/>
                <w:vertAlign w:val="subscript"/>
              </w:rPr>
              <w:t>​</w:t>
            </w:r>
          </w:p>
        </w:tc>
        <w:tc>
          <w:tcPr>
            <w:tcW w:w="60" w:type="dxa"/>
            <w:vAlign w:val="bottom"/>
          </w:tcPr>
          <w:p>
            <w:pPr>
              <w:spacing w:after="0"/>
              <w:rPr>
                <w:sz w:val="18"/>
                <w:szCs w:val="18"/>
                <w:color w:val="auto"/>
              </w:rPr>
            </w:pPr>
          </w:p>
        </w:tc>
        <w:tc>
          <w:tcPr>
            <w:tcW w:w="20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Promoting Responsible Business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Respecting the Environment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155"/>
        </w:trPr>
        <w:tc>
          <w:tcPr>
            <w:tcW w:w="1880" w:type="dxa"/>
            <w:vAlign w:val="bottom"/>
            <w:tcBorders>
              <w:top w:val="single" w:sz="8" w:color="auto"/>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committed to</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6F3"/>
            </w:tcBorders>
            <w:shd w:val="clear" w:color="auto" w:fill="CCE6F3"/>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6F3"/>
            </w:tcBorders>
            <w:shd w:val="clear" w:color="auto" w:fill="CCE6F3"/>
          </w:tcPr>
          <w:p>
            <w:pPr>
              <w:spacing w:after="0"/>
              <w:rPr>
                <w:sz w:val="13"/>
                <w:szCs w:val="13"/>
                <w:color w:val="auto"/>
              </w:rPr>
            </w:pPr>
          </w:p>
        </w:tc>
        <w:tc>
          <w:tcPr>
            <w:tcW w:w="190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committed to</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6F3"/>
            </w:tcBorders>
            <w:shd w:val="clear" w:color="auto" w:fill="CCE6F3"/>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focused on</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880" w:type="dxa"/>
            <w:vAlign w:val="bottom"/>
            <w:shd w:val="clear" w:color="auto" w:fill="CCE6F3"/>
          </w:tcPr>
          <w:p>
            <w:pPr>
              <w:spacing w:after="0" w:line="63" w:lineRule="exact"/>
              <w:rPr>
                <w:sz w:val="20"/>
                <w:szCs w:val="20"/>
                <w:color w:val="auto"/>
              </w:rPr>
            </w:pPr>
            <w:r>
              <w:rPr>
                <w:rFonts w:ascii="Times New Roman" w:cs="Times New Roman" w:eastAsia="Times New Roman" w:hAnsi="Times New Roman"/>
                <w:sz w:val="7"/>
                <w:szCs w:val="7"/>
                <w:color w:val="auto"/>
              </w:rPr>
              <w:t>We believe that ensuring</w:t>
            </w:r>
          </w:p>
        </w:tc>
        <w:tc>
          <w:tcPr>
            <w:tcW w:w="100" w:type="dxa"/>
            <w:vAlign w:val="bottom"/>
            <w:shd w:val="clear" w:color="auto" w:fill="CCE6F3"/>
          </w:tcPr>
          <w:p>
            <w:pPr>
              <w:spacing w:after="0"/>
              <w:rPr>
                <w:sz w:val="5"/>
                <w:szCs w:val="5"/>
                <w:color w:val="auto"/>
              </w:rPr>
            </w:pPr>
          </w:p>
        </w:tc>
        <w:tc>
          <w:tcPr>
            <w:tcW w:w="120" w:type="dxa"/>
            <w:vAlign w:val="bottom"/>
            <w:shd w:val="clear" w:color="auto" w:fill="CCE6F3"/>
          </w:tcPr>
          <w:p>
            <w:pPr>
              <w:spacing w:after="0"/>
              <w:rPr>
                <w:sz w:val="5"/>
                <w:szCs w:val="5"/>
                <w:color w:val="auto"/>
              </w:rPr>
            </w:pPr>
          </w:p>
        </w:tc>
        <w:tc>
          <w:tcPr>
            <w:tcW w:w="1880" w:type="dxa"/>
            <w:vAlign w:val="bottom"/>
            <w:vMerge w:val="continue"/>
            <w:shd w:val="clear" w:color="auto" w:fill="CCE6F3"/>
          </w:tcPr>
          <w:p>
            <w:pPr>
              <w:spacing w:after="0"/>
              <w:rPr>
                <w:sz w:val="5"/>
                <w:szCs w:val="5"/>
                <w:color w:val="auto"/>
              </w:rPr>
            </w:pPr>
          </w:p>
        </w:tc>
        <w:tc>
          <w:tcPr>
            <w:tcW w:w="100" w:type="dxa"/>
            <w:vAlign w:val="bottom"/>
            <w:shd w:val="clear" w:color="auto" w:fill="CCE6F3"/>
          </w:tcPr>
          <w:p>
            <w:pPr>
              <w:spacing w:after="0"/>
              <w:rPr>
                <w:sz w:val="5"/>
                <w:szCs w:val="5"/>
                <w:color w:val="auto"/>
              </w:rPr>
            </w:pPr>
          </w:p>
        </w:tc>
        <w:tc>
          <w:tcPr>
            <w:tcW w:w="60" w:type="dxa"/>
            <w:vAlign w:val="bottom"/>
            <w:shd w:val="clear" w:color="auto" w:fill="CCE6F3"/>
          </w:tcPr>
          <w:p>
            <w:pPr>
              <w:spacing w:after="0"/>
              <w:rPr>
                <w:sz w:val="5"/>
                <w:szCs w:val="5"/>
                <w:color w:val="auto"/>
              </w:rPr>
            </w:pPr>
          </w:p>
        </w:tc>
        <w:tc>
          <w:tcPr>
            <w:tcW w:w="60" w:type="dxa"/>
            <w:vAlign w:val="bottom"/>
            <w:shd w:val="clear" w:color="auto" w:fill="CCE6F3"/>
          </w:tcPr>
          <w:p>
            <w:pPr>
              <w:spacing w:after="0"/>
              <w:rPr>
                <w:sz w:val="5"/>
                <w:szCs w:val="5"/>
                <w:color w:val="auto"/>
              </w:rPr>
            </w:pPr>
          </w:p>
        </w:tc>
        <w:tc>
          <w:tcPr>
            <w:tcW w:w="1900" w:type="dxa"/>
            <w:vAlign w:val="bottom"/>
            <w:vMerge w:val="continue"/>
            <w:shd w:val="clear" w:color="auto" w:fill="CCE6F3"/>
          </w:tcPr>
          <w:p>
            <w:pPr>
              <w:spacing w:after="0"/>
              <w:rPr>
                <w:sz w:val="5"/>
                <w:szCs w:val="5"/>
                <w:color w:val="auto"/>
              </w:rPr>
            </w:pPr>
          </w:p>
        </w:tc>
        <w:tc>
          <w:tcPr>
            <w:tcW w:w="100" w:type="dxa"/>
            <w:vAlign w:val="bottom"/>
            <w:shd w:val="clear" w:color="auto" w:fill="CCE6F3"/>
          </w:tcPr>
          <w:p>
            <w:pPr>
              <w:spacing w:after="0"/>
              <w:rPr>
                <w:sz w:val="5"/>
                <w:szCs w:val="5"/>
                <w:color w:val="auto"/>
              </w:rPr>
            </w:pPr>
          </w:p>
        </w:tc>
        <w:tc>
          <w:tcPr>
            <w:tcW w:w="120" w:type="dxa"/>
            <w:vAlign w:val="bottom"/>
            <w:shd w:val="clear" w:color="auto" w:fill="CCE6F3"/>
          </w:tcPr>
          <w:p>
            <w:pPr>
              <w:spacing w:after="0"/>
              <w:rPr>
                <w:sz w:val="5"/>
                <w:szCs w:val="5"/>
                <w:color w:val="auto"/>
              </w:rPr>
            </w:pPr>
          </w:p>
        </w:tc>
        <w:tc>
          <w:tcPr>
            <w:tcW w:w="1880" w:type="dxa"/>
            <w:vAlign w:val="bottom"/>
            <w:vMerge w:val="continue"/>
            <w:shd w:val="clear" w:color="auto" w:fill="CCE6F3"/>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the digital security and</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building an inclusive,</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doing business ethically</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addressing the climate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privacy of individuals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equitable and diverse</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in compliance with</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change impacts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organizations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workforce within our</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all laws. Our corporate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minimizing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enables digital progress,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organization and across</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governance practices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environmental footprint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we strive to create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the industry to help</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aim to ensure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of our solutions,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value through security</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empower individuals to</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accountability to meet</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operations and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innovation, expertise,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reach their full potential.</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our responsibilities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broader value chain.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18"/>
                <w:szCs w:val="18"/>
                <w:color w:val="auto"/>
              </w:rPr>
            </w:pP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across our entire value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cooperation.</w:t>
            </w:r>
          </w:p>
        </w:tc>
        <w:tc>
          <w:tcPr>
            <w:tcW w:w="100" w:type="dxa"/>
            <w:vAlign w:val="bottom"/>
            <w:shd w:val="clear" w:color="auto" w:fill="CCE6F3"/>
          </w:tcPr>
          <w:p>
            <w:pPr>
              <w:spacing w:after="0"/>
              <w:rPr>
                <w:sz w:val="21"/>
                <w:szCs w:val="21"/>
                <w:color w:val="auto"/>
              </w:rPr>
            </w:pPr>
          </w:p>
        </w:tc>
        <w:tc>
          <w:tcPr>
            <w:tcW w:w="120" w:type="dxa"/>
            <w:vAlign w:val="bottom"/>
            <w:shd w:val="clear" w:color="auto" w:fill="CCE6F3"/>
          </w:tcPr>
          <w:p>
            <w:pPr>
              <w:spacing w:after="0"/>
              <w:rPr>
                <w:sz w:val="21"/>
                <w:szCs w:val="21"/>
                <w:color w:val="auto"/>
              </w:rPr>
            </w:pPr>
          </w:p>
        </w:tc>
        <w:tc>
          <w:tcPr>
            <w:tcW w:w="1880" w:type="dxa"/>
            <w:vAlign w:val="bottom"/>
            <w:shd w:val="clear" w:color="auto" w:fill="CCE6F3"/>
          </w:tcPr>
          <w:p>
            <w:pPr>
              <w:spacing w:after="0"/>
              <w:rPr>
                <w:sz w:val="21"/>
                <w:szCs w:val="21"/>
                <w:color w:val="auto"/>
              </w:rPr>
            </w:pPr>
          </w:p>
        </w:tc>
        <w:tc>
          <w:tcPr>
            <w:tcW w:w="100" w:type="dxa"/>
            <w:vAlign w:val="bottom"/>
            <w:shd w:val="clear" w:color="auto" w:fill="CCE6F3"/>
          </w:tcPr>
          <w:p>
            <w:pPr>
              <w:spacing w:after="0"/>
              <w:rPr>
                <w:sz w:val="21"/>
                <w:szCs w:val="21"/>
                <w:color w:val="auto"/>
              </w:rPr>
            </w:pPr>
          </w:p>
        </w:tc>
        <w:tc>
          <w:tcPr>
            <w:tcW w:w="60" w:type="dxa"/>
            <w:vAlign w:val="bottom"/>
            <w:shd w:val="clear" w:color="auto" w:fill="CCE6F3"/>
          </w:tcPr>
          <w:p>
            <w:pPr>
              <w:spacing w:after="0"/>
              <w:rPr>
                <w:sz w:val="21"/>
                <w:szCs w:val="21"/>
                <w:color w:val="auto"/>
              </w:rPr>
            </w:pPr>
          </w:p>
        </w:tc>
        <w:tc>
          <w:tcPr>
            <w:tcW w:w="60" w:type="dxa"/>
            <w:vAlign w:val="bottom"/>
            <w:shd w:val="clear" w:color="auto" w:fill="CCE6F3"/>
          </w:tcPr>
          <w:p>
            <w:pPr>
              <w:spacing w:after="0"/>
              <w:rPr>
                <w:sz w:val="21"/>
                <w:szCs w:val="21"/>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chain.</w:t>
            </w:r>
          </w:p>
        </w:tc>
        <w:tc>
          <w:tcPr>
            <w:tcW w:w="100" w:type="dxa"/>
            <w:vAlign w:val="bottom"/>
            <w:shd w:val="clear" w:color="auto" w:fill="CCE6F3"/>
          </w:tcPr>
          <w:p>
            <w:pPr>
              <w:spacing w:after="0"/>
              <w:rPr>
                <w:sz w:val="21"/>
                <w:szCs w:val="21"/>
                <w:color w:val="auto"/>
              </w:rPr>
            </w:pPr>
          </w:p>
        </w:tc>
        <w:tc>
          <w:tcPr>
            <w:tcW w:w="120" w:type="dxa"/>
            <w:vAlign w:val="bottom"/>
            <w:shd w:val="clear" w:color="auto" w:fill="CCE6F3"/>
          </w:tcPr>
          <w:p>
            <w:pPr>
              <w:spacing w:after="0"/>
              <w:rPr>
                <w:sz w:val="21"/>
                <w:szCs w:val="21"/>
                <w:color w:val="auto"/>
              </w:rPr>
            </w:pPr>
          </w:p>
        </w:tc>
        <w:tc>
          <w:tcPr>
            <w:tcW w:w="1880" w:type="dxa"/>
            <w:vAlign w:val="bottom"/>
            <w:shd w:val="clear" w:color="auto" w:fill="CCE6F3"/>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2"/>
        </w:trPr>
        <w:tc>
          <w:tcPr>
            <w:tcW w:w="188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 xml:space="preserve">Priority issues: </w:t>
            </w:r>
            <w:r>
              <w:rPr>
                <w:rFonts w:ascii="Times New Roman" w:cs="Times New Roman" w:eastAsia="Times New Roman" w:hAnsi="Times New Roman"/>
                <w:sz w:val="18"/>
                <w:szCs w:val="18"/>
                <w:b w:val="1"/>
                <w:bCs w:val="1"/>
                <w:color w:val="auto"/>
                <w:w w:val="99"/>
              </w:rPr>
              <w:t>Diversity,</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Priority issues: </w:t>
            </w:r>
            <w:r>
              <w:rPr>
                <w:rFonts w:ascii="Times New Roman" w:cs="Times New Roman" w:eastAsia="Times New Roman" w:hAnsi="Times New Roman"/>
                <w:sz w:val="18"/>
                <w:szCs w:val="18"/>
                <w:b w:val="1"/>
                <w:bCs w:val="1"/>
                <w:color w:val="auto"/>
              </w:rPr>
              <w:t>Business</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Priority issues: </w:t>
            </w:r>
            <w:r>
              <w:rPr>
                <w:rFonts w:ascii="Times New Roman" w:cs="Times New Roman" w:eastAsia="Times New Roman" w:hAnsi="Times New Roman"/>
                <w:sz w:val="18"/>
                <w:szCs w:val="18"/>
                <w:b w:val="1"/>
                <w:bCs w:val="1"/>
                <w:color w:val="auto"/>
              </w:rPr>
              <w:t>Product</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80" w:type="dxa"/>
            <w:vAlign w:val="bottom"/>
          </w:tcPr>
          <w:p>
            <w:pPr>
              <w:spacing w:after="0" w:line="59" w:lineRule="exact"/>
              <w:rPr>
                <w:sz w:val="20"/>
                <w:szCs w:val="20"/>
                <w:color w:val="auto"/>
              </w:rPr>
            </w:pPr>
            <w:r>
              <w:rPr>
                <w:rFonts w:ascii="Times New Roman" w:cs="Times New Roman" w:eastAsia="Times New Roman" w:hAnsi="Times New Roman"/>
                <w:sz w:val="6"/>
                <w:szCs w:val="6"/>
                <w:color w:val="auto"/>
              </w:rPr>
              <w:t xml:space="preserve">Priority issues: </w:t>
            </w:r>
            <w:r>
              <w:rPr>
                <w:rFonts w:ascii="Times New Roman" w:cs="Times New Roman" w:eastAsia="Times New Roman" w:hAnsi="Times New Roman"/>
                <w:sz w:val="6"/>
                <w:szCs w:val="6"/>
                <w:b w:val="1"/>
                <w:bCs w:val="1"/>
                <w:color w:val="auto"/>
              </w:rPr>
              <w:t>Cyber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Risks to Society;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&amp; Inclusion;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Ethics; Responsible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Environmental Impacts;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Security &amp;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Cybersecurity Skills Gap</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Use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-1971040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-1971040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-1971040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2021, for each of our defined CSR priorities we developed initial roadmaps and engaged our relevant business units in the process. We improved transparency and disclosure by actively participating in third-party sustainability assessments with selected rating agencies and bolstering our public CSR disclosures, including on our public website. This year, we intend to publish our first sustainability report which will further outline our CSR strategy, governance, performance and future outlook.</w:t>
      </w:r>
    </w:p>
    <w:p>
      <w:pPr>
        <w:spacing w:after="0" w:line="102"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We engage with key internal and external stakeholders to help refine our ESG practices. Below are specific areas that we know are of particular importance to many of our stockholders based on the feedback received.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Our business strategy has always promoted the reduction of the environmental footprint of our customers by innovating highly efficient, integrated appliances and cloud-based security solutions. From our inception, our strategy has been to leverage the power of our internally developed, high-performance, purpose-built security processors to integrate into one-product multiple networking and security functionalities that traditionally have been in multiple products and appliances that require more space, cooling and electricity. In 2021, we conducted a competitive analysis on power consumption, which demonstrated the superior energy efficiency of our appliances as a result of our continued innovation on product design, including the high performance of our purpose-built security processors. We have started to work with our contract manufacturers to eliminate plastics from selected product packaging and to use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recyclable and biodegradable materials instead. We also continued to ensure that our products comply with global product environmental compliance directives and regulations, from the design phase to final disposition of waste.</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order to drive sustainable operations, we engaged with a consultant to measure our Scope 1 and Scope 2 emissions and developed reduction scenarios based on science-based targets. This work allowed us to publicly commit to achieving carbon neutrality by 2030 for emissions resulting from the facilities we own worldwide. We took concrete action on environmental sustainability with the completion of our new net-zero Sunnyvale headquarter campus, which is on track to be LEED-Gold certified. We implemented multiple energy efficiency measures in this all-electric, net-zero facility, including solar panels and radiant cooling, which uses 30% less energy than a standard building and conserves 76,800 gallons of water annually. We use renewable electricity across our owned facilities, invest in sustainable projects and incentivize employees to reduce their environmental footprint by providing bike racks, onsite solar-powered electric vehicle charging stations and preferred parking spaces for sustainable-energy vehicles.</w:t>
      </w:r>
    </w:p>
    <w:p>
      <w:pPr>
        <w:spacing w:after="0" w:line="11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 order to increase transparency of our sustainability commitments, we developed and published our Environmental Policy and assessed climate risks from a risk factor and disclosure perspective. We have been working to automate metrics and reporting on environmental management in order to help pursue our carbon footprint reduction. This year, we are conducting an assessment of our Scope 3 emissions to help reduce carbonization in our broader value chain, and we plan to set reduction targets in alignment with the SBTi methodology. Actions such as these will help us with our strategy on climate change with the aim of implementing a framework that aligns with the Task Force on Climate Related Financial Disclosures.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Since the publication of our first Diversity &amp; Inclusion Report in March 2021, we have further engaged with internal and external subject matter experts and certain stockholders to continue to refine and improve our approach to Diversity, Equity and Inclusion (“DEI”). To increase transparency and visibility, we published our EEO -1 report and created gender diversity reports for senior leadership in the research and development, sales and support organizations. In order to improve equity pay, we worked with external consultants to align our salary ranges per job function and grade with industry practice. We have continued to expand programs designed to ensure DEI in the workplace, including our unconscious bias training for managers across the company and </w:t>
      </w:r>
      <w:r>
        <w:rPr>
          <w:rFonts w:ascii="Times New Roman" w:cs="Times New Roman" w:eastAsia="Times New Roman" w:hAnsi="Times New Roman"/>
          <w:sz w:val="18"/>
          <w:szCs w:val="18"/>
          <w:i w:val="1"/>
          <w:iCs w:val="1"/>
          <w:color w:val="auto"/>
        </w:rPr>
        <w:t>Fortinet’s Conversations</w:t>
      </w:r>
      <w:r>
        <w:rPr>
          <w:rFonts w:ascii="Times New Roman" w:cs="Times New Roman" w:eastAsia="Times New Roman" w:hAnsi="Times New Roman"/>
          <w:sz w:val="18"/>
          <w:szCs w:val="18"/>
          <w:color w:val="auto"/>
        </w:rPr>
        <w:t xml:space="preserve">, a management program designed to drive broad and diverse employee engagement, development and performance. We initiated workshops on building an inclusive team and published internally an </w:t>
      </w:r>
      <w:r>
        <w:rPr>
          <w:rFonts w:ascii="Times New Roman" w:cs="Times New Roman" w:eastAsia="Times New Roman" w:hAnsi="Times New Roman"/>
          <w:sz w:val="18"/>
          <w:szCs w:val="18"/>
          <w:i w:val="1"/>
          <w:iCs w:val="1"/>
          <w:color w:val="auto"/>
        </w:rPr>
        <w:t>Inclusive Leadership Guide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also take steps to consider diversity and inclusion while contributing to close the global cybersecurity skills gap. Last year, we formalized our </w:t>
      </w:r>
      <w:r>
        <w:rPr>
          <w:rFonts w:ascii="Times New Roman" w:cs="Times New Roman" w:eastAsia="Times New Roman" w:hAnsi="Times New Roman"/>
          <w:sz w:val="18"/>
          <w:szCs w:val="18"/>
          <w:i w:val="1"/>
          <w:iCs w:val="1"/>
          <w:color w:val="auto"/>
        </w:rPr>
        <w:t>Education Outreach Program</w:t>
      </w:r>
      <w:r>
        <w:rPr>
          <w:rFonts w:ascii="Times New Roman" w:cs="Times New Roman" w:eastAsia="Times New Roman" w:hAnsi="Times New Roman"/>
          <w:sz w:val="18"/>
          <w:szCs w:val="18"/>
          <w:color w:val="auto"/>
        </w:rPr>
        <w:t>, which focuses on partnerships across the industry, academia, government and nonprofits to help provide cybersecurity training and job skills to all populations, with a particular focus on women, veterans and other under-represented groups. To support the creation of a cybersecurity-aware society and help bridge the global cybersecurity skills gap, in 2021, we published a children’s book designed to further increase cyber awareness among children and extended our free cybersecurity training courses, thereby allowing over 100,000 people from over 200 countries and territories to benefit from our cybersecurity fundamentals training courses. We also made the public pledge to train one million people in cybersecurity by 2026.</w:t>
      </w:r>
    </w:p>
    <w:p>
      <w:pPr>
        <w:spacing w:after="0" w:line="1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We have also contributed to help address the “digital divide” by providing fast and secure network</w:t>
      </w:r>
    </w:p>
    <w:p>
      <w:pPr>
        <w:spacing w:after="0" w:line="27"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access to public library systems and to help bridge the “homework gap” by delivering an affordable solution for reliable and secure broadband access for K-12 students.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are focused on good governance and ethical practices throughout our business. Our Board of Directors frequently reviews our governance practices to ensure that they are appropriate and reflect the maturity of our company. For example, to promote good governance and accountability at the highest level, the Board of Directors, on its own initiative, changed the term of service structure for directors from staggered three-year terms to one-year terms for every director. To promote ethical business practices, we have adopted a detailed Code of Business Conduct and Ethics, and we have training, policies and controls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designed to prevent corruption in our business. We also have adopted policies supporting the protection of human rights and were an early company to take a public stance regarding Russia’s invasion of Ukraine by publicly announcing our suspension of business in Russia. Our stance for responsible business practices was acknowledged by the Yale School of Management, which listed Fortinet as one of the early companies receiving an “A” grade for halting engagement in Russia, distinguishing us from others in our industry.</w:t>
      </w:r>
    </w:p>
    <w:p>
      <w:pPr>
        <w:spacing w:after="0" w:line="116"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Fortinet’s CSR approach and ESG initiatives, please visit our website at </w:t>
      </w:r>
      <w:r>
        <w:rPr>
          <w:rFonts w:ascii="Times New Roman" w:cs="Times New Roman" w:eastAsia="Times New Roman" w:hAnsi="Times New Roman"/>
          <w:sz w:val="18"/>
          <w:szCs w:val="18"/>
          <w:i w:val="1"/>
          <w:iCs w:val="1"/>
          <w:color w:val="auto"/>
        </w:rPr>
        <w:t>https://www.fortinet.com/csr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diversity, equity and inclusion. Such commitment starts at the top, with a highly skilled and diverse board of directors. As of December 31, 2021, women represented one-third of the members of the Board of Directors, and approximately 56% of the members of the Board of Directors was from underrepresented communities as defined by California’s Assembly Bill 979. We value diversity at all levels and continue to focus on enhancing our diversity, equity and inclusion initiatives across our workforce.</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regularly communicates the importance of Fortinet’s core values of openness, teamwork and innovation.</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Early in the COVID-19 pandemic, our Chief Executive Officer committed to having no COVID- related layoffs, and, throughout the pandemic, not only have we kept that promise, we have continued hiring at a fast pace and have continued to help support our employees and their families through this challenging time. During the pandemic, we have taken a flexible approach to help our employees manage their work and personal responsibilities, with a focus on employee wellbeing, health and safety.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w:t>
      </w:r>
    </w:p>
    <w:p>
      <w:pPr>
        <w:spacing w:after="0" w:line="2"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Accordingly, Fortinet has adopted a Code of Business Conduct and Ethics, which is applicable to our and our subsidiaries’ directors, officers and employees.</w:t>
      </w:r>
    </w:p>
    <w:p>
      <w:pPr>
        <w:spacing w:after="0" w:line="10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Code of Business Conduct and Ethics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 Fortinet will disclose on its website any amendments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waivers of, the Code of Business Conduct and Ethics that are required to be disclosed by the rules of the SEC or Nasdaq.</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Majority Voting Standard for Director Elections and Director Resignation Policy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During fiscal 2021, the Board of Directors held six meetings.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is currently comprised of Messrs. Goldman and Hsieh and Ms. Hu, each of whom is “independent” as such term is defined for audit committee members by the listing standards of Nasdaq and the rules of the SEC. Ms. Hu is the Chairperson of the Audit Committee. The Board of Directors has determined that each of Ms. Hu and Mr. Goldman is an “audit committee financial expert,” as defined in the rules of the SEC.</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117" w:lineRule="exact"/>
        <w:rPr>
          <w:sz w:val="20"/>
          <w:szCs w:val="20"/>
          <w:color w:val="auto"/>
        </w:rPr>
      </w:pPr>
    </w:p>
    <w:p>
      <w:pPr>
        <w:ind w:left="1800" w:right="6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auditors;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auditors and reviewing with management and the independent auditors our interim and year-end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related-person transactions; and</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managing cybersecurity and other information technology risks, controls and procedures.</w:t>
      </w:r>
    </w:p>
    <w:p>
      <w:pPr>
        <w:spacing w:after="0" w:line="94" w:lineRule="exact"/>
        <w:rPr>
          <w:sz w:val="20"/>
          <w:szCs w:val="20"/>
          <w:color w:val="auto"/>
        </w:rPr>
      </w:pPr>
    </w:p>
    <w:p>
      <w:pPr>
        <w:ind w:left="1260" w:right="8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held nine meetings during fiscal 2021. The Audit Committee has adopted a written charter approved by the Board of Directors, which is available on Fortinet’s website at</w:t>
      </w:r>
    </w:p>
    <w:p>
      <w:pPr>
        <w:ind w:left="1260"/>
        <w:spacing w:after="0"/>
        <w:rPr>
          <w:sz w:val="20"/>
          <w:szCs w:val="20"/>
          <w:color w:val="auto"/>
        </w:rPr>
      </w:pP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Audit Committee Report is included in this proxy statement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Human Resources Committee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Human Resources Committee is currently comprised of Mses. Ducourty and Sim and</w:t>
      </w:r>
    </w:p>
    <w:p>
      <w:pPr>
        <w:spacing w:after="0" w:line="27"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Mr. Goldman, each of whom qualifies as an independent director under the listing standards of Nasdaq. Ms. Sim is currently the Chairperson of the Human Resources Committee. Ms. Ducourty has decided not to stand for re-election at the 2022 Annual Meeting and her service on the Human Resources Committee will end at the 2022 Annual Meeting.</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Human Resources Committee is responsible for, among other things:</w:t>
      </w:r>
    </w:p>
    <w:p>
      <w:pPr>
        <w:spacing w:after="0" w:line="104" w:lineRule="exact"/>
        <w:rPr>
          <w:sz w:val="20"/>
          <w:szCs w:val="20"/>
          <w:color w:val="auto"/>
        </w:rPr>
      </w:pPr>
    </w:p>
    <w:p>
      <w:pPr>
        <w:ind w:left="1800" w:right="5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organization and human resources activities, including culture and ethics matters and diversity, equity and inclusion initiatives;</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employee and executive compensation policies, plans and benefits programs, and overall compensation philosophy;</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our executive officers: their annual base salary, annual incentive bonus, equity compensation and other benefits, compensation or arrangements;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goals and objectives, and bonus and stock compensation criteria for our executive officers;</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Human Resources Committee Report that the SEC requires to be included in our annual proxy statement;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156"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Compensation — Compensation Discussion and Analysis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Compensation of Directors</w:t>
      </w:r>
      <w:r>
        <w:rPr>
          <w:rFonts w:ascii="Times New Roman" w:cs="Times New Roman" w:eastAsia="Times New Roman" w:hAnsi="Times New Roman"/>
          <w:sz w:val="18"/>
          <w:szCs w:val="18"/>
          <w:color w:val="auto"/>
        </w:rPr>
        <w:t>” for a description of Fortinet’s processes and procedures for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consideration and determination of executive officer and director compensation.</w:t>
      </w:r>
    </w:p>
    <w:p>
      <w:pPr>
        <w:spacing w:after="0" w:line="126" w:lineRule="exact"/>
        <w:rPr>
          <w:sz w:val="20"/>
          <w:szCs w:val="20"/>
          <w:color w:val="auto"/>
        </w:rPr>
      </w:pPr>
    </w:p>
    <w:p>
      <w:pPr>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Human Resources Committee held four meetings during fiscal 2021. The Human Resources Committee has adopted a written charter approved by the Board of Directors, which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Human Resources Committee Report is included in this proxy statement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Governance Committee</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Governance Committee is currently comprised of Messrs. Hsieh and Neukom and Ms. Sim, each of whom qualifies as an independent director under the listing standards of Nasdaq. Mr. Hsieh is the Chairperson of the Governance Committee.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Governance Committee is responsible for, among other things:</w:t>
      </w:r>
    </w:p>
    <w:p>
      <w:pPr>
        <w:spacing w:after="0" w:line="104"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and our officers on corporate governance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corporate governance guidelines and other policies;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identifying prospective director nominees and recommending nominees for each annual meeting of stockholders to the Board of Directors;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Governance Committee will consider recommendations of candidates for the Board of Directors</w:t>
      </w:r>
    </w:p>
    <w:p>
      <w:pPr>
        <w:spacing w:after="0" w:line="27"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submitted by stockholders of Fortinet; see “</w:t>
      </w:r>
      <w:r>
        <w:rPr>
          <w:rFonts w:ascii="Times New Roman" w:cs="Times New Roman" w:eastAsia="Times New Roman" w:hAnsi="Times New Roman"/>
          <w:sz w:val="18"/>
          <w:szCs w:val="18"/>
          <w:i w:val="1"/>
          <w:iCs w:val="1"/>
          <w:color w:val="auto"/>
        </w:rPr>
        <w:t>Process for Recommending Candidates for Election to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Directors</w:t>
      </w:r>
      <w:r>
        <w:rPr>
          <w:rFonts w:ascii="Times New Roman" w:cs="Times New Roman" w:eastAsia="Times New Roman" w:hAnsi="Times New Roman"/>
          <w:sz w:val="18"/>
          <w:szCs w:val="18"/>
          <w:color w:val="auto"/>
        </w:rPr>
        <w:t>” below.</w:t>
      </w:r>
    </w:p>
    <w:p>
      <w:pPr>
        <w:spacing w:after="0" w:line="113"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Governance Committee held four meetings during fiscal 2021. The Governance Committee has adopted a written charter approved by the Board of Directors, which is available on Fortinet’s website at</w:t>
      </w:r>
    </w:p>
    <w:p>
      <w:pPr>
        <w:ind w:left="1260"/>
        <w:spacing w:after="0"/>
        <w:rPr>
          <w:sz w:val="20"/>
          <w:szCs w:val="20"/>
          <w:color w:val="auto"/>
        </w:rPr>
      </w:pP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Social Responsibility Committee</w:t>
      </w:r>
    </w:p>
    <w:p>
      <w:pPr>
        <w:spacing w:after="0" w:line="16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Board of Directors considers Fortinet’s social responsibilities to be a high priority, and as such formed the Social Responsibility Committee in January 2021. The Social Responsibility Committee is currently comprised of Ms. Ducourty, Mr. Michael Xie and Admiral Stavridis (Ret). Mr. Michael Xie is the Chairperson of the Social Responsibility Committee. Ms. Ducourty has decided not to stand for re-election at the 2022 Annual Meeting and her service on the Social Responsibility Committee will end at the 2022 Annual Meeting.</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Social Responsibility Committee is responsible for, among other things:</w:t>
      </w:r>
    </w:p>
    <w:p>
      <w:pPr>
        <w:spacing w:after="0" w:line="117" w:lineRule="exact"/>
        <w:rPr>
          <w:sz w:val="20"/>
          <w:szCs w:val="20"/>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and overseeing programs relating to social responsibility and sustainability, including ESG matters;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with management performance, risks, controls and procedures relating to social responsibility and sustainability;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charitable giving policies.</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Social Responsibility Committee held three meetings during fiscal 2021. The Social Responsibility Committee has adopted a written charter approved by the Board of Directors, which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Resources Committee Interlocks and Insider Participation</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Mses. Ducourty and Sim and Mr. Goldman served as members of the Human Resources Committee during fiscal 2021. None of the members of the Human Resources Committee during fiscal 2021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Anti-Hedging and Anti-Pledging Policy</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 stockholders. A copy of our Corporate Governance Guidelines is available on our website 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Mr. Neukom currently serves as our Lead Independent Director and Mr. Ken Xie serves as our Chairman and Chief Executive Officer. In addition to the duties of all members of the Board of Directors, Mr. Neukom’s principal responsibilities as our Lead Independent Director are to: preside over executive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32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While the Board of Directors has the ultimate oversight responsibility for the risk management process, various committees of the Board of Directors also have responsibility for risk management. Our Audit Committee reviews financial and other risk exposures, our internal controls over financial reporting, our disclosure controls and procedures, and our legal and regulatory compliance. Our Audit Committee also is responsible for oversight of risks related to data privacy and cybersecurity.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related to human resources, such as culture and ethics matters and DEI initiatives. Our Governance Committee has oversight on risks related to corporate governance matters, and oversees the evaluation of the performance of the Board of Directors. Our Social Responsibility Committee oversees risks related to our sustainability and corporate social responsibility and ESG approach, including long-term trends and impacts that may affect our business and main stakeholders. The Board of Directors also directly oversees certain strategic risks to Fortinet and other risk areas not delegated to one of its committees.</w:t>
      </w:r>
    </w:p>
    <w:p>
      <w:pPr>
        <w:spacing w:after="0" w:line="34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risk oversight responsibility of our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 Our management reporting processes, including an enterprise risk assessment, are designed to provide our Board of Directors with visibility into the identification, assessment, and management of critical risks and into certain of</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management’s risk mitigation strategies. These areas of focus include competitive, economic, operational, financial (accounting, credit, investment, liquidity, compensation -related risk, and tax), human capital, legal, regulatory, cybersecurity and data privacy and reputational risks. Our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Securing the information of our customers, team members, vendors and other third parties is of critical important to us.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the Board of Directors, the Audit Committee and management.</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internal security team provides regular cybersecurity updates in the form of written reports and presentations to the Audit Committee. The Audit Committee regularly reviews metrics about cyber threat response preparedness, program maturity milestones, risk mitigation status and the current and emerging threat landscape. Additionally, we leverage the National Institute of Standards and Technology security framework to drive strategic direction and maturity improvement and engage third-party security experts for risk assessments and program enhancements. We also maintain information security risk insurance coverage.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Succession Planning</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Oversight of Corporate Strategy</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Process for Recommending Candidates for Election to the Board of Directors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recommendations for candidates to the Board of Directors must be directed in writing to Fortinet, Inc., 899 Kifer Road, Sunnyvale, California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 the Board of</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Directors, including issues of character, judgment, diversity, including whether the person is a current or former chief executive officer or chief financial officer of a public company or the head of a division of a large 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Governance Committee’s criteria and process for evaluating and identifying the candidates that it recommends to the full Board of Directors for selection as director nominees are as follows:</w:t>
      </w:r>
    </w:p>
    <w:p>
      <w:pPr>
        <w:spacing w:after="0" w:line="54" w:lineRule="exact"/>
        <w:rPr>
          <w:sz w:val="20"/>
          <w:szCs w:val="20"/>
          <w:color w:val="auto"/>
        </w:rPr>
      </w:pPr>
    </w:p>
    <w:p>
      <w:pPr>
        <w:ind w:left="1800" w:right="8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evaluates the current composition and organization of the Board of Directors.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reviews on at least an annual basis the desired qualifications and characteristics for membership on the Board of Directors.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spacing w:after="0" w:line="8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spacing w:after="0" w:line="83"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spacing w:after="0" w:line="8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completing its review and evaluation of director candidates, the Governance Committee recommends to the full Board of Directors the director nominees.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a method for stockholders to place their nominees for director on our proxy ballot. Under our amended and restated bylaws, a stockholder, or a group of up to 20</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stockholders, owning at least 3% of our outstanding common stock continuously throughout the three-year period (i) through the date of the nomination notice or (ii) following date we implemented proxy access in our amended and restated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amended and restated bylaws. Our obligation to include director nominees in its annual meeting proxy materials is also subject to certain exceptions as set forth in our amended and restated bylaws. Written notice of the nomination(s) must be submitted to our Corporate Secretary at our principal executive office no earlier than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 later than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one-year anniversary of the date that we first sent our proxy materials or a notice of availability of proxy materials (whichever is earlier) for our immediately preceding annual meeting of stockholders, subject to certain exceptions as set forth in our amended and restated bylaws.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Annual Meetings of Stockholders by the Board of Directors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Although Fortinet does not have a formal policy regarding attendance by members of the Board of Directors at Fortinet’s annual meeting of stockholders, Fortinet welcomes, but does not require, directors to attend. Ken Xie was the only director who attended Fortinet’s 2021 Annual Meeting of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both"/>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Fortinet and other biographical information, as set forth below, are as of March 31, 2022. Messrs. Ken Xie and Michael Xie are brothers. There are no other family relationships among any of our directors or executive officers.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p>
        </w:tc>
        <w:tc>
          <w:tcPr>
            <w:tcW w:w="20" w:type="dxa"/>
            <w:vAlign w:val="bottom"/>
          </w:tcPr>
          <w:p>
            <w:pPr>
              <w:spacing w:after="0"/>
              <w:rPr>
                <w:sz w:val="24"/>
                <w:szCs w:val="24"/>
                <w:color w:val="auto"/>
              </w:rPr>
            </w:pPr>
          </w:p>
        </w:tc>
        <w:tc>
          <w:tcPr>
            <w:tcW w:w="50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 Xie</w:t>
            </w:r>
          </w:p>
        </w:tc>
        <w:tc>
          <w:tcPr>
            <w:tcW w:w="320" w:type="dxa"/>
            <w:vAlign w:val="bottom"/>
            <w:tcBorders>
              <w:top w:val="single" w:sz="8" w:color="auto"/>
            </w:tcBorders>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Borders>
              <w:top w:val="single" w:sz="8" w:color="auto"/>
            </w:tcBorders>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32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 Chief Technology Officer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320" w:type="dxa"/>
            <w:vAlign w:val="bottom"/>
            <w:gridSpan w:val="4"/>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Executive Vice President of Corporate Development, Chief Legal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c>
          <w:tcPr>
            <w:tcW w:w="40" w:type="dxa"/>
            <w:vAlign w:val="bottom"/>
          </w:tcPr>
          <w:p>
            <w:pPr>
              <w:spacing w:after="0"/>
              <w:rPr>
                <w:sz w:val="19"/>
                <w:szCs w:val="19"/>
                <w:color w:val="auto"/>
              </w:rPr>
            </w:pPr>
          </w:p>
        </w:tc>
      </w:tr>
      <w:tr>
        <w:trPr>
          <w:trHeight w:val="43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Patrice Perche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320" w:type="dxa"/>
            <w:vAlign w:val="bottom"/>
            <w:gridSpan w:val="4"/>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Revenue Officer and Executive Vice President of Support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5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Ken Xie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For a brief biography of Mr. Ken Xie, please see “Proposal One — Election of Directors —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Information Regarding the Board of Directors and Director Nominees.”</w:t>
      </w:r>
    </w:p>
    <w:p>
      <w:pPr>
        <w:spacing w:after="0" w:line="110" w:lineRule="exact"/>
        <w:rPr>
          <w:sz w:val="20"/>
          <w:szCs w:val="20"/>
          <w:color w:val="auto"/>
        </w:rPr>
      </w:pPr>
    </w:p>
    <w:p>
      <w:pPr>
        <w:ind w:left="1260" w:right="9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Michael Xie</w:t>
      </w:r>
      <w:r>
        <w:rPr>
          <w:rFonts w:ascii="Times New Roman" w:cs="Times New Roman" w:eastAsia="Times New Roman" w:hAnsi="Times New Roman"/>
          <w:sz w:val="18"/>
          <w:szCs w:val="18"/>
          <w:i w:val="1"/>
          <w:iCs w:val="1"/>
          <w:color w:val="auto"/>
        </w:rPr>
        <w:t>. For a brief biography of Mr. Michael Xie, please see “Proposal One —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Directors — Information Regarding the Board of Directors and Director Nominees.”</w:t>
      </w:r>
    </w:p>
    <w:p>
      <w:pPr>
        <w:spacing w:after="0" w:line="8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Jensen </w:t>
      </w:r>
      <w:r>
        <w:rPr>
          <w:rFonts w:ascii="Times New Roman" w:cs="Times New Roman" w:eastAsia="Times New Roman" w:hAnsi="Times New Roman"/>
          <w:sz w:val="18"/>
          <w:szCs w:val="18"/>
          <w:color w:val="auto"/>
        </w:rPr>
        <w:t>has served as our Chief Financial Officer since May 2018 and has served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32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Whittle </w:t>
      </w:r>
      <w:r>
        <w:rPr>
          <w:rFonts w:ascii="Times New Roman" w:cs="Times New Roman" w:eastAsia="Times New Roman" w:hAnsi="Times New Roman"/>
          <w:sz w:val="18"/>
          <w:szCs w:val="18"/>
          <w:color w:val="auto"/>
        </w:rPr>
        <w:t>has served as our Chief Legal Officer since April 2022, Corporate Secretary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2007 and Executive Vice President of Corporate Development since January 2019. Mr. Whittle served as our General Counsel from October 2006 to April 2022 and as Vice President of Corporate Development from October 2010 until January 2019. From March 2006 to October 2006, Mr. Whittle was Vice President and General Counsel for Ingres Corporation, an open source database company formed by a divestiture from Computer Associates. Prior to working at Ingres, from January 2000 to March 2005,</w:t>
      </w:r>
    </w:p>
    <w:p>
      <w:pPr>
        <w:spacing w:after="0" w:line="3"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spacing w:after="0" w:line="10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Patrice Perche </w:t>
      </w:r>
      <w:r>
        <w:rPr>
          <w:rFonts w:ascii="Times New Roman" w:cs="Times New Roman" w:eastAsia="Times New Roman" w:hAnsi="Times New Roman"/>
          <w:sz w:val="18"/>
          <w:szCs w:val="18"/>
          <w:color w:val="auto"/>
        </w:rPr>
        <w:t>has served as our Chief Revenue Officer and Executive Vice President of Support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2021. From January 2016 to January 2021, Mr. Perche served as our Senior Executive Vice President, Worldwide Sales and Support. Mr. Perche served as our Vice President International Sales and Support from October 2009 to January 2016. Mr. Perche served as our Vice President EMEA and Southern Asia from July 2008 to October 2009. Mr. Perche served as our Vice President SEMEA and India from January 2005 to July 2008. Mr. Perche has more than 20 years of experience in the IT security industry. Mr. Perche is responsible for managing our international sales and support operations worldwide. Prior to joining us, Mr. Perche was co-founder and CEO of Risc Group, a French-based company focusing on IT Security with pan-European operations. Mr. Perche graduated from Insa Lyon and holds a master’s degree in computer engineering.</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about the 2021 compensation arrangements for each individual who served as one of our executive officers during 2021, who were as follows:</w:t>
      </w:r>
    </w:p>
    <w:p>
      <w:pPr>
        <w:spacing w:after="0" w:line="61"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Xie, our Chief Executive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Xie, our President and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Jensen, our Chief Financial Officer;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Whittle, our Executive Vice President of Corporate Development, Chief Legal Officer and Corporate Secretary.</w:t>
      </w:r>
    </w:p>
    <w:p>
      <w:pPr>
        <w:spacing w:after="0" w:line="81"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We refer to these individuals as “named executive officers” in this proxy statement. Because we had no other executive officers during 2021, each one of our executive officers was a named executive officer in 2021.</w:t>
      </w:r>
    </w:p>
    <w:p>
      <w:pPr>
        <w:spacing w:after="0" w:line="3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69" w:lineRule="exact"/>
        <w:rPr>
          <w:sz w:val="20"/>
          <w:szCs w:val="20"/>
          <w:color w:val="auto"/>
        </w:rPr>
      </w:pPr>
    </w:p>
    <w:p>
      <w:pPr>
        <w:ind w:left="1800" w:right="6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base pay and total compensation opportunities that are competitive compared with market and peer company data for the technology industry;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spacing w:after="0" w:line="54"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equity pay and long-term incentives in order to incentivize contributions towards our growth and the creation of long-term value for our stockholders; and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fairness among our executive team by recognizing the contributions each named executive officer makes to our success.</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2021. Specifically:</w:t>
      </w:r>
    </w:p>
    <w:p>
      <w:pPr>
        <w:spacing w:after="0" w:line="61" w:lineRule="exact"/>
        <w:rPr>
          <w:sz w:val="20"/>
          <w:szCs w:val="20"/>
          <w:color w:val="auto"/>
        </w:rPr>
      </w:pPr>
    </w:p>
    <w:p>
      <w:pPr>
        <w:ind w:left="1800" w:right="13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2021 was $3.34 billion, an increase of approximately 29% compared to $2.59 billion for 2020;</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$2.56 billion in 2021, an increase of 26% compared to $2.02 billion in 2020; and</w:t>
      </w:r>
    </w:p>
    <w:p>
      <w:pPr>
        <w:spacing w:after="0" w:line="30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as of December 31, 2021 was $359.40 per share, an increase of approximately 142% compared to $148.53 as of December 31, 2020.</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the Human Resources Committee in Executive Compensation Decisions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Human Resources Committee of the Board of Directors has overall responsibility for approving the compensation of our named executive officers. The Human Resources Committee also oversees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diversity, equity and inclusion initiatives and reviews with management the compensation disclosures required by the SEC. Members of the Human Resources Committee are appointed by the Board of Directors. See “</w:t>
      </w:r>
      <w:r>
        <w:rPr>
          <w:rFonts w:ascii="Times New Roman" w:cs="Times New Roman" w:eastAsia="Times New Roman" w:hAnsi="Times New Roman"/>
          <w:sz w:val="18"/>
          <w:szCs w:val="18"/>
          <w:i w:val="1"/>
          <w:iCs w:val="1"/>
          <w:color w:val="auto"/>
        </w:rPr>
        <w:t>Corporate Governance — Board Meetings and Committees — Human Resources Committee</w:t>
      </w:r>
      <w:r>
        <w:rPr>
          <w:rFonts w:ascii="Times New Roman" w:cs="Times New Roman" w:eastAsia="Times New Roman" w:hAnsi="Times New Roman"/>
          <w:sz w:val="18"/>
          <w:szCs w:val="18"/>
          <w:color w:val="auto"/>
        </w:rPr>
        <w:t>” for more detail about the responsibilities and procedures of the Human Resources Committee.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Human Resources Committee relies on its independent compensation consultant to provide advice on matters relating to the compensation of our named executive officers and non-employee directors. For 2021 the Human Resources Committee engaged Compensia, Inc. (“Compensia”) in this capacity. A representative of Compensia generally attends meetings of the Human Resources Committee. In addition, Compensia provided competitive market assessments our executive and non-employee director compensation programs, reviewed the Compensation Discussion and Analysis section of our proxy statement and provided support on other matters as requested by the Human Resources Committee.</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2021,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Times New Roman" w:cs="Times New Roman" w:eastAsia="Times New Roman" w:hAnsi="Times New Roman"/>
          <w:sz w:val="18"/>
          <w:szCs w:val="18"/>
          <w:i w:val="1"/>
          <w:iCs w:val="1"/>
          <w:color w:val="auto"/>
        </w:rPr>
        <w:t>Determining the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Elements of Executives’ Compensation in 2021</w:t>
      </w:r>
      <w:r>
        <w:rPr>
          <w:rFonts w:ascii="Times New Roman" w:cs="Times New Roman" w:eastAsia="Times New Roman" w:hAnsi="Times New Roman"/>
          <w:sz w:val="18"/>
          <w:szCs w:val="18"/>
          <w:color w:val="auto"/>
        </w:rPr>
        <w:t>.” Compensia reports directly to the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Executives in Executive Compensation Decisions</w:t>
      </w:r>
    </w:p>
    <w:p>
      <w:pPr>
        <w:spacing w:after="0" w:line="148"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Named Executive Officer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stockholders will have the opportunity again at this year’s 2022 Annual Meeting to vote on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executive officer compensation through the stockholder advisory vote (commonly known as a “say-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on-pay” vote) included as Proposal Three in this proxy statement. At each of our past two annual meetings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stockholders starting with our first say-on-pay stockholder vote in 2011, over 91% of the stockholder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votes cast have been cast in favor of our named executive officer compensation. The Human Resources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considers input from our stockholders and the outcome of our annual say-on-pay votes when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making future executive compensation decisions and, to the extent there is any significant vote against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executive officer compensation as disclosed in this proxy statement, the Human Resources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will seek to understand and consider our stockholders’ concerns and will evaluate whether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actions are appropriate to address those concerns. Since the 2021 stockholder vote on executive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occurred after the Human Resources Committee had established all of the compensation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elements for 2021, the Human Resources Committee could only take into consideration the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vote in establishing executive compensation for 2022. We encourage you to review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together with the compensation tables that follow, prior to casting your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advisory vote on the “say-on-pay” proposal.</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elements of Fortinet’s compensation program are designed to satisfy this larger goal in specific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 xml:space="preserve">ways as described below. For a detailed discussion of the amounts awarded to our named executive officers during 2021, see “— </w:t>
      </w:r>
      <w:r>
        <w:rPr>
          <w:rFonts w:ascii="Times New Roman" w:cs="Times New Roman" w:eastAsia="Times New Roman" w:hAnsi="Times New Roman"/>
          <w:sz w:val="18"/>
          <w:szCs w:val="18"/>
          <w:i w:val="1"/>
          <w:iCs w:val="1"/>
          <w:color w:val="auto"/>
        </w:rPr>
        <w:t>Determining the Amount of Elements of Executives’ Compensation in 2021</w:t>
      </w:r>
      <w:r>
        <w:rPr>
          <w:rFonts w:ascii="Times New Roman" w:cs="Times New Roman" w:eastAsia="Times New Roman" w:hAnsi="Times New Roman"/>
          <w:sz w:val="18"/>
          <w:szCs w:val="18"/>
          <w:color w:val="auto"/>
        </w:rPr>
        <w:t>” below.</w:t>
      </w:r>
    </w:p>
    <w:p>
      <w:pPr>
        <w:spacing w:after="0" w:line="7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Base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establish base pay that is both reasonable and competitive in relation to the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10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Variable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Rewarding performance through cash variable pay is an important element of named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114"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Equity-Based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Human Resources Committee designs our equity-based awards to be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and competitive in relation to the market.</w:t>
      </w:r>
    </w:p>
    <w:p>
      <w:pPr>
        <w:spacing w:after="0" w:line="6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32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Human Resources Committee approved awards of stock options and restricted stock units (“RSUs”) to our named executive officers in January 2021, which were effective in February 2021. In fiscal 2021, the Human Resources Committee granted stock options and RSUs, which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2021 vest over four years and can be exercised for up to seven years after grant.</w:t>
      </w:r>
    </w:p>
    <w:p>
      <w:pPr>
        <w:spacing w:after="0" w:line="327"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Information on the vesting schedules for the awards of stock options and RSUs made to our named executive officers in 2021 can be found below in “— </w:t>
      </w:r>
      <w:r>
        <w:rPr>
          <w:rFonts w:ascii="Times New Roman" w:cs="Times New Roman" w:eastAsia="Times New Roman" w:hAnsi="Times New Roman"/>
          <w:sz w:val="18"/>
          <w:szCs w:val="18"/>
          <w:i w:val="1"/>
          <w:iCs w:val="1"/>
          <w:color w:val="auto"/>
        </w:rPr>
        <w:t>Determining the Amount of Elements of Executives’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in 2021 — Equity-Based Awards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 xml:space="preserve"> Outstanding Equity Awards at 2021 Fiscal Year-End Table</w:t>
      </w:r>
      <w:r>
        <w:rPr>
          <w:rFonts w:ascii="Times New Roman" w:cs="Times New Roman" w:eastAsia="Times New Roman" w:hAnsi="Times New Roman"/>
          <w:sz w:val="18"/>
          <w:szCs w:val="18"/>
          <w:color w:val="auto"/>
        </w:rPr>
        <w:t>” for additional information regarding the outstanding and unvested equity awards held by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 as of the end of fiscal 2021.</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Benefits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our named executive officers the following benefits: health and welfare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including participation in our 401(k) retirement plan; group health insurance plans; and 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Determining the Amount of Elements of Executives’ Compensation in 2021</w:t>
      </w:r>
    </w:p>
    <w:p>
      <w:pPr>
        <w:spacing w:after="0" w:line="144" w:lineRule="exact"/>
        <w:rPr>
          <w:sz w:val="20"/>
          <w:szCs w:val="20"/>
          <w:color w:val="auto"/>
        </w:rPr>
      </w:pPr>
    </w:p>
    <w:p>
      <w:pPr>
        <w:ind w:left="1260" w:right="63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Peer 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July 2020, with assistance from Compensia, the Human Resources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and approved a compensation peer group as a source of competitive market data for evaluating the compensation of our executive officers and to support pay decisions for 2021.</w:t>
      </w:r>
    </w:p>
    <w:p>
      <w:pPr>
        <w:spacing w:after="0" w:line="10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$1.1 billion to $4.5 billion and a market capitalization generally ranging from $11 billion to $45 billion. The peer group approved in July 2020</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included the 16 technology companies listed below:</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​Akamai Technologies</w:t>
      </w:r>
    </w:p>
    <w:p>
      <w:pPr>
        <w:ind w:left="1620"/>
        <w:spacing w:after="0" w:line="186"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ANSYS</w:t>
      </w:r>
    </w:p>
    <w:p>
      <w:pPr>
        <w:ind w:left="162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Arista Networks</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Cadence Design Systems</w:t>
      </w:r>
    </w:p>
    <w:p>
      <w:pPr>
        <w:spacing w:after="0" w:line="1" w:lineRule="exact"/>
        <w:rPr>
          <w:sz w:val="20"/>
          <w:szCs w:val="20"/>
          <w:color w:val="auto"/>
        </w:rPr>
      </w:pPr>
    </w:p>
    <w:p>
      <w:pPr>
        <w:ind w:left="1620" w:right="86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Check Point Software Technologies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Citrix Systems</w:t>
      </w:r>
    </w:p>
    <w:p>
      <w:pPr>
        <w:ind w:left="1620"/>
        <w:spacing w:after="0" w:line="194"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CrowdStrike Holdings</w:t>
      </w:r>
    </w:p>
    <w:p>
      <w:pPr>
        <w:ind w:left="1620"/>
        <w:spacing w:after="0" w:line="191" w:lineRule="auto"/>
        <w:rPr>
          <w:sz w:val="20"/>
          <w:szCs w:val="20"/>
          <w:color w:val="auto"/>
        </w:rPr>
      </w:pPr>
      <w:r>
        <w:rPr>
          <w:rFonts w:ascii="Times New Roman" w:cs="Times New Roman" w:eastAsia="Times New Roman" w:hAnsi="Times New Roman"/>
          <w:sz w:val="18"/>
          <w:szCs w:val="18"/>
          <w:color w:val="auto"/>
        </w:rPr>
        <w:t>NetApp</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 Okta</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6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Palo Alto Networks</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Splunk</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Synopsys</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Twilio</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VeriSign</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Workday</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76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Zscaler</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5180" w:space="80"/>
            <w:col w:w="4619"/>
          </w:cols>
          <w:pgMar w:left="580" w:top="97" w:right="1440" w:bottom="1440" w:gutter="0" w:footer="0" w:header="0"/>
          <w:type w:val="continuous"/>
        </w:sect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For 2021, the Human Resources Committee removed Dropbox, F5 Networks, GoDaddy, Juniper Networks, PTC and SS&amp;C Holdings from the peer group and added Okta, Twilio, Workday and Zscaler to the peer group.</w:t>
      </w:r>
    </w:p>
    <w:p>
      <w:pPr>
        <w:spacing w:after="0" w:line="10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Base Pay</w:t>
      </w:r>
      <w:r>
        <w:rPr>
          <w:rFonts w:ascii="Times New Roman" w:cs="Times New Roman" w:eastAsia="Times New Roman" w:hAnsi="Times New Roman"/>
          <w:sz w:val="18"/>
          <w:szCs w:val="18"/>
          <w:color w:val="auto"/>
        </w:rPr>
        <w:t>. As part of our annual performance review process and review of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Taking into consideration performance and reasonable merit increases to position salary for our named</w:t>
      </w:r>
    </w:p>
    <w:p>
      <w:pPr>
        <w:ind w:left="1260"/>
        <w:spacing w:after="0" w:line="196" w:lineRule="auto"/>
        <w:rPr>
          <w:sz w:val="20"/>
          <w:szCs w:val="20"/>
          <w:color w:val="auto"/>
        </w:rPr>
      </w:pPr>
      <w:r>
        <w:rPr>
          <w:rFonts w:ascii="Times New Roman" w:cs="Times New Roman" w:eastAsia="Times New Roman" w:hAnsi="Times New Roman"/>
          <w:sz w:val="18"/>
          <w:szCs w:val="18"/>
          <w:color w:val="auto"/>
        </w:rPr>
        <w:t>executive officers generally between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competitive market, in January 2021,</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Human Resources Committee kept the annual base pay of Mr. Ken Xie at $797,000, of Mr. Michael Xie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$445,000 and of Mr. Jensen at $490,000, and raised the annual base salary of Mr. Whittle by 3% to</w:t>
      </w:r>
    </w:p>
    <w:p>
      <w:pPr>
        <w:ind w:left="1260"/>
        <w:spacing w:after="0" w:line="180" w:lineRule="auto"/>
        <w:rPr>
          <w:sz w:val="20"/>
          <w:szCs w:val="20"/>
          <w:color w:val="auto"/>
        </w:rPr>
      </w:pPr>
      <w:r>
        <w:rPr>
          <w:rFonts w:ascii="Times New Roman" w:cs="Times New Roman" w:eastAsia="Times New Roman" w:hAnsi="Times New Roman"/>
          <w:sz w:val="18"/>
          <w:szCs w:val="18"/>
          <w:color w:val="auto"/>
        </w:rPr>
        <w:t>$442,000. After these increases, salary for our named executive officers was generally between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w:t>
      </w:r>
    </w:p>
    <w:p>
      <w:pPr>
        <w:ind w:left="1260"/>
        <w:spacing w:after="0" w:line="191" w:lineRule="auto"/>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competitive market.</w:t>
      </w:r>
    </w:p>
    <w:p>
      <w:pPr>
        <w:spacing w:after="0" w:line="103"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Equity-Based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granting stock options and RSUs to our named executive officers in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Resources Committee exercised its judgment and considered, among other things, the role and contribution of the named executive officer, the value of unvested stock options and RSUs already held by the executive and Compensia’s data and analysis.</w:t>
      </w:r>
    </w:p>
    <w:p>
      <w:pPr>
        <w:spacing w:after="0" w:line="10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January 2021, the Human Resources Committee approved awards of stock options exercisable for up to 108,801 shares for Mr. Ken Xie, 43,713 shares for Mr. Michael Xie, 38,343 shares for Mr. Jensen and 24,411 shares for Mr. Whittle. Each of these stock options was granted in accordance with Fortinet’s Equity</w:t>
      </w:r>
    </w:p>
    <w:p>
      <w:pPr>
        <w:sectPr>
          <w:pgSz w:w="11900" w:h="16838" w:orient="portrait"/>
          <w:cols w:equalWidth="0" w:num="1">
            <w:col w:w="9879"/>
          </w:cols>
          <w:pgMar w:left="580" w:top="97" w:right="1440" w:bottom="1440" w:gutter="0" w:footer="0" w:header="0"/>
          <w:type w:val="continuous"/>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spacing w:after="0" w:line="284" w:lineRule="auto"/>
        <w:rPr>
          <w:sz w:val="20"/>
          <w:szCs w:val="20"/>
          <w:color w:val="auto"/>
        </w:rPr>
      </w:pPr>
      <w:r>
        <w:rPr>
          <w:rFonts w:ascii="Times New Roman" w:cs="Times New Roman" w:eastAsia="Times New Roman" w:hAnsi="Times New Roman"/>
          <w:sz w:val="18"/>
          <w:szCs w:val="18"/>
          <w:color w:val="auto"/>
        </w:rPr>
        <w:t xml:space="preserve">Award Grant Policy discussed in “— </w:t>
      </w:r>
      <w:r>
        <w:rPr>
          <w:rFonts w:ascii="Times New Roman" w:cs="Times New Roman" w:eastAsia="Times New Roman" w:hAnsi="Times New Roman"/>
          <w:sz w:val="18"/>
          <w:szCs w:val="18"/>
          <w:i w:val="1"/>
          <w:iCs w:val="1"/>
          <w:color w:val="auto"/>
        </w:rPr>
        <w:t>Timing of Equity Awards</w:t>
      </w:r>
      <w:r>
        <w:rPr>
          <w:rFonts w:ascii="Times New Roman" w:cs="Times New Roman" w:eastAsia="Times New Roman" w:hAnsi="Times New Roman"/>
          <w:sz w:val="18"/>
          <w:szCs w:val="18"/>
          <w:color w:val="auto"/>
        </w:rPr>
        <w:t>” below, and vests over four years, with 25% vesting one year from February 22, 2019 and the remainder vesting monthly thereafter.</w:t>
      </w:r>
    </w:p>
    <w:p>
      <w:pPr>
        <w:spacing w:after="0" w:line="9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Also in January 2021, the Human Resources Committee approved awards of 36,267 RSUs for Mr. Ken Xie, 14,571 RSUs for Mr. Michael Xie, 12,781RSUs for Mr. Jensen and 8,137 RSUs for Mr. Whittle. Each of these RSUs was granted in accordance with Fortinet’s Equity Award Grant Policy discussed in “— </w:t>
      </w:r>
      <w:r>
        <w:rPr>
          <w:rFonts w:ascii="Times New Roman" w:cs="Times New Roman" w:eastAsia="Times New Roman" w:hAnsi="Times New Roman"/>
          <w:sz w:val="18"/>
          <w:szCs w:val="18"/>
          <w:i w:val="1"/>
          <w:iCs w:val="1"/>
          <w:color w:val="auto"/>
        </w:rPr>
        <w:t>Timing of Equity Awards</w:t>
      </w:r>
      <w:r>
        <w:rPr>
          <w:rFonts w:ascii="Times New Roman" w:cs="Times New Roman" w:eastAsia="Times New Roman" w:hAnsi="Times New Roman"/>
          <w:sz w:val="18"/>
          <w:szCs w:val="18"/>
          <w:color w:val="auto"/>
        </w:rPr>
        <w:t>” below, and vests over four years, with 25% vesting one year from February 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the remainder vesting quarterly thereafter.</w:t>
      </w:r>
    </w:p>
    <w:p>
      <w:pPr>
        <w:spacing w:after="0" w:line="112"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Variable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determine the executive’s actual level of variable compensation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spacing w:after="0" w:line="10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2021, the Human Resources Committee based the Bonus Program funding on achievement of revenue and operating income targets, as set forth in more detail below, with 70% of the bonus pool funding based on revenue achievement and 30%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spacing w:after="0" w:line="12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Bonus Program, a minimum performance level (based on a percentage of the revenue and operating income target levels) had to be met before funding could occur. For 2021,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Revenue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1234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 – 100%</w:t>
      </w:r>
    </w:p>
    <w:p>
      <w:pPr>
        <w:spacing w:after="0" w:line="2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 140%</w:t>
      </w:r>
    </w:p>
    <w:p>
      <w:pPr>
        <w:spacing w:after="0" w:line="200" w:lineRule="exact"/>
        <w:rPr>
          <w:sz w:val="20"/>
          <w:szCs w:val="20"/>
          <w:color w:val="auto"/>
        </w:rPr>
      </w:pPr>
    </w:p>
    <w:p>
      <w:pPr>
        <w:spacing w:after="0" w:line="2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Operating Income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49530</wp:posOffset>
            </wp:positionV>
            <wp:extent cx="1234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Funding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33775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6" w:lineRule="exact"/>
        <w:rPr>
          <w:sz w:val="20"/>
          <w:szCs w:val="20"/>
          <w:color w:val="auto"/>
        </w:rPr>
      </w:pPr>
    </w:p>
    <w:p>
      <w:pPr>
        <w:ind w:left="220" w:right="280" w:hanging="216"/>
        <w:spacing w:after="0" w:line="271" w:lineRule="auto"/>
        <w:tabs>
          <w:tab w:leader="none" w:pos="1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40% funding for performance at 90% and 6% funding for every additional 1% of performance between 90% and 100%</w:t>
      </w:r>
    </w:p>
    <w:p>
      <w:pPr>
        <w:spacing w:after="0" w:line="1" w:lineRule="exact"/>
        <w:rPr>
          <w:rFonts w:ascii="Times New Roman" w:cs="Times New Roman" w:eastAsia="Times New Roman" w:hAnsi="Times New Roman"/>
          <w:sz w:val="18"/>
          <w:szCs w:val="18"/>
          <w:color w:val="auto"/>
        </w:rPr>
      </w:pPr>
    </w:p>
    <w:p>
      <w:pPr>
        <w:ind w:left="220" w:hanging="216"/>
        <w:spacing w:after="0" w:line="307" w:lineRule="auto"/>
        <w:tabs>
          <w:tab w:leader="none" w:pos="1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funding for every additional 1% of performance between 100% and 140%</w:t>
      </w:r>
    </w:p>
    <w:p>
      <w:pPr>
        <w:spacing w:after="0" w:line="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Funding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36195</wp:posOffset>
            </wp:positionV>
            <wp:extent cx="33775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3">
            <w:col w:w="3500" w:space="60"/>
            <w:col w:w="5300" w:space="240"/>
            <w:col w:w="779"/>
          </w:cols>
          <w:pgMar w:left="580" w:top="97" w:right="1440" w:bottom="144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 – 100%</w:t>
      </w:r>
    </w:p>
    <w:p>
      <w:pPr>
        <w:spacing w:after="0" w:line="2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 140%</w:t>
      </w:r>
    </w:p>
    <w:p>
      <w:pPr>
        <w:spacing w:after="0" w:line="20" w:lineRule="exact"/>
        <w:rPr>
          <w:sz w:val="20"/>
          <w:szCs w:val="20"/>
          <w:color w:val="auto"/>
        </w:rPr>
      </w:pPr>
      <w:r>
        <w:rPr>
          <w:sz w:val="20"/>
          <w:szCs w:val="20"/>
          <w:color w:val="auto"/>
        </w:rPr>
        <w:br w:type="column"/>
      </w:r>
    </w:p>
    <w:p>
      <w:pPr>
        <w:ind w:left="216" w:right="280" w:hanging="216"/>
        <w:spacing w:after="0" w:line="271" w:lineRule="auto"/>
        <w:tabs>
          <w:tab w:leader="none" w:pos="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40% funding for performance at 90% and 6% funding for every additional 1% of performance between 90% and 100%</w:t>
      </w:r>
    </w:p>
    <w:p>
      <w:pPr>
        <w:spacing w:after="0" w:line="1" w:lineRule="exact"/>
        <w:rPr>
          <w:rFonts w:ascii="Times New Roman" w:cs="Times New Roman" w:eastAsia="Times New Roman" w:hAnsi="Times New Roman"/>
          <w:sz w:val="18"/>
          <w:szCs w:val="18"/>
          <w:color w:val="auto"/>
        </w:rPr>
      </w:pPr>
    </w:p>
    <w:p>
      <w:pPr>
        <w:ind w:left="216" w:hanging="216"/>
        <w:spacing w:after="0" w:line="307" w:lineRule="auto"/>
        <w:tabs>
          <w:tab w:leader="none" w:pos="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funding for every additional 1% of performance between 100% and 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14" w:lineRule="exact"/>
        <w:rPr>
          <w:sz w:val="20"/>
          <w:szCs w:val="20"/>
          <w:color w:val="auto"/>
        </w:rPr>
      </w:pPr>
    </w:p>
    <w:p>
      <w:pPr>
        <w:sectPr>
          <w:pgSz w:w="11900" w:h="16838" w:orient="portrait"/>
          <w:cols w:equalWidth="0" w:num="3">
            <w:col w:w="2844" w:space="720"/>
            <w:col w:w="5296" w:space="240"/>
            <w:col w:w="7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For example, for the revenue portion for our named executive officers:</w:t>
      </w:r>
    </w:p>
    <w:p>
      <w:pPr>
        <w:spacing w:after="0" w:line="131" w:lineRule="exact"/>
        <w:rPr>
          <w:sz w:val="20"/>
          <w:szCs w:val="20"/>
          <w:color w:val="auto"/>
        </w:rPr>
      </w:pPr>
    </w:p>
    <w:p>
      <w:pPr>
        <w:ind w:left="1800" w:right="8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 achievement of the revenue target, the revenue portion of the Bonus Program would be funded at 40%;</w:t>
      </w:r>
    </w:p>
    <w:p>
      <w:pPr>
        <w:spacing w:after="0" w:line="8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95% achievement of the revenue target, the revenue portion of the Bonus Program would be funded at 70%;</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100% achievement of the revenue target, the revenue portion of the Bonus Program would be funded at 100%; and</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140% achievement of the revenue target, the revenue portion of the Bonus Program would be funded at 140%.</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 No bonuses are paid to our named executive officers under the Bonus Program if our financial results are below our guidance such that we pre-announce our financial results.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Individual target bonuses under the Bonus Program are expressed as a percentage of the named executive officer’s base salary for 100% goal achievement. During 2021, our Chief Executive Officer made recommendations for target bonuses to the Human Resources Committee for Messrs. Jensen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the Human Resources Committee approved target bonuses of 120% of base salary for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Ken Xie, 75% of base salary for Mr. Michael Xie, 80% of base salary for Mr. Jensen and 70% of base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salary for Mr. Whittle. See “— </w:t>
      </w:r>
      <w:r>
        <w:rPr>
          <w:rFonts w:ascii="Times New Roman" w:cs="Times New Roman" w:eastAsia="Times New Roman" w:hAnsi="Times New Roman"/>
          <w:sz w:val="18"/>
          <w:szCs w:val="18"/>
          <w:i w:val="1"/>
          <w:iCs w:val="1"/>
          <w:color w:val="auto"/>
        </w:rPr>
        <w:t>2021 Summary Compensation Table</w:t>
      </w:r>
      <w:r>
        <w:rPr>
          <w:rFonts w:ascii="Times New Roman" w:cs="Times New Roman" w:eastAsia="Times New Roman" w:hAnsi="Times New Roman"/>
          <w:sz w:val="18"/>
          <w:szCs w:val="18"/>
          <w:color w:val="auto"/>
        </w:rPr>
        <w:t>” below.</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As noted above, the Bonus Program was based on revenue and operating income performance targets set at the beginning of the year. The targets were set at levels determined to be challenging and requiring substantial effort on the part of senior management. For 2021, we achieved between 103% and 108% of our quarterly and annual revenue targets and we achieved between 111% and 114% of our quarterly and annual operating income targets. The Human Resources Committee approved bonus payments for our senior management for 2021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259715</wp:posOffset>
            </wp:positionV>
            <wp:extent cx="5134610" cy="1671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3461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60" w:right="51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Benefits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2021, our named executive officers received the same employee benefits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other U.S.-based employees and did not receive any additional perquisites. Additional details regarding our benefits programs can be found above in “— </w:t>
      </w:r>
      <w:r>
        <w:rPr>
          <w:rFonts w:ascii="Times New Roman" w:cs="Times New Roman" w:eastAsia="Times New Roman" w:hAnsi="Times New Roman"/>
          <w:sz w:val="18"/>
          <w:szCs w:val="18"/>
          <w:i w:val="1"/>
          <w:iCs w:val="1"/>
          <w:color w:val="auto"/>
        </w:rPr>
        <w:t>Elements of Our Compensation Program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 Programs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Change of Control Severance Agreements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Effective August 2019, we entered into an Amended and Restated Change of Control Severance Agreement with each of our named executive officers. In addition to extending the term of each named executive officer’s existing Change of Control Severance Agreement to August 7, 2024, the Amended and Restated Change of Control Severance Agreements also aligned the change of control terms for each of our named executive officers.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These Amended and Restated Change of Control Severance Agreements provide for payments and benefits upon termination of their employment in specified circumstances. These arrangements (including potential payments and terms) are discussed in more detail in the “—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Change of Control</w:t>
      </w:r>
      <w:r>
        <w:rPr>
          <w:rFonts w:ascii="Times New Roman" w:cs="Times New Roman" w:eastAsia="Times New Roman" w:hAnsi="Times New Roman"/>
          <w:sz w:val="18"/>
          <w:szCs w:val="18"/>
          <w:color w:val="auto"/>
        </w:rPr>
        <w:t>” section below. We believe that these agreements help us from a retention standpoint,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Timing of Equity Awards</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Human Resources Committee approved grants of both stock options and RSUs to our named executive officers in January 2021. The Board of Directors and Human Resources Committee reserve the right, however, to grant stock options, RSUs, performance stock units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Compensation Recovery Policy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Effect of Accounting and Tax Treatment on Compensation Decisions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119" w:lineRule="exact"/>
        <w:rPr>
          <w:sz w:val="20"/>
          <w:szCs w:val="20"/>
          <w:color w:val="auto"/>
        </w:rPr>
      </w:pPr>
    </w:p>
    <w:p>
      <w:pPr>
        <w:ind w:left="1260" w:right="639" w:firstLine="360"/>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(the “Code”), generally disallows the deductibility by any publicly held corporation of individual compensation expenses in excess of</w:t>
      </w:r>
    </w:p>
    <w:p>
      <w:pPr>
        <w:ind w:left="1260" w:right="539"/>
        <w:spacing w:after="0" w:line="239" w:lineRule="auto"/>
        <w:rPr>
          <w:sz w:val="20"/>
          <w:szCs w:val="20"/>
          <w:color w:val="auto"/>
        </w:rPr>
      </w:pPr>
      <w:r>
        <w:rPr>
          <w:rFonts w:ascii="Times New Roman" w:cs="Times New Roman" w:eastAsia="Times New Roman" w:hAnsi="Times New Roman"/>
          <w:sz w:val="18"/>
          <w:szCs w:val="18"/>
          <w:color w:val="auto"/>
        </w:rPr>
        <w:t>$1 million paid to certain executive officers within a taxable year. The Tax Cuts and Jobs Act, which was signed into law in December 2017, limited or eliminated the “performance -based compensation” exception to the Section 162(m) deductibility limit, effective for tax years beginning after December 31, 2017. As a result, any compensation paid to such executive officers in excess of $1 million will be non-deductible unless such compensation was previously exempt and is payable pursuant to a written binding contract that was in effect on November 2, 2017. We believe it is likely that compensation income recognized upon the exercise of stock options granted prior to November 2, 2017 will continue to be tax deductible in</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future years. However,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40"/>
        <w:spacing w:after="0" w:line="254" w:lineRule="auto"/>
        <w:rPr>
          <w:sz w:val="20"/>
          <w:szCs w:val="20"/>
          <w:color w:val="auto"/>
        </w:rPr>
      </w:pPr>
      <w:r>
        <w:rPr>
          <w:rFonts w:ascii="Times New Roman" w:cs="Times New Roman" w:eastAsia="Times New Roman" w:hAnsi="Times New Roman"/>
          <w:sz w:val="18"/>
          <w:szCs w:val="18"/>
          <w:color w:val="auto"/>
        </w:rPr>
        <w:t>because the tax reform changes are complex and their effect is unsettled, we can offer no such assurance of deductibility. All other compensation paid after December 31, 2017 to such executive officers in excess of $1 million, including cash compensation, stock options, RSUs and PSUs awarded or modified after November 2, 2017, will be non-deductible.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Resources Committee Report</w:t>
      </w:r>
    </w:p>
    <w:p>
      <w:pPr>
        <w:spacing w:after="0" w:line="162" w:lineRule="exact"/>
        <w:rPr>
          <w:sz w:val="20"/>
          <w:szCs w:val="20"/>
          <w:color w:val="auto"/>
        </w:rPr>
      </w:pPr>
    </w:p>
    <w:p>
      <w:pPr>
        <w:ind w:left="1260" w:right="820" w:firstLine="360"/>
        <w:spacing w:after="0" w:line="258" w:lineRule="auto"/>
        <w:rPr>
          <w:sz w:val="20"/>
          <w:szCs w:val="20"/>
          <w:color w:val="auto"/>
        </w:rPr>
      </w:pPr>
      <w:r>
        <w:rPr>
          <w:rFonts w:ascii="Times New Roman" w:cs="Times New Roman" w:eastAsia="Times New Roman" w:hAnsi="Times New Roman"/>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Respectfully submitted by the members of the Human Resources Committee of the Board of Directors</w:t>
      </w:r>
    </w:p>
    <w:p>
      <w:pPr>
        <w:spacing w:after="0" w:line="14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Judith Sim (Chairperson)</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Kelly Ducourty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Kenneth A. Goldman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62" w:lineRule="exact"/>
        <w:rPr>
          <w:sz w:val="20"/>
          <w:szCs w:val="20"/>
          <w:color w:val="auto"/>
        </w:rPr>
      </w:pPr>
    </w:p>
    <w:p>
      <w:pPr>
        <w:ind w:left="1260" w:right="9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compensation of the named executive officers for the years ended December 31, 2021, 2020 and 2019.</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2780" w:type="dxa"/>
            <w:vAlign w:val="bottom"/>
            <w:gridSpan w:val="1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Salary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Bonus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(1)</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Awards ($)</w:t>
            </w:r>
            <w:r>
              <w:rPr>
                <w:rFonts w:ascii="Times New Roman" w:cs="Times New Roman" w:eastAsia="Times New Roman" w:hAnsi="Times New Roman"/>
                <w:sz w:val="15"/>
                <w:szCs w:val="15"/>
                <w:b w:val="1"/>
                <w:bCs w:val="1"/>
                <w:color w:val="auto"/>
                <w:vertAlign w:val="superscript"/>
              </w:rPr>
              <w:t>(1)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700" w:type="dxa"/>
            <w:vAlign w:val="bottom"/>
          </w:tcPr>
          <w:p>
            <w:pPr>
              <w:jc w:val="center"/>
              <w:ind w:right="74"/>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2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600" w:type="dxa"/>
            <w:vAlign w:val="bottom"/>
          </w:tcPr>
          <w:p>
            <w:pPr>
              <w:jc w:val="center"/>
              <w:ind w:right="21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920" w:type="dxa"/>
            <w:vAlign w:val="bottom"/>
            <w:gridSpan w:val="2"/>
          </w:tcPr>
          <w:p>
            <w:pPr>
              <w:jc w:val="right"/>
              <w:ind w:right="87"/>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Ken Xie</w:t>
            </w:r>
          </w:p>
        </w:tc>
        <w:tc>
          <w:tcPr>
            <w:tcW w:w="80" w:type="dxa"/>
            <w:vAlign w:val="bottom"/>
            <w:tcBorders>
              <w:right w:val="single" w:sz="8" w:color="CCEEFF"/>
            </w:tcBorders>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​2021</w:t>
            </w: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​797,000</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​6,145,875</w:t>
            </w:r>
          </w:p>
        </w:tc>
        <w:tc>
          <w:tcPr>
            <w:tcW w:w="90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​6,235,385</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​1,024,951</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160"/>
              <w:spacing w:after="0" w:line="231"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6"/>
                <w:szCs w:val="26"/>
                <w:color w:val="auto"/>
                <w:vertAlign w:val="subscript"/>
                <w:shd w:val="clear" w:color="auto" w:fill="CCEEFF"/>
              </w:rPr>
              <w:t>​</w:t>
            </w:r>
          </w:p>
        </w:tc>
        <w:tc>
          <w:tcPr>
            <w:tcW w:w="600" w:type="dxa"/>
            <w:vAlign w:val="bottom"/>
            <w:tcBorders>
              <w:bottom w:val="single" w:sz="8" w:color="CCEEFF"/>
              <w:right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tcBorders>
              <w:bottom w:val="single" w:sz="8" w:color="CCEEFF"/>
            </w:tcBorders>
            <w:gridSpan w:val="2"/>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​14,203,211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​797,000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​4,169,569</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​4,704,899</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983,163</w:t>
            </w:r>
          </w:p>
        </w:tc>
        <w:tc>
          <w:tcPr>
            <w:tcW w:w="20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20" w:type="dxa"/>
            <w:vAlign w:val="bottom"/>
            <w:tcBorders>
              <w:bottom w:val="single" w:sz="8" w:color="CCEEFF"/>
            </w:tcBorders>
            <w:shd w:val="clear" w:color="auto" w:fill="CCEEFF"/>
          </w:tcPr>
          <w:p>
            <w:pPr>
              <w:ind w:left="1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00" w:type="dxa"/>
            <w:vAlign w:val="bottom"/>
            <w:tcBorders>
              <w:bottom w:val="single" w:sz="8" w:color="CCEEFF"/>
              <w:right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​10,654,631</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​2019</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​750,000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​3,985,666</w:t>
            </w:r>
          </w:p>
        </w:tc>
        <w:tc>
          <w:tcPr>
            <w:tcW w:w="90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​4,139,334</w:t>
            </w:r>
          </w:p>
        </w:tc>
        <w:tc>
          <w:tcPr>
            <w:tcW w:w="280" w:type="dxa"/>
            <w:vAlign w:val="bottom"/>
            <w:gridSpan w:val="3"/>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754,923</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20" w:type="dxa"/>
            <w:vAlign w:val="bottom"/>
          </w:tcPr>
          <w:p>
            <w:pPr>
              <w:ind w:left="1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9,629,923</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1380" w:type="dxa"/>
            <w:vAlign w:val="bottom"/>
            <w:gridSpan w:val="6"/>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​2021</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​445,000</w:t>
            </w:r>
            <w:r>
              <w:rPr>
                <w:rFonts w:ascii="Times New Roman" w:cs="Times New Roman" w:eastAsia="Times New Roman" w:hAnsi="Times New Roman"/>
                <w:sz w:val="31"/>
                <w:szCs w:val="31"/>
                <w:color w:val="auto"/>
                <w:vertAlign w:val="superscript"/>
              </w:rPr>
              <w:t>​​​</w:t>
            </w:r>
          </w:p>
        </w:tc>
        <w:tc>
          <w:tcPr>
            <w:tcW w:w="48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9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​2,469,229</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​2,505,192</w:t>
            </w:r>
          </w:p>
        </w:tc>
        <w:tc>
          <w:tcPr>
            <w:tcW w:w="28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357,673</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5,777,094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​445,000</w:t>
            </w:r>
            <w:r>
              <w:rPr>
                <w:rFonts w:ascii="Times New Roman" w:cs="Times New Roman" w:eastAsia="Times New Roman" w:hAnsi="Times New Roman"/>
                <w:sz w:val="27"/>
                <w:szCs w:val="27"/>
                <w:color w:val="auto"/>
                <w:vertAlign w:val="superscript"/>
              </w:rPr>
              <w:t>​​​</w:t>
            </w:r>
          </w:p>
        </w:tc>
        <w:tc>
          <w:tcPr>
            <w:tcW w:w="480" w:type="dxa"/>
            <w:vAlign w:val="bottom"/>
          </w:tcPr>
          <w:p>
            <w:pPr>
              <w:ind w:left="10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92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​1,653,096</w:t>
            </w:r>
          </w:p>
        </w:tc>
        <w:tc>
          <w:tcPr>
            <w:tcW w:w="90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​1,865,337</w:t>
            </w:r>
          </w:p>
        </w:tc>
        <w:tc>
          <w:tcPr>
            <w:tcW w:w="280" w:type="dxa"/>
            <w:vAlign w:val="bottom"/>
            <w:gridSpan w:val="3"/>
          </w:tcPr>
          <w:p>
            <w:pPr>
              <w:spacing w:after="0" w:line="23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343,090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4,305,023</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30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Technology Officer</w:t>
            </w:r>
          </w:p>
        </w:tc>
        <w:tc>
          <w:tcPr>
            <w:tcW w:w="80" w:type="dxa"/>
            <w:vAlign w:val="bottom"/>
          </w:tcPr>
          <w:p>
            <w:pPr>
              <w:spacing w:after="0"/>
              <w:rPr>
                <w:sz w:val="24"/>
                <w:szCs w:val="24"/>
                <w:color w:val="auto"/>
              </w:rPr>
            </w:pPr>
          </w:p>
        </w:tc>
        <w:tc>
          <w:tcPr>
            <w:tcW w:w="1300" w:type="dxa"/>
            <w:vAlign w:val="bottom"/>
            <w:gridSpan w:val="5"/>
          </w:tcPr>
          <w:p>
            <w:pPr>
              <w:jc w:val="right"/>
              <w:ind w:right="8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​427,000</w:t>
            </w:r>
            <w:r>
              <w:rPr>
                <w:rFonts w:ascii="Times New Roman" w:cs="Times New Roman" w:eastAsia="Times New Roman" w:hAnsi="Times New Roman"/>
                <w:sz w:val="35"/>
                <w:szCs w:val="35"/>
                <w:color w:val="auto"/>
                <w:vertAlign w:val="superscript"/>
              </w:rPr>
              <w:t>​​​</w:t>
            </w:r>
          </w:p>
        </w:tc>
        <w:tc>
          <w:tcPr>
            <w:tcW w:w="480" w:type="dxa"/>
            <w:vAlign w:val="bottom"/>
          </w:tcPr>
          <w:p>
            <w:pPr>
              <w:ind w:left="10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920" w:type="dxa"/>
            <w:vAlign w:val="bottom"/>
            <w:gridSpan w:val="4"/>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​1,758,779</w:t>
            </w:r>
          </w:p>
        </w:tc>
        <w:tc>
          <w:tcPr>
            <w:tcW w:w="900" w:type="dxa"/>
            <w:vAlign w:val="bottom"/>
            <w:gridSpan w:val="4"/>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​1,826,589</w:t>
            </w:r>
          </w:p>
        </w:tc>
        <w:tc>
          <w:tcPr>
            <w:tcW w:w="280" w:type="dxa"/>
            <w:vAlign w:val="bottom"/>
            <w:gridSpan w:val="3"/>
          </w:tcPr>
          <w:p>
            <w:pPr>
              <w:spacing w:after="0" w:line="30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279,372</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4,291,740</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80" w:type="dxa"/>
            <w:vAlign w:val="bottom"/>
            <w:tcBorders>
              <w:right w:val="single" w:sz="8" w:color="CCEEFF"/>
            </w:tcBorders>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​2021</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​490,000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​2,165,893</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​2,197,437</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431,000</w:t>
            </w:r>
          </w:p>
        </w:tc>
        <w:tc>
          <w:tcPr>
            <w:tcW w:w="2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bottom w:val="single" w:sz="8" w:color="CCEEFF"/>
              <w:right w:val="single" w:sz="8" w:color="CCEEFF"/>
            </w:tcBorders>
            <w:gridSpan w:val="2"/>
            <w:shd w:val="clear" w:color="auto" w:fill="CCEEFF"/>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​5,343</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5,289,673</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 w:type="dxa"/>
            <w:vAlign w:val="bottom"/>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​490,000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​1,377,749</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​1,554,638</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401,000</w:t>
            </w:r>
          </w:p>
        </w:tc>
        <w:tc>
          <w:tcPr>
            <w:tcW w:w="20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bottom w:val="single" w:sz="8" w:color="CCEEFF"/>
              <w:right w:val="single" w:sz="8" w:color="CCEEFF"/>
            </w:tcBorders>
            <w:gridSpan w:val="2"/>
            <w:shd w:val="clear" w:color="auto" w:fill="CCEEFF"/>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​5,334</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3,824,721</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​2019</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​442,000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​1,278,225</w:t>
            </w:r>
          </w:p>
        </w:tc>
        <w:tc>
          <w:tcPr>
            <w:tcW w:w="90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​1,327,507</w:t>
            </w:r>
          </w:p>
        </w:tc>
        <w:tc>
          <w:tcPr>
            <w:tcW w:w="280" w:type="dxa"/>
            <w:vAlign w:val="bottom"/>
            <w:gridSpan w:val="3"/>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340,797</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gridSpan w:val="2"/>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​5,188</w:t>
            </w:r>
          </w:p>
        </w:tc>
        <w:tc>
          <w:tcPr>
            <w:tcW w:w="92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3,393,717</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1380" w:type="dxa"/>
            <w:vAlign w:val="bottom"/>
            <w:gridSpan w:val="6"/>
          </w:tcPr>
          <w:p>
            <w:pPr>
              <w:jc w:val="right"/>
              <w:ind w:right="8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​2021</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​440,375</w:t>
            </w:r>
            <w:r>
              <w:rPr>
                <w:rFonts w:ascii="Times New Roman" w:cs="Times New Roman" w:eastAsia="Times New Roman" w:hAnsi="Times New Roman"/>
                <w:sz w:val="32"/>
                <w:szCs w:val="32"/>
                <w:color w:val="auto"/>
                <w:vertAlign w:val="superscript"/>
              </w:rPr>
              <w:t>​​​</w:t>
            </w:r>
          </w:p>
        </w:tc>
        <w:tc>
          <w:tcPr>
            <w:tcW w:w="480" w:type="dxa"/>
            <w:vAlign w:val="bottom"/>
          </w:tcPr>
          <w:p>
            <w:pPr>
              <w:ind w:left="10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920" w:type="dxa"/>
            <w:vAlign w:val="bottom"/>
            <w:gridSpan w:val="4"/>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​1,378,911</w:t>
            </w:r>
          </w:p>
        </w:tc>
        <w:tc>
          <w:tcPr>
            <w:tcW w:w="900" w:type="dxa"/>
            <w:vAlign w:val="bottom"/>
            <w:gridSpan w:val="4"/>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​1,398,994</w:t>
            </w:r>
          </w:p>
        </w:tc>
        <w:tc>
          <w:tcPr>
            <w:tcW w:w="280" w:type="dxa"/>
            <w:vAlign w:val="bottom"/>
            <w:gridSpan w:val="3"/>
          </w:tcPr>
          <w:p>
            <w:pPr>
              <w:spacing w:after="0" w:line="281"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57"/>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​5,800</w:t>
            </w:r>
          </w:p>
        </w:tc>
        <w:tc>
          <w:tcPr>
            <w:tcW w:w="92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3,536,080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of Corporate</w:t>
            </w: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​429,000</w:t>
            </w:r>
            <w:r>
              <w:rPr>
                <w:rFonts w:ascii="Times New Roman" w:cs="Times New Roman" w:eastAsia="Times New Roman" w:hAnsi="Times New Roman"/>
                <w:sz w:val="27"/>
                <w:szCs w:val="27"/>
                <w:color w:val="auto"/>
                <w:vertAlign w:val="superscript"/>
              </w:rPr>
              <w:t>​​​</w:t>
            </w:r>
          </w:p>
        </w:tc>
        <w:tc>
          <w:tcPr>
            <w:tcW w:w="480" w:type="dxa"/>
            <w:vAlign w:val="bottom"/>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2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804,736</w:t>
            </w:r>
          </w:p>
        </w:tc>
        <w:tc>
          <w:tcPr>
            <w:tcW w:w="2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908,055</w:t>
            </w:r>
          </w:p>
        </w:tc>
        <w:tc>
          <w:tcPr>
            <w:tcW w:w="280" w:type="dxa"/>
            <w:vAlign w:val="bottom"/>
            <w:gridSpan w:val="3"/>
          </w:tcPr>
          <w:p>
            <w:pPr>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230,242</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57"/>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​5,700</w:t>
            </w:r>
          </w:p>
        </w:tc>
        <w:tc>
          <w:tcPr>
            <w:tcW w:w="9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2,377,733</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 Chief Legal Officer and</w:t>
            </w:r>
          </w:p>
        </w:tc>
        <w:tc>
          <w:tcPr>
            <w:tcW w:w="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50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910,995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946,119</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5,500</w:t>
            </w:r>
          </w:p>
        </w:tc>
        <w:tc>
          <w:tcPr>
            <w:tcW w:w="920" w:type="dxa"/>
            <w:vAlign w:val="bottom"/>
            <w:gridSpan w:val="2"/>
          </w:tcPr>
          <w:p>
            <w:pPr>
              <w:jc w:val="right"/>
              <w:ind w:right="72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8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​2019</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403,000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 2,511,614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-2164080</wp:posOffset>
            </wp:positionV>
            <wp:extent cx="5657850" cy="1551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551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184150</wp:posOffset>
            </wp:positionV>
            <wp:extent cx="12344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20" w:right="940" w:hanging="360"/>
        <w:spacing w:after="0" w:line="257"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14 to our consolidated financial statements, which are included in our Annual Report on Form 10-K for the year ended December 31, 2021, filed with the SEC on February 25, 2022.</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8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these awards is determined for financial statement reporting purposes and does not correspond to the actual value that the named executive officers will receive from the awards.</w:t>
      </w:r>
    </w:p>
    <w:p>
      <w:pPr>
        <w:spacing w:after="0" w:line="25" w:lineRule="exact"/>
        <w:rPr>
          <w:sz w:val="20"/>
          <w:szCs w:val="20"/>
          <w:color w:val="auto"/>
        </w:rPr>
      </w:pPr>
    </w:p>
    <w:p>
      <w:pPr>
        <w:ind w:left="1620" w:right="920" w:hanging="360"/>
        <w:spacing w:after="0" w:line="261"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Grants of Plan-Based Awards in 2021 Table</w:t>
      </w:r>
      <w:r>
        <w:rPr>
          <w:rFonts w:ascii="Times New Roman" w:cs="Times New Roman" w:eastAsia="Times New Roman" w:hAnsi="Times New Roman"/>
          <w:sz w:val="18"/>
          <w:szCs w:val="18"/>
          <w:color w:val="auto"/>
        </w:rPr>
        <w:t xml:space="preserve">” under the column “Estimated Future Payouts Under Non-Equity Incentive Plan Awards” for the amounts named executive officers were eligible to earn in fiscal 2021. See also “— </w:t>
      </w:r>
      <w:r>
        <w:rPr>
          <w:rFonts w:ascii="Times New Roman" w:cs="Times New Roman" w:eastAsia="Times New Roman" w:hAnsi="Times New Roman"/>
          <w:sz w:val="18"/>
          <w:szCs w:val="18"/>
          <w:i w:val="1"/>
          <w:iCs w:val="1"/>
          <w:color w:val="auto"/>
        </w:rPr>
        <w:t>Determining the Amount of Elements of Executives’ Compensation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2021 — Variable Pay</w:t>
      </w:r>
      <w:r>
        <w:rPr>
          <w:rFonts w:ascii="Times New Roman" w:cs="Times New Roman" w:eastAsia="Times New Roman" w:hAnsi="Times New Roman"/>
          <w:sz w:val="18"/>
          <w:szCs w:val="18"/>
          <w:color w:val="auto"/>
        </w:rPr>
        <w:t>” above for a discussion regarding our Bonus Program.</w:t>
      </w:r>
    </w:p>
    <w:p>
      <w:pPr>
        <w:spacing w:after="0" w:line="33" w:lineRule="exact"/>
        <w:rPr>
          <w:rFonts w:ascii="Times New Roman" w:cs="Times New Roman" w:eastAsia="Times New Roman" w:hAnsi="Times New Roman"/>
          <w:sz w:val="18"/>
          <w:szCs w:val="18"/>
          <w:color w:val="auto"/>
        </w:rPr>
      </w:pPr>
    </w:p>
    <w:p>
      <w:pPr>
        <w:ind w:left="1620" w:right="1600" w:hanging="360"/>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company matching contributions to Fortinet’s 401(k) plan, a tax-qualified defined contribution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2021 Table</w:t>
      </w:r>
    </w:p>
    <w:p>
      <w:pPr>
        <w:spacing w:after="0" w:line="162"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an award made to the named executive officers in 2021 under any plan.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w:t>
            </w:r>
          </w:p>
        </w:tc>
        <w:tc>
          <w:tcPr>
            <w:tcW w:w="6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 Stock</w:t>
            </w:r>
          </w:p>
        </w:tc>
        <w:tc>
          <w:tcPr>
            <w:tcW w:w="6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All Other Option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or</w:t>
            </w:r>
          </w:p>
        </w:tc>
        <w:tc>
          <w:tcPr>
            <w:tcW w:w="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8"/>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Non-Equity Incentive Plan</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7"/>
                <w:szCs w:val="7"/>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Number</w:t>
            </w:r>
          </w:p>
        </w:tc>
        <w:tc>
          <w:tcPr>
            <w:tcW w:w="60" w:type="dxa"/>
            <w:vAlign w:val="bottom"/>
          </w:tcPr>
          <w:p>
            <w:pPr>
              <w:spacing w:after="0"/>
              <w:rPr>
                <w:sz w:val="7"/>
                <w:szCs w:val="7"/>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Price of</w:t>
            </w:r>
          </w:p>
        </w:tc>
        <w:tc>
          <w:tcPr>
            <w:tcW w:w="60" w:type="dxa"/>
            <w:vAlign w:val="bottom"/>
          </w:tcPr>
          <w:p>
            <w:pPr>
              <w:spacing w:after="0"/>
              <w:rPr>
                <w:sz w:val="7"/>
                <w:szCs w:val="7"/>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42"/>
              <w:spacing w:after="0" w:line="158"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Approval</w:t>
            </w:r>
          </w:p>
        </w:tc>
        <w:tc>
          <w:tcPr>
            <w:tcW w:w="60" w:type="dxa"/>
            <w:vAlign w:val="bottom"/>
          </w:tcPr>
          <w:p>
            <w:pPr>
              <w:spacing w:after="0"/>
              <w:rPr>
                <w:sz w:val="13"/>
                <w:szCs w:val="13"/>
                <w:color w:val="auto"/>
              </w:rPr>
            </w:pPr>
          </w:p>
        </w:tc>
        <w:tc>
          <w:tcPr>
            <w:tcW w:w="6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ind w:right="12"/>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0" w:type="dxa"/>
            <w:vAlign w:val="bottom"/>
          </w:tcPr>
          <w:p>
            <w:pPr>
              <w:spacing w:after="0"/>
              <w:rPr>
                <w:sz w:val="13"/>
                <w:szCs w:val="13"/>
                <w:color w:val="auto"/>
              </w:rPr>
            </w:pPr>
          </w:p>
        </w:tc>
        <w:tc>
          <w:tcPr>
            <w:tcW w:w="68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60" w:type="dxa"/>
            <w:vAlign w:val="bottom"/>
          </w:tcPr>
          <w:p>
            <w:pPr>
              <w:spacing w:after="0"/>
              <w:rPr>
                <w:sz w:val="13"/>
                <w:szCs w:val="13"/>
                <w:color w:val="auto"/>
              </w:rPr>
            </w:pPr>
          </w:p>
        </w:tc>
        <w:tc>
          <w:tcPr>
            <w:tcW w:w="9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Shares of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9"/>
              <w:spacing w:after="0" w:line="15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Type of Award </w:t>
            </w:r>
            <w:r>
              <w:rPr>
                <w:rFonts w:ascii="Times New Roman" w:cs="Times New Roman" w:eastAsia="Times New Roman" w:hAnsi="Times New Roman"/>
                <w:sz w:val="23"/>
                <w:szCs w:val="23"/>
                <w:b w:val="1"/>
                <w:bCs w:val="1"/>
                <w:color w:val="auto"/>
                <w:vertAlign w:val="subscript"/>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 (#)</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0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Awards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Ken Xie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3"/>
                <w:szCs w:val="13"/>
                <w:color w:val="auto"/>
              </w:rPr>
              <w:t>​22,954</w:t>
            </w:r>
          </w:p>
        </w:tc>
        <w:tc>
          <w:tcPr>
            <w:tcW w:w="620" w:type="dxa"/>
            <w:vAlign w:val="bottom"/>
            <w:tcBorders>
              <w:bottom w:val="single" w:sz="8" w:color="CCEEFF"/>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956,400​</w:t>
            </w:r>
          </w:p>
        </w:tc>
        <w:tc>
          <w:tcPr>
            <w:tcW w:w="740" w:type="dxa"/>
            <w:vAlign w:val="bottom"/>
            <w:tcBorders>
              <w:bottom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1,338,960​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2"/>
                <w:szCs w:val="22"/>
                <w:color w:val="auto"/>
                <w:vertAlign w:val="subscript"/>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2/19/2021</w:t>
            </w:r>
          </w:p>
        </w:tc>
        <w:tc>
          <w:tcPr>
            <w:tcW w:w="7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1/22/2021</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Pr>
          <w:p>
            <w:pPr>
              <w:spacing w:after="0"/>
              <w:rPr>
                <w:sz w:val="17"/>
                <w:szCs w:val="17"/>
                <w:color w:val="auto"/>
              </w:rPr>
            </w:pPr>
          </w:p>
        </w:tc>
        <w:tc>
          <w:tcPr>
            <w:tcW w:w="3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860" w:type="dxa"/>
            <w:vAlign w:val="bottom"/>
            <w:gridSpan w:val="2"/>
          </w:tcPr>
          <w:p>
            <w:pPr>
              <w:jc w:val="right"/>
              <w:ind w:right="15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36,267​</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​6,235,385</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Stock Option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2/19/2021</w:t>
            </w:r>
          </w:p>
        </w:tc>
        <w:tc>
          <w:tcPr>
            <w:tcW w:w="7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1/22/2021</w:t>
            </w:r>
          </w:p>
        </w:tc>
        <w:tc>
          <w:tcPr>
            <w:tcW w:w="2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​108,801</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tcBorders>
              <w:bottom w:val="single" w:sz="8" w:color="CCEEFF"/>
            </w:tcBorders>
            <w:gridSpan w:val="3"/>
            <w:shd w:val="clear" w:color="auto" w:fill="CCEEFF"/>
          </w:tcPr>
          <w:p>
            <w:pPr>
              <w:jc w:val="right"/>
              <w:ind w:right="1"/>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​6,145,875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Michael Xie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6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333,750​</w:t>
            </w: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3"/>
                <w:szCs w:val="13"/>
                <w:color w:val="auto"/>
              </w:rPr>
              <w:t>467,250</w:t>
            </w:r>
            <w:r>
              <w:rPr>
                <w:rFonts w:ascii="Times New Roman" w:cs="Times New Roman" w:eastAsia="Times New Roman" w:hAnsi="Times New Roman"/>
                <w:sz w:val="23"/>
                <w:szCs w:val="23"/>
                <w:color w:val="auto"/>
                <w:vertAlign w:val="superscript"/>
              </w:rPr>
              <w:t>​​​</w:t>
            </w:r>
          </w:p>
        </w:tc>
        <w:tc>
          <w:tcPr>
            <w:tcW w:w="340" w:type="dxa"/>
            <w:vAlign w:val="bottom"/>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14,571​</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​2,505,192</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6"/>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Stock Option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spacing w:after="0"/>
              <w:rPr>
                <w:sz w:val="18"/>
                <w:szCs w:val="18"/>
                <w:color w:val="auto"/>
              </w:rPr>
            </w:pPr>
          </w:p>
        </w:tc>
        <w:tc>
          <w:tcPr>
            <w:tcW w:w="3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34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7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43,713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171​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gridSpan w:val="3"/>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​2,469,229</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Jensen</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620" w:type="dxa"/>
            <w:vAlign w:val="bottom"/>
            <w:tcBorders>
              <w:bottom w:val="single" w:sz="8" w:color="CCEEFF"/>
            </w:tcBorders>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392,000​</w:t>
            </w:r>
          </w:p>
        </w:tc>
        <w:tc>
          <w:tcPr>
            <w:tcW w:w="160" w:type="dxa"/>
            <w:vAlign w:val="bottom"/>
            <w:tcBorders>
              <w:bottom w:val="single" w:sz="8" w:color="CCEEFF"/>
            </w:tcBorders>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20" w:type="dxa"/>
            <w:vAlign w:val="bottom"/>
            <w:tcBorders>
              <w:bottom w:val="single" w:sz="8" w:color="CCEEFF"/>
            </w:tcBorders>
            <w:gridSpan w:val="4"/>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548,800</w:t>
            </w:r>
            <w:r>
              <w:rPr>
                <w:rFonts w:ascii="Times New Roman" w:cs="Times New Roman" w:eastAsia="Times New Roman" w:hAnsi="Times New Roman"/>
                <w:sz w:val="25"/>
                <w:szCs w:val="25"/>
                <w:color w:val="auto"/>
                <w:vertAlign w:val="superscript"/>
              </w:rPr>
              <w:t>​​​</w:t>
            </w:r>
          </w:p>
        </w:tc>
        <w:tc>
          <w:tcPr>
            <w:tcW w:w="34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spacing w:after="0"/>
              <w:rPr>
                <w:sz w:val="18"/>
                <w:szCs w:val="18"/>
                <w:color w:val="auto"/>
              </w:rPr>
            </w:pPr>
          </w:p>
        </w:tc>
        <w:tc>
          <w:tcPr>
            <w:tcW w:w="3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gridSpan w:val="2"/>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12,781​</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​2,197,437</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6"/>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Stock Option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7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38,343</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171​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​2,165,893</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John Whittle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62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309,400​</w:t>
            </w:r>
          </w:p>
        </w:tc>
        <w:tc>
          <w:tcPr>
            <w:tcW w:w="1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4"/>
                <w:szCs w:val="14"/>
                <w:color w:val="auto"/>
              </w:rPr>
              <w:t>433,160</w:t>
            </w:r>
            <w:r>
              <w:rPr>
                <w:rFonts w:ascii="Times New Roman" w:cs="Times New Roman" w:eastAsia="Times New Roman" w:hAnsi="Times New Roman"/>
                <w:sz w:val="25"/>
                <w:szCs w:val="25"/>
                <w:color w:val="auto"/>
                <w:vertAlign w:val="superscript"/>
              </w:rPr>
              <w:t>​​​</w:t>
            </w:r>
          </w:p>
        </w:tc>
        <w:tc>
          <w:tcPr>
            <w:tcW w:w="34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8,137</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​1,398,994</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6"/>
          </w:tcPr>
          <w:p>
            <w:pPr>
              <w:ind w:left="2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Stock Option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2/19/2021</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1/22/2021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3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24,411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32"/>
                <w:szCs w:val="32"/>
                <w:color w:val="auto"/>
                <w:w w:val="91"/>
                <w:vertAlign w:val="superscript"/>
              </w:rPr>
              <w:t>​</w:t>
            </w:r>
            <w:r>
              <w:rPr>
                <w:rFonts w:ascii="Times New Roman" w:cs="Times New Roman" w:eastAsia="Times New Roman" w:hAnsi="Times New Roman"/>
                <w:sz w:val="16"/>
                <w:szCs w:val="16"/>
                <w:color w:val="auto"/>
                <w:w w:val="91"/>
              </w:rPr>
              <w:t>171​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gridSpan w:val="3"/>
          </w:tcPr>
          <w:p>
            <w:pPr>
              <w:jc w:val="right"/>
              <w:ind w:right="1"/>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​1,378,911</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-2036445</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-2036445</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-2036445</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-2036445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-2036445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-2036445</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-2036445</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-2036445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-2036445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-2036445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29210</wp:posOffset>
            </wp:positionV>
            <wp:extent cx="12344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9" w:lineRule="exact"/>
        <w:rPr>
          <w:sz w:val="20"/>
          <w:szCs w:val="20"/>
          <w:color w:val="auto"/>
        </w:rPr>
      </w:pPr>
    </w:p>
    <w:p>
      <w:pPr>
        <w:jc w:val="both"/>
        <w:ind w:left="1620" w:right="1020" w:hanging="360"/>
        <w:spacing w:after="0" w:line="261"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threshold, target and maximum target bonus amounts for fiscal 2021 performance under the Bonus Program, as described in “</w:t>
      </w:r>
      <w:r>
        <w:rPr>
          <w:rFonts w:ascii="Times New Roman" w:cs="Times New Roman" w:eastAsia="Times New Roman" w:hAnsi="Times New Roman"/>
          <w:sz w:val="18"/>
          <w:szCs w:val="18"/>
          <w:i w:val="1"/>
          <w:iCs w:val="1"/>
          <w:color w:val="auto"/>
        </w:rPr>
        <w:t>Executive Compensation — Determining the Amount of Elements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Executives’ Compensation in 2021 — Variable Pay.</w:t>
      </w:r>
      <w:r>
        <w:rPr>
          <w:rFonts w:ascii="Times New Roman" w:cs="Times New Roman" w:eastAsia="Times New Roman" w:hAnsi="Times New Roman"/>
          <w:sz w:val="18"/>
          <w:szCs w:val="18"/>
          <w:color w:val="auto"/>
        </w:rPr>
        <w:t>” These amounts do not necessarily correspond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actual value that may be received by the named executive officer.</w:t>
      </w:r>
    </w:p>
    <w:p>
      <w:pPr>
        <w:spacing w:after="0" w:line="31" w:lineRule="exact"/>
        <w:rPr>
          <w:rFonts w:ascii="Times New Roman" w:cs="Times New Roman" w:eastAsia="Times New Roman" w:hAnsi="Times New Roman"/>
          <w:sz w:val="18"/>
          <w:szCs w:val="18"/>
          <w:color w:val="auto"/>
        </w:rPr>
      </w:pPr>
    </w:p>
    <w:p>
      <w:pPr>
        <w:ind w:left="1620" w:right="840"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grant date fair value of RSUs and stock options granted during fiscal 2021, computed in accordance with FASB ASC Topic 718. The assumptions used in the valuation of these awards are set forth in note 14 to our consolidated financial statements, which are included in our Annual Report on Form 10-K for the year ended December 31, 2021, filed with the SEC on February 25, 2022. Grant date fair value is determined for financial statement reporting purposes and does not correspond to the actual value that the named executive officers will realize from the award.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 Table</w:t>
      </w:r>
    </w:p>
    <w:p>
      <w:pPr>
        <w:spacing w:after="0" w:line="162" w:lineRule="exact"/>
        <w:rPr>
          <w:sz w:val="20"/>
          <w:szCs w:val="20"/>
          <w:color w:val="auto"/>
        </w:rPr>
      </w:pPr>
    </w:p>
    <w:p>
      <w:pPr>
        <w:ind w:left="1260" w:right="9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unexercised options and unvested RSUs for each named executive officer outstanding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Underlying</w:t>
            </w:r>
          </w:p>
        </w:tc>
        <w:tc>
          <w:tcPr>
            <w:tcW w:w="10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Market Value of</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 of Stock</w:t>
            </w:r>
          </w:p>
        </w:tc>
        <w:tc>
          <w:tcPr>
            <w:tcW w:w="100" w:type="dxa"/>
            <w:vAlign w:val="bottom"/>
          </w:tcPr>
          <w:p>
            <w:pPr>
              <w:spacing w:after="0"/>
              <w:rPr>
                <w:sz w:val="4"/>
                <w:szCs w:val="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0" w:type="dxa"/>
            <w:vAlign w:val="bottom"/>
          </w:tcPr>
          <w:p>
            <w:pPr>
              <w:spacing w:after="0"/>
              <w:rPr>
                <w:sz w:val="1"/>
                <w:szCs w:val="1"/>
                <w:color w:val="auto"/>
              </w:rPr>
            </w:pPr>
          </w:p>
        </w:tc>
      </w:tr>
      <w:tr>
        <w:trPr>
          <w:trHeight w:val="108"/>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 Options (#)</w:t>
            </w:r>
          </w:p>
        </w:tc>
        <w:tc>
          <w:tcPr>
            <w:tcW w:w="1040" w:type="dxa"/>
            <w:vAlign w:val="bottom"/>
            <w:vMerge w:val="restart"/>
          </w:tcPr>
          <w:p>
            <w:pPr>
              <w:ind w:left="20"/>
              <w:spacing w:after="0" w:line="27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color w:val="auto"/>
              </w:rPr>
              <w:t>Option Exercise</w:t>
            </w: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0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 Have Not</w:t>
            </w:r>
          </w:p>
        </w:tc>
        <w:tc>
          <w:tcPr>
            <w:tcW w:w="0" w:type="dxa"/>
            <w:vAlign w:val="bottom"/>
          </w:tcPr>
          <w:p>
            <w:pPr>
              <w:spacing w:after="0"/>
              <w:rPr>
                <w:sz w:val="1"/>
                <w:szCs w:val="1"/>
                <w:color w:val="auto"/>
              </w:rPr>
            </w:pPr>
          </w:p>
        </w:tc>
      </w:tr>
      <w:tr>
        <w:trPr>
          <w:trHeight w:val="36"/>
        </w:trPr>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98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920" w:type="dxa"/>
            <w:vAlign w:val="bottom"/>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Unexercisable</w:t>
            </w:r>
          </w:p>
        </w:tc>
        <w:tc>
          <w:tcPr>
            <w:tcW w:w="104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 ($)</w:t>
            </w:r>
          </w:p>
        </w:tc>
        <w:tc>
          <w:tcPr>
            <w:tcW w:w="11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Expiration Date </w:t>
            </w:r>
            <w:r>
              <w:rPr>
                <w:rFonts w:ascii="Times New Roman" w:cs="Times New Roman" w:eastAsia="Times New Roman" w:hAnsi="Times New Roman"/>
                <w:sz w:val="24"/>
                <w:szCs w:val="24"/>
                <w:b w:val="1"/>
                <w:bCs w:val="1"/>
                <w:color w:val="auto"/>
                <w:vertAlign w:val="subscript"/>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7"/>
                <w:szCs w:val="17"/>
                <w:b w:val="1"/>
                <w:bCs w:val="1"/>
                <w:color w:val="auto"/>
                <w:w w:val="92"/>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0</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0</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0</wp:posOffset>
            </wp:positionV>
            <wp:extent cx="342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0</wp:posOffset>
            </wp:positionV>
            <wp:extent cx="34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0</wp:posOffset>
            </wp:positionV>
            <wp:extent cx="34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3">
            <w:col w:w="1980" w:space="720"/>
            <w:col w:w="7520" w:space="0"/>
            <w:col w:w="60"/>
          </w:cols>
          <w:pgMar w:left="580" w:top="97" w:right="1039" w:bottom="1440" w:gutter="0" w:footer="0" w:header="0"/>
        </w:sectPr>
      </w:pPr>
    </w:p>
    <w:tbl>
      <w:tblPr>
        <w:tblLayout w:type="fixed"/>
        <w:tblInd w:w="500" w:type="dxa"/>
        <w:tblCellMar>
          <w:top w:w="0" w:type="dxa"/>
          <w:left w:w="0" w:type="dxa"/>
          <w:bottom w:w="0" w:type="dxa"/>
          <w:right w:w="0" w:type="dxa"/>
        </w:tblCellMar>
      </w:tblPr>
      <w:tr>
        <w:trPr>
          <w:trHeight w:val="36"/>
        </w:trPr>
        <w:tc>
          <w:tcPr>
            <w:tcW w:w="2240" w:type="dxa"/>
            <w:vAlign w:val="bottom"/>
            <w:tcBorders>
              <w:right w:val="single" w:sz="8" w:color="CCEEFF"/>
            </w:tcBorders>
            <w:shd w:val="clear" w:color="auto" w:fill="000000"/>
          </w:tcPr>
          <w:p>
            <w:pPr>
              <w:spacing w:after="0"/>
              <w:rPr>
                <w:sz w:val="3"/>
                <w:szCs w:val="3"/>
                <w:color w:val="auto"/>
              </w:rPr>
            </w:pPr>
          </w:p>
        </w:tc>
        <w:tc>
          <w:tcPr>
            <w:tcW w:w="86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tcBorders>
              <w:left w:val="single" w:sz="8" w:color="CCEEFF"/>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tcBorders>
              <w:left w:val="single" w:sz="8" w:color="CCEEFF"/>
            </w:tcBorders>
            <w:shd w:val="clear" w:color="auto" w:fill="000000"/>
          </w:tcPr>
          <w:p>
            <w:pPr>
              <w:spacing w:after="0"/>
              <w:rPr>
                <w:sz w:val="3"/>
                <w:szCs w:val="3"/>
                <w:color w:val="auto"/>
              </w:rPr>
            </w:pPr>
          </w:p>
        </w:tc>
        <w:tc>
          <w:tcPr>
            <w:tcW w:w="720" w:type="dxa"/>
            <w:vAlign w:val="bottom"/>
            <w:gridSpan w:val="2"/>
            <w:shd w:val="clear" w:color="auto" w:fill="000000"/>
          </w:tcPr>
          <w:p>
            <w:pPr>
              <w:spacing w:after="0"/>
              <w:rPr>
                <w:sz w:val="3"/>
                <w:szCs w:val="3"/>
                <w:color w:val="auto"/>
              </w:rPr>
            </w:pPr>
          </w:p>
        </w:tc>
        <w:tc>
          <w:tcPr>
            <w:tcW w:w="18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gridSpan w:val="2"/>
            <w:shd w:val="clear" w:color="auto" w:fill="000000"/>
          </w:tcPr>
          <w:p>
            <w:pPr>
              <w:spacing w:after="0"/>
              <w:rPr>
                <w:sz w:val="3"/>
                <w:szCs w:val="3"/>
                <w:color w:val="auto"/>
              </w:rPr>
            </w:pPr>
          </w:p>
        </w:tc>
        <w:tc>
          <w:tcPr>
            <w:tcW w:w="220" w:type="dxa"/>
            <w:vAlign w:val="bottom"/>
            <w:tcBorders>
              <w:left w:val="single" w:sz="8" w:color="CCEEFF"/>
            </w:tcBorders>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CEEFF"/>
              <w:right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Ken Xie</w:t>
            </w:r>
          </w:p>
        </w:tc>
        <w:tc>
          <w:tcPr>
            <w:tcW w:w="96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2/11/2016 </w:t>
            </w:r>
            <w:r>
              <w:rPr>
                <w:rFonts w:ascii="Times New Roman" w:cs="Times New Roman" w:eastAsia="Times New Roman" w:hAnsi="Times New Roman"/>
                <w:sz w:val="19"/>
                <w:szCs w:val="19"/>
                <w:color w:val="auto"/>
                <w:vertAlign w:val="superscript"/>
              </w:rPr>
              <w:t>​​</w:t>
            </w:r>
          </w:p>
        </w:tc>
        <w:tc>
          <w:tcPr>
            <w:tcW w:w="140" w:type="dxa"/>
            <w:vAlign w:val="bottom"/>
            <w:tcBorders>
              <w:bottom w:val="single" w:sz="8" w:color="CCEEFF"/>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60,000</w:t>
            </w:r>
          </w:p>
        </w:tc>
        <w:tc>
          <w:tcPr>
            <w:tcW w:w="180" w:type="dxa"/>
            <w:vAlign w:val="bottom"/>
            <w:tcBorders>
              <w:left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23.83</w:t>
            </w:r>
          </w:p>
        </w:tc>
        <w:tc>
          <w:tcPr>
            <w:tcW w:w="260" w:type="dxa"/>
            <w:vAlign w:val="bottom"/>
            <w:tcBorders>
              <w:bottom w:val="single" w:sz="8" w:color="CCEEFF"/>
            </w:tcBorders>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​2/11/2023</w:t>
            </w:r>
          </w:p>
        </w:tc>
        <w:tc>
          <w:tcPr>
            <w:tcW w:w="220" w:type="dxa"/>
            <w:vAlign w:val="bottom"/>
            <w:tcBorders>
              <w:left w:val="single" w:sz="8" w:color="CCEEFF"/>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70"/>
              <w:spacing w:after="0" w:line="17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0"/>
              <w:spacing w:after="0" w:line="17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2/16/2017 </w:t>
            </w:r>
            <w:r>
              <w:rPr>
                <w:rFonts w:ascii="Times New Roman" w:cs="Times New Roman" w:eastAsia="Times New Roman" w:hAnsi="Times New Roman"/>
                <w:sz w:val="24"/>
                <w:szCs w:val="24"/>
                <w:color w:val="auto"/>
                <w:vertAlign w:val="superscript"/>
              </w:rPr>
              <w:t>​​</w:t>
            </w:r>
          </w:p>
        </w:tc>
        <w:tc>
          <w:tcPr>
            <w:tcW w:w="800" w:type="dxa"/>
            <w:vAlign w:val="bottom"/>
            <w:gridSpan w:val="2"/>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​2/16/2024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​191,666</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8,334</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3,125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1,123,125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​104,107</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42,869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​15,310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5,502,414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2/21/2020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56,509</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66,785</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2/21/2020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​23,118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8,308,609</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2/19/2021 </w:t>
            </w:r>
            <w:r>
              <w:rPr>
                <w:rFonts w:ascii="Times New Roman" w:cs="Times New Roman" w:eastAsia="Times New Roman" w:hAnsi="Times New Roman"/>
                <w:sz w:val="24"/>
                <w:szCs w:val="24"/>
                <w:color w:val="auto"/>
                <w:vertAlign w:val="superscript"/>
              </w:rPr>
              <w:t>​​</w:t>
            </w:r>
          </w:p>
        </w:tc>
        <w:tc>
          <w:tcPr>
            <w:tcW w:w="140" w:type="dxa"/>
            <w:vAlign w:val="bottom"/>
            <w:tcBorders>
              <w:bottom w:val="single" w:sz="8" w:color="CCEEFF"/>
            </w:tcBorders>
            <w:shd w:val="clear" w:color="auto" w:fill="CCEEFF"/>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​108,801</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2/19/2021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​36,267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​13,034,360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Xie</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2/11/2016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45,000</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23.83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​2/11/2023</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2/16/2017 </w:t>
            </w:r>
            <w:r>
              <w:rPr>
                <w:rFonts w:ascii="Times New Roman" w:cs="Times New Roman" w:eastAsia="Times New Roman" w:hAnsi="Times New Roman"/>
                <w:sz w:val="24"/>
                <w:szCs w:val="24"/>
                <w:color w:val="auto"/>
                <w:vertAlign w:val="superscript"/>
              </w:rPr>
              <w:t>​​</w:t>
            </w:r>
          </w:p>
        </w:tc>
        <w:tc>
          <w:tcPr>
            <w:tcW w:w="800" w:type="dxa"/>
            <w:vAlign w:val="bottom"/>
            <w:gridSpan w:val="2"/>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​2/16/2024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90,667</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1,775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637,935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45,940</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18,917</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6,756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2,428,106</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22,404</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26,478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9,166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3,294,260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43,713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​14,571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5,236,817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1,250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449,250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13,749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1,764,654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22,068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7,639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2,745,456</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38,343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​12,781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4,593,491</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2/11/2016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23.83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​2/11/2023</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2/16/2017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8,749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20,665</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2,432</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1,095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393,543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3,500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1,257,900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12,890</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4,462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1,603,643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24,411</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2/19/2021 </w:t>
            </w:r>
            <w:r>
              <w:rPr>
                <w:rFonts w:ascii="Times New Roman" w:cs="Times New Roman" w:eastAsia="Times New Roman" w:hAnsi="Times New Roman"/>
                <w:sz w:val="35"/>
                <w:szCs w:val="35"/>
                <w:color w:val="auto"/>
                <w:vertAlign w:val="superscript"/>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8,137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2,924,437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12344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8" w:lineRule="exact"/>
        <w:rPr>
          <w:sz w:val="20"/>
          <w:szCs w:val="20"/>
          <w:color w:val="auto"/>
        </w:rPr>
      </w:pPr>
    </w:p>
    <w:p>
      <w:pPr>
        <w:ind w:left="1620" w:right="880"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stock options and RSUs granted under the 2009 Plan. Unless otherwise indicated below, (i) all options granted to named executive officers vest over four years starting on February 1 of the year of grant, with 25% vesting after one year and the remainder vesting monthly thereafter, and (ii) all RSUs</w:t>
      </w: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1" w:lineRule="auto"/>
        <w:rPr>
          <w:sz w:val="20"/>
          <w:szCs w:val="20"/>
          <w:color w:val="auto"/>
        </w:rPr>
      </w:pPr>
      <w:r>
        <w:rPr>
          <w:rFonts w:ascii="Times New Roman" w:cs="Times New Roman" w:eastAsia="Times New Roman" w:hAnsi="Times New Roman"/>
          <w:sz w:val="18"/>
          <w:szCs w:val="18"/>
          <w:color w:val="auto"/>
        </w:rPr>
        <w:t>granted to named executive officers vest over four years starting on February 1 of the year of grant, with 25% vesting after one year and the remainder vesting quarterly thereafter.</w:t>
      </w:r>
    </w:p>
    <w:p>
      <w:pPr>
        <w:spacing w:after="0" w:line="1" w:lineRule="exact"/>
        <w:rPr>
          <w:sz w:val="20"/>
          <w:szCs w:val="20"/>
          <w:color w:val="auto"/>
        </w:rPr>
      </w:pPr>
    </w:p>
    <w:p>
      <w:pPr>
        <w:jc w:val="both"/>
        <w:ind w:left="1620" w:right="439" w:hanging="360"/>
        <w:spacing w:after="0" w:line="275"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market value of the shares underlying the RSUs as of December 31, 2021, based on the closing price on Nasdaq of Fortinet’s common stock on December 31, 2021, which was $359.40 per share.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 Table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concerning amounts realized from stock option exercises and RSUs vested during fiscal 2021 for each of the named executive officers.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2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36"/>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Value Realized on</w:t>
            </w:r>
          </w:p>
        </w:tc>
        <w:tc>
          <w:tcPr>
            <w:tcW w:w="60" w:type="dxa"/>
            <w:vAlign w:val="bottom"/>
          </w:tcPr>
          <w:p>
            <w:pPr>
              <w:spacing w:after="0"/>
              <w:rPr>
                <w:sz w:val="13"/>
                <w:szCs w:val="13"/>
                <w:color w:val="auto"/>
              </w:rPr>
            </w:pPr>
          </w:p>
        </w:tc>
      </w:tr>
      <w:tr>
        <w:trPr>
          <w:trHeight w:val="227"/>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Acquired on Exercise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Exercise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9"/>
                <w:vertAlign w:val="subscript"/>
              </w:rPr>
              <w:t>​</w:t>
            </w:r>
            <w:r>
              <w:rPr>
                <w:rFonts w:ascii="Times New Roman" w:cs="Times New Roman" w:eastAsia="Times New Roman" w:hAnsi="Times New Roman"/>
                <w:sz w:val="14"/>
                <w:szCs w:val="14"/>
                <w:b w:val="1"/>
                <w:bCs w:val="1"/>
                <w:color w:val="auto"/>
                <w:w w:val="99"/>
              </w:rPr>
              <w:t xml:space="preserve"> Acquired on Vesting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 ($)</w:t>
            </w:r>
            <w:r>
              <w:rPr>
                <w:rFonts w:ascii="Times New Roman" w:cs="Times New Roman" w:eastAsia="Times New Roman" w:hAnsi="Times New Roman"/>
                <w:sz w:val="17"/>
                <w:szCs w:val="17"/>
                <w:b w:val="1"/>
                <w:bCs w:val="1"/>
                <w:color w:val="auto"/>
                <w:w w:val="92"/>
                <w:vertAlign w:val="superscript"/>
              </w:rPr>
              <w:t>(2)</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Xie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9,915,973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4,757,434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40,858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6,025,602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3,486,861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35,142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6,012,579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2,671,892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-676910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-676910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-676910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-676910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419" w:hanging="360"/>
        <w:spacing w:after="0" w:line="26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2021.</w:t>
      </w:r>
    </w:p>
    <w:p>
      <w:pPr>
        <w:spacing w:after="0" w:line="27"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reflects the aggregate fair market value of all Fortinet common stock issued pursuant to vested RSUs during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of Control Arrangements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August 7, 2019, we entered into an Amended and Restated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Amended and Restated Change of Control Severance Agreement expires on August 7, 2024.</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each Amended and Restated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spacing w:after="0" w:line="11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Also pursuant to each Amended and Restated Change of Control Agreement, if a named executive</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salary; (ii) acceleration of 100% of the unvested equity awards then held by the named executive officer; and (iii) 12 months of medical, dental and/or vision benefits for the named executive officer and/or the named executive officer’s eligible dependents.</w:t>
      </w:r>
    </w:p>
    <w:p>
      <w:pPr>
        <w:spacing w:after="0" w:line="11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is subject to the excise tax imposed by Section 4999 of the Code (as a result of a payment being classified as 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purpose of our Amended and Restated Change of Control Severance Agreements:</w:t>
      </w:r>
    </w:p>
    <w:p>
      <w:pPr>
        <w:spacing w:after="0" w:line="144" w:lineRule="exact"/>
        <w:rPr>
          <w:sz w:val="20"/>
          <w:szCs w:val="20"/>
          <w:color w:val="auto"/>
        </w:rPr>
      </w:pPr>
    </w:p>
    <w:p>
      <w:pPr>
        <w:ind w:left="1980" w:hanging="360"/>
        <w:spacing w:after="0"/>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generally means:</w:t>
      </w:r>
    </w:p>
    <w:p>
      <w:pPr>
        <w:spacing w:after="0" w:line="144"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one person or group of persons of Fortinet securities representing 50% or more of total voting power at the time of acquisition;</w:t>
      </w:r>
    </w:p>
    <w:p>
      <w:pPr>
        <w:spacing w:after="0" w:line="80" w:lineRule="exact"/>
        <w:rPr>
          <w:rFonts w:ascii="Times New Roman" w:cs="Times New Roman" w:eastAsia="Times New Roman" w:hAnsi="Times New Roman"/>
          <w:sz w:val="18"/>
          <w:szCs w:val="18"/>
          <w:color w:val="auto"/>
        </w:rPr>
      </w:pPr>
    </w:p>
    <w:p>
      <w:pPr>
        <w:ind w:left="2340" w:right="699" w:hanging="360"/>
        <w:spacing w:after="0" w:line="266"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of Directors occurring within a 12-month period, which results in fewer than a majority of the directors on the Board of Directors being incumbent directors;</w:t>
      </w:r>
    </w:p>
    <w:p>
      <w:pPr>
        <w:spacing w:after="0" w:line="108" w:lineRule="exact"/>
        <w:rPr>
          <w:rFonts w:ascii="Times New Roman" w:cs="Times New Roman" w:eastAsia="Times New Roman" w:hAnsi="Times New Roman"/>
          <w:sz w:val="18"/>
          <w:szCs w:val="18"/>
          <w:color w:val="auto"/>
        </w:rPr>
      </w:pPr>
    </w:p>
    <w:p>
      <w:pPr>
        <w:ind w:left="2340" w:right="519" w:hanging="360"/>
        <w:spacing w:after="0" w:line="258"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102" w:lineRule="exact"/>
        <w:rPr>
          <w:rFonts w:ascii="Times New Roman" w:cs="Times New Roman" w:eastAsia="Times New Roman" w:hAnsi="Times New Roman"/>
          <w:sz w:val="18"/>
          <w:szCs w:val="18"/>
          <w:color w:val="auto"/>
        </w:rPr>
      </w:pPr>
    </w:p>
    <w:p>
      <w:pPr>
        <w:ind w:left="2340" w:right="419" w:hanging="360"/>
        <w:spacing w:after="0" w:line="266"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that does not constitute a change of control event under Treasury Regulation 1.409A-3(i)(5)(v) or (vii) shall not be considered a Change of Control.</w:t>
      </w:r>
    </w:p>
    <w:p>
      <w:pPr>
        <w:spacing w:after="0" w:line="95" w:lineRule="exact"/>
        <w:rPr>
          <w:sz w:val="20"/>
          <w:szCs w:val="20"/>
          <w:color w:val="auto"/>
        </w:rPr>
      </w:pPr>
    </w:p>
    <w:p>
      <w:pPr>
        <w:ind w:left="1980" w:hanging="360"/>
        <w:spacing w:after="0"/>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w:t>
      </w:r>
    </w:p>
    <w:p>
      <w:pPr>
        <w:spacing w:after="0" w:line="144"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by the named executive officer in connection with the named executive officer’s responsibilities as an employee that materially and adversely affects Fortinet;</w:t>
      </w:r>
    </w:p>
    <w:p>
      <w:pPr>
        <w:spacing w:after="0" w:line="80" w:lineRule="exact"/>
        <w:rPr>
          <w:rFonts w:ascii="Times New Roman" w:cs="Times New Roman" w:eastAsia="Times New Roman" w:hAnsi="Times New Roman"/>
          <w:sz w:val="18"/>
          <w:szCs w:val="18"/>
          <w:color w:val="auto"/>
        </w:rPr>
      </w:pPr>
    </w:p>
    <w:p>
      <w:pPr>
        <w:ind w:left="2340" w:right="75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conviction of, or plea of nolo contendere to, a felony or any crime involving fraud, embezzlement or any other act of moral turpitude;</w:t>
      </w:r>
    </w:p>
    <w:p>
      <w:pPr>
        <w:spacing w:after="0" w:line="94" w:lineRule="exact"/>
        <w:rPr>
          <w:rFonts w:ascii="Times New Roman" w:cs="Times New Roman" w:eastAsia="Times New Roman" w:hAnsi="Times New Roman"/>
          <w:sz w:val="18"/>
          <w:szCs w:val="18"/>
          <w:color w:val="auto"/>
        </w:rPr>
      </w:pPr>
    </w:p>
    <w:p>
      <w:pPr>
        <w:ind w:left="2340" w:right="115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gross misconduct that materially and adversely affects Fortinet’s reputation or business; or</w:t>
      </w:r>
    </w:p>
    <w:p>
      <w:pPr>
        <w:spacing w:after="0" w:line="80" w:lineRule="exact"/>
        <w:rPr>
          <w:rFonts w:ascii="Times New Roman" w:cs="Times New Roman" w:eastAsia="Times New Roman" w:hAnsi="Times New Roman"/>
          <w:sz w:val="18"/>
          <w:szCs w:val="18"/>
          <w:color w:val="auto"/>
        </w:rPr>
      </w:pPr>
    </w:p>
    <w:p>
      <w:pPr>
        <w:ind w:left="2340" w:right="439" w:hanging="360"/>
        <w:spacing w:after="0" w:line="256"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spacing w:after="0" w:line="322" w:lineRule="exact"/>
        <w:rPr>
          <w:sz w:val="20"/>
          <w:szCs w:val="20"/>
          <w:color w:val="auto"/>
        </w:rPr>
      </w:pPr>
    </w:p>
    <w:p>
      <w:pPr>
        <w:ind w:left="1980" w:right="439" w:hanging="360"/>
        <w:spacing w:after="0" w:line="282" w:lineRule="auto"/>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the occurrence of one of more of the following events without the named executive officer’s express written consent:</w:t>
      </w:r>
    </w:p>
    <w:p>
      <w:pPr>
        <w:spacing w:after="0" w:line="94" w:lineRule="exact"/>
        <w:rPr>
          <w:rFonts w:ascii="Times New Roman" w:cs="Times New Roman" w:eastAsia="Times New Roman" w:hAnsi="Times New Roman"/>
          <w:sz w:val="18"/>
          <w:szCs w:val="18"/>
          <w:color w:val="auto"/>
        </w:rPr>
      </w:pPr>
    </w:p>
    <w:p>
      <w:pPr>
        <w:ind w:left="2340" w:right="999" w:hanging="360"/>
        <w:spacing w:after="0" w:line="282" w:lineRule="auto"/>
        <w:tabs>
          <w:tab w:leader="none" w:pos="2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named executive officer’s position or responsibilities with Fortinet;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base salary of the named executive officer;</w:t>
      </w:r>
    </w:p>
    <w:p>
      <w:pPr>
        <w:spacing w:after="0" w:line="157"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the named executive officer of 25 miles or more;</w:t>
      </w:r>
    </w:p>
    <w:p>
      <w:pPr>
        <w:spacing w:after="0" w:line="80" w:lineRule="exact"/>
        <w:rPr>
          <w:rFonts w:ascii="Times New Roman" w:cs="Times New Roman" w:eastAsia="Times New Roman" w:hAnsi="Times New Roman"/>
          <w:sz w:val="18"/>
          <w:szCs w:val="18"/>
          <w:color w:val="auto"/>
        </w:rPr>
      </w:pPr>
    </w:p>
    <w:p>
      <w:pPr>
        <w:ind w:left="2340" w:right="459" w:hanging="360"/>
        <w:spacing w:after="0" w:line="282" w:lineRule="auto"/>
        <w:tabs>
          <w:tab w:leader="none" w:pos="23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Fortinet of any material provision of the Change of Control Severance Agreement;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99" w:hanging="360"/>
        <w:spacing w:after="0" w:line="282" w:lineRule="auto"/>
        <w:tabs>
          <w:tab w:leader="none" w:pos="2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Fortinet’s failure to obtain the assumption of the Change of Control Severance Agreement by any successor to substantially all of Fortinet’s business and/or assets.</w:t>
      </w:r>
    </w:p>
    <w:p>
      <w:pPr>
        <w:spacing w:after="0" w:line="9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Estimated Payments upon Termination or Change in Control</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2021, which was December 31, 2021, and the price per share of Fortinet’s common stock was the closing price on Nasdaq as of that date, which was $359.40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Qualifying Termination Not Within One Year after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Qualifying Termination Within One Year after a</w:t>
            </w:r>
          </w:p>
        </w:tc>
        <w:tc>
          <w:tcPr>
            <w:tcW w:w="60" w:type="dxa"/>
            <w:vAlign w:val="bottom"/>
          </w:tcPr>
          <w:p>
            <w:pPr>
              <w:spacing w:after="0"/>
              <w:rPr>
                <w:sz w:val="14"/>
                <w:szCs w:val="14"/>
                <w:color w:val="auto"/>
              </w:rPr>
            </w:pP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Change of Control</w:t>
            </w:r>
            <w:r>
              <w:rPr>
                <w:rFonts w:ascii="Times New Roman" w:cs="Times New Roman" w:eastAsia="Times New Roman" w:hAnsi="Times New Roman"/>
                <w:sz w:val="17"/>
                <w:szCs w:val="17"/>
                <w:b w:val="1"/>
                <w:bCs w:val="1"/>
                <w:color w:val="auto"/>
                <w:w w:val="96"/>
                <w:vertAlign w:val="superscript"/>
              </w:rPr>
              <w:t>(1)</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Change of Control</w:t>
            </w:r>
            <w:r>
              <w:rPr>
                <w:rFonts w:ascii="Times New Roman" w:cs="Times New Roman" w:eastAsia="Times New Roman" w:hAnsi="Times New Roman"/>
                <w:sz w:val="17"/>
                <w:szCs w:val="17"/>
                <w:b w:val="1"/>
                <w:bCs w:val="1"/>
                <w:color w:val="auto"/>
                <w:w w:val="96"/>
                <w:vertAlign w:val="superscript"/>
              </w:rPr>
              <w:t>(1)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Acceleration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Acceleration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60" w:type="dxa"/>
            <w:vAlign w:val="bottom"/>
          </w:tcPr>
          <w:p>
            <w:pPr>
              <w:spacing w:after="0"/>
              <w:rPr>
                <w:sz w:val="14"/>
                <w:szCs w:val="14"/>
                <w:color w:val="auto"/>
              </w:rPr>
            </w:pP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Salary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Vesting ($)</w:t>
            </w:r>
            <w:r>
              <w:rPr>
                <w:rFonts w:ascii="Times New Roman" w:cs="Times New Roman" w:eastAsia="Times New Roman" w:hAnsi="Times New Roman"/>
                <w:sz w:val="15"/>
                <w:szCs w:val="15"/>
                <w:b w:val="1"/>
                <w:bCs w:val="1"/>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Benefit ($)</w:t>
            </w:r>
            <w:r>
              <w:rPr>
                <w:rFonts w:ascii="Times New Roman" w:cs="Times New Roman" w:eastAsia="Times New Roman" w:hAnsi="Times New Roman"/>
                <w:sz w:val="15"/>
                <w:szCs w:val="15"/>
                <w:b w:val="1"/>
                <w:bCs w:val="1"/>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Salary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Vesting ($)</w:t>
            </w:r>
            <w:r>
              <w:rPr>
                <w:rFonts w:ascii="Times New Roman" w:cs="Times New Roman" w:eastAsia="Times New Roman" w:hAnsi="Times New Roman"/>
                <w:sz w:val="15"/>
                <w:szCs w:val="15"/>
                <w:b w:val="1"/>
                <w:bCs w:val="1"/>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Benefit ($)</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Xie</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797,000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44,504,987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​797,000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​79,093,904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18,764,902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​32,701,130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14,636,338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​26,442,983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442,000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10,009,817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​17,361,463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-676910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-676910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-676910</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-676910</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-676910</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-676910</wp:posOffset>
            </wp:positionV>
            <wp:extent cx="128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77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40" w:lineRule="exact"/>
        <w:rPr>
          <w:rFonts w:ascii="Times New Roman" w:cs="Times New Roman" w:eastAsia="Times New Roman" w:hAnsi="Times New Roman"/>
          <w:sz w:val="18"/>
          <w:szCs w:val="18"/>
          <w:color w:val="auto"/>
        </w:rPr>
      </w:pPr>
    </w:p>
    <w:p>
      <w:pPr>
        <w:ind w:left="1620" w:right="107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amount related to base salary was determined based on base salaries in effect on December 31, 2021, the last business day of 2021.</w:t>
      </w:r>
    </w:p>
    <w:p>
      <w:pPr>
        <w:spacing w:after="0" w:line="26"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is calculated by multiplying (i) the number of the named executive officer’s unvested shares that would have vested over the 12 months after December 31, 2021 by (ii) (a) the difference between $359.40 (the per share closing stock price on December 31, 2021) and the exercise price for stock options or (b) $359.40 for RSUs.</w:t>
      </w:r>
    </w:p>
    <w:p>
      <w:pPr>
        <w:spacing w:after="0" w:line="31" w:lineRule="exact"/>
        <w:rPr>
          <w:rFonts w:ascii="Times New Roman" w:cs="Times New Roman" w:eastAsia="Times New Roman" w:hAnsi="Times New Roman"/>
          <w:sz w:val="18"/>
          <w:szCs w:val="18"/>
          <w:color w:val="auto"/>
        </w:rPr>
      </w:pPr>
    </w:p>
    <w:p>
      <w:pPr>
        <w:ind w:left="1620" w:right="69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spacing w:after="0" w:line="40"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is calculated by multiplying (i) the number of the named executive officer’s total unvested shares by (ii) (a) the difference between $359.40 (the per share closing stock price on December 31, 2021) and the exercise price for stock options or (b) $359.40 for RSUs.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our Chief Executive Officer, Mr. Ken Xie (our “CEO”), and the annual total compensation of the median employee of our company, excluding our CEO. For 2021:</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annual total compensation of our median employee was $202,875;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disclosed in the 2021 Summary Compensation Table was $14,203,211;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annual total compensation of our CEO to the median of the annual total compensation of our employees was 70 to 1. This ratio is a reasonable estimate calculated in a manner consistent with SEC rules.</w:t>
      </w:r>
    </w:p>
    <w:p>
      <w:pPr>
        <w:spacing w:after="0" w:line="95"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purposes of calculating the pay ratio for 2021, we elected to use as our median employee the same individual that we originally identified as our median employee for 2020 and 2019 because there was no significant change to our employee population or compensation arrangements that we reasonably believed would significantly impact our pay ratio disclosure.</w:t>
      </w:r>
    </w:p>
    <w:p>
      <w:pPr>
        <w:spacing w:after="0" w:line="11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For a description of our methodology for identifying the median employee, see “CEO Pay Ratio Disclosure” on page 51 of our definitive proxy statement filed with the SEC on April 30, 2019.</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then calculated the annual total compensation for this individual using the same methodology we use to calculate the amount reported for our CEO in the “Total” column of the 2021 Summary Compensation Table as set forth in this proxy statement.</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for 2021</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earned by each of our non-employee directors for service on the Board of Directors in fiscal 2021. Messrs. Ken Xie and Michael Xie, who are employees of Fortinet, do not receive additional compensation for their services as directors.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Paid in Cash ($)</w:t>
            </w:r>
            <w:r>
              <w:rPr>
                <w:rFonts w:ascii="Times New Roman" w:cs="Times New Roman" w:eastAsia="Times New Roman" w:hAnsi="Times New Roman"/>
                <w:sz w:val="15"/>
                <w:szCs w:val="15"/>
                <w:b w:val="1"/>
                <w:bCs w:val="1"/>
                <w:color w:val="auto"/>
                <w:vertAlign w:val="superscript"/>
              </w:rPr>
              <w:t>(1)</w:t>
            </w:r>
          </w:p>
        </w:tc>
        <w:tc>
          <w:tcPr>
            <w:tcW w:w="13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Stock Awards ($)</w:t>
            </w:r>
            <w:r>
              <w:rPr>
                <w:rFonts w:ascii="Times New Roman" w:cs="Times New Roman" w:eastAsia="Times New Roman" w:hAnsi="Times New Roman"/>
                <w:sz w:val="15"/>
                <w:szCs w:val="15"/>
                <w:b w:val="1"/>
                <w:bCs w:val="1"/>
                <w:color w:val="auto"/>
                <w:vertAlign w:val="superscript"/>
              </w:rPr>
              <w:t>(2)</w:t>
            </w:r>
          </w:p>
        </w:tc>
        <w:tc>
          <w:tcPr>
            <w:tcW w:w="8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3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Ducourty</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71,625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​​369,644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81,775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​​379,794​</w:t>
            </w:r>
          </w:p>
        </w:tc>
      </w:tr>
      <w:tr>
        <w:trPr>
          <w:trHeight w:val="28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 Hsieh</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83,800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​​381,819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Jean Hu</w:t>
            </w:r>
            <w:r>
              <w:rPr>
                <w:rFonts w:ascii="Times New Roman" w:cs="Times New Roman" w:eastAsia="Times New Roman" w:hAnsi="Times New Roman"/>
                <w:sz w:val="23"/>
                <w:szCs w:val="23"/>
                <w:color w:val="auto"/>
                <w:vertAlign w:val="superscript"/>
              </w:rPr>
              <w:t>(6)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78,773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​​376,792​</w:t>
            </w:r>
          </w:p>
        </w:tc>
      </w:tr>
      <w:tr>
        <w:trPr>
          <w:trHeight w:val="2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Neukom</w:t>
            </w:r>
            <w:r>
              <w:rPr>
                <w:rFonts w:ascii="Times New Roman" w:cs="Times New Roman" w:eastAsia="Times New Roman" w:hAnsi="Times New Roman"/>
                <w:sz w:val="23"/>
                <w:szCs w:val="23"/>
                <w:color w:val="auto"/>
                <w:vertAlign w:val="superscript"/>
              </w:rPr>
              <w:t>(7)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​​395,519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Judith Sim</w:t>
            </w:r>
            <w:r>
              <w:rPr>
                <w:rFonts w:ascii="Times New Roman" w:cs="Times New Roman" w:eastAsia="Times New Roman" w:hAnsi="Times New Roman"/>
                <w:sz w:val="23"/>
                <w:szCs w:val="23"/>
                <w:color w:val="auto"/>
                <w:vertAlign w:val="superscript"/>
              </w:rPr>
              <w:t>(8)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91,625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​​389,644​</w:t>
            </w:r>
          </w:p>
        </w:tc>
      </w:tr>
      <w:tr>
        <w:trPr>
          <w:trHeight w:val="2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Admiral James Stavridis (Ret)</w:t>
            </w:r>
            <w:r>
              <w:rPr>
                <w:rFonts w:ascii="Times New Roman" w:cs="Times New Roman" w:eastAsia="Times New Roman" w:hAnsi="Times New Roman"/>
                <w:sz w:val="23"/>
                <w:szCs w:val="23"/>
                <w:color w:val="auto"/>
                <w:vertAlign w:val="superscript"/>
              </w:rPr>
              <w:t>(9)</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10,644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181,030</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​​191,674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-1268095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-1268095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-1268095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fees earned or paid in cash for services rendered in the last fiscal year.</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aggregate grant date fair value of the RSU award made to each director during the year, computed in accordance with FASB ASC Topic 718. The assumptions used in the valuation of these awards are set forth in note 14 to our consolidated financial statements, which are included in our Annual Report on Form 10-K for the year ended December 31, 2021, filed with the SEC on February 25, 2022. The grant date fair value of these awards is determined for financial statement reporting purposes and does not correspond to the actual value that the directors will receive from the awards.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7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Ducourty held 488 RSUs, 244 of which vested on March 31, 2022 and the remainder of which will vest in full on June 16, 2022, so long as Ms. Ducourty is a member of the Board of Directors on such date.</w:t>
      </w:r>
    </w:p>
    <w:p>
      <w:pPr>
        <w:spacing w:after="0" w:line="40" w:lineRule="exact"/>
        <w:rPr>
          <w:rFonts w:ascii="Times New Roman" w:cs="Times New Roman" w:eastAsia="Times New Roman" w:hAnsi="Times New Roman"/>
          <w:sz w:val="18"/>
          <w:szCs w:val="18"/>
          <w:color w:val="auto"/>
        </w:rPr>
      </w:pPr>
    </w:p>
    <w:p>
      <w:pPr>
        <w:jc w:val="both"/>
        <w:ind w:left="1620" w:right="59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Goldman held 488 RSUs, 244 of which vested on March 31, 2022 and the remainder of which will vest in full on June 16, 2022, so long as Mr. Goldman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Hsieh held 488 RSUs, 244 of which vested on March 31, 2022 and the remainder of which will vest in full on June 16, 2022, so long as Mr. Hsieh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Hu held 488 RSUs, 244 of which vested on March 31, 2022 and the remainder of which will vest in full on June 16, 2022, so long as Ms. Hu is a member of the Board of Directors on such date.</w:t>
      </w:r>
    </w:p>
    <w:p>
      <w:pPr>
        <w:spacing w:after="0" w:line="27"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Neukom held 488 RSUs, 244 of which vested on March 31, 2022 and the remainder of which will vest in full on June 16, 2022, so long as Mr. Neukom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Sim held 488 RSUs, 244 of which vested on March 31, 2022 and the remainder of which will vest in full on June 16, 2022, so long as Ms. Sim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Admiral Stavridis (Ret) joined the Board of Directors on October 22, 2021. As of December 31, 2021, Admiral Stavridis (Ret) held 527 RSUs, all of which will vest in full on June 16, 2022, so long as Admiral Stavridis (Ret) is a member of the Board of Directors on such date.</w:t>
      </w:r>
    </w:p>
    <w:p>
      <w:pPr>
        <w:spacing w:after="0" w:line="17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 Director Compensation Arrangements</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Following a review by Compensia of our annual cash retainer policy and equity award grant policy for non-employee directors, in July 2021,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spacing w:after="0" w:line="72" w:lineRule="exact"/>
        <w:rPr>
          <w:sz w:val="20"/>
          <w:szCs w:val="20"/>
          <w:color w:val="auto"/>
        </w:rPr>
      </w:pPr>
    </w:p>
    <w:p>
      <w:pPr>
        <w:ind w:left="1800" w:right="579" w:hanging="180"/>
        <w:spacing w:after="0" w:line="275"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on the Board of Directors of $55,000, paid quarterly, in addition to the annual cash retainer for service on the committees of the Board of Directors as discussed below;</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as lead independent director of the Board of Directors of $35,000, paid quarterly;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in a non-chairperson position on the (i) Audit Committee of</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$13,800, (ii) Human Resources Committee of $10,000, (iii) Governance Committee of $7,500 and</w:t>
      </w:r>
    </w:p>
    <w:p>
      <w:pPr>
        <w:spacing w:after="0" w:line="9" w:lineRule="exact"/>
        <w:rPr>
          <w:rFonts w:ascii="Times New Roman" w:cs="Times New Roman" w:eastAsia="Times New Roman" w:hAnsi="Times New Roman"/>
          <w:sz w:val="18"/>
          <w:szCs w:val="18"/>
          <w:color w:val="auto"/>
        </w:rPr>
      </w:pPr>
    </w:p>
    <w:p>
      <w:pPr>
        <w:ind w:left="2120" w:hanging="320"/>
        <w:spacing w:after="0"/>
        <w:tabs>
          <w:tab w:leader="none" w:pos="2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Committee of $7,500;</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(i) $32,500 for serving as the chairperson of the Audit Committee,</w:t>
      </w:r>
    </w:p>
    <w:p>
      <w:pPr>
        <w:spacing w:after="0" w:line="27" w:lineRule="exact"/>
        <w:rPr>
          <w:rFonts w:ascii="Times New Roman" w:cs="Times New Roman" w:eastAsia="Times New Roman" w:hAnsi="Times New Roman"/>
          <w:sz w:val="18"/>
          <w:szCs w:val="18"/>
          <w:color w:val="auto"/>
        </w:rPr>
      </w:pPr>
    </w:p>
    <w:p>
      <w:pPr>
        <w:ind w:left="1800" w:right="819"/>
        <w:spacing w:after="0" w:line="255" w:lineRule="auto"/>
        <w:tabs>
          <w:tab w:leader="none" w:pos="208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 for serving as the chairperson of the Human Resources Committee, (iii) $15,000 for serving as the chairperson of the Governance Committee and (iv) $15,000 for serving as the chairperson of the Social Responsibility Committee;</w:t>
      </w:r>
    </w:p>
    <w:p>
      <w:pPr>
        <w:spacing w:after="0" w:line="77" w:lineRule="exact"/>
        <w:rPr>
          <w:rFonts w:ascii="Times New Roman" w:cs="Times New Roman" w:eastAsia="Times New Roman" w:hAnsi="Times New Roman"/>
          <w:sz w:val="18"/>
          <w:szCs w:val="18"/>
          <w:color w:val="auto"/>
        </w:rPr>
      </w:pPr>
    </w:p>
    <w:p>
      <w:pPr>
        <w:ind w:left="1800" w:right="539" w:hanging="180"/>
        <w:spacing w:after="0" w:line="23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each full year of service, an annual grant of a number of RSUs based on a total grant value equal to the peer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per Compensia’s director compensation analysis (which for 2021 was $245,000), vesting quarterly on the last day of each quarter and with the final installment vesting on the earlier of the last day of the second quarter and the day prior to the next annual meeting of stockholders; and</w:t>
      </w:r>
    </w:p>
    <w:p>
      <w:pPr>
        <w:spacing w:after="0" w:line="9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Prior to July 2021, the annual grant was a number of RSUs based on a total grant value of $250,000 and no cash retainer was paid for service on the Social Responsibility Committee, which was formed in January 2021. Otherwise, the compensation described above remained unchanged from the date of the 2021 Annual Meeting.</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Stock Ownership Guidelines</w:t>
      </w:r>
    </w:p>
    <w:p>
      <w:pPr>
        <w:spacing w:after="0" w:line="162"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spacing w:after="0" w:line="10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spacing w:after="0" w:line="340" w:lineRule="exact"/>
        <w:rPr>
          <w:sz w:val="20"/>
          <w:szCs w:val="20"/>
          <w:color w:val="auto"/>
        </w:rPr>
      </w:pPr>
    </w:p>
    <w:p>
      <w:pPr>
        <w:ind w:left="1260" w:right="599" w:firstLine="360"/>
        <w:spacing w:after="0" w:line="270" w:lineRule="auto"/>
        <w:rPr>
          <w:sz w:val="20"/>
          <w:szCs w:val="20"/>
          <w:color w:val="auto"/>
        </w:rPr>
      </w:pPr>
      <w:r>
        <w:rPr>
          <w:rFonts w:ascii="Times New Roman" w:cs="Times New Roman" w:eastAsia="Times New Roman" w:hAnsi="Times New Roman"/>
          <w:sz w:val="18"/>
          <w:szCs w:val="18"/>
          <w:color w:val="auto"/>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spacing w:after="0" w:line="3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of Control Arrangements</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“Change of Control” in our change of control agreements with our non-employee directors has the same meaning as used in our Change of Control Severance Agreements with the named executive officers. See “— </w:t>
      </w:r>
      <w:r>
        <w:rPr>
          <w:rFonts w:ascii="Times New Roman" w:cs="Times New Roman" w:eastAsia="Times New Roman" w:hAnsi="Times New Roman"/>
          <w:sz w:val="18"/>
          <w:szCs w:val="18"/>
          <w:i w:val="1"/>
          <w:iCs w:val="1"/>
          <w:color w:val="auto"/>
        </w:rPr>
        <w:t>Potential Payments Upon Termination or Change of Control — Termination or 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We currently maintain the 2009 Plan, which provides for the issuance of shares of our common stock to our officers and other employees, directors and consultants and which has been approved by our stockholders.</w:t>
      </w:r>
    </w:p>
    <w:p>
      <w:pPr>
        <w:spacing w:after="0" w:line="32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rights and number of securities remaining available for future issuance under our equity compensation plans as of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9"/>
                <w:szCs w:val="19"/>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 remaining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available for future issuance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 per share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under equity compensation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plans (excluding securities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warrants and rights (#)</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warrants and rights ($)</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reflected in column (a)) (#)</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2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​$43.21</w:t>
            </w:r>
            <w:r>
              <w:rPr>
                <w:rFonts w:ascii="Times New Roman" w:cs="Times New Roman" w:eastAsia="Times New Roman" w:hAnsi="Times New Roman"/>
                <w:sz w:val="23"/>
                <w:szCs w:val="23"/>
                <w:color w:val="auto"/>
                <w:vertAlign w:val="superscript"/>
              </w:rPr>
              <w:t>(1)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right w:val="single" w:sz="8" w:color="CCEEFF"/>
            </w:tcBorders>
            <w:gridSpan w:val="4"/>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11,779,625</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5,885,743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vMerge w:val="continue"/>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CCEEFF"/>
            </w:tcBorders>
            <w:gridSpan w:val="4"/>
            <w:vMerge w:val="continue"/>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 N/A</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4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​5,885,743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4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43.21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CCEEFF"/>
            </w:tcBorders>
            <w:gridSpan w:val="4"/>
            <w:shd w:val="clear" w:color="auto" w:fill="CCEEFF"/>
          </w:tcPr>
          <w:p>
            <w:pPr>
              <w:ind w:left="4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​11,779,625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-290830</wp:posOffset>
            </wp:positionV>
            <wp:extent cx="3429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345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-908050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-908050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-908050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1620" w:right="599" w:hanging="360"/>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reflect the shares that will be issued in connection with the settlement of RSUs, which have no exercise price.</w:t>
      </w:r>
    </w:p>
    <w:p>
      <w:pPr>
        <w:spacing w:after="0" w:line="26"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11,779,625 shares of common stock available for issuance under the 2009 Plan, which was the only equity compensation plan that we maintained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Related-Person Transactions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Officers and Directors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each of our directors and officers to the fullest extent permitted by Delaware law. In addition, we have entered into indemnification agreements with each of our directors and executive officers.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Review of Related-Person Transactions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9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these procedures, the terms “related person” and “transaction” have the meanings contained in Item 404 of Regulation S-K.</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individuals and entities that are considered “related persons” include:</w:t>
      </w:r>
    </w:p>
    <w:p>
      <w:pPr>
        <w:spacing w:after="0" w:line="117"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nominees for director and executive officers of Fortinet;</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known to be the beneficial owner of more than five percent of Fortinet’s common stock (a “5% Stockholder”);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as defined in Item 404(a) of Regulation S-K, of a director, nominee for director, executive officer and 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Fortinet’s common stock, as of March 31, 2022, for the following:</w:t>
      </w:r>
    </w:p>
    <w:p>
      <w:pPr>
        <w:spacing w:after="0" w:line="54" w:lineRule="exact"/>
        <w:rPr>
          <w:sz w:val="20"/>
          <w:szCs w:val="20"/>
          <w:color w:val="auto"/>
        </w:rPr>
      </w:pPr>
    </w:p>
    <w:p>
      <w:pPr>
        <w:ind w:left="1800" w:right="43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the outstanding shares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non-employee directors and nominees;</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named in the Summary Compensation Table of this proxy statement;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current executive officers of Fortinet as a group.</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2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Beneficially</w:t>
            </w:r>
          </w:p>
        </w:tc>
        <w:tc>
          <w:tcPr>
            <w:tcW w:w="40" w:type="dxa"/>
            <w:vAlign w:val="bottom"/>
          </w:tcPr>
          <w:p>
            <w:pPr>
              <w:spacing w:after="0"/>
              <w:rPr>
                <w:sz w:val="14"/>
                <w:szCs w:val="14"/>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Stockholders, Directors, Director Nominees and Officers</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2"/>
              </w:rPr>
              <w:t>Owned (#)</w:t>
            </w:r>
            <w:r>
              <w:rPr>
                <w:rFonts w:ascii="Times New Roman" w:cs="Times New Roman" w:eastAsia="Times New Roman" w:hAnsi="Times New Roman"/>
                <w:sz w:val="17"/>
                <w:szCs w:val="17"/>
                <w:b w:val="1"/>
                <w:bCs w:val="1"/>
                <w:color w:val="auto"/>
                <w:w w:val="92"/>
                <w:vertAlign w:val="superscript"/>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Owned (%)</w:t>
            </w:r>
            <w:r>
              <w:rPr>
                <w:rFonts w:ascii="Times New Roman" w:cs="Times New Roman" w:eastAsia="Times New Roman" w:hAnsi="Times New Roman"/>
                <w:sz w:val="17"/>
                <w:szCs w:val="17"/>
                <w:b w:val="1"/>
                <w:bCs w:val="1"/>
                <w:color w:val="auto"/>
                <w:w w:val="96"/>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15,414,022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11,668,040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Associates, Inc.</w:t>
            </w:r>
            <w:r>
              <w:rPr>
                <w:rFonts w:ascii="Times New Roman" w:cs="Times New Roman" w:eastAsia="Times New Roman" w:hAnsi="Times New Roman"/>
                <w:sz w:val="23"/>
                <w:szCs w:val="23"/>
                <w:color w:val="auto"/>
                <w:vertAlign w:val="superscript"/>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10,707,518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 and Nominees: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Kelly Ducourty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Ming Hsieh</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Hu</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William H. Neukom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Sim</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26,881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Ken Xie</w:t>
            </w:r>
            <w:r>
              <w:rPr>
                <w:rFonts w:ascii="Times New Roman" w:cs="Times New Roman" w:eastAsia="Times New Roman" w:hAnsi="Times New Roman"/>
                <w:sz w:val="23"/>
                <w:szCs w:val="23"/>
                <w:color w:val="auto"/>
                <w:vertAlign w:val="superscript"/>
              </w:rPr>
              <w:t>(7)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15,816,512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Xie</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14,295,152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r>
              <w:rPr>
                <w:rFonts w:ascii="Times New Roman" w:cs="Times New Roman" w:eastAsia="Times New Roman" w:hAnsi="Times New Roman"/>
                <w:sz w:val="23"/>
                <w:szCs w:val="23"/>
                <w:color w:val="auto"/>
                <w:vertAlign w:val="superscript"/>
              </w:rPr>
              <w:t>(9)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Whittle</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35,151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current executive officers as a group</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 persons)</w:t>
            </w:r>
            <w:r>
              <w:rPr>
                <w:rFonts w:ascii="Times New Roman" w:cs="Times New Roman" w:eastAsia="Times New Roman" w:hAnsi="Times New Roman"/>
                <w:sz w:val="23"/>
                <w:szCs w:val="23"/>
                <w:color w:val="auto"/>
                <w:vertAlign w:val="superscript"/>
              </w:rPr>
              <w:t>(11)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30,358,924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-3249295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-3249295</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0"/>
          <w:szCs w:val="20"/>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total.</w:t>
      </w:r>
    </w:p>
    <w:p>
      <w:pPr>
        <w:spacing w:after="0" w:line="77" w:lineRule="exact"/>
        <w:rPr>
          <w:sz w:val="20"/>
          <w:szCs w:val="20"/>
          <w:color w:val="auto"/>
        </w:rPr>
      </w:pPr>
    </w:p>
    <w:p>
      <w:pPr>
        <w:ind w:left="1620" w:right="85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table, the address for each listed person is c/o Fortinet, Inc., 899 Kifer Road, Sunnyvale, California 94086.</w:t>
      </w:r>
    </w:p>
    <w:p>
      <w:pPr>
        <w:spacing w:after="0" w:line="26"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2022,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160,266,932 shares of common stock outstanding on March 31, 2022.</w:t>
      </w:r>
    </w:p>
    <w:p>
      <w:pPr>
        <w:spacing w:after="0" w:line="43"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The Vanguard Group (“Vanguard”) on Schedule 13G/A filed with the SEC on February 10, 2022. Vanguard reported beneficial ownership of 15,414,022 shares, including 14,852,174 shares over which it has sole dispositive power. The address of Vanguard is 100 Vanguard Boulevard, Malvern, Pennsylvania 19355.</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BlackRock, Inc. (“BlackRock”) on Schedule 13G/A filed with the SEC on February 3, 2022. BlackRock reported beneficial ownership of 11,668,040 shares, including 10,349,159 shares over which it has sole voting power and 11,668,040 shares over which it has sole dispositive power. The address of BlackRock is 55 East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New York, New York 10055.</w:t>
      </w:r>
    </w:p>
    <w:p>
      <w:pPr>
        <w:spacing w:after="0" w:line="2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T. Rowe Price Associates, Inc. (“T. Rowe Price”) on</w:t>
      </w:r>
    </w:p>
    <w:p>
      <w:pPr>
        <w:spacing w:after="0" w:line="27"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13G filed with the SEC on February 14, 2022. T. Rowe Price reported beneficial ownership of 10,707,518 shares, including 4,431,132 shares over which it has sole voting power and 10,707,518 shares over which it has sole dispositive power. The address of T. Rowe Price is 100 E. Pratt Street, Baltimore, MD 21202.</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9"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2,139 shares held by Mr. Goldman; (ii) 4,150 shares held by the Goldman-Valeriote Family Trust, for which Mr. Goldman serves as a trustee; and (iii) 200 shares held by the GV Partners, L.P., for which Mr. Goldman serves as managing member. Mr. Goldman disclaims beneficial ownership of the shares held by the Goldman-Valeriote Family Trust except to the extent of his pecuniary interest therein.</w:t>
      </w:r>
    </w:p>
    <w:p>
      <w:pPr>
        <w:spacing w:after="0" w:line="254" w:lineRule="exact"/>
        <w:rPr>
          <w:rFonts w:ascii="Times New Roman" w:cs="Times New Roman" w:eastAsia="Times New Roman" w:hAnsi="Times New Roman"/>
          <w:sz w:val="18"/>
          <w:szCs w:val="18"/>
          <w:color w:val="auto"/>
        </w:rPr>
      </w:pPr>
    </w:p>
    <w:p>
      <w:pPr>
        <w:ind w:left="1620" w:right="719" w:hanging="360"/>
        <w:spacing w:after="0" w:line="261"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12,581,760 shares held of record by Mr. Ken Xie; and (ii) 2,644,086 shares held by the Xie Foundation, a non-profit entity for which Mr. Ken Xie serves as co-president and a director.</w:t>
      </w:r>
    </w:p>
    <w:p>
      <w:pPr>
        <w:ind w:left="162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Ken Xie has no pecuniary interest in and disclaims beneficial ownership of the shares held by the Xie Foundation. Also includes: (i) 582,769 shares issuable upon the exercise of stock options held by Mr. Ken Xie that are exercisable within 60 days of March 31, 2022; and (ii) 7,897 shares issuable upon the settlement of RSUs that will vest within 60 days of March 31, 2022.</w:t>
      </w:r>
    </w:p>
    <w:p>
      <w:pPr>
        <w:spacing w:after="0" w:line="53" w:lineRule="exact"/>
        <w:rPr>
          <w:rFonts w:ascii="Times New Roman" w:cs="Times New Roman" w:eastAsia="Times New Roman" w:hAnsi="Times New Roman"/>
          <w:sz w:val="18"/>
          <w:szCs w:val="18"/>
          <w:color w:val="auto"/>
        </w:rPr>
      </w:pPr>
    </w:p>
    <w:p>
      <w:pPr>
        <w:ind w:left="1620" w:right="839" w:hanging="360"/>
        <w:spacing w:after="0" w:line="261"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5,954,424 shares held of record by Mr. Michael Xie; (ii) 1,991,686 shares held by the 2010 K.A. Family Trust dated May 3, 2010, for which Mr. Michael Xie serves as a trustee;</w:t>
      </w:r>
    </w:p>
    <w:p>
      <w:pPr>
        <w:ind w:left="1620" w:right="439"/>
        <w:spacing w:after="0" w:line="250" w:lineRule="auto"/>
        <w:tabs>
          <w:tab w:leader="none" w:pos="19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3,408,214 shares held by the K.A. Children’s Trust dated February 9, 2011, for which Mr. Michael Xie serves as a trustee; and (iv) 2,644,086 shares held by the Xie Foundation, a non-profit entity for which Mr. Michael Xie serves as co-president and a director. Mr. Michael Xie has no pecuniary interest in and disclaims beneficial ownership of the shares held by the Xie Foundation. Also includes</w:t>
      </w:r>
    </w:p>
    <w:p>
      <w:pPr>
        <w:spacing w:after="0" w:line="1" w:lineRule="exact"/>
        <w:rPr>
          <w:rFonts w:ascii="Times New Roman" w:cs="Times New Roman" w:eastAsia="Times New Roman" w:hAnsi="Times New Roman"/>
          <w:sz w:val="18"/>
          <w:szCs w:val="18"/>
          <w:color w:val="auto"/>
        </w:rPr>
      </w:pPr>
    </w:p>
    <w:p>
      <w:pPr>
        <w:ind w:left="1620" w:right="779"/>
        <w:spacing w:after="0" w:line="255" w:lineRule="auto"/>
        <w:tabs>
          <w:tab w:leader="none" w:pos="184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293,462 shares issuable upon the exercise of stock options held by Mr. Michael Xie that are exercisable within 60 days of March 31, 2022; and (ii) 3,280 shares issuable upon the settlement of RSUs that will vest within 60 days of March 31, 2022.</w:t>
      </w:r>
    </w:p>
    <w:p>
      <w:pPr>
        <w:spacing w:after="0" w:line="37" w:lineRule="exact"/>
        <w:rPr>
          <w:rFonts w:ascii="Times New Roman" w:cs="Times New Roman" w:eastAsia="Times New Roman" w:hAnsi="Times New Roman"/>
          <w:sz w:val="18"/>
          <w:szCs w:val="18"/>
          <w:color w:val="auto"/>
        </w:rPr>
      </w:pPr>
    </w:p>
    <w:p>
      <w:pPr>
        <w:ind w:left="1620" w:right="499" w:hanging="360"/>
        <w:spacing w:after="0" w:line="263"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883 shares held of record by Mr. Jensen; (ii) 7,888 shares issuable upon the exercise of stock options held by Mr. Jensen that are exercisable within 60 days of March 31, 2022; and (iii) 2,629 shares issuable upon the settlement of RSUs held by Mr. Jensen that will vest within 60 days of March 31, 2022.</w:t>
      </w:r>
    </w:p>
    <w:p>
      <w:pPr>
        <w:spacing w:after="0" w:line="251" w:lineRule="exact"/>
        <w:rPr>
          <w:rFonts w:ascii="Times New Roman" w:cs="Times New Roman" w:eastAsia="Times New Roman" w:hAnsi="Times New Roman"/>
          <w:sz w:val="18"/>
          <w:szCs w:val="18"/>
          <w:color w:val="auto"/>
        </w:rPr>
      </w:pPr>
    </w:p>
    <w:p>
      <w:pPr>
        <w:jc w:val="both"/>
        <w:ind w:left="1620" w:right="779" w:hanging="360"/>
        <w:spacing w:after="0" w:line="26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33,448 shares issuable upon the exercise of stock options held by Mr. Whittle that are exercisable within 60 days of March 31, 2022; and (ii) 1,703 shares issuable upon the settlement of RSUs that will vest within 60 days of March 31, 2022.</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9"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29,354,196 shares held by the current directors and executive officers; (ii) 987,013 shares issuable upon the exercise of stock options held by the current directors and executive officers that are exercisable within 60 days of March 31, 2022; and (iii) 17,715 shares issuable upon the settlement of RSUs held by the current directors and executive officers that will vest within 60 days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has:</w:t>
      </w:r>
    </w:p>
    <w:p>
      <w:pPr>
        <w:spacing w:after="0" w:line="117" w:lineRule="exact"/>
        <w:rPr>
          <w:sz w:val="20"/>
          <w:szCs w:val="20"/>
          <w:color w:val="auto"/>
        </w:rPr>
      </w:pPr>
    </w:p>
    <w:p>
      <w:pPr>
        <w:ind w:left="1800" w:right="41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Fortinet management and with Deloitte &amp; Touche LLP, Fortinet’s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the Auditing Standard No. 1301 adopted by the Public Company Accounting Oversight Board regarding “Communication with Audit Committees”; and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Based upon these discussions and review, the Audit Committee recommended to the Board of Directors that the audited financial statements be included in Fortinet’s Annual Report on Form 10-K for the fiscal year ended December 31, 2021 for filing with the United States Securities and Exchange Commission.</w:t>
      </w:r>
    </w:p>
    <w:p>
      <w:pPr>
        <w:spacing w:after="0" w:line="1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Respectfully submitted by the members of the Audit Committee of the Board of Directors</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Jean Hu (Chairperson)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Goldman</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Ming Hsieh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Fortinet knows of no other matters to be submitted at the 2022 Annual Meeting. If any other matters properly come before the 2022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2022 Annual Meeting, regardless of the number of shares that you hold. You are, therefore, urged to vote as instructed in the Notice, via the internet or by telephone as promptly as possible to ensure your vote is recorded.</w:t>
      </w:r>
    </w:p>
    <w:p>
      <w:pPr>
        <w:spacing w:after="0" w:line="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RECONCILIATION BETWEEN GAAP AND NON-GAAP FINANCIAL MEASURES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have provided in this Proxy Statement information that has not been prepared in accordance with U.S. Generally Accepted Accounting Principles (“GAAP”). These non-GAAP financial and liquidity measures are not based on any standardized methodology prescribed by GAAP and are not necessarily comparable to similar measures presented by other companies. We use these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peer companies, many of which present similar non-GAAP financial measures to investors.</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provided below.</w:t>
      </w:r>
    </w:p>
    <w:p>
      <w:pPr>
        <w:spacing w:after="0" w:line="9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deferred revenue from the beginning to the end of the period, less any deferred revenue balances acquired from business combination(s) and adjustment due to adoption of new accounting standard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minus purchases of property and equipment and excluding any significant non-recurring items, such as proceeds from intellectual property matter. We believe free cash flow to be a liquidity measure that provides useful information to management and investors about the amount of cash generated by the business that, after capital expenditures and net of proceeds from intellectual property matter,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intellectual property matter,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the caption “Management’s Discussion and Analysis of Financial Condition and Results of Operations — Liquidity and Capital Resources” in our most recent Quarterly Report on Form 10-Q and Annual Report on Form 10-K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Total Revenue to Total Billings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1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31,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2020</w:t>
            </w:r>
            <w:r>
              <w:rPr>
                <w:rFonts w:ascii="Times New Roman" w:cs="Times New Roman" w:eastAsia="Times New Roman" w:hAnsi="Times New Roman"/>
                <w:sz w:val="27"/>
                <w:szCs w:val="27"/>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​$3,342.2</w:t>
            </w: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​$2,594.4</w:t>
            </w:r>
          </w:p>
        </w:tc>
        <w:tc>
          <w:tcPr>
            <w:tcW w:w="10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60" w:type="dxa"/>
            <w:vAlign w:val="bottom"/>
          </w:tcPr>
          <w:p>
            <w:pPr>
              <w:spacing w:after="0"/>
              <w:rPr>
                <w:sz w:val="22"/>
                <w:szCs w:val="22"/>
                <w:color w:val="auto"/>
              </w:rPr>
            </w:pP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Deferred revenue balance acquired in business</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r>
      <w:tr>
        <w:trPr>
          <w:trHeight w:val="248"/>
        </w:trPr>
        <w:tc>
          <w:tcPr>
            <w:tcW w:w="360" w:type="dxa"/>
            <w:vAlign w:val="bottom"/>
          </w:tcPr>
          <w:p>
            <w:pPr>
              <w:spacing w:after="0"/>
              <w:rPr>
                <w:sz w:val="21"/>
                <w:szCs w:val="21"/>
                <w:color w:val="auto"/>
              </w:rPr>
            </w:pPr>
          </w:p>
        </w:tc>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6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Adjustment due to adoption of ASU 2021-08</w:t>
            </w:r>
            <w:r>
              <w:rPr>
                <w:rFonts w:ascii="Times New Roman" w:cs="Times New Roman" w:eastAsia="Times New Roman" w:hAnsi="Times New Roman"/>
                <w:sz w:val="23"/>
                <w:szCs w:val="23"/>
                <w:color w:val="auto"/>
                <w:vertAlign w:val="superscript"/>
              </w:rPr>
              <w:t>(1)</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4"/>
                <w:szCs w:val="24"/>
                <w:color w:val="auto"/>
              </w:rPr>
            </w:pPr>
          </w:p>
        </w:tc>
        <w:tc>
          <w:tcPr>
            <w:tcW w:w="18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4,181.4</w:t>
            </w:r>
          </w:p>
        </w:tc>
        <w:tc>
          <w:tcPr>
            <w:tcW w:w="160" w:type="dxa"/>
            <w:vAlign w:val="bottom"/>
            <w:shd w:val="clear" w:color="auto" w:fill="CCEEFF"/>
          </w:tcPr>
          <w:p>
            <w:pPr>
              <w:spacing w:after="0"/>
              <w:rPr>
                <w:sz w:val="24"/>
                <w:szCs w:val="24"/>
                <w:color w:val="auto"/>
              </w:rPr>
            </w:pP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3,090.0</w:t>
            </w:r>
          </w:p>
        </w:tc>
        <w:tc>
          <w:tcPr>
            <w:tcW w:w="10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-282575</wp:posOffset>
            </wp:positionV>
            <wp:extent cx="163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-282575</wp:posOffset>
            </wp:positionV>
            <wp:extent cx="41833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-1105535</wp:posOffset>
            </wp:positionV>
            <wp:extent cx="40201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10" w:lineRule="exact"/>
        <w:rPr>
          <w:sz w:val="20"/>
          <w:szCs w:val="20"/>
          <w:color w:val="auto"/>
        </w:rPr>
      </w:pPr>
    </w:p>
    <w:p>
      <w:pPr>
        <w:jc w:val="both"/>
        <w:ind w:left="1620" w:right="539" w:hanging="360"/>
        <w:spacing w:after="0" w:line="263"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early adopted ASU-08 on a retrospective basis and effective for us beginning on January 1, 2021. The adoption of ASU 2021-08 resulted in an $4.3 million adjustment attributable to the acquisition of Alaxala Networks Corporation in 2021, as a result of the revised measurement of deferred revenue for acquisition.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5"/>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31, 2021</w:t>
            </w:r>
          </w:p>
        </w:tc>
        <w:tc>
          <w:tcPr>
            <w:tcW w:w="1420" w:type="dxa"/>
            <w:vAlign w:val="bottom"/>
            <w:gridSpan w:val="7"/>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2020 </w:t>
            </w:r>
            <w:r>
              <w:rPr>
                <w:rFonts w:ascii="Times New Roman" w:cs="Times New Roman" w:eastAsia="Times New Roman" w:hAnsi="Times New Roman"/>
                <w:sz w:val="27"/>
                <w:szCs w:val="27"/>
                <w:b w:val="1"/>
                <w:bCs w:val="1"/>
                <w:color w:val="auto"/>
                <w:vertAlign w:val="subscript"/>
              </w:rPr>
              <w:t>​</w:t>
            </w:r>
          </w:p>
        </w:tc>
      </w:tr>
      <w:tr>
        <w:trPr>
          <w:trHeight w:val="20"/>
        </w:trPr>
        <w:tc>
          <w:tcPr>
            <w:tcW w:w="4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​$ 1,499.7</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​$ 1,083.7</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(295.9)</w:t>
            </w: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Proceeds from intellectual property matter</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$ 1,203.8</w:t>
            </w: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4"/>
            <w:shd w:val="clear" w:color="auto" w:fill="CCEEFF"/>
          </w:tcPr>
          <w:p>
            <w:pPr>
              <w:jc w:val="right"/>
              <w:ind w:right="1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$(1,325.1)</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20"/>
                <w:szCs w:val="20"/>
                <w:color w:val="auto"/>
              </w:rPr>
            </w:pP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0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$(1,171.6)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-1113790</wp:posOffset>
            </wp:positionV>
            <wp:extent cx="40119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PROPOSED RESTATED CERTIFICATE</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Fortinet, Inc., a corporation organized and existing under the laws of the State of Delaware, hereby certifies as follows:</w:t>
      </w:r>
    </w:p>
    <w:p>
      <w:pPr>
        <w:spacing w:after="0" w:line="9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 That the name of the corporation is Fortinet, Inc. and that this corporation was originally incorporated pursuant to the General Corporation Law on November 28, 2000, under the name “Appligation, Inc.” changed its name to “ApSecure, Inc.” pursuant to a Certificate of Amendment of Certificate of Incorporation filed on December 12, 2000, changed its name to “FortiNet, Inc.” pursuant to a Certificate of Amendment of Certificate of Incorporation filed on December 6, 2001, and subsequently changed its name to “Fortinet, Inc.” pursuant to an Amended and Restated Certificate of Incorporation filed on May 30, 2002.</w:t>
      </w:r>
    </w:p>
    <w:p>
      <w:pPr>
        <w:spacing w:after="0" w:line="325"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B. The corporation filed an Amended and Restated Certificate of Incorporation with the Secretary of State of the State of Delaware on May 29, 2001, May 30, 2002 and August 15, 2003, filed a Certificate of Amendment of Certificate of Incorporation on March 12, 2008 </w:t>
      </w:r>
      <w:r>
        <w:rPr>
          <w:rFonts w:ascii="Times New Roman" w:cs="Times New Roman" w:eastAsia="Times New Roman" w:hAnsi="Times New Roman"/>
          <w:sz w:val="18"/>
          <w:szCs w:val="18"/>
          <w:b w:val="1"/>
          <w:bCs w:val="1"/>
          <w:color w:val="FC0014"/>
          <w:strike w:val="1"/>
        </w:rPr>
        <w:t>and</w:t>
      </w:r>
      <w:r>
        <w:rPr>
          <w:rFonts w:ascii="Times New Roman" w:cs="Times New Roman" w:eastAsia="Times New Roman" w:hAnsi="Times New Roman"/>
          <w:sz w:val="18"/>
          <w:szCs w:val="18"/>
          <w:b w:val="1"/>
          <w:bCs w:val="1"/>
          <w:u w:val="single" w:color="auto"/>
          <w:color w:val="0083C3"/>
        </w:rPr>
        <w:t>,</w:t>
      </w:r>
      <w:r>
        <w:rPr>
          <w:rFonts w:ascii="Times New Roman" w:cs="Times New Roman" w:eastAsia="Times New Roman" w:hAnsi="Times New Roman"/>
          <w:sz w:val="18"/>
          <w:szCs w:val="18"/>
          <w:color w:val="auto"/>
        </w:rPr>
        <w:t xml:space="preserve"> filed an Amended and Restated Certificate of Incorporation on November 23, 2009 </w:t>
      </w:r>
      <w:r>
        <w:rPr>
          <w:rFonts w:ascii="Times New Roman" w:cs="Times New Roman" w:eastAsia="Times New Roman" w:hAnsi="Times New Roman"/>
          <w:sz w:val="18"/>
          <w:szCs w:val="18"/>
          <w:b w:val="1"/>
          <w:bCs w:val="1"/>
          <w:u w:val="single" w:color="auto"/>
          <w:color w:val="0083C3"/>
        </w:rPr>
        <w:t>and filed an Amended and Restated Certificate of</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0083C3"/>
        </w:rPr>
        <w:t>Incorporation on June 22, 2018</w:t>
      </w:r>
      <w:r>
        <w:rPr>
          <w:rFonts w:ascii="Times New Roman" w:cs="Times New Roman" w:eastAsia="Times New Roman" w:hAnsi="Times New Roman"/>
          <w:sz w:val="18"/>
          <w:szCs w:val="18"/>
          <w:color w:val="000000"/>
        </w:rPr>
        <w:t>.</w:t>
      </w:r>
    </w:p>
    <w:p>
      <w:pPr>
        <w:spacing w:after="0" w:line="126"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 This Amended and Restated Certificate of Incorporation was duly adopted by the corporation’s Board of Directors and stockholders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D. The Certificate of Incorporation of the corporation is hereby amended and restated in its entirety to read as follows:</w:t>
      </w:r>
    </w:p>
    <w:p>
      <w:pPr>
        <w:spacing w:after="0" w:line="1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name of the corporation is Fortinet, Inc.</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19808, County of New Castle. The name of its registered agent at such address is Corporation Service Company.</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corporation shall have authority to issue shares as follows:</w:t>
      </w:r>
    </w:p>
    <w:p>
      <w:pPr>
        <w:spacing w:after="0" w:line="15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color w:val="FC0014"/>
          <w:strike w:val="1"/>
        </w:rPr>
        <w:t>300,000,000</w:t>
      </w:r>
      <w:r>
        <w:rPr>
          <w:rFonts w:ascii="Times New Roman" w:cs="Times New Roman" w:eastAsia="Times New Roman" w:hAnsi="Times New Roman"/>
          <w:sz w:val="18"/>
          <w:szCs w:val="18"/>
          <w:b w:val="1"/>
          <w:bCs w:val="1"/>
          <w:u w:val="single" w:color="auto"/>
          <w:color w:val="0083C3"/>
        </w:rPr>
        <w:t>1,500,000,000</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shares of Common Stock, par value $ 0.001 per share. Each share of Common</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Stock shall entitle the holder thereof to one (1) vote on each matter submitted to a vote at a meeting of stockholders.</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10,000,000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83C3"/>
        </w:rPr>
        <w:t>Contingent and effective upon the filing of this Restated Certificate of Incorporation, every one (1) share of Common Stock outstanding or held in treasury will, automatically and without any further action by the corporation or the stockholders thereof, become five (5) shares of Common Stock outstanding or held in treasury, as applicable (the “Forward Stock Split”). The par value of the Common Stock shall remain $0.001 per share.</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8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number of directors that constitutes the entire Board of Directors of the corporation shall be fixed by, or in the manner provided in, the Bylaws of the corporation.</w:t>
      </w:r>
    </w:p>
    <w:p>
      <w:pPr>
        <w:spacing w:after="0" w:line="91"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7"/>
          <w:szCs w:val="17"/>
          <w:b w:val="1"/>
          <w:bCs w:val="1"/>
          <w:color w:val="FC0014"/>
          <w:strike w:val="1"/>
        </w:rPr>
        <w:t xml:space="preserve">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2018 annual meeting of stockholders, directors of the corporation other than those in the 2019 Class and 2020 Class (each as defined below) shall be elected for a term of one year, expiring at the next succeeding annual meeting of stockholders. Each director of the corporation who was elected at the 2016 annual meeting of stockholders for a three-year term expiring in 2019 (the “2019 Class”), and each director of the corporation who was elected at the 2017 annual meeting of stockholders for a three-year term expiring in 2020 (the “2020 Class”), including any person appointed to fill any vacancy occurring with respect to any director in the 2019 Class or the 2020 Class (each of whom shall be deemed to be a member of the class of directors in which the vacancy occurred), shall continue to hold office until the end of the term for which such director was elected or appointed, as applicable. </w:t>
      </w:r>
      <w:r>
        <w:rPr>
          <w:rFonts w:ascii="Times New Roman" w:cs="Times New Roman" w:eastAsia="Times New Roman" w:hAnsi="Times New Roman"/>
          <w:sz w:val="17"/>
          <w:szCs w:val="17"/>
          <w:color w:val="000000"/>
          <w:strike w:val="1"/>
        </w:rPr>
        <w:t>Subject to the</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provisions of this Certificate of Incorporation relating to directors elected by the holders of one or more series of Preferred Stock, voting as a separate series or with one or more other series of Preferred Stock, </w:t>
      </w:r>
      <w:r>
        <w:rPr>
          <w:rFonts w:ascii="Times New Roman" w:cs="Times New Roman" w:eastAsia="Times New Roman" w:hAnsi="Times New Roman"/>
          <w:sz w:val="18"/>
          <w:szCs w:val="18"/>
          <w:b w:val="1"/>
          <w:bCs w:val="1"/>
          <w:color w:val="FC0014"/>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 xml:space="preserve">commencing with the 2019 annual meeting of stockholders, all directors of the corporation other than those in the 2020 Class will be elected for a term of one year, and (b) commencing with the 2020 annual meeting of stockholders, </w:t>
      </w:r>
      <w:r>
        <w:rPr>
          <w:rFonts w:ascii="Times New Roman" w:cs="Times New Roman" w:eastAsia="Times New Roman" w:hAnsi="Times New Roman"/>
          <w:sz w:val="18"/>
          <w:szCs w:val="18"/>
          <w:color w:val="000000"/>
          <w:strike w:val="1"/>
        </w:rPr>
        <w:t>all directors of the corporation will be elected for a term of one-year.</w:t>
      </w:r>
      <w:r>
        <w:rPr>
          <w:rFonts w:ascii="Times New Roman" w:cs="Times New Roman" w:eastAsia="Times New Roman" w:hAnsi="Times New Roman"/>
          <w:sz w:val="18"/>
          <w:szCs w:val="18"/>
          <w:b w:val="1"/>
          <w:bCs w:val="1"/>
          <w:color w:val="FC0014"/>
          <w:strike w:val="1"/>
        </w:rPr>
        <w:t xml:space="preserve"> In all other cases, each</w:t>
      </w:r>
      <w:r>
        <w:rPr>
          <w:rFonts w:ascii="Times New Roman" w:cs="Times New Roman" w:eastAsia="Times New Roman" w:hAnsi="Times New Roman"/>
          <w:sz w:val="18"/>
          <w:szCs w:val="18"/>
          <w:b w:val="1"/>
          <w:bCs w:val="1"/>
          <w:u w:val="single" w:color="auto"/>
          <w:color w:val="0083C3"/>
          <w:strike w:val="1"/>
        </w:rPr>
        <w:t>Each</w:t>
      </w:r>
      <w:r>
        <w:rPr>
          <w:rFonts w:ascii="Times New Roman" w:cs="Times New Roman" w:eastAsia="Times New Roman" w:hAnsi="Times New Roman"/>
          <w:sz w:val="18"/>
          <w:szCs w:val="18"/>
          <w:b w:val="1"/>
          <w:bCs w:val="1"/>
          <w:color w:val="FC0014"/>
          <w:strike w:val="1"/>
        </w:rPr>
        <w:t xml:space="preserve"> </w:t>
      </w:r>
      <w:r>
        <w:rPr>
          <w:rFonts w:ascii="Times New Roman" w:cs="Times New Roman" w:eastAsia="Times New Roman" w:hAnsi="Times New Roman"/>
          <w:sz w:val="18"/>
          <w:szCs w:val="18"/>
          <w:color w:val="000000"/>
          <w:strike w:val="1"/>
        </w:rPr>
        <w:t>director shall serve until such director’s successor has been duly elected and qualified or until</w:t>
      </w:r>
      <w:r>
        <w:rPr>
          <w:rFonts w:ascii="Times New Roman" w:cs="Times New Roman" w:eastAsia="Times New Roman" w:hAnsi="Times New Roman"/>
          <w:sz w:val="18"/>
          <w:szCs w:val="18"/>
          <w:b w:val="1"/>
          <w:bCs w:val="1"/>
          <w:color w:val="FC0014"/>
          <w:strike w:val="1"/>
        </w:rPr>
        <w:t xml:space="preserve"> </w:t>
      </w:r>
      <w:r>
        <w:rPr>
          <w:rFonts w:ascii="Times New Roman" w:cs="Times New Roman" w:eastAsia="Times New Roman" w:hAnsi="Times New Roman"/>
          <w:sz w:val="18"/>
          <w:szCs w:val="18"/>
          <w:color w:val="000000"/>
          <w:strike w:val="1"/>
        </w:rPr>
        <w:t>such director’s earlier death, resignation, or removal. No decrease in the number of directors constituting the Board of Directors shall shorten the term of any incumbent director.</w:t>
      </w:r>
    </w:p>
    <w:p>
      <w:pPr>
        <w:spacing w:after="0" w:line="12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Subject to the provisions of this Certificate of Incorporation relating to directors elected by the holders of one or more series of Preferred Stock, voting as a separate series or with one or more other series of</w:t>
      </w:r>
    </w:p>
    <w:p>
      <w:pPr>
        <w:jc w:val="both"/>
        <w:ind w:left="1260" w:right="579"/>
        <w:spacing w:after="0" w:line="243" w:lineRule="auto"/>
        <w:rPr>
          <w:sz w:val="20"/>
          <w:szCs w:val="20"/>
          <w:color w:val="auto"/>
        </w:rPr>
      </w:pPr>
      <w:r>
        <w:rPr>
          <w:rFonts w:ascii="Times New Roman" w:cs="Times New Roman" w:eastAsia="Times New Roman" w:hAnsi="Times New Roman"/>
          <w:sz w:val="18"/>
          <w:szCs w:val="18"/>
          <w:color w:val="auto"/>
        </w:rPr>
        <w:t xml:space="preserve">Preferred Stock, except as otherwise provided by law, </w:t>
      </w:r>
      <w:r>
        <w:rPr>
          <w:rFonts w:ascii="Times New Roman" w:cs="Times New Roman" w:eastAsia="Times New Roman" w:hAnsi="Times New Roman"/>
          <w:sz w:val="18"/>
          <w:szCs w:val="18"/>
          <w:b w:val="1"/>
          <w:bCs w:val="1"/>
          <w:color w:val="FC0014"/>
          <w:strike w:val="1"/>
        </w:rPr>
        <w:t>each director serving in a class of directors for a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expiring at the third annual meeting of stockholders following the election of such class may be removed only for cause by the affirmative vote of the holders of a majority of the voting power of all then outstanding shares of</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FC0014"/>
          <w:strike w:val="1"/>
        </w:rPr>
        <w:t>capital stock of the corporation entitled to vote generally in the election of directors, and</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color w:val="000000"/>
        </w:rPr>
        <w:t>all</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b w:val="1"/>
          <w:bCs w:val="1"/>
          <w:color w:val="FC0014"/>
          <w:strike w:val="1"/>
        </w:rPr>
        <w:t>other</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color w:val="000000"/>
        </w:rPr>
        <w:t>directors may</w:t>
      </w:r>
    </w:p>
    <w:p>
      <w:pPr>
        <w:spacing w:after="0" w:line="4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be removed with or without cause by the affirmative vote of the holders of a majority of the voting power of all then outstanding shares of capital stock of the corporation entitled to vote generally in the election of directors.</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of the corporation is expressly authorized to adopt, amend or repeal the Bylaws of the corporation.</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No action shall be taken by the stockholders of the corporation except at an annual or special meeting of the stockholders called in accordance with the Bylaws, and no action shall be taken by the stockholders by written consent.</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19"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Neither any amendment nor repeal of this Article IX, nor the adoption of any provision of this Certificate of Incorporation inconsistent with this Article IX, shall eliminate or reduce the effect of this Article IX in respect of any matter occurring, or any cause of action, suit or proceeding accruing or arising or that, but for this Article IX, would accrue or arise, prior to such amendment, repeal or adoption of an inconsistent provision.</w:t>
      </w: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(including any rights, preferences or other designations of Preferred Stock), 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 xml:space="preserve">the manner now or hereafter prescribed by this Certificate of Incorporation and the DGCL; and, except as set forth in Article IX, all rights, preferences and privileges herein conferred upon stockholders, directors or any other persons by and pursuant to this Certificate of Incorporation in its present form or as hereafter amended are granted subject to the right reserved in this Article X,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other provision of this Certificate of Incorporation, and in addition to any other vote that may be required by law or any Preferred Stock,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capital stock of the corporation entitled to vote generally in the election of directors, voting together as a single class, shall be required to amend, alter or repeal, or adopt any provision as part of this Certificate of Incorporation inconsistent with the purpose and intent of, Article V, Article VI, Article VIII or this Article X (including, without limitation, any such Article as renumbered as a result of any amendment, alteration, change, repeal or adoption of any other Article).</w:t>
      </w:r>
    </w:p>
    <w:p>
      <w:pPr>
        <w:spacing w:after="0" w:line="119"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 xml:space="preserve">IN WITNESS WHEREOF, Fortinet, Inc. has caused this Amended and Restated Certificate of Incorporation to be signed by the Chief Executive Officer of the corporation on this </w:t>
      </w:r>
      <w:r>
        <w:rPr>
          <w:rFonts w:ascii="Times New Roman" w:cs="Times New Roman" w:eastAsia="Times New Roman" w:hAnsi="Times New Roman"/>
          <w:sz w:val="18"/>
          <w:szCs w:val="18"/>
          <w:b w:val="1"/>
          <w:bCs w:val="1"/>
          <w:color w:val="FC0014"/>
          <w:strike w:val="1"/>
        </w:rPr>
        <w:t>22</w:t>
      </w:r>
      <w:r>
        <w:rPr>
          <w:rFonts w:ascii="Times New Roman" w:cs="Times New Roman" w:eastAsia="Times New Roman" w:hAnsi="Times New Roman"/>
          <w:sz w:val="26"/>
          <w:szCs w:val="26"/>
          <w:b w:val="1"/>
          <w:bCs w:val="1"/>
          <w:color w:val="FC0014"/>
          <w:strike w:val="1"/>
          <w:vertAlign w:val="superscript"/>
        </w:rPr>
        <w:t>nd</w:t>
      </w:r>
      <w:r>
        <w:rPr>
          <w:rFonts w:ascii="Times New Roman" w:cs="Times New Roman" w:eastAsia="Times New Roman" w:hAnsi="Times New Roman"/>
          <w:sz w:val="18"/>
          <w:szCs w:val="18"/>
          <w:b w:val="1"/>
          <w:bCs w:val="1"/>
          <w:color w:val="0083C3"/>
        </w:rPr>
        <w:t xml:space="preserve">                    </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b w:val="1"/>
          <w:bCs w:val="1"/>
          <w:color w:val="FC0014"/>
          <w:strike w:val="1"/>
        </w:rPr>
        <w:t>June 2018</w:t>
      </w:r>
      <w:r>
        <w:rPr>
          <w:rFonts w:ascii="Times New Roman" w:cs="Times New Roman" w:eastAsia="Times New Roman" w:hAnsi="Times New Roman"/>
          <w:sz w:val="18"/>
          <w:szCs w:val="18"/>
          <w:b w:val="1"/>
          <w:bCs w:val="1"/>
          <w:color w:val="0083C3"/>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-168910</wp:posOffset>
            </wp:positionV>
            <wp:extent cx="5746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-23495</wp:posOffset>
            </wp:positionV>
            <wp:extent cx="5746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Ken Xie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42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85426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42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85426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1"/>
    </w:lvl>
    <w:lvl w:ilvl="1">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upperLetter"/>
      <w:start w:val="1"/>
    </w:lvl>
  </w:abstractNum>
  <w:abstractNum w:abstractNumId="9">
    <w:nsid w:val="725A06FB"/>
    <w:multiLevelType w:val="hybridMultilevel"/>
    <w:lvl w:ilvl="0">
      <w:lvlJc w:val="left"/>
      <w:lvlText w:val="%1:"/>
      <w:numFmt w:val="upperLetter"/>
      <w:start w:val="17"/>
    </w:lvl>
  </w:abstractNum>
  <w:abstractNum w:abstractNumId="10">
    <w:nsid w:val="2CD89A32"/>
    <w:multiLevelType w:val="hybridMultilevel"/>
    <w:lvl w:ilvl="0">
      <w:lvlJc w:val="left"/>
      <w:lvlText w:val="%1:"/>
      <w:numFmt w:val="upperLetter"/>
      <w:start w:val="1"/>
    </w:lvl>
  </w:abstractNum>
  <w:abstractNum w:abstractNumId="11">
    <w:nsid w:val="57E4CCAF"/>
    <w:multiLevelType w:val="hybridMultilevel"/>
    <w:lvl w:ilvl="0">
      <w:lvlJc w:val="left"/>
      <w:lvlText w:val="%1:"/>
      <w:numFmt w:val="upperLetter"/>
      <w:start w:val="1"/>
    </w:lvl>
    <w:lvl w:ilvl="1">
      <w:lvlJc w:val="left"/>
      <w:lvlText w:val="•"/>
      <w:numFmt w:val="bullet"/>
      <w:start w:val="1"/>
    </w:lvl>
  </w:abstractNum>
  <w:abstractNum w:abstractNumId="12">
    <w:nsid w:val="7A6D8D3C"/>
    <w:multiLevelType w:val="hybridMultilevel"/>
    <w:lvl w:ilvl="0">
      <w:lvlJc w:val="left"/>
      <w:lvlText w:val="%1:"/>
      <w:numFmt w:val="upperLetter"/>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upperLetter"/>
      <w:start w:val="1"/>
    </w:lvl>
  </w:abstractNum>
  <w:abstractNum w:abstractNumId="16">
    <w:nsid w:val="38437FDB"/>
    <w:multiLevelType w:val="hybridMultilevel"/>
    <w:lvl w:ilvl="0">
      <w:lvlJc w:val="left"/>
      <w:lvlText w:val="%1:"/>
      <w:numFmt w:val="upperLetter"/>
      <w:start w:val="1"/>
    </w:lvl>
  </w:abstractNum>
  <w:abstractNum w:abstractNumId="17">
    <w:nsid w:val="7644A45C"/>
    <w:multiLevelType w:val="hybridMultilevel"/>
    <w:lvl w:ilvl="0">
      <w:lvlJc w:val="left"/>
      <w:lvlText w:val="%1:"/>
      <w:numFmt w:val="upperLetter"/>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upperLetter"/>
      <w:start w:val="1"/>
    </w:lvl>
  </w:abstractNum>
  <w:abstractNum w:abstractNumId="20">
    <w:nsid w:val="579478FE"/>
    <w:multiLevelType w:val="hybridMultilevel"/>
    <w:lvl w:ilvl="0">
      <w:lvlJc w:val="left"/>
      <w:lvlText w:val="%1:"/>
      <w:numFmt w:val="upperLetter"/>
      <w:start w:val="1"/>
    </w:lvl>
  </w:abstractNum>
  <w:abstractNum w:abstractNumId="21">
    <w:nsid w:val="749ABB43"/>
    <w:multiLevelType w:val="hybridMultilevel"/>
    <w:lvl w:ilvl="0">
      <w:lvlJc w:val="left"/>
      <w:lvlText w:val="%1:"/>
      <w:numFmt w:val="upperLetter"/>
      <w:start w:val="1"/>
    </w:lvl>
    <w:lvl w:ilvl="1">
      <w:lvlJc w:val="left"/>
      <w:lvlText w:val="•"/>
      <w:numFmt w:val="bullet"/>
      <w:start w:val="1"/>
    </w:lvl>
  </w:abstractNum>
  <w:abstractNum w:abstractNumId="22">
    <w:nsid w:val="3DC240FB"/>
    <w:multiLevelType w:val="hybridMultilevel"/>
    <w:lvl w:ilvl="0">
      <w:lvlJc w:val="left"/>
      <w:lvlText w:val="%1:"/>
      <w:numFmt w:val="upperLetter"/>
      <w:start w:val="1"/>
    </w:lvl>
  </w:abstractNum>
  <w:abstractNum w:abstractNumId="23">
    <w:nsid w:val="1BA026FA"/>
    <w:multiLevelType w:val="hybridMultilevel"/>
    <w:lvl w:ilvl="0">
      <w:lvlJc w:val="left"/>
      <w:lvlText w:val="%1:"/>
      <w:numFmt w:val="upperLetter"/>
      <w:start w:val="1"/>
    </w:lvl>
  </w:abstractNum>
  <w:abstractNum w:abstractNumId="24">
    <w:nsid w:val="79A1DEAA"/>
    <w:multiLevelType w:val="hybridMultilevel"/>
    <w:lvl w:ilvl="0">
      <w:lvlJc w:val="left"/>
      <w:lvlText w:val="%1:"/>
      <w:numFmt w:val="upperLetter"/>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upperLetter"/>
      <w:start w:val="1"/>
    </w:lvl>
  </w:abstractNum>
  <w:abstractNum w:abstractNumId="27">
    <w:nsid w:val="70C6A529"/>
    <w:multiLevelType w:val="hybridMultilevel"/>
    <w:lvl w:ilvl="0">
      <w:lvlJc w:val="left"/>
      <w:lvlText w:val="%1:"/>
      <w:numFmt w:val="upperLetter"/>
      <w:start w:val="1"/>
    </w:lvl>
  </w:abstractNum>
  <w:abstractNum w:abstractNumId="28">
    <w:nsid w:val="520EEDD1"/>
    <w:multiLevelType w:val="hybridMultilevel"/>
    <w:lvl w:ilvl="0">
      <w:lvlJc w:val="left"/>
      <w:lvlText w:val="%1:"/>
      <w:numFmt w:val="upperLetter"/>
      <w:start w:val="1"/>
    </w:lvl>
  </w:abstractNum>
  <w:abstractNum w:abstractNumId="29">
    <w:nsid w:val="374A3FE6"/>
    <w:multiLevelType w:val="hybridMultilevel"/>
    <w:lvl w:ilvl="0">
      <w:lvlJc w:val="left"/>
      <w:lvlText w:val="%1:"/>
      <w:numFmt w:val="upperLetter"/>
      <w:start w:val="1"/>
    </w:lvl>
  </w:abstractNum>
  <w:abstractNum w:abstractNumId="30">
    <w:nsid w:val="4F4EF005"/>
    <w:multiLevelType w:val="hybridMultilevel"/>
    <w:lvl w:ilvl="0">
      <w:lvlJc w:val="left"/>
      <w:lvlText w:val="%1:"/>
      <w:numFmt w:val="upperLetter"/>
      <w:start w:val="1"/>
    </w:lvl>
  </w:abstractNum>
  <w:abstractNum w:abstractNumId="31">
    <w:nsid w:val="23F9C13C"/>
    <w:multiLevelType w:val="hybridMultilevel"/>
    <w:lvl w:ilvl="0">
      <w:lvlJc w:val="left"/>
      <w:lvlText w:val="%1:"/>
      <w:numFmt w:val="upperLetter"/>
      <w:start w:val="1"/>
    </w:lvl>
  </w:abstractNum>
  <w:abstractNum w:abstractNumId="32">
    <w:nsid w:val="649BB77C"/>
    <w:multiLevelType w:val="hybridMultilevel"/>
    <w:lvl w:ilvl="0">
      <w:lvlJc w:val="left"/>
      <w:lvlText w:val="%1:"/>
      <w:numFmt w:val="upperLetter"/>
      <w:start w:val="17"/>
    </w:lvl>
  </w:abstractNum>
  <w:abstractNum w:abstractNumId="33">
    <w:nsid w:val="275AC794"/>
    <w:multiLevelType w:val="hybridMultilevel"/>
    <w:lvl w:ilvl="0">
      <w:lvlJc w:val="left"/>
      <w:lvlText w:val="%1:"/>
      <w:numFmt w:val="upperLetter"/>
      <w:start w:val="1"/>
    </w:lvl>
  </w:abstractNum>
  <w:abstractNum w:abstractNumId="34">
    <w:nsid w:val="39386575"/>
    <w:multiLevelType w:val="hybridMultilevel"/>
    <w:lvl w:ilvl="0">
      <w:lvlJc w:val="left"/>
      <w:lvlText w:val="%1:"/>
      <w:numFmt w:val="upperLetter"/>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2"/>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lowerLetter"/>
      <w:start w:val="9"/>
    </w:lvl>
    <w:lvl w:ilvl="1">
      <w:lvlJc w:val="left"/>
      <w:lvlText w:val="(%2)"/>
      <w:numFmt w:val="lowerLetter"/>
      <w:start w:val="1"/>
    </w:lvl>
  </w:abstractNum>
  <w:abstractNum w:abstractNumId="59">
    <w:nsid w:val="6590700B"/>
    <w:multiLevelType w:val="hybridMultilevel"/>
    <w:lvl w:ilvl="0">
      <w:lvlJc w:val="left"/>
      <w:lvlText w:val="(%1)"/>
      <w:numFmt w:val="lowerLetter"/>
      <w:start w:val="35"/>
    </w:lvl>
    <w:lvl w:ilvl="1">
      <w:lvlJc w:val="left"/>
      <w:lvlText w:val="(%2)"/>
      <w:numFmt w:val="lowerLetter"/>
      <w:start w:val="1"/>
    </w:lvl>
  </w:abstractNum>
  <w:abstractNum w:abstractNumId="60">
    <w:nsid w:val="15014ACB"/>
    <w:multiLevelType w:val="hybridMultilevel"/>
    <w:lvl w:ilvl="0">
      <w:lvlJc w:val="left"/>
      <w:lvlText w:val="(%1)"/>
      <w:numFmt w:val="lowerLetter"/>
      <w:start w:val="61"/>
    </w:lvl>
    <w:lvl w:ilvl="1">
      <w:lvlJc w:val="left"/>
      <w:lvlText w:val="(%2)"/>
      <w:numFmt w:val="lowerLetter"/>
      <w:start w:val="1"/>
    </w:lvl>
  </w:abstractNum>
  <w:abstractNum w:abstractNumId="61">
    <w:nsid w:val="5F5E7FD0"/>
    <w:multiLevelType w:val="hybridMultilevel"/>
    <w:lvl w:ilvl="0">
      <w:lvlJc w:val="left"/>
      <w:lvlText w:val="(%1)"/>
      <w:numFmt w:val="lowerLetter"/>
      <w:start w:val="5"/>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3"/>
    </w:lvl>
  </w:abstractNum>
  <w:abstractNum w:abstractNumId="66">
    <w:nsid w:val="168E121F"/>
    <w:multiLevelType w:val="hybridMultilevel"/>
    <w:lvl w:ilvl="0">
      <w:lvlJc w:val="left"/>
      <w:lvlText w:val="•"/>
      <w:numFmt w:val="bullet"/>
      <w:start w:val="1"/>
    </w:lvl>
    <w:lvl w:ilvl="1">
      <w:lvlJc w:val="left"/>
      <w:lvlText w:val="(%2)"/>
      <w:numFmt w:val="lowerRoman"/>
      <w:start w:val="4"/>
    </w:lvl>
  </w:abstractNum>
  <w:abstractNum w:abstractNumId="67">
    <w:nsid w:val="1EBA5D23"/>
    <w:multiLevelType w:val="hybridMultilevel"/>
    <w:lvl w:ilvl="0">
      <w:lvlJc w:val="left"/>
      <w:lvlText w:val="•"/>
      <w:numFmt w:val="bullet"/>
      <w:start w:val="1"/>
    </w:lvl>
    <w:lvl w:ilvl="1">
      <w:lvlJc w:val="left"/>
      <w:lvlText w:val="(%2)"/>
      <w:numFmt w:val="lowerRoman"/>
      <w:start w:val="2"/>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4"/>
    </w:lvl>
    <w:lvl w:ilvl="1">
      <w:lvlJc w:val="left"/>
      <w:lvlText w:val="(%2)"/>
      <w:numFmt w:val="lowerRoman"/>
      <w:start w:val="3"/>
    </w:lvl>
  </w:abstractNum>
  <w:abstractNum w:abstractNumId="74">
    <w:nsid w:val="BF72B14"/>
    <w:multiLevelType w:val="hybridMultilevel"/>
    <w:lvl w:ilvl="0">
      <w:lvlJc w:val="left"/>
      <w:lvlText w:val="%1"/>
      <w:numFmt w:val="decimal"/>
      <w:start w:val="1"/>
    </w:lvl>
    <w:lvl w:ilvl="1">
      <w:lvlJc w:val="left"/>
      <w:lvlText w:val="(%2)"/>
      <w:numFmt w:val="lowerRoman"/>
      <w:start w:val="1"/>
    </w:lvl>
  </w:abstractNum>
  <w:abstractNum w:abstractNumId="75">
    <w:nsid w:val="11447B73"/>
    <w:multiLevelType w:val="hybridMultilevel"/>
    <w:lvl w:ilvl="0">
      <w:lvlJc w:val="left"/>
      <w:lvlText w:val="(%1)"/>
      <w:numFmt w:val="decimal"/>
      <w:start w:val="9"/>
    </w:lvl>
    <w:lvl w:ilvl="1">
      <w:lvlJc w:val="left"/>
      <w:lvlText w:val="%2"/>
      <w:numFmt w:val="lowerRoman"/>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2022-05-02T15:36:26Z</dcterms:created>
  <dcterms:modified xsi:type="dcterms:W3CDTF">2022-05-02T15:36:26Z</dcterms:modified>
</cp:coreProperties>
</file>