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483870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449580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94" w:lineRule="exact"/>
        <w:rPr>
          <w:sz w:val="24"/>
          <w:szCs w:val="24"/>
          <w:color w:val="auto"/>
        </w:rPr>
      </w:pPr>
    </w:p>
    <w:p>
      <w:pPr>
        <w:ind w:left="4140" w:right="2040" w:hanging="4114"/>
        <w:spacing w:after="0" w:line="438" w:lineRule="auto"/>
        <w:tabs>
          <w:tab w:leader="none" w:pos="3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year ended December 31, 2022</w:t>
      </w:r>
    </w:p>
    <w:p>
      <w:pPr>
        <w:ind w:left="55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306" w:lineRule="exact"/>
        <w:rPr>
          <w:rFonts w:ascii="MS PGothic" w:cs="MS PGothic" w:eastAsia="MS PGothic" w:hAnsi="MS PGothic"/>
          <w:sz w:val="18"/>
          <w:szCs w:val="18"/>
          <w:color w:val="auto"/>
        </w:rPr>
      </w:pPr>
    </w:p>
    <w:p>
      <w:pPr>
        <w:ind w:left="420" w:hanging="38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440" w:type="dxa"/>
            <w:vAlign w:val="bottom"/>
            <w:gridSpan w:val="3"/>
          </w:tcPr>
          <w:p>
            <w:pPr>
              <w:ind w:left="8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gridSpan w:val="3"/>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84"/>
        </w:trPr>
        <w:tc>
          <w:tcPr>
            <w:tcW w:w="3720" w:type="dxa"/>
            <w:vAlign w:val="bottom"/>
          </w:tcPr>
          <w:p>
            <w:pPr>
              <w:spacing w:after="0"/>
              <w:rPr>
                <w:sz w:val="24"/>
                <w:szCs w:val="24"/>
                <w:color w:val="auto"/>
              </w:rPr>
            </w:pPr>
          </w:p>
        </w:tc>
        <w:tc>
          <w:tcPr>
            <w:tcW w:w="5180" w:type="dxa"/>
            <w:vAlign w:val="bottom"/>
            <w:gridSpan w:val="10"/>
          </w:tcPr>
          <w:p>
            <w:pPr>
              <w:jc w:val="center"/>
              <w:ind w:right="1296"/>
              <w:spacing w:after="0"/>
              <w:rPr>
                <w:sz w:val="20"/>
                <w:szCs w:val="20"/>
                <w:color w:val="auto"/>
              </w:rPr>
            </w:pPr>
            <w:r>
              <w:rPr>
                <w:rFonts w:ascii="Arial" w:cs="Arial" w:eastAsia="Arial" w:hAnsi="Arial"/>
                <w:sz w:val="18"/>
                <w:szCs w:val="18"/>
                <w:b w:val="1"/>
                <w:bCs w:val="1"/>
                <w:color w:val="auto"/>
                <w:w w:val="89"/>
              </w:rPr>
              <w:t>Commission file number: 001-34511</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7"/>
        </w:trPr>
        <w:tc>
          <w:tcPr>
            <w:tcW w:w="3720" w:type="dxa"/>
            <w:vAlign w:val="bottom"/>
          </w:tcPr>
          <w:p>
            <w:pPr>
              <w:spacing w:after="0"/>
              <w:rPr>
                <w:sz w:val="18"/>
                <w:szCs w:val="18"/>
                <w:color w:val="auto"/>
              </w:rPr>
            </w:pPr>
          </w:p>
        </w:tc>
        <w:tc>
          <w:tcPr>
            <w:tcW w:w="3760" w:type="dxa"/>
            <w:vAlign w:val="bottom"/>
            <w:gridSpan w:val="9"/>
          </w:tcPr>
          <w:p>
            <w:pPr>
              <w:jc w:val="center"/>
              <w:spacing w:after="0"/>
              <w:rPr>
                <w:sz w:val="20"/>
                <w:szCs w:val="20"/>
                <w:color w:val="auto"/>
              </w:rPr>
            </w:pPr>
            <w:r>
              <w:rPr>
                <w:rFonts w:ascii="Arial" w:cs="Arial" w:eastAsia="Arial" w:hAnsi="Arial"/>
                <w:sz w:val="18"/>
                <w:szCs w:val="18"/>
                <w:color w:val="auto"/>
                <w:w w:val="89"/>
              </w:rPr>
              <w:t>______________________________________</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20"/>
        </w:trPr>
        <w:tc>
          <w:tcPr>
            <w:tcW w:w="3720" w:type="dxa"/>
            <w:vAlign w:val="bottom"/>
          </w:tcPr>
          <w:p>
            <w:pPr>
              <w:spacing w:after="0"/>
              <w:rPr>
                <w:sz w:val="24"/>
                <w:szCs w:val="24"/>
                <w:color w:val="auto"/>
              </w:rPr>
            </w:pPr>
          </w:p>
        </w:tc>
        <w:tc>
          <w:tcPr>
            <w:tcW w:w="3020" w:type="dxa"/>
            <w:vAlign w:val="bottom"/>
            <w:gridSpan w:val="7"/>
          </w:tcPr>
          <w:p>
            <w:pPr>
              <w:jc w:val="center"/>
              <w:ind w:left="748"/>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9"/>
        </w:trPr>
        <w:tc>
          <w:tcPr>
            <w:tcW w:w="3720" w:type="dxa"/>
            <w:vAlign w:val="bottom"/>
          </w:tcPr>
          <w:p>
            <w:pPr>
              <w:spacing w:after="0"/>
              <w:rPr>
                <w:sz w:val="16"/>
                <w:szCs w:val="16"/>
                <w:color w:val="auto"/>
              </w:rPr>
            </w:pPr>
          </w:p>
        </w:tc>
        <w:tc>
          <w:tcPr>
            <w:tcW w:w="5180" w:type="dxa"/>
            <w:vAlign w:val="bottom"/>
            <w:gridSpan w:val="10"/>
          </w:tcPr>
          <w:p>
            <w:pPr>
              <w:jc w:val="center"/>
              <w:ind w:right="127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3760" w:type="dxa"/>
            <w:vAlign w:val="bottom"/>
            <w:gridSpan w:val="9"/>
          </w:tcPr>
          <w:p>
            <w:pPr>
              <w:jc w:val="center"/>
              <w:spacing w:after="0"/>
              <w:rPr>
                <w:sz w:val="20"/>
                <w:szCs w:val="20"/>
                <w:color w:val="auto"/>
              </w:rPr>
            </w:pPr>
            <w:r>
              <w:rPr>
                <w:rFonts w:ascii="Arial" w:cs="Arial" w:eastAsia="Arial" w:hAnsi="Arial"/>
                <w:sz w:val="18"/>
                <w:szCs w:val="18"/>
                <w:color w:val="auto"/>
                <w:w w:val="89"/>
              </w:rPr>
              <w:t>______________________________________</w:t>
            </w: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3720" w:type="dxa"/>
            <w:vAlign w:val="bottom"/>
          </w:tcPr>
          <w:p>
            <w:pPr>
              <w:jc w:val="center"/>
              <w:ind w:left="1834"/>
              <w:spacing w:after="0"/>
              <w:rPr>
                <w:sz w:val="20"/>
                <w:szCs w:val="20"/>
                <w:color w:val="auto"/>
              </w:rPr>
            </w:pPr>
            <w:r>
              <w:rPr>
                <w:rFonts w:ascii="Arial" w:cs="Arial" w:eastAsia="Arial" w:hAnsi="Arial"/>
                <w:sz w:val="18"/>
                <w:szCs w:val="18"/>
                <w:b w:val="1"/>
                <w:bCs w:val="1"/>
                <w:color w:val="auto"/>
                <w:w w:val="91"/>
              </w:rPr>
              <w:t>Delaware</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1"/>
              </w:rPr>
              <w:t>77-0560389</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62"/>
        </w:trPr>
        <w:tc>
          <w:tcPr>
            <w:tcW w:w="6740" w:type="dxa"/>
            <w:vAlign w:val="bottom"/>
            <w:gridSpan w:val="8"/>
          </w:tcPr>
          <w:p>
            <w:pPr>
              <w:jc w:val="center"/>
              <w:ind w:right="1080"/>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(I.R.S. Employer</w:t>
            </w: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0"/>
        </w:trPr>
        <w:tc>
          <w:tcPr>
            <w:tcW w:w="6740" w:type="dxa"/>
            <w:vAlign w:val="bottom"/>
            <w:gridSpan w:val="8"/>
          </w:tcPr>
          <w:p>
            <w:pPr>
              <w:jc w:val="center"/>
              <w:ind w:right="1100"/>
              <w:spacing w:after="0"/>
              <w:rPr>
                <w:sz w:val="20"/>
                <w:szCs w:val="20"/>
                <w:color w:val="auto"/>
              </w:rPr>
            </w:pPr>
            <w:r>
              <w:rPr>
                <w:rFonts w:ascii="Arial" w:cs="Arial" w:eastAsia="Arial" w:hAnsi="Arial"/>
                <w:sz w:val="16"/>
                <w:szCs w:val="16"/>
                <w:b w:val="1"/>
                <w:bCs w:val="1"/>
                <w:color w:val="auto"/>
                <w:w w:val="92"/>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Identification No.)</w:t>
            </w: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770"/>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3720" w:type="dxa"/>
            <w:vAlign w:val="bottom"/>
          </w:tcPr>
          <w:p>
            <w:pPr>
              <w:spacing w:after="0"/>
              <w:rPr>
                <w:sz w:val="15"/>
                <w:szCs w:val="15"/>
                <w:color w:val="auto"/>
              </w:rPr>
            </w:pPr>
          </w:p>
        </w:tc>
        <w:tc>
          <w:tcPr>
            <w:tcW w:w="3020" w:type="dxa"/>
            <w:vAlign w:val="bottom"/>
            <w:gridSpan w:val="7"/>
          </w:tcPr>
          <w:p>
            <w:pPr>
              <w:jc w:val="center"/>
              <w:ind w:left="708"/>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0"/>
        </w:trPr>
        <w:tc>
          <w:tcPr>
            <w:tcW w:w="8900" w:type="dxa"/>
            <w:vAlign w:val="bottom"/>
            <w:gridSpan w:val="11"/>
          </w:tcPr>
          <w:p>
            <w:pPr>
              <w:jc w:val="center"/>
              <w:ind w:left="2254"/>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667"/>
        </w:trPr>
        <w:tc>
          <w:tcPr>
            <w:tcW w:w="3720" w:type="dxa"/>
            <w:vAlign w:val="bottom"/>
          </w:tcPr>
          <w:p>
            <w:pPr>
              <w:spacing w:after="0"/>
              <w:rPr>
                <w:sz w:val="24"/>
                <w:szCs w:val="24"/>
                <w:color w:val="auto"/>
              </w:rPr>
            </w:pPr>
          </w:p>
        </w:tc>
        <w:tc>
          <w:tcPr>
            <w:tcW w:w="2720" w:type="dxa"/>
            <w:vAlign w:val="bottom"/>
            <w:gridSpan w:val="4"/>
          </w:tcPr>
          <w:p>
            <w:pPr>
              <w:jc w:val="center"/>
              <w:ind w:left="988"/>
              <w:spacing w:after="0"/>
              <w:rPr>
                <w:sz w:val="20"/>
                <w:szCs w:val="20"/>
                <w:color w:val="auto"/>
              </w:rPr>
            </w:pPr>
            <w:r>
              <w:rPr>
                <w:rFonts w:ascii="Arial" w:cs="Arial" w:eastAsia="Arial" w:hAnsi="Arial"/>
                <w:sz w:val="18"/>
                <w:szCs w:val="18"/>
                <w:b w:val="1"/>
                <w:bCs w:val="1"/>
                <w:color w:val="auto"/>
                <w:w w:val="90"/>
              </w:rPr>
              <w:t>(408) 235-7700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3720" w:type="dxa"/>
            <w:vAlign w:val="bottom"/>
          </w:tcPr>
          <w:p>
            <w:pPr>
              <w:spacing w:after="0"/>
              <w:rPr>
                <w:sz w:val="18"/>
                <w:szCs w:val="18"/>
                <w:color w:val="auto"/>
              </w:rPr>
            </w:pPr>
          </w:p>
        </w:tc>
        <w:tc>
          <w:tcPr>
            <w:tcW w:w="5180" w:type="dxa"/>
            <w:vAlign w:val="bottom"/>
            <w:gridSpan w:val="10"/>
          </w:tcPr>
          <w:p>
            <w:pPr>
              <w:jc w:val="center"/>
              <w:ind w:right="1276"/>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11"/>
        </w:trPr>
        <w:tc>
          <w:tcPr>
            <w:tcW w:w="8900" w:type="dxa"/>
            <w:vAlign w:val="bottom"/>
            <w:gridSpan w:val="11"/>
          </w:tcPr>
          <w:p>
            <w:pPr>
              <w:jc w:val="center"/>
              <w:ind w:left="225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4"/>
        </w:trPr>
        <w:tc>
          <w:tcPr>
            <w:tcW w:w="3720" w:type="dxa"/>
            <w:vAlign w:val="bottom"/>
          </w:tcPr>
          <w:p>
            <w:pPr>
              <w:jc w:val="center"/>
              <w:ind w:left="894"/>
              <w:spacing w:after="0"/>
              <w:rPr>
                <w:sz w:val="20"/>
                <w:szCs w:val="20"/>
                <w:color w:val="auto"/>
              </w:rPr>
            </w:pPr>
            <w:r>
              <w:rPr>
                <w:rFonts w:ascii="Arial" w:cs="Arial" w:eastAsia="Arial" w:hAnsi="Arial"/>
                <w:sz w:val="16"/>
                <w:szCs w:val="16"/>
                <w:b w:val="1"/>
                <w:bCs w:val="1"/>
                <w:color w:val="auto"/>
                <w:w w:val="88"/>
              </w:rPr>
              <w:t>Title of each class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Trading Symbol</w:t>
            </w:r>
          </w:p>
        </w:tc>
        <w:tc>
          <w:tcPr>
            <w:tcW w:w="200" w:type="dxa"/>
            <w:vAlign w:val="bottom"/>
          </w:tcPr>
          <w:p>
            <w:pPr>
              <w:spacing w:after="0"/>
              <w:rPr>
                <w:sz w:val="24"/>
                <w:szCs w:val="24"/>
                <w:color w:val="auto"/>
              </w:rPr>
            </w:pPr>
          </w:p>
        </w:tc>
        <w:tc>
          <w:tcPr>
            <w:tcW w:w="4300" w:type="dxa"/>
            <w:vAlign w:val="bottom"/>
            <w:gridSpan w:val="5"/>
          </w:tcPr>
          <w:p>
            <w:pPr>
              <w:jc w:val="right"/>
              <w:ind w:right="77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1"/>
        </w:trPr>
        <w:tc>
          <w:tcPr>
            <w:tcW w:w="3720" w:type="dxa"/>
            <w:vAlign w:val="bottom"/>
            <w:tcBorders>
              <w:top w:val="single" w:sz="8" w:color="auto"/>
            </w:tcBorders>
          </w:tcPr>
          <w:p>
            <w:pPr>
              <w:jc w:val="center"/>
              <w:ind w:left="894"/>
              <w:spacing w:after="0"/>
              <w:rPr>
                <w:sz w:val="20"/>
                <w:szCs w:val="20"/>
                <w:color w:val="auto"/>
              </w:rPr>
            </w:pPr>
            <w:r>
              <w:rPr>
                <w:rFonts w:ascii="Arial" w:cs="Arial" w:eastAsia="Arial" w:hAnsi="Arial"/>
                <w:sz w:val="18"/>
                <w:szCs w:val="18"/>
                <w:b w:val="1"/>
                <w:bCs w:val="1"/>
                <w:color w:val="auto"/>
                <w:w w:val="90"/>
              </w:rPr>
              <w:t>Common Stock, $0.001 Par Value</w:t>
            </w: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FTNT</w:t>
            </w: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The Nasdaq Stock Market LLC</w:t>
            </w:r>
          </w:p>
        </w:tc>
      </w:tr>
      <w:tr>
        <w:trPr>
          <w:trHeight w:val="373"/>
        </w:trPr>
        <w:tc>
          <w:tcPr>
            <w:tcW w:w="8900" w:type="dxa"/>
            <w:vAlign w:val="bottom"/>
            <w:gridSpan w:val="11"/>
          </w:tcPr>
          <w:p>
            <w:pPr>
              <w:jc w:val="center"/>
              <w:ind w:left="2254"/>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8900" w:type="dxa"/>
            <w:vAlign w:val="bottom"/>
            <w:gridSpan w:val="11"/>
          </w:tcPr>
          <w:p>
            <w:pPr>
              <w:ind w:left="30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520" w:type="dxa"/>
            <w:vAlign w:val="bottom"/>
          </w:tcPr>
          <w:p>
            <w:pPr>
              <w:ind w:left="2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No</w:t>
            </w:r>
          </w:p>
        </w:tc>
        <w:tc>
          <w:tcPr>
            <w:tcW w:w="1360" w:type="dxa"/>
            <w:vAlign w:val="bottom"/>
          </w:tcPr>
          <w:p>
            <w:pPr>
              <w:jc w:val="right"/>
              <w:ind w:right="107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78"/>
        </w:trPr>
        <w:tc>
          <w:tcPr>
            <w:tcW w:w="8900" w:type="dxa"/>
            <w:vAlign w:val="bottom"/>
            <w:gridSpan w:val="11"/>
          </w:tcPr>
          <w:p>
            <w:pPr>
              <w:ind w:left="30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520" w:type="dxa"/>
            <w:vAlign w:val="bottom"/>
          </w:tcPr>
          <w:p>
            <w:pPr>
              <w:ind w:left="180"/>
              <w:spacing w:after="0"/>
              <w:rPr>
                <w:sz w:val="20"/>
                <w:szCs w:val="20"/>
                <w:color w:val="auto"/>
              </w:rPr>
            </w:pPr>
            <w:r>
              <w:rPr>
                <w:rFonts w:ascii="Arial" w:cs="Arial" w:eastAsia="Arial" w:hAnsi="Arial"/>
                <w:sz w:val="18"/>
                <w:szCs w:val="18"/>
                <w:color w:val="auto"/>
              </w:rPr>
              <w:t>Yes</w:t>
            </w:r>
          </w:p>
        </w:tc>
        <w:tc>
          <w:tcPr>
            <w:tcW w:w="460" w:type="dxa"/>
            <w:vAlign w:val="bottom"/>
          </w:tcPr>
          <w:p>
            <w:pPr>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w:t>
            </w:r>
          </w:p>
        </w:tc>
        <w:tc>
          <w:tcPr>
            <w:tcW w:w="1360" w:type="dxa"/>
            <w:vAlign w:val="bottom"/>
          </w:tcPr>
          <w:p>
            <w:pPr>
              <w:jc w:val="right"/>
              <w:ind w:right="1050"/>
              <w:spacing w:after="0" w:line="181" w:lineRule="exact"/>
              <w:rPr>
                <w:sz w:val="20"/>
                <w:szCs w:val="20"/>
                <w:color w:val="auto"/>
              </w:rPr>
            </w:pPr>
            <w:r>
              <w:rPr>
                <w:rFonts w:ascii="MS PGothic" w:cs="MS PGothic" w:eastAsia="MS PGothic" w:hAnsi="MS PGothic"/>
                <w:sz w:val="18"/>
                <w:szCs w:val="18"/>
                <w:color w:val="auto"/>
              </w:rPr>
              <w:t>☒</w:t>
            </w:r>
          </w:p>
        </w:tc>
      </w:tr>
      <w:tr>
        <w:trPr>
          <w:trHeight w:val="1107"/>
        </w:trPr>
        <w:tc>
          <w:tcPr>
            <w:tcW w:w="3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28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80" w:firstLine="28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40"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49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0"/>
          <w:szCs w:val="20"/>
          <w:color w:val="auto"/>
        </w:rPr>
      </w:pPr>
    </w:p>
    <w:p>
      <w:pPr>
        <w:ind w:right="220" w:firstLine="283"/>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ind w:right="40" w:firstLine="283"/>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7" w:lineRule="exact"/>
        <w:rPr>
          <w:sz w:val="20"/>
          <w:szCs w:val="20"/>
          <w:color w:val="auto"/>
        </w:rPr>
      </w:pPr>
    </w:p>
    <w:p>
      <w:pPr>
        <w:ind w:right="380" w:firstLine="283"/>
        <w:spacing w:after="0" w:line="226" w:lineRule="exact"/>
        <w:rPr>
          <w:sz w:val="20"/>
          <w:szCs w:val="20"/>
          <w:color w:val="auto"/>
        </w:rPr>
      </w:pPr>
      <w:r>
        <w:rPr>
          <w:rFonts w:ascii="Arial" w:cs="Arial" w:eastAsia="Arial" w:hAnsi="Arial"/>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6" w:lineRule="exact"/>
        <w:rPr>
          <w:sz w:val="20"/>
          <w:szCs w:val="20"/>
          <w:color w:val="auto"/>
        </w:rPr>
      </w:pPr>
    </w:p>
    <w:p>
      <w:pPr>
        <w:ind w:right="480" w:firstLine="283"/>
        <w:spacing w:after="0" w:line="254"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09" w:lineRule="exact"/>
        <w:rPr>
          <w:sz w:val="20"/>
          <w:szCs w:val="20"/>
          <w:color w:val="auto"/>
        </w:rPr>
      </w:pPr>
    </w:p>
    <w:p>
      <w:pPr>
        <w:ind w:left="300"/>
        <w:spacing w:after="0" w:line="207" w:lineRule="exact"/>
        <w:tabs>
          <w:tab w:leader="none" w:pos="862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0"/>
          <w:szCs w:val="20"/>
          <w:color w:val="auto"/>
        </w:rPr>
      </w:pPr>
    </w:p>
    <w:p>
      <w:pPr>
        <w:ind w:firstLine="283"/>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2022, the last business day of the registrant’s most recently completed second quarter, was $25,621,924,666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February 17, 2023, there were 784,066,289 shares of the registrant’s common stock outstanding.</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DOCUMENTS INCORPORATED BY REFERENCE</w:t>
      </w:r>
    </w:p>
    <w:p>
      <w:pPr>
        <w:spacing w:after="0" w:line="171" w:lineRule="exact"/>
        <w:rPr>
          <w:sz w:val="20"/>
          <w:szCs w:val="20"/>
          <w:color w:val="auto"/>
        </w:rPr>
      </w:pPr>
    </w:p>
    <w:p>
      <w:pPr>
        <w:ind w:right="300" w:firstLine="283"/>
        <w:spacing w:after="0" w:line="263" w:lineRule="auto"/>
        <w:rPr>
          <w:sz w:val="20"/>
          <w:szCs w:val="20"/>
          <w:color w:val="auto"/>
        </w:rPr>
      </w:pPr>
      <w:r>
        <w:rPr>
          <w:rFonts w:ascii="Arial" w:cs="Arial" w:eastAsia="Arial" w:hAnsi="Arial"/>
          <w:sz w:val="18"/>
          <w:szCs w:val="18"/>
          <w:color w:val="auto"/>
        </w:rPr>
        <w:t>Portions of the registrant’s definitive Proxy Statement relating to its 2023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rPr>
              <w:t>FORTINET, INC.</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9"/>
          </w:tcPr>
          <w:p>
            <w:pPr>
              <w:jc w:val="center"/>
              <w:ind w:right="3380"/>
              <w:spacing w:after="0"/>
              <w:rPr>
                <w:sz w:val="20"/>
                <w:szCs w:val="20"/>
                <w:color w:val="auto"/>
              </w:rPr>
            </w:pPr>
            <w:r>
              <w:rPr>
                <w:rFonts w:ascii="Arial" w:cs="Arial" w:eastAsia="Arial" w:hAnsi="Arial"/>
                <w:sz w:val="18"/>
                <w:szCs w:val="18"/>
                <w:b w:val="1"/>
                <w:bCs w:val="1"/>
                <w:color w:val="auto"/>
                <w:w w:val="99"/>
              </w:rPr>
              <w:t>ANNUAL REPORT ON FORM 10-K</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w w:val="90"/>
              </w:rPr>
              <w:t>For the Year Ended December 31, 2022</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3"/>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gridSpan w:val="6"/>
          </w:tcPr>
          <w:p>
            <w:pPr>
              <w:ind w:left="160"/>
              <w:spacing w:after="0"/>
              <w:rPr>
                <w:sz w:val="20"/>
                <w:szCs w:val="20"/>
                <w:color w:val="auto"/>
              </w:rPr>
            </w:pPr>
            <w:r>
              <w:rPr>
                <w:rFonts w:ascii="Arial" w:cs="Arial" w:eastAsia="Arial" w:hAnsi="Arial"/>
                <w:sz w:val="16"/>
                <w:szCs w:val="16"/>
                <w:b w:val="1"/>
                <w:bCs w:val="1"/>
                <w:color w:val="auto"/>
              </w:rPr>
              <w:t>Page</w:t>
            </w:r>
          </w:p>
        </w:tc>
      </w:tr>
      <w:tr>
        <w:trPr>
          <w:trHeight w:val="442"/>
        </w:trPr>
        <w:tc>
          <w:tcPr>
            <w:tcW w:w="940" w:type="dxa"/>
            <w:vAlign w:val="bottom"/>
          </w:tcPr>
          <w:p>
            <w:pPr>
              <w:spacing w:after="0"/>
              <w:rPr>
                <w:sz w:val="24"/>
                <w:szCs w:val="24"/>
                <w:color w:val="auto"/>
              </w:rPr>
            </w:pPr>
          </w:p>
        </w:tc>
        <w:tc>
          <w:tcPr>
            <w:tcW w:w="9620" w:type="dxa"/>
            <w:vAlign w:val="bottom"/>
            <w:gridSpan w:val="22"/>
          </w:tcPr>
          <w:p>
            <w:pPr>
              <w:spacing w:after="0"/>
              <w:rPr>
                <w:sz w:val="20"/>
                <w:szCs w:val="20"/>
                <w:color w:val="auto"/>
              </w:rPr>
            </w:pPr>
            <w:r>
              <w:rPr>
                <w:rFonts w:ascii="Arial" w:cs="Arial" w:eastAsia="Arial" w:hAnsi="Arial"/>
                <w:sz w:val="18"/>
                <w:szCs w:val="18"/>
                <w:color w:val="0000FF"/>
              </w:rPr>
              <w:t>Risk Factor Summary</w:t>
            </w:r>
          </w:p>
        </w:tc>
        <w:tc>
          <w:tcPr>
            <w:tcW w:w="66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8980" w:type="dxa"/>
            <w:vAlign w:val="bottom"/>
            <w:gridSpan w:val="21"/>
          </w:tcPr>
          <w:p>
            <w:pPr>
              <w:spacing w:after="0"/>
              <w:rPr>
                <w:sz w:val="24"/>
                <w:szCs w:val="24"/>
                <w:color w:val="auto"/>
              </w:rPr>
            </w:pPr>
          </w:p>
        </w:tc>
        <w:tc>
          <w:tcPr>
            <w:tcW w:w="54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8720" w:type="dxa"/>
            <w:vAlign w:val="bottom"/>
            <w:gridSpan w:val="18"/>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1B.</w:t>
            </w:r>
          </w:p>
        </w:tc>
        <w:tc>
          <w:tcPr>
            <w:tcW w:w="2040" w:type="dxa"/>
            <w:vAlign w:val="bottom"/>
            <w:gridSpan w:val="11"/>
          </w:tcPr>
          <w:p>
            <w:pPr>
              <w:spacing w:after="0"/>
              <w:rPr>
                <w:sz w:val="20"/>
                <w:szCs w:val="20"/>
                <w:color w:val="auto"/>
              </w:rPr>
            </w:pPr>
            <w:r>
              <w:rPr>
                <w:rFonts w:ascii="Arial" w:cs="Arial" w:eastAsia="Arial" w:hAnsi="Arial"/>
                <w:sz w:val="18"/>
                <w:szCs w:val="18"/>
                <w:color w:val="0000FF"/>
                <w:w w:val="89"/>
              </w:rPr>
              <w:t>Unresolved Staff Comments</w:t>
            </w:r>
          </w:p>
        </w:tc>
        <w:tc>
          <w:tcPr>
            <w:tcW w:w="7580" w:type="dxa"/>
            <w:vAlign w:val="bottom"/>
            <w:gridSpan w:val="11"/>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sz w:val="20"/>
                <w:szCs w:val="20"/>
                <w:color w:val="auto"/>
              </w:rPr>
            </w:pPr>
            <w:r>
              <w:rPr>
                <w:rFonts w:ascii="Arial" w:cs="Arial" w:eastAsia="Arial" w:hAnsi="Arial"/>
                <w:sz w:val="18"/>
                <w:szCs w:val="18"/>
                <w:color w:val="0000FF"/>
                <w:w w:val="85"/>
              </w:rPr>
              <w:t>Properties</w:t>
            </w:r>
          </w:p>
        </w:tc>
        <w:tc>
          <w:tcPr>
            <w:tcW w:w="1320" w:type="dxa"/>
            <w:vAlign w:val="bottom"/>
            <w:gridSpan w:val="9"/>
          </w:tcPr>
          <w:p>
            <w:pPr>
              <w:spacing w:after="0"/>
              <w:rPr>
                <w:sz w:val="18"/>
                <w:szCs w:val="18"/>
                <w:color w:val="auto"/>
              </w:rPr>
            </w:pPr>
          </w:p>
        </w:tc>
        <w:tc>
          <w:tcPr>
            <w:tcW w:w="7580" w:type="dxa"/>
            <w:vAlign w:val="bottom"/>
            <w:gridSpan w:val="11"/>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5.</w:t>
            </w:r>
          </w:p>
        </w:tc>
        <w:tc>
          <w:tcPr>
            <w:tcW w:w="9620" w:type="dxa"/>
            <w:vAlign w:val="bottom"/>
            <w:gridSpan w:val="22"/>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gridSpan w:val="3"/>
          </w:tcPr>
          <w:p>
            <w:pPr>
              <w:spacing w:after="0"/>
              <w:rPr>
                <w:sz w:val="20"/>
                <w:szCs w:val="20"/>
                <w:color w:val="auto"/>
              </w:rPr>
            </w:pPr>
            <w:r>
              <w:rPr>
                <w:rFonts w:ascii="Arial" w:cs="Arial" w:eastAsia="Arial" w:hAnsi="Arial"/>
                <w:sz w:val="18"/>
                <w:szCs w:val="18"/>
                <w:color w:val="0000FF"/>
                <w:w w:val="84"/>
              </w:rPr>
              <w:t>[Reserved]</w:t>
            </w:r>
          </w:p>
        </w:tc>
        <w:tc>
          <w:tcPr>
            <w:tcW w:w="7280" w:type="dxa"/>
            <w:vAlign w:val="bottom"/>
            <w:gridSpan w:val="18"/>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7.</w:t>
            </w:r>
          </w:p>
        </w:tc>
        <w:tc>
          <w:tcPr>
            <w:tcW w:w="962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7A.</w:t>
            </w:r>
          </w:p>
        </w:tc>
        <w:tc>
          <w:tcPr>
            <w:tcW w:w="4300" w:type="dxa"/>
            <w:vAlign w:val="bottom"/>
            <w:gridSpan w:val="16"/>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gridSpan w:val="3"/>
          </w:tcPr>
          <w:p>
            <w:pPr>
              <w:spacing w:after="0"/>
              <w:rPr>
                <w:sz w:val="18"/>
                <w:szCs w:val="18"/>
                <w:color w:val="auto"/>
              </w:rPr>
            </w:pPr>
          </w:p>
        </w:tc>
        <w:tc>
          <w:tcPr>
            <w:tcW w:w="3180" w:type="dxa"/>
            <w:vAlign w:val="bottom"/>
            <w:gridSpan w:val="3"/>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8.</w:t>
            </w:r>
          </w:p>
        </w:tc>
        <w:tc>
          <w:tcPr>
            <w:tcW w:w="3320" w:type="dxa"/>
            <w:vAlign w:val="bottom"/>
            <w:gridSpan w:val="14"/>
          </w:tcPr>
          <w:p>
            <w:pPr>
              <w:spacing w:after="0"/>
              <w:rPr>
                <w:sz w:val="20"/>
                <w:szCs w:val="20"/>
                <w:color w:val="auto"/>
              </w:rPr>
            </w:pPr>
            <w:r>
              <w:rPr>
                <w:rFonts w:ascii="Arial" w:cs="Arial" w:eastAsia="Arial" w:hAnsi="Arial"/>
                <w:sz w:val="18"/>
                <w:szCs w:val="18"/>
                <w:color w:val="0000FF"/>
                <w:w w:val="88"/>
              </w:rPr>
              <w:t>Financial Statements and Supplementary Data</w:t>
            </w:r>
          </w:p>
        </w:tc>
        <w:tc>
          <w:tcPr>
            <w:tcW w:w="980" w:type="dxa"/>
            <w:vAlign w:val="bottom"/>
            <w:gridSpan w:val="2"/>
          </w:tcPr>
          <w:p>
            <w:pPr>
              <w:spacing w:after="0"/>
              <w:rPr>
                <w:sz w:val="18"/>
                <w:szCs w:val="18"/>
                <w:color w:val="auto"/>
              </w:rPr>
            </w:pPr>
          </w:p>
        </w:tc>
        <w:tc>
          <w:tcPr>
            <w:tcW w:w="5320" w:type="dxa"/>
            <w:vAlign w:val="bottom"/>
            <w:gridSpan w:val="6"/>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9.</w:t>
            </w:r>
          </w:p>
        </w:tc>
        <w:tc>
          <w:tcPr>
            <w:tcW w:w="962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112</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9A.</w:t>
            </w:r>
          </w:p>
        </w:tc>
        <w:tc>
          <w:tcPr>
            <w:tcW w:w="1760" w:type="dxa"/>
            <w:vAlign w:val="bottom"/>
            <w:gridSpan w:val="9"/>
          </w:tcPr>
          <w:p>
            <w:pPr>
              <w:spacing w:after="0"/>
              <w:rPr>
                <w:sz w:val="20"/>
                <w:szCs w:val="20"/>
                <w:color w:val="auto"/>
              </w:rPr>
            </w:pPr>
            <w:r>
              <w:rPr>
                <w:rFonts w:ascii="Arial" w:cs="Arial" w:eastAsia="Arial" w:hAnsi="Arial"/>
                <w:sz w:val="18"/>
                <w:szCs w:val="18"/>
                <w:color w:val="0000FF"/>
                <w:w w:val="87"/>
              </w:rPr>
              <w:t>Controls and Procedures</w:t>
            </w:r>
          </w:p>
        </w:tc>
        <w:tc>
          <w:tcPr>
            <w:tcW w:w="4680" w:type="dxa"/>
            <w:vAlign w:val="bottom"/>
            <w:gridSpan w:val="10"/>
          </w:tcPr>
          <w:p>
            <w:pPr>
              <w:spacing w:after="0"/>
              <w:rPr>
                <w:sz w:val="18"/>
                <w:szCs w:val="18"/>
                <w:color w:val="auto"/>
              </w:rPr>
            </w:pPr>
          </w:p>
        </w:tc>
        <w:tc>
          <w:tcPr>
            <w:tcW w:w="3180" w:type="dxa"/>
            <w:vAlign w:val="bottom"/>
            <w:gridSpan w:val="3"/>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112</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9B.</w:t>
            </w:r>
          </w:p>
        </w:tc>
        <w:tc>
          <w:tcPr>
            <w:tcW w:w="176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7860" w:type="dxa"/>
            <w:vAlign w:val="bottom"/>
            <w:gridSpan w:val="13"/>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9C.</w:t>
            </w:r>
          </w:p>
        </w:tc>
        <w:tc>
          <w:tcPr>
            <w:tcW w:w="4960" w:type="dxa"/>
            <w:vAlign w:val="bottom"/>
            <w:gridSpan w:val="17"/>
          </w:tcPr>
          <w:p>
            <w:pPr>
              <w:spacing w:after="0"/>
              <w:rPr>
                <w:sz w:val="20"/>
                <w:szCs w:val="20"/>
                <w:color w:val="auto"/>
              </w:rPr>
            </w:pPr>
            <w:r>
              <w:rPr>
                <w:rFonts w:ascii="Arial" w:cs="Arial" w:eastAsia="Arial" w:hAnsi="Arial"/>
                <w:sz w:val="18"/>
                <w:szCs w:val="18"/>
                <w:color w:val="0000FF"/>
                <w:w w:val="89"/>
              </w:rPr>
              <w:t>Disclosure Regarding Foreign Jurisdictions that Prevents Inspections</w:t>
            </w:r>
          </w:p>
        </w:tc>
        <w:tc>
          <w:tcPr>
            <w:tcW w:w="4660" w:type="dxa"/>
            <w:vAlign w:val="bottom"/>
            <w:gridSpan w:val="5"/>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10.</w:t>
            </w:r>
          </w:p>
        </w:tc>
        <w:tc>
          <w:tcPr>
            <w:tcW w:w="9620" w:type="dxa"/>
            <w:vAlign w:val="bottom"/>
            <w:gridSpan w:val="22"/>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11.</w:t>
            </w:r>
          </w:p>
        </w:tc>
        <w:tc>
          <w:tcPr>
            <w:tcW w:w="1800" w:type="dxa"/>
            <w:vAlign w:val="bottom"/>
            <w:gridSpan w:val="10"/>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gridSpan w:val="5"/>
          </w:tcPr>
          <w:p>
            <w:pPr>
              <w:spacing w:after="0"/>
              <w:rPr>
                <w:sz w:val="18"/>
                <w:szCs w:val="18"/>
                <w:color w:val="auto"/>
              </w:rPr>
            </w:pPr>
          </w:p>
        </w:tc>
        <w:tc>
          <w:tcPr>
            <w:tcW w:w="5540" w:type="dxa"/>
            <w:vAlign w:val="bottom"/>
            <w:gridSpan w:val="7"/>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12.</w:t>
            </w:r>
          </w:p>
        </w:tc>
        <w:tc>
          <w:tcPr>
            <w:tcW w:w="962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13.</w:t>
            </w:r>
          </w:p>
        </w:tc>
        <w:tc>
          <w:tcPr>
            <w:tcW w:w="728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340" w:type="dxa"/>
            <w:vAlign w:val="bottom"/>
            <w:gridSpan w:val="2"/>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14.</w:t>
            </w:r>
          </w:p>
        </w:tc>
        <w:tc>
          <w:tcPr>
            <w:tcW w:w="5440" w:type="dxa"/>
            <w:vAlign w:val="bottom"/>
            <w:gridSpan w:val="18"/>
          </w:tcPr>
          <w:p>
            <w:pPr>
              <w:spacing w:after="0"/>
              <w:rPr>
                <w:sz w:val="20"/>
                <w:szCs w:val="20"/>
                <w:color w:val="auto"/>
              </w:rPr>
            </w:pPr>
            <w:r>
              <w:rPr>
                <w:rFonts w:ascii="Arial" w:cs="Arial" w:eastAsia="Arial" w:hAnsi="Arial"/>
                <w:sz w:val="18"/>
                <w:szCs w:val="18"/>
                <w:color w:val="0000FF"/>
              </w:rPr>
              <w:t>Principal Accounting Fees and Services</w:t>
            </w:r>
          </w:p>
        </w:tc>
        <w:tc>
          <w:tcPr>
            <w:tcW w:w="4180" w:type="dxa"/>
            <w:vAlign w:val="bottom"/>
            <w:gridSpan w:val="4"/>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114</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15.</w:t>
            </w:r>
          </w:p>
        </w:tc>
        <w:tc>
          <w:tcPr>
            <w:tcW w:w="9620" w:type="dxa"/>
            <w:vAlign w:val="bottom"/>
            <w:gridSpan w:val="22"/>
          </w:tcPr>
          <w:p>
            <w:pPr>
              <w:spacing w:after="0"/>
              <w:rPr>
                <w:sz w:val="20"/>
                <w:szCs w:val="20"/>
                <w:color w:val="auto"/>
              </w:rPr>
            </w:pPr>
            <w:r>
              <w:rPr>
                <w:rFonts w:ascii="Arial" w:cs="Arial" w:eastAsia="Arial" w:hAnsi="Arial"/>
                <w:sz w:val="18"/>
                <w:szCs w:val="18"/>
                <w:color w:val="0000FF"/>
              </w:rPr>
              <w:t>Exhibits and Financial Statement Schedules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115</w:t>
            </w: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0000FF"/>
                <w:w w:val="93"/>
              </w:rPr>
              <w:t>Exhibit Index</w:t>
            </w:r>
          </w:p>
        </w:tc>
        <w:tc>
          <w:tcPr>
            <w:tcW w:w="2160" w:type="dxa"/>
            <w:vAlign w:val="bottom"/>
            <w:gridSpan w:val="8"/>
          </w:tcPr>
          <w:p>
            <w:pPr>
              <w:spacing w:after="0"/>
              <w:rPr>
                <w:sz w:val="18"/>
                <w:szCs w:val="18"/>
                <w:color w:val="auto"/>
              </w:rPr>
            </w:pPr>
          </w:p>
        </w:tc>
        <w:tc>
          <w:tcPr>
            <w:tcW w:w="6480" w:type="dxa"/>
            <w:vAlign w:val="bottom"/>
            <w:gridSpan w:val="9"/>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116</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16.</w:t>
            </w:r>
          </w:p>
        </w:tc>
        <w:tc>
          <w:tcPr>
            <w:tcW w:w="1540" w:type="dxa"/>
            <w:vAlign w:val="bottom"/>
            <w:gridSpan w:val="7"/>
          </w:tcPr>
          <w:p>
            <w:pPr>
              <w:spacing w:after="0"/>
              <w:rPr>
                <w:sz w:val="20"/>
                <w:szCs w:val="20"/>
                <w:color w:val="auto"/>
              </w:rPr>
            </w:pPr>
            <w:r>
              <w:rPr>
                <w:rFonts w:ascii="Arial" w:cs="Arial" w:eastAsia="Arial" w:hAnsi="Arial"/>
                <w:sz w:val="18"/>
                <w:szCs w:val="18"/>
                <w:color w:val="0000FF"/>
                <w:w w:val="90"/>
              </w:rPr>
              <w:t>Form 10-K Summary</w:t>
            </w:r>
          </w:p>
        </w:tc>
        <w:tc>
          <w:tcPr>
            <w:tcW w:w="8080" w:type="dxa"/>
            <w:vAlign w:val="bottom"/>
            <w:gridSpan w:val="15"/>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118</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1540" w:type="dxa"/>
            <w:vAlign w:val="bottom"/>
            <w:gridSpan w:val="7"/>
          </w:tcPr>
          <w:p>
            <w:pPr>
              <w:spacing w:after="0"/>
              <w:rPr>
                <w:sz w:val="20"/>
                <w:szCs w:val="20"/>
                <w:color w:val="auto"/>
              </w:rPr>
            </w:pPr>
            <w:r>
              <w:rPr>
                <w:rFonts w:ascii="Arial" w:cs="Arial" w:eastAsia="Arial" w:hAnsi="Arial"/>
                <w:sz w:val="18"/>
                <w:szCs w:val="18"/>
                <w:color w:val="0000FF"/>
              </w:rPr>
              <w:t>Signatures</w:t>
            </w:r>
          </w:p>
        </w:tc>
        <w:tc>
          <w:tcPr>
            <w:tcW w:w="8080" w:type="dxa"/>
            <w:vAlign w:val="bottom"/>
            <w:gridSpan w:val="15"/>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119</w:t>
            </w:r>
          </w:p>
        </w:tc>
        <w:tc>
          <w:tcPr>
            <w:tcW w:w="20" w:type="dxa"/>
            <w:vAlign w:val="bottom"/>
          </w:tcPr>
          <w:p>
            <w:pPr>
              <w:spacing w:after="0"/>
              <w:rPr>
                <w:sz w:val="18"/>
                <w:szCs w:val="18"/>
                <w:color w:val="auto"/>
              </w:rPr>
            </w:pPr>
          </w:p>
        </w:tc>
      </w:tr>
      <w:tr>
        <w:trPr>
          <w:trHeight w:val="1243"/>
        </w:trPr>
        <w:tc>
          <w:tcPr>
            <w:tcW w:w="9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on Form 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K. You should carefully consider these risks and uncertainties when investing in our common stock. Some of the principal risks and uncertainties include:</w:t>
      </w:r>
    </w:p>
    <w:p>
      <w:pPr>
        <w:spacing w:after="0" w:line="24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252"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economic conditions, such as a possible economic downturn or recession, and possible impacts of inflation or stagflation, rising interest rates or reduced information technology spending may adversely impact our business.</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susceptible to supply chain constraints, supply shortages and disruptions, long lead times for components and finished goods and supply changes because some of the key components in our products come from limited sources of supply.</w:t>
      </w:r>
    </w:p>
    <w:p>
      <w:pPr>
        <w:spacing w:after="0" w:line="183"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the COVID-19 pandemic, including its ongoing variants, will likely continue to adversely affect our business, for example, through product and component shortages, longer product lead times, changes in customer buying-behavior, including delays in service contract registrations, accelerating or delaying purchases, changes in the mix of backlog and the related margins.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billings, revenue, and free cash flow growth may slow or may not continue, and our operating margins may decline.</w:t>
      </w:r>
    </w:p>
    <w:p>
      <w:pPr>
        <w:spacing w:after="0" w:line="238"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18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on third-party channel partners for substantially all of our revenue and a small number of distributors represents a large percentage of our revenue and accounts receivable.</w:t>
      </w:r>
    </w:p>
    <w:p>
      <w:pPr>
        <w:spacing w:after="0" w:line="21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a concentration of shipments at the end of the quarter could cause our billings and revenue to fall below expected levels or delay collections and the related addition to free cash flow.</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183"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indebtedness and may incur other debt in the future, which may adversely affect our financial condition and future financial results.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generate a majority of revenue and cash flow from sales outside of the United States.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8" w:lineRule="exact"/>
        <w:rPr>
          <w:rFonts w:ascii="Arial" w:cs="Arial" w:eastAsia="Arial" w:hAnsi="Arial"/>
          <w:sz w:val="18"/>
          <w:szCs w:val="18"/>
          <w:color w:val="auto"/>
        </w:rPr>
      </w:pPr>
    </w:p>
    <w:p>
      <w:pPr>
        <w:ind w:left="660" w:right="8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organizations and customers, which are subject to a number of regulatory requirements, challenges and risks.</w:t>
      </w:r>
    </w:p>
    <w:p>
      <w:pPr>
        <w:spacing w:after="0" w:line="18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war in Ukraine, its related macroeconomic effects and our decision to reduce operations in Russia have affected and may continue to affect our business.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intense competition in our market and we may not maintain or improve our competitive position.</w:t>
      </w:r>
    </w:p>
    <w:p>
      <w:pPr>
        <w:spacing w:after="0" w:line="238" w:lineRule="exact"/>
        <w:rPr>
          <w:rFonts w:ascii="Arial" w:cs="Arial" w:eastAsia="Arial" w:hAnsi="Arial"/>
          <w:sz w:val="18"/>
          <w:szCs w:val="18"/>
          <w:color w:val="auto"/>
        </w:rPr>
      </w:pPr>
    </w:p>
    <w:p>
      <w:pPr>
        <w:ind w:left="660" w:right="320" w:hanging="328"/>
        <w:spacing w:after="0" w:line="290"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Insufficient inventory or components, including finished goods, chips and other components, and including component or inventory shortages related to the COVID-19 pandemic, manufacturer’s capacity, shipping challenges, delays in timing of receipts of inventory, or other factors affecting the global supply chain, may result in lost sales opportunities or delayed billings and revenue and increased costs, and may harm our gross margins and our product price increases designed to help mitigate lower gross margins may not be acceptable to customers.</w:t>
      </w:r>
    </w:p>
    <w:p>
      <w:pPr>
        <w:spacing w:after="0" w:line="163" w:lineRule="exact"/>
        <w:rPr>
          <w:rFonts w:ascii="Arial" w:cs="Arial" w:eastAsia="Arial" w:hAnsi="Arial"/>
          <w:sz w:val="16"/>
          <w:szCs w:val="16"/>
          <w:color w:val="auto"/>
        </w:rPr>
      </w:pPr>
    </w:p>
    <w:p>
      <w:pPr>
        <w:ind w:left="660" w:right="9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third-party manufacturers to provide various components for our products and build our products and are susceptible to manufacturing delays, capacity constraints and cost increases.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left="660" w:hanging="328"/>
        <w:spacing w:after="0" w:line="24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breach could harm our operational results and reputation more significantly as compared to certain other companies given we are a security company.</w:t>
      </w:r>
    </w:p>
    <w:p>
      <w:pPr>
        <w:spacing w:after="0" w:line="214" w:lineRule="exact"/>
        <w:rPr>
          <w:rFonts w:ascii="Arial" w:cs="Arial" w:eastAsia="Arial" w:hAnsi="Arial"/>
          <w:sz w:val="18"/>
          <w:szCs w:val="18"/>
          <w:color w:val="auto"/>
        </w:rPr>
      </w:pPr>
    </w:p>
    <w:p>
      <w:pPr>
        <w:ind w:left="660" w:right="200" w:hanging="328"/>
        <w:spacing w:after="0" w:line="23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potential future impairment of the value of our investment in Linksys Holdings, Inc. (“Linksys”) could negatively affect our financial condition and results of operations.</w:t>
      </w:r>
    </w:p>
    <w:p>
      <w:pPr>
        <w:spacing w:after="0" w:line="218"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Investors’ and regulators’ expectations of our performance relating to environmental, social and governance factors may impose additional costs and expose us to new risks.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exposed to fluctuations in currency exchange rates, which could negatively affect our financial condition and results of operations.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0"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which volatility may be exacerbated by share repurchases under our Share Repurchase Program (the “Repurchase Program”).</w:t>
      </w:r>
    </w:p>
    <w:p>
      <w:pPr>
        <w:spacing w:after="0" w:line="18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211" w:lineRule="exact"/>
        <w:rPr>
          <w:rFonts w:ascii="Arial" w:cs="Arial" w:eastAsia="Arial" w:hAnsi="Arial"/>
          <w:sz w:val="18"/>
          <w:szCs w:val="18"/>
          <w:color w:val="auto"/>
        </w:rPr>
      </w:pPr>
    </w:p>
    <w:p>
      <w:pPr>
        <w:jc w:val="both"/>
        <w:ind w:left="660" w:right="420" w:hanging="328"/>
        <w:spacing w:after="0" w:line="32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Global economic uncertainty and weakening product demand caused by political instability, changes in trade agreements, wars and foreign conflicts, such as the war in Ukraine or tensions between China and Taiwan, could adversely affect our business and financial performance.</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9"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Fortinet is a global leader in cybersecurity and networking solutions for organizations, including enterprises, communication service providers, security service providers, government organizations and small businesses.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39" w:lineRule="exact"/>
        <w:rPr>
          <w:sz w:val="20"/>
          <w:szCs w:val="20"/>
          <w:color w:val="auto"/>
        </w:rPr>
      </w:pPr>
    </w:p>
    <w:p>
      <w:pPr>
        <w:ind w:left="660" w:hanging="328"/>
        <w:spacing w:after="0" w:line="267"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Secure Networking</w:t>
      </w:r>
      <w:r>
        <w:rPr>
          <w:rFonts w:ascii="Arial" w:cs="Arial" w:eastAsia="Arial" w:hAnsi="Arial"/>
          <w:sz w:val="16"/>
          <w:szCs w:val="16"/>
          <w:color w:val="auto"/>
        </w:rPr>
        <w:t>—Our Secure Networking solutions enable the convergence of networking and security across all edges to provide next-generation firewall (“NGFW”), software-defined wide area network (“SD-WAN”), LAN Edge (Wi-Fi and switch) and secure access service edge (“SASE”). Traditional networking lacks awareness of content, applications, users, devices, location and more. A secure networking approach converges networking and security into a single, accelerated solution. A specially designed operating system and security processors work in concert to improve network performance and security posture while decreasing footprint and power consumption. We derive a majority of product sales from our Core Platform (previously referred to as FortiGate) network security appliances. Core Platform network security appliances include a broad set of built-in security and networking features and functionalities, including firewall, next-generation firewall, secure web gateway, secure sockets layer (“SSL”) inspection, SD-WAN, intrusion prevention system (“IPS”), sandboxing, data leak prevention, virtual private network (“VPN”), switch and wireless controller and wide area network (“WAN”) edge. Our network security appliances are managed by our FortiOS network operating system, which provides the foundation for Core Platform security functions. We enhance the performance of our network security appliances from branch to data center by designing and implementing Application-Specific Integrated Circuits (“ASIC”) technology within our appliances, enabling us to add security and network functionality with minimal impact to network throughput performance. Along with our secure Wi-Fi access points and switches, Fortinet helps organizations secure their networks across campuses, branches and work from anywhere (“WFA”) deployments. For the Japanese market, we also offer high performance network switches marketed under Alaxala Networks Corporation for data center switching.</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FortiOS supports many more secure networking markets and applications than just firewall. These include:</w:t>
      </w:r>
    </w:p>
    <w:p>
      <w:pPr>
        <w:spacing w:after="0" w:line="256"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22"/>
          <w:szCs w:val="22"/>
          <w:color w:val="auto"/>
        </w:rPr>
      </w:pPr>
      <w:r>
        <w:rPr>
          <w:rFonts w:ascii="Arial" w:cs="Arial" w:eastAsia="Arial" w:hAnsi="Arial"/>
          <w:sz w:val="18"/>
          <w:szCs w:val="18"/>
          <w:color w:val="auto"/>
        </w:rPr>
        <w:t>Network Firewall (“NFW”)</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1"/>
          <w:numId w:val="4"/>
        </w:numPr>
        <w:rPr>
          <w:rFonts w:ascii="Arial" w:cs="Arial" w:eastAsia="Arial" w:hAnsi="Arial"/>
          <w:sz w:val="22"/>
          <w:szCs w:val="22"/>
          <w:color w:val="auto"/>
        </w:rPr>
      </w:pPr>
      <w:r>
        <w:rPr>
          <w:rFonts w:ascii="Arial" w:cs="Arial" w:eastAsia="Arial" w:hAnsi="Arial"/>
          <w:sz w:val="18"/>
          <w:szCs w:val="18"/>
          <w:color w:val="auto"/>
        </w:rPr>
        <w:t>Software-Defined Wide Area Network (“SD-WAN”)</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18"/>
          <w:szCs w:val="18"/>
          <w:color w:val="auto"/>
        </w:rPr>
        <w:t>Secure LAN/WLAN (Wi-Fi and Switch) (SD-Branch/Campus)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18"/>
          <w:szCs w:val="18"/>
          <w:color w:val="auto"/>
        </w:rPr>
        <w:t>Secure Access Service Edge (“SASE”)</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18"/>
          <w:szCs w:val="18"/>
          <w:color w:val="auto"/>
        </w:rPr>
        <w:t>Universal Zero Trust Network Access (“ZTNA”)</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18"/>
          <w:szCs w:val="18"/>
          <w:color w:val="auto"/>
        </w:rPr>
        <w:t>Encryption Applications (SSL Inspection, Virtual Private Network (“VPN”), and IPsec Connectivity)</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each security application has number of customer use cases. For example, Network Firewall has the following use cases:</w:t>
      </w:r>
    </w:p>
    <w:p>
      <w:pPr>
        <w:spacing w:after="0" w:line="270"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Data Center Perimeter NGFW</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North–South Internal Segmentation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Distributed Network Edge Firewall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East–West Micro Segmentation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Virtual Firewall (“VM”)</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Cloud Native Firewall (“CNF”)</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Firewall as a Service (“FWaaS”)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Containerized Firewall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Endpoint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SMB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Home Firewall</w:t>
      </w:r>
    </w:p>
    <w:p>
      <w:pPr>
        <w:spacing w:after="0" w:line="229" w:lineRule="exact"/>
        <w:rPr>
          <w:rFonts w:ascii="Arial" w:cs="Arial" w:eastAsia="Arial" w:hAnsi="Arial"/>
          <w:sz w:val="22"/>
          <w:szCs w:val="22"/>
          <w:color w:val="auto"/>
        </w:rPr>
      </w:pPr>
    </w:p>
    <w:p>
      <w:pPr>
        <w:ind w:left="660" w:right="4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Zero Trust Access</w:t>
      </w:r>
      <w:r>
        <w:rPr>
          <w:rFonts w:ascii="Arial" w:cs="Arial" w:eastAsia="Arial" w:hAnsi="Arial"/>
          <w:sz w:val="18"/>
          <w:szCs w:val="18"/>
          <w:color w:val="auto"/>
        </w:rPr>
        <w:t>—Our Zero Trust Access solutions enable customers to know and control who and what is on their network, in addition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security for WFA. Zero Trust Access solutions include FortiNAC,</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FortiAuthenticator, FortiClient/EDR and FortiToken. Our network access control solutions provide visibility, control and automated event responses in order to secure internet of things (“IoT”) and OT devices.</w:t>
      </w:r>
    </w:p>
    <w:p>
      <w:pPr>
        <w:spacing w:after="0" w:line="184" w:lineRule="exact"/>
        <w:rPr>
          <w:sz w:val="20"/>
          <w:szCs w:val="20"/>
          <w:color w:val="auto"/>
        </w:rPr>
      </w:pPr>
    </w:p>
    <w:p>
      <w:pPr>
        <w:ind w:left="660" w:right="60" w:hanging="328"/>
        <w:spacing w:after="0" w:line="25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individual, hybrid-cloud, multi-cloud and virtualized data center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environments by offering security through our virtual firewall and other software products and through integrated capabilities with major cloud platforms. Our public and private cloud security solutions, including virtual appliances and hosted solutions, extend the core capabilities of Fortinet’s cybersecurity mesh architecture (“Fortinet Security Fabric”) in and across cloud environments, delivering security that follows their applications and data. Our solutions include network security, web application firewall and application programming interface (“API”) protection, cloud-native security and workload protection.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 all environments in which they can be deployed, including physical and virtual data centers, cloud and edge compute instances. Fortinet cloud security offerings are available for deployment in major public and private cloud environments, including Amazon Web Services, Google Cloud, IBM Cloud, Microsoft Azure, Oracle Cloud and VMWare Cloud. We also offer managed web application firewall (“WAF”) rules delivered by FortiGuard Labs as an overlay service to native security offerings offered by Amazon Web Services.</w:t>
      </w:r>
    </w:p>
    <w:p>
      <w:pPr>
        <w:spacing w:after="0" w:line="206" w:lineRule="exact"/>
        <w:rPr>
          <w:rFonts w:ascii="Arial" w:cs="Arial" w:eastAsia="Arial" w:hAnsi="Arial"/>
          <w:sz w:val="17"/>
          <w:szCs w:val="17"/>
          <w:color w:val="auto"/>
        </w:rPr>
      </w:pPr>
    </w:p>
    <w:p>
      <w:pPr>
        <w:ind w:left="660" w:hanging="328"/>
        <w:spacing w:after="0" w:line="274"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AI-Driven Security Operations</w:t>
      </w:r>
      <w:r>
        <w:rPr>
          <w:rFonts w:ascii="Arial" w:cs="Arial" w:eastAsia="Arial" w:hAnsi="Arial"/>
          <w:sz w:val="16"/>
          <w:szCs w:val="16"/>
          <w:color w:val="auto"/>
        </w:rPr>
        <w:t>—We develop and provide a range of products and services that enable the security operations center (“SOC”)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teams to identify, investigate and remediate potential incidents in which cybercriminals bypass prevention-oriented controls. Given the breadth of the attack surface to monitor, as well as the volume and sophistication of cyber threats, artificial intelligence (“AI”) is a key part of these offerings, which include: FortiGuard and other security subscription services, endpoint security with endpoint detection and response (“EDR”), a range of breach-protection technologies plus our security information and event management (“SIEM”) and security orchestration, automation and response (“SOAR”), all of which can be applied across the Fortinet Security Fabric. These solutions automatically deliver security intelligence and insights that help organizations to protect against and respond to threats through integration with Fortinet and third-party solutions.</w:t>
      </w:r>
    </w:p>
    <w:p>
      <w:pPr>
        <w:spacing w:after="0" w:line="190" w:lineRule="exact"/>
        <w:rPr>
          <w:rFonts w:ascii="Arial" w:cs="Arial" w:eastAsia="Arial" w:hAnsi="Arial"/>
          <w:sz w:val="16"/>
          <w:szCs w:val="16"/>
          <w:color w:val="auto"/>
        </w:rPr>
      </w:pPr>
    </w:p>
    <w:p>
      <w:pPr>
        <w:ind w:left="660" w:right="80" w:hanging="328"/>
        <w:spacing w:after="0" w:line="23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FortiGuard Security Services</w:t>
      </w:r>
      <w:r>
        <w:rPr>
          <w:rFonts w:ascii="Arial" w:cs="Arial" w:eastAsia="Arial" w:hAnsi="Arial"/>
          <w:sz w:val="18"/>
          <w:szCs w:val="18"/>
          <w:color w:val="auto"/>
        </w:rPr>
        <w:t>—FortiGuard security services counter threats in real time with AI-powered, coordinated protection. All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services are natively integrated into the Fortinet Security Fabric. This enables fast detection and enforcement across the entire attack surface. Risk is continually assessed and the Security Fabric automatically adjusts to counter the latest known and unknown threats in real time. It is able to close security gaps with context-aware, consistent security policies for users and applications in hybrid deployments across the network, endpoints and clouds.</w:t>
      </w:r>
    </w:p>
    <w:p>
      <w:pPr>
        <w:spacing w:after="0" w:line="215" w:lineRule="exact"/>
        <w:rPr>
          <w:rFonts w:ascii="Arial" w:cs="Arial" w:eastAsia="Arial" w:hAnsi="Arial"/>
          <w:sz w:val="18"/>
          <w:szCs w:val="18"/>
          <w:color w:val="auto"/>
        </w:rPr>
      </w:pPr>
    </w:p>
    <w:p>
      <w:pPr>
        <w:jc w:val="both"/>
        <w:ind w:left="660" w:right="300" w:hanging="328"/>
        <w:spacing w:after="0" w:line="27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Support and Professional Services</w:t>
      </w:r>
      <w:r>
        <w:rPr>
          <w:rFonts w:ascii="Arial" w:cs="Arial" w:eastAsia="Arial" w:hAnsi="Arial"/>
          <w:sz w:val="16"/>
          <w:szCs w:val="16"/>
          <w:color w:val="auto"/>
        </w:rPr>
        <w:t>—FortiCare Technical Support Service is a per-device support service, which provides customers access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experts to ensure efficient and effective operations and maintenance of their Fortinet capabilities. Global technical support is offered 24x7 with flexible add-ons, including enhanced service level agreements (“SLAs”) and premium hardware replacement through in-country depots.</w:t>
      </w:r>
    </w:p>
    <w:p>
      <w:pPr>
        <w:jc w:val="both"/>
        <w:ind w:left="660" w:right="200"/>
        <w:spacing w:after="0" w:line="239" w:lineRule="auto"/>
        <w:rPr>
          <w:rFonts w:ascii="Arial" w:cs="Arial" w:eastAsia="Arial" w:hAnsi="Arial"/>
          <w:sz w:val="16"/>
          <w:szCs w:val="16"/>
          <w:color w:val="auto"/>
        </w:rPr>
      </w:pPr>
      <w:r>
        <w:rPr>
          <w:rFonts w:ascii="Arial" w:cs="Arial" w:eastAsia="Arial" w:hAnsi="Arial"/>
          <w:sz w:val="18"/>
          <w:szCs w:val="18"/>
          <w:color w:val="auto"/>
        </w:rPr>
        <w:t>Organizations have the flexibility to procure different levels of service for different devices based on their availability needs. We offer three per-device support options tailored to the needs of our enterprise customers: FortiCare Premium, FortiCare Elite and FortiCare Essential. The newly launched FortiCare Elite service provides 15-minute response times for key product families.</w:t>
      </w:r>
    </w:p>
    <w:p>
      <w:pPr>
        <w:spacing w:after="0" w:line="230"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During our year ended December 31, 2022, we generated total revenue of $4.42 billion and net income of $857.3 million. See Part II, Item 8 of this Annual Report on Form 10-K for more information on our consolidated balance sheets as of December 31, 2022 and 2021 and our consolidated statements of income, comprehensive income, equity (deficit), and cash flows for each of the three years ended December 31, 2022, 2021 and 2020.</w:t>
      </w:r>
    </w:p>
    <w:p>
      <w:pPr>
        <w:spacing w:after="0" w:line="17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Technology and Architecture</w:t>
      </w:r>
    </w:p>
    <w:p>
      <w:pPr>
        <w:spacing w:after="0" w:line="239" w:lineRule="exact"/>
        <w:rPr>
          <w:sz w:val="20"/>
          <w:szCs w:val="20"/>
          <w:color w:val="auto"/>
        </w:rPr>
      </w:pPr>
    </w:p>
    <w:p>
      <w:pPr>
        <w:ind w:right="60" w:firstLine="648"/>
        <w:spacing w:after="0" w:line="249" w:lineRule="auto"/>
        <w:rPr>
          <w:sz w:val="20"/>
          <w:szCs w:val="20"/>
          <w:color w:val="auto"/>
        </w:rPr>
      </w:pPr>
      <w:r>
        <w:rPr>
          <w:rFonts w:ascii="Arial" w:cs="Arial" w:eastAsia="Arial" w:hAnsi="Arial"/>
          <w:sz w:val="18"/>
          <w:szCs w:val="18"/>
          <w:color w:val="auto"/>
        </w:rPr>
        <w:t>Cybersecurity has traditionally been deployed one solution at a time and not designed to work well with other deployed solutions while also increasing management complexity. A Fortinet Security Fabric approach consolidates point products into a platform, allowing for much tighter integration, increased automation and a more rapid, coordinated and effective response to threats across the network. The Fortinet Security Fabric has an open architecture designed to integrate Fortinet solutions and third-party solutions.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Our product offerings consist of our Core Platform network security products and our Enhanced Platform Technology (previously referred to as Platform Extension) products, which are offered in a broad range of form factors spanning physical appliances, virtual appliances, software and cloud-hosted services. This enables us to protect customers across all edges and deployment scenarios including users, devices, networks, cloud and virtual data center. Our cloud- and hosted- products and services include sandboxing, EDR, email security, web application and API security, cloud networking security and cloud-native protection as well as Fortinet Security Fabric management and analytics. Additionally, we offer cloud-delivered and hosted-security services. Our FortiGuard security services are enabled by FortiGuard Labs, which provides threat research and artificial intelligence capabilities from a cloud network to deliver protection through Core Platform appliance and virtual machine as well as Fortinet Security Fabric products that are registered by the end-customer. All these are combined to form the Fortinet Security Fabric, which is an approach to security that consolidates discrete security solutions together into an integrated offering. This integrated approach to security extends across both Fortinet-developed solutions and a broad ecosystem of technology partner solutions and technologies.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ASIC</w:t>
      </w:r>
    </w:p>
    <w:p>
      <w:pPr>
        <w:spacing w:after="0" w:line="245"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Our proprietary FortiASIC technology family consists of three processors. First, a Network Processor Generation 7, FortiNP 7 (“NP 7”), which accelerates the processing of firewall traffic and offloads this function from the central processing unit (“CPU”). Second, a Content Processor Generation 9, FortiCP (“CP 9”), helps the CPU with deep packets inspection functions, such as intrusion prevention and antivirus. Multiple NP7s and CP 9s can be placed in larger firewalls to provide more scale. Third, the central CPU, network processing and content processing functions are all brought together in a single ASIC called the Security Processor Generation 5. These Fortinet Proprietary ASICs, along with off-the-shelf CPU/ASICs, allow our systems to scale from the smallest branch to a hyperscale cloud and run multiple applications at high performance.</w:t>
      </w:r>
    </w:p>
    <w:p>
      <w:pPr>
        <w:spacing w:after="0" w:line="208"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The use of ASICs allows our appliances to consolidate security functionality and converge security with a minimal impact to network throughput performance, which we believe delivers a lower total cost of ownership (“TCO”) to our customers. As the security needs and technologies of our end-customers increase, we believe our TCO-driven ASIC approach give our products a competitive advantage against other architectural approaches.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FortiOS, its associated security and networking functions and products that run or are integrated with FortiOS are combined to form the Fortinet Security Fabric. This approach to security ties discrete security solutions together into an integrated offering.</w:t>
      </w:r>
    </w:p>
    <w:p>
      <w:pPr>
        <w:spacing w:after="0" w:line="184" w:lineRule="exact"/>
        <w:rPr>
          <w:sz w:val="20"/>
          <w:szCs w:val="20"/>
          <w:color w:val="auto"/>
        </w:rPr>
      </w:pPr>
    </w:p>
    <w:p>
      <w:pPr>
        <w:ind w:right="400" w:firstLine="648"/>
        <w:spacing w:after="0" w:line="248" w:lineRule="auto"/>
        <w:rPr>
          <w:sz w:val="20"/>
          <w:szCs w:val="20"/>
          <w:color w:val="auto"/>
        </w:rPr>
      </w:pPr>
      <w:r>
        <w:rPr>
          <w:rFonts w:ascii="Arial" w:cs="Arial" w:eastAsia="Arial" w:hAnsi="Arial"/>
          <w:sz w:val="18"/>
          <w:szCs w:val="18"/>
          <w:color w:val="auto"/>
        </w:rPr>
        <w:t>Our proprietary FortiOS operating system provides the foundation for the operation of Core Platform network security appliances, whether physical, virtual, private- or public-cloud based. We make regular enhancements and other updates to FortiOS available through our FortiCare support services.</w:t>
      </w:r>
    </w:p>
    <w:p>
      <w:pPr>
        <w:spacing w:after="0" w:line="20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convergence of security and networking capabilities provided by the Fortinet Security Fabric are powered and controlled through FortiOS. FortiOS provides (i) multiple layers of security, including a hardened kernel layer providing protection for the Core Platform system, (ii) a network security layer, providing security for end-customers’ network infrastructures and (iii) application content protection, providing security for end-customers’ workstations and applications. FortiOS directs the operations of processors and ASICs and provides system management functions such as command line, graphical user interfaces, multiple network and security topology views.</w:t>
      </w:r>
    </w:p>
    <w:p>
      <w:pPr>
        <w:spacing w:after="0" w:line="216"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FortiOS also enables advanced, integrated routing and switching, allowing end-customers to deploy Core Platform devices within a wide variety of networks, as well as providing a direct replacement solution option for legacy switching and routing equipment. FortiOS implements a suite of commonly used standards-based routing protocols as well as network address translation technologies, allowing the Core Platform appliance to integrate and operate in a wide variety of network environments. Additional features include virtual domain capabilities, which can provide support for multiple customers on a single device or FortiOS instance in support of service provider and managed security service provider (“MSSP”) deployments. FortiOS also provides traffic-logging capabilities for forensic analysis purposes. FortiOS is designed to help control network traffic in order to optimize performance by including functionality such as packet classification, queue disciplines, policy enforcement, congestion management, WAN optimization and caching.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core product offerings consist of our Core Platform firewall product family and our Enhanced Platform Technology products, which may be purchased to integrate and expand security architectures. Our Enhanced Platform Technology products include the Fortinet Security Fabric, email security, cloud security, endpoint protection and other products. Our Core Platform hardware and software licenses are sold with a set of Core Platform broad security services. These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security services are enabled by FortiGuard Labs, which provides threat research and artificial intelligence capabilities from a global cloud network to deliver protection services.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Core Platform</w:t>
      </w:r>
    </w:p>
    <w:p>
      <w:pPr>
        <w:spacing w:after="0" w:line="23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Core Platform converges a broad set of security and networking functions, including firewall, intrusion prevention, anti-malware, VPN, application control, web filtering, anti-spam and WAN acceleration. Core Platform is available as a hardware appliance or as a virtual appliance. All Core Platform appliances run on FortiOS. Core Platform platforms can be centrally managed through both embedded web-based and command line interfaces, as well as through FortiManager, which provides a central management architecture for Core Platform appliances and the Fortinet Security Fabric.</w:t>
      </w:r>
    </w:p>
    <w:p>
      <w:pPr>
        <w:spacing w:after="0" w:line="19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With over 35 models in the Core Platform product line, Core Platform is designed to address security requirements for small- to medium-sized businesses, large enterprises and government organizations worldwide.</w:t>
      </w:r>
    </w:p>
    <w:p>
      <w:pPr>
        <w:spacing w:after="0" w:line="184" w:lineRule="exact"/>
        <w:rPr>
          <w:sz w:val="20"/>
          <w:szCs w:val="20"/>
          <w:color w:val="auto"/>
        </w:rPr>
      </w:pPr>
    </w:p>
    <w:p>
      <w:pPr>
        <w:ind w:right="220" w:firstLine="648"/>
        <w:spacing w:after="0" w:line="270" w:lineRule="auto"/>
        <w:rPr>
          <w:sz w:val="20"/>
          <w:szCs w:val="20"/>
          <w:color w:val="auto"/>
        </w:rPr>
      </w:pPr>
      <w:r>
        <w:rPr>
          <w:rFonts w:ascii="Arial" w:cs="Arial" w:eastAsia="Arial" w:hAnsi="Arial"/>
          <w:sz w:val="16"/>
          <w:szCs w:val="16"/>
          <w:color w:val="auto"/>
        </w:rPr>
        <w:t>Most Core Platform hardware appliances include one of our ASICs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-90 series models are designed for perimeter protection for small- to medium-sized businesses and enterprises with distributed offices. The FortiGate-100 through -900 series models are designed for perimeter deployment in medium-sized to large enterprise networks. The FortiGate-1000 through -7000 series models deliver high performance and scalable network security functionality for perimeter, data center and hyper-scale data centers, and core deployment in large enterprises. In addition to</w:t>
      </w:r>
    </w:p>
    <w:p>
      <w:pPr>
        <w:ind w:right="20"/>
        <w:spacing w:after="0" w:line="261" w:lineRule="auto"/>
        <w:rPr>
          <w:sz w:val="20"/>
          <w:szCs w:val="20"/>
          <w:color w:val="auto"/>
        </w:rPr>
      </w:pPr>
      <w:r>
        <w:rPr>
          <w:rFonts w:ascii="Arial" w:cs="Arial" w:eastAsia="Arial" w:hAnsi="Arial"/>
          <w:sz w:val="18"/>
          <w:szCs w:val="18"/>
          <w:color w:val="auto"/>
        </w:rPr>
        <w:t>networking security features, all FortiGate models and form factors also deliver secure SD-WAN capabilities. Fortinet also offers FortiGate Rugged models for OT applications where ruggedized appliances are needed.</w:t>
      </w:r>
    </w:p>
    <w:p>
      <w:pPr>
        <w:spacing w:after="0" w:line="21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We also incorporate additional technologies within Core Platform appliances that differentiate our solutions, including data leak protection, traffic optimization, SSL inspection, threat vulnerability management and wireless controller technology. In addition to these built-in features, we offer a full range of wireless access points and controllers, complementing Core Platform appliances with the flexibility of wireless local area network access.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Security Fabric and Enhanced Platform Technology Products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part of the Fortinet Security Fabric, we offer products that provide network security, endpoint security, cloud security, web-based application security, identity and access management, sandbox protection and email security. The integration of devices using open standards, common operating systems, and unified management platforms enables the sharing and correlation of real-time threat intelligence. The following Fortinet products can operate as part of the Fortinet Security Fabric:</w:t>
      </w:r>
    </w:p>
    <w:p>
      <w:pPr>
        <w:spacing w:after="0" w:line="214" w:lineRule="exact"/>
        <w:rPr>
          <w:sz w:val="20"/>
          <w:szCs w:val="20"/>
          <w:color w:val="auto"/>
        </w:rPr>
      </w:pPr>
    </w:p>
    <w:p>
      <w:pPr>
        <w:ind w:left="1300" w:right="480" w:hanging="320"/>
        <w:spacing w:after="0" w:line="308" w:lineRule="auto"/>
        <w:tabs>
          <w:tab w:leader="none" w:pos="129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FortiAnalyzer</w:t>
      </w:r>
      <w:r>
        <w:rPr>
          <w:rFonts w:ascii="Arial" w:cs="Arial" w:eastAsia="Arial" w:hAnsi="Arial"/>
          <w:sz w:val="17"/>
          <w:szCs w:val="17"/>
          <w:color w:val="auto"/>
        </w:rPr>
        <w:t>—Our FortiAnalyzer family of products provides centralized network logging, analyzing and reporting solutions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securely aggregate content and log data from our Core Platform devices, other Fortinet products and third-party devices.</w:t>
      </w:r>
    </w:p>
    <w:p>
      <w:pPr>
        <w:spacing w:after="0" w:line="173" w:lineRule="exact"/>
        <w:rPr>
          <w:rFonts w:ascii="Arial" w:cs="Arial" w:eastAsia="Arial" w:hAnsi="Arial"/>
          <w:sz w:val="17"/>
          <w:szCs w:val="17"/>
          <w:color w:val="auto"/>
        </w:rPr>
      </w:pPr>
    </w:p>
    <w:p>
      <w:pPr>
        <w:ind w:left="1300" w:right="140" w:hanging="320"/>
        <w:spacing w:after="0" w:line="286" w:lineRule="auto"/>
        <w:tabs>
          <w:tab w:leader="none" w:pos="129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FortiAP</w:t>
      </w:r>
      <w:r>
        <w:rPr>
          <w:rFonts w:ascii="Arial" w:cs="Arial" w:eastAsia="Arial" w:hAnsi="Arial"/>
          <w:sz w:val="17"/>
          <w:szCs w:val="17"/>
          <w:color w:val="auto"/>
        </w:rPr>
        <w:t>—Our FortiAP product family provides secure wireless networking solutions. FortiAPs allow a variety of management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from the cloud and directly from our Core Platform firewall product. FortiAPs create a scalable and secure access layer for connecting wireless devices such as computers, laptops, cell phones and tablets, as well as IoT devices.</w:t>
      </w:r>
    </w:p>
    <w:p>
      <w:pPr>
        <w:spacing w:after="0" w:line="192" w:lineRule="exact"/>
        <w:rPr>
          <w:rFonts w:ascii="Arial" w:cs="Arial" w:eastAsia="Arial" w:hAnsi="Arial"/>
          <w:sz w:val="17"/>
          <w:szCs w:val="17"/>
          <w:color w:val="auto"/>
        </w:rPr>
      </w:pPr>
    </w:p>
    <w:p>
      <w:pPr>
        <w:ind w:left="1300" w:right="60" w:hanging="320"/>
        <w:spacing w:after="0" w:line="311" w:lineRule="auto"/>
        <w:tabs>
          <w:tab w:leader="none" w:pos="129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FortiClient</w:t>
      </w:r>
      <w:r>
        <w:rPr>
          <w:rFonts w:ascii="Arial" w:cs="Arial" w:eastAsia="Arial" w:hAnsi="Arial"/>
          <w:sz w:val="16"/>
          <w:szCs w:val="16"/>
          <w:color w:val="auto"/>
        </w:rPr>
        <w:t>—Our FortiClient provides advanced endpoint protection with pattern-based anti-malware, behavior-based exploit protection,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web-filtering and an application firewall. FortiClient integrates with FortiSandbox to detect zero-day threats and custom malware. FortiClient also provides secure remote access with built-in VPN, single-sign-on and two-factor authentication for added security.</w:t>
      </w:r>
    </w:p>
    <w:p>
      <w:pPr>
        <w:spacing w:after="0" w:line="175" w:lineRule="exact"/>
        <w:rPr>
          <w:rFonts w:ascii="Arial" w:cs="Arial" w:eastAsia="Arial" w:hAnsi="Arial"/>
          <w:sz w:val="16"/>
          <w:szCs w:val="16"/>
          <w:color w:val="auto"/>
        </w:rPr>
      </w:pPr>
    </w:p>
    <w:p>
      <w:pPr>
        <w:jc w:val="both"/>
        <w:ind w:left="1300" w:right="260" w:hanging="320"/>
        <w:spacing w:after="0" w:line="263"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FortiEDR/XDR</w:t>
      </w:r>
      <w:r>
        <w:rPr>
          <w:rFonts w:ascii="Arial" w:cs="Arial" w:eastAsia="Arial" w:hAnsi="Arial"/>
          <w:sz w:val="18"/>
          <w:szCs w:val="18"/>
          <w:color w:val="auto"/>
        </w:rPr>
        <w:t>—Our FortiEDR/XDR is an endpoint protection solution that provides both machine-learning anti-malware protection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remediation. FortiEDR/XDR supports broad OS coverage workstations, servers, and virtual machines, including legacy operating and embedded systems.</w:t>
      </w:r>
    </w:p>
    <w:p>
      <w:pPr>
        <w:spacing w:after="0" w:line="210" w:lineRule="exact"/>
        <w:rPr>
          <w:rFonts w:ascii="Arial" w:cs="Arial" w:eastAsia="Arial" w:hAnsi="Arial"/>
          <w:sz w:val="18"/>
          <w:szCs w:val="18"/>
          <w:color w:val="auto"/>
        </w:rPr>
      </w:pPr>
    </w:p>
    <w:p>
      <w:pPr>
        <w:ind w:left="1300" w:right="160" w:hanging="320"/>
        <w:spacing w:after="0" w:line="259"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FortiGate VM</w:t>
      </w:r>
      <w:r>
        <w:rPr>
          <w:rFonts w:ascii="Arial" w:cs="Arial" w:eastAsia="Arial" w:hAnsi="Arial"/>
          <w:sz w:val="18"/>
          <w:szCs w:val="18"/>
          <w:color w:val="auto"/>
        </w:rPr>
        <w:t>— FortiGate VM is our network firewall virtual appliance that extends the Fortinet Security Fabric through the cloud on-ramp into the cloud, enabling customers to achieve converged security and networking capabilities networking within the cloud and between clouds and hybrid clouds. FortiGate VM is powered by the same FortiOS that runs FortiGate appliances to deliver consistent security across data centers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120"/>
        <w:spacing w:after="0" w:line="275" w:lineRule="auto"/>
        <w:rPr>
          <w:sz w:val="20"/>
          <w:szCs w:val="20"/>
          <w:color w:val="auto"/>
        </w:rPr>
      </w:pPr>
      <w:r>
        <w:rPr>
          <w:rFonts w:ascii="Arial" w:cs="Arial" w:eastAsia="Arial" w:hAnsi="Arial"/>
          <w:sz w:val="17"/>
          <w:szCs w:val="17"/>
          <w:color w:val="auto"/>
        </w:rPr>
        <w:t>and the cloud. FortiGate VM is also powered by Fortinet virtualized Application-Specific Integrated Circuits (“vASICs”) to deliver accelerated security and performance with minimal impact to performance. Our cloud networking solution enables better, more secure application experiences for users and branch offices by providing for encrypted data transports, granular segmentation and application-layer protection against advanced threats, and seamless overlay network with uniform policies across multi-clouds. FortiGate VM is available for all major cloud providers, hypervisors and software-defined network (“SDN”) platforms.</w:t>
      </w:r>
    </w:p>
    <w:p>
      <w:pPr>
        <w:spacing w:after="0" w:line="203" w:lineRule="exact"/>
        <w:rPr>
          <w:sz w:val="20"/>
          <w:szCs w:val="20"/>
          <w:color w:val="auto"/>
        </w:rPr>
      </w:pPr>
    </w:p>
    <w:p>
      <w:pPr>
        <w:jc w:val="both"/>
        <w:ind w:left="1300" w:right="380" w:hanging="320"/>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FortiMail</w:t>
      </w:r>
      <w:r>
        <w:rPr>
          <w:rFonts w:ascii="Arial" w:cs="Arial" w:eastAsia="Arial" w:hAnsi="Arial"/>
          <w:sz w:val="18"/>
          <w:szCs w:val="18"/>
          <w:color w:val="auto"/>
        </w:rPr>
        <w:t>—Our FortiMail product family provides secure email gateway solutions. FortiMail utilizes the technologies and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from FortiGuard Labs to deliver protection against threats that use email as an attack vector. FortiMail also integrates data protection capabilities to avoid data loss.</w:t>
      </w:r>
    </w:p>
    <w:p>
      <w:pPr>
        <w:spacing w:after="0" w:line="210" w:lineRule="exact"/>
        <w:rPr>
          <w:rFonts w:ascii="Arial" w:cs="Arial" w:eastAsia="Arial" w:hAnsi="Arial"/>
          <w:sz w:val="18"/>
          <w:szCs w:val="18"/>
          <w:color w:val="auto"/>
        </w:rPr>
      </w:pPr>
    </w:p>
    <w:p>
      <w:pPr>
        <w:ind w:left="1300" w:right="40" w:hanging="320"/>
        <w:spacing w:after="0" w:line="259"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FortiManager</w:t>
      </w:r>
      <w:r>
        <w:rPr>
          <w:rFonts w:ascii="Arial" w:cs="Arial" w:eastAsia="Arial" w:hAnsi="Arial"/>
          <w:sz w:val="18"/>
          <w:szCs w:val="18"/>
          <w:color w:val="auto"/>
        </w:rPr>
        <w:t>—Our FortiManager family of products provides a central and scalable management solution for our Core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including software updates, configuration, policy settings and security updates. FortiManager facilitates the coordination of policy-based provisioning, device configuration and operating system revision management, as well as network security monitoring and device control.</w:t>
      </w:r>
    </w:p>
    <w:p>
      <w:pPr>
        <w:spacing w:after="0" w:line="213" w:lineRule="exact"/>
        <w:rPr>
          <w:rFonts w:ascii="Arial" w:cs="Arial" w:eastAsia="Arial" w:hAnsi="Arial"/>
          <w:sz w:val="18"/>
          <w:szCs w:val="18"/>
          <w:color w:val="auto"/>
        </w:rPr>
      </w:pPr>
    </w:p>
    <w:p>
      <w:pPr>
        <w:ind w:left="1300" w:right="40" w:hanging="320"/>
        <w:spacing w:after="0" w:line="25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FortiSandbox</w:t>
      </w:r>
      <w:r>
        <w:rPr>
          <w:rFonts w:ascii="Arial" w:cs="Arial" w:eastAsia="Arial" w:hAnsi="Arial"/>
          <w:sz w:val="18"/>
          <w:szCs w:val="18"/>
          <w:color w:val="auto"/>
        </w:rPr>
        <w:t>—Our FortiSandbox technology delivers proactive detection and mitigation with the ability to generate a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protection capability. Available in both hardware and cloud-based form, the FortiSandbox subjects suspicious code to a set of multi-layer protection techniques, culminating in execution within an operating system, allowing real-time behavioral analysis to be performed in a secure environment. When malicious code is identified, a signature can be generated locally for distribution across the Fortinet Security Fabric.</w:t>
      </w:r>
    </w:p>
    <w:p>
      <w:pPr>
        <w:spacing w:after="0" w:line="214" w:lineRule="exact"/>
        <w:rPr>
          <w:rFonts w:ascii="Arial" w:cs="Arial" w:eastAsia="Arial" w:hAnsi="Arial"/>
          <w:sz w:val="18"/>
          <w:szCs w:val="18"/>
          <w:color w:val="auto"/>
        </w:rPr>
      </w:pPr>
    </w:p>
    <w:p>
      <w:pPr>
        <w:ind w:left="1300" w:right="20" w:hanging="320"/>
        <w:spacing w:after="0" w:line="286" w:lineRule="auto"/>
        <w:tabs>
          <w:tab w:leader="none" w:pos="129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FortiSwitch</w:t>
      </w:r>
      <w:r>
        <w:rPr>
          <w:rFonts w:ascii="Arial" w:cs="Arial" w:eastAsia="Arial" w:hAnsi="Arial"/>
          <w:sz w:val="17"/>
          <w:szCs w:val="17"/>
          <w:color w:val="auto"/>
        </w:rPr>
        <w:t>—Our FortiSwitch product family provides secure switching solutions that can be deployed in traditional network switching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designs with Layer 2 or Layer 3 access control features. FortiSwitch creates a scalable and secure access layer for customers to connect their end devices, such as computers and laptops, as well as to expand the field of IoT devices.</w:t>
      </w:r>
    </w:p>
    <w:p>
      <w:pPr>
        <w:spacing w:after="0" w:line="192" w:lineRule="exact"/>
        <w:rPr>
          <w:rFonts w:ascii="Arial" w:cs="Arial" w:eastAsia="Arial" w:hAnsi="Arial"/>
          <w:sz w:val="17"/>
          <w:szCs w:val="17"/>
          <w:color w:val="auto"/>
        </w:rPr>
      </w:pPr>
    </w:p>
    <w:p>
      <w:pPr>
        <w:jc w:val="both"/>
        <w:ind w:left="1300" w:right="100" w:hanging="320"/>
        <w:spacing w:after="0" w:line="259"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FortiToken</w:t>
      </w:r>
      <w:r>
        <w:rPr>
          <w:rFonts w:ascii="Arial" w:cs="Arial" w:eastAsia="Arial" w:hAnsi="Arial"/>
          <w:sz w:val="18"/>
          <w:szCs w:val="18"/>
          <w:color w:val="auto"/>
        </w:rPr>
        <w:t>—Our FortiToken allows organizations to implement two-factor authentication to better safeguard systems, assets and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two-factor authentication, a password is used along with a security token and authentication server to provide seamless yet highly secured access between users and applications. Authorized employees can access company resources safely using a variety of devices, ranging from laptops to mobile phones.</w:t>
      </w:r>
    </w:p>
    <w:p>
      <w:pPr>
        <w:spacing w:after="0" w:line="213" w:lineRule="exact"/>
        <w:rPr>
          <w:rFonts w:ascii="Arial" w:cs="Arial" w:eastAsia="Arial" w:hAnsi="Arial"/>
          <w:sz w:val="18"/>
          <w:szCs w:val="18"/>
          <w:color w:val="auto"/>
        </w:rPr>
      </w:pPr>
    </w:p>
    <w:p>
      <w:pPr>
        <w:ind w:left="1300" w:right="120" w:hanging="320"/>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FortiWeb</w:t>
      </w:r>
      <w:r>
        <w:rPr>
          <w:rFonts w:ascii="Arial" w:cs="Arial" w:eastAsia="Arial" w:hAnsi="Arial"/>
          <w:sz w:val="18"/>
          <w:szCs w:val="18"/>
          <w:color w:val="auto"/>
        </w:rPr>
        <w:t>—Our FortiWeb product family provides web application firewall solutions, including internet protocol (“IP”) reputation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anti-botnet security, distributed denial-of-service protection, protocol validation, application attack signatures and deep learning AI to protect applications against a wide range of threats.</w:t>
      </w:r>
    </w:p>
    <w:p>
      <w:pPr>
        <w:spacing w:after="0" w:line="211" w:lineRule="exact"/>
        <w:rPr>
          <w:sz w:val="20"/>
          <w:szCs w:val="20"/>
          <w:color w:val="auto"/>
        </w:rPr>
      </w:pPr>
    </w:p>
    <w:p>
      <w:pPr>
        <w:jc w:val="both"/>
        <w:ind w:right="320" w:firstLine="648"/>
        <w:spacing w:after="0" w:line="256" w:lineRule="auto"/>
        <w:rPr>
          <w:sz w:val="20"/>
          <w:szCs w:val="20"/>
          <w:color w:val="auto"/>
        </w:rPr>
      </w:pPr>
      <w:r>
        <w:rPr>
          <w:rFonts w:ascii="Arial" w:cs="Arial" w:eastAsia="Arial" w:hAnsi="Arial"/>
          <w:sz w:val="18"/>
          <w:szCs w:val="18"/>
          <w:color w:val="auto"/>
        </w:rPr>
        <w:t>The products listed above are available in multiple form factors, such as hardware, virtual machine, cloud or software-as-a-service (“SaaS”), except for FortiSwitch, FortiAP and FortiExtender, which are available as hardware appliances only and FortiGate VM and FortiEDR/XDR which are available as virtual solutions only.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Security requirements are dynamic due to the constantly changing nature of threats. Our FortiGuard security subscription services are designed to deliver threat detection and prevention capabilities to end-customers worldwide as threats evolve. Our FortiGuard Labs global threat research team identifies emerging threats, collects threat samples, and replicates, reviews, characterizes and collates attack data through the use of AI, automation and original research. Based on this research, we develop updates for virus signatures, attack definitions, scanning engines and other security solution components to distribute to end-customers. FortiGuard functionality varies depending on the Core Platform and Enhanced Platform Technology products, and will typically include one or more of the following functions: application control, antivirus, intrusion prevention, web filtering, anti-spam, VPN functions, email image analysis, vulnerability management, database functions, web functions, advanced threat protection, sandboxing and domain and IP reputation services.</w:t>
      </w:r>
    </w:p>
    <w:p>
      <w:pPr>
        <w:spacing w:after="0" w:line="21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End-customers purchase FortiGuard security subscription services in advance, typically with terms of one to five years. We provide FortiGuard security subscription services 24 hours a day, seven days a week.</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3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7"/>
          <w:szCs w:val="17"/>
          <w:color w:val="auto"/>
        </w:rPr>
        <w:t>Our FortiCare support services portfolio includes technical support, FortiOS updates and extended product warranty. For our standard technical support, our channel partners may provide first-level support to the end-customer. We also provide first-level support to our end-customers, as well as second- and third-level support as appropriate. We also provide knowledge management tools and customer self-help portals to help augment our support capabilities in an efficient and scalable manner. We deliver technical support to partners and end-customers 24 hours a day, seven days a week, through regional technical support centers. In addition to our technical support services, we offer a range of advanced services, including premium support, professional services and expedited warranty replacement.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Bundles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also sell FortiGuard and FortiCare services as bundles, consolidating security services into packages that are appropriate for different use cases or end-customers.</w:t>
      </w:r>
    </w:p>
    <w:p>
      <w:pPr>
        <w:spacing w:after="0" w:line="197" w:lineRule="exact"/>
        <w:rPr>
          <w:sz w:val="20"/>
          <w:szCs w:val="20"/>
          <w:color w:val="auto"/>
        </w:rPr>
      </w:pPr>
    </w:p>
    <w:p>
      <w:pPr>
        <w:ind w:left="1300" w:right="100" w:hanging="320"/>
        <w:spacing w:after="0" w:line="263"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Advanced Threat Protection</w:t>
      </w:r>
      <w:r>
        <w:rPr>
          <w:rFonts w:ascii="Arial" w:cs="Arial" w:eastAsia="Arial" w:hAnsi="Arial"/>
          <w:sz w:val="18"/>
          <w:szCs w:val="18"/>
          <w:color w:val="auto"/>
        </w:rPr>
        <w:t>—Our Advanced Threat Protection bundle includes antivirus, data sanitation sandbox, intrusion prevention,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virus outbreak protection, mobile security, application control, IP reputation and anti-botnet security, along with FortiCare support services.</w:t>
      </w:r>
    </w:p>
    <w:p>
      <w:pPr>
        <w:spacing w:after="0" w:line="197" w:lineRule="exact"/>
        <w:rPr>
          <w:rFonts w:ascii="Arial" w:cs="Arial" w:eastAsia="Arial" w:hAnsi="Arial"/>
          <w:sz w:val="18"/>
          <w:szCs w:val="18"/>
          <w:color w:val="auto"/>
        </w:rPr>
      </w:pPr>
    </w:p>
    <w:p>
      <w:pPr>
        <w:ind w:left="1300" w:right="460" w:hanging="320"/>
        <w:spacing w:after="0" w:line="274" w:lineRule="auto"/>
        <w:tabs>
          <w:tab w:leader="none" w:pos="129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Unified Threat Protection</w:t>
      </w:r>
      <w:r>
        <w:rPr>
          <w:rFonts w:ascii="Arial" w:cs="Arial" w:eastAsia="Arial" w:hAnsi="Arial"/>
          <w:sz w:val="17"/>
          <w:szCs w:val="17"/>
          <w:color w:val="auto"/>
        </w:rPr>
        <w:t>—Our Unified Threat Protection bundle includes the Advanced Threat Protection security services noted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as well as intrusion prevention, virus outbreak protection, web filtering and FortiCare support services.</w:t>
      </w:r>
    </w:p>
    <w:p>
      <w:pPr>
        <w:spacing w:after="0" w:line="188" w:lineRule="exact"/>
        <w:rPr>
          <w:rFonts w:ascii="Arial" w:cs="Arial" w:eastAsia="Arial" w:hAnsi="Arial"/>
          <w:sz w:val="17"/>
          <w:szCs w:val="17"/>
          <w:color w:val="auto"/>
        </w:rPr>
      </w:pPr>
    </w:p>
    <w:p>
      <w:pPr>
        <w:ind w:left="1300" w:right="640" w:hanging="320"/>
        <w:spacing w:after="0" w:line="261"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 Protection</w:t>
      </w:r>
      <w:r>
        <w:rPr>
          <w:rFonts w:ascii="Arial" w:cs="Arial" w:eastAsia="Arial" w:hAnsi="Arial"/>
          <w:sz w:val="18"/>
          <w:szCs w:val="18"/>
          <w:color w:val="auto"/>
        </w:rPr>
        <w:t>—Our Enterprise Protection bundle includes the Unified Threat Protection services noted above,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control systems, security rating, along with enhanced FortiCare support services.</w:t>
      </w:r>
    </w:p>
    <w:p>
      <w:pPr>
        <w:spacing w:after="0" w:line="197" w:lineRule="exact"/>
        <w:rPr>
          <w:rFonts w:ascii="Arial" w:cs="Arial" w:eastAsia="Arial" w:hAnsi="Arial"/>
          <w:sz w:val="18"/>
          <w:szCs w:val="18"/>
          <w:color w:val="auto"/>
        </w:rPr>
      </w:pPr>
    </w:p>
    <w:p>
      <w:pPr>
        <w:ind w:left="1300" w:right="200" w:hanging="320"/>
        <w:spacing w:after="0" w:line="248"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Small Medium Business</w:t>
      </w:r>
      <w:r>
        <w:rPr>
          <w:rFonts w:ascii="Arial" w:cs="Arial" w:eastAsia="Arial" w:hAnsi="Arial"/>
          <w:sz w:val="18"/>
          <w:szCs w:val="18"/>
          <w:color w:val="auto"/>
        </w:rPr>
        <w:t>—Our Small Medium Business bundle includes the Unified Threat Protection services noted above,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FortiGate Cloud which provides cloud-based management, reporting, and analytics for Core Platforms along with enhanced FortiCare support services.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offer professional services to end-customers including technical account managers (“TAMs”), resident engineers (“REs”) and professional service consultants, security architects for implementations and remote, cloud-based incident response (“IR”).</w:t>
      </w:r>
    </w:p>
    <w:p>
      <w:pPr>
        <w:spacing w:after="0" w:line="19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TAMs and REs are dedicated support engineers available to help identify and eliminate issues before problems arise. Each TAM and RE acts as a single point of contact and customer advocate within Fortinet, offering a deep understanding of our customers’ businesses and security requirements.</w:t>
      </w:r>
    </w:p>
    <w:p>
      <w:pPr>
        <w:spacing w:after="0" w:line="15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professional services consultants and security architects help to formulate customer-specific security strategies, develop roadmaps for securing digital initiatives and design product deployments. They work closely with end-customers to implement our products according to design, utilizing network analysis tools, traffic simulation software and scripts.</w:t>
      </w:r>
    </w:p>
    <w:p>
      <w:pPr>
        <w:spacing w:after="0" w:line="197"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Fortinet also offers remote, cloud-based IR and monitoring services to help customers identify, remediate and understand compromises. This service leverages our FortiEDR capabilities either as part of a premium FortiEDR subscription for continuous monitoring or alternatively, can be deployed to help deliver IR services on a per incident basis.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3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offer training services to our end-customers and channel partners through our training team and authorized training partners. We have also implemented a training certification program, Network Security Expert, to help ensure an understanding of our products and services. Since 2020, Fortinet also offers a number of free online training courses to help address prevalent industry-wide cybersecurity skills gaps and shortages.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9"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We typically sell our security solutions to distributors that sell to networking security focused resellers and to service providers and MSSPs, who, in turn, sell products and/or services to end-customers. At times, we also sell directly to large service providers and major systems integrators who may sell to our end-customers or use our products and services to provide hosted solutions to other enterprises. Our end-customers are located in over 100 countries and include small, medium and large enterprises and government organizations across a wide range of industries, including education, financial services, government, healthcare, manufacturing, retail, technology and telecommunications. An end-customer deployment may involve as few as one or as many as thousands of appliances as well as other Fortinet Security Fabric products. Customers may also access our products via the cloud through certain cloud providers such as Amazon Web Services, Google Cloud, IBM Cloud, Microsoft Azure and Oracle Cloud. Often, our customers also purchase our FortiGuard security subscription services and FortiCare technical support services. Refer to Note 16. Segment Information in Part II, Item 8 of this Annual Report on Form 10-K for distributor customers that accounted for 10% or more of our revenue or net accounts receivable.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9" w:lineRule="exact"/>
        <w:rPr>
          <w:sz w:val="20"/>
          <w:szCs w:val="20"/>
          <w:color w:val="auto"/>
        </w:rPr>
      </w:pPr>
    </w:p>
    <w:p>
      <w:pPr>
        <w:ind w:right="240" w:firstLine="648"/>
        <w:spacing w:after="0" w:line="243" w:lineRule="auto"/>
        <w:rPr>
          <w:sz w:val="20"/>
          <w:szCs w:val="20"/>
          <w:color w:val="auto"/>
        </w:rPr>
      </w:pPr>
      <w:r>
        <w:rPr>
          <w:rFonts w:ascii="Arial" w:cs="Arial" w:eastAsia="Arial" w:hAnsi="Arial"/>
          <w:sz w:val="18"/>
          <w:szCs w:val="18"/>
          <w:color w:val="auto"/>
        </w:rPr>
        <w:t>We primarily sell our products and services through a two-tier distribution model. We sell to distributors that sell to resellers and to service providers and MSSPs, who, in turn, sell products and/or services to end-customers. In certain cases, we sell directly to large service providers and major systems integrators. We work with many technology distributors, including Arrow Electronics, Inc., Exclusive, Ingram Micro and TD Synnex (formerly Tech Data Corporation and Synnex Corporation, separately).</w:t>
      </w:r>
    </w:p>
    <w:p>
      <w:pPr>
        <w:spacing w:after="0" w:line="22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support our channel partners with a dedicated team of experienced channel account managers, sales professionals and sales engineers who provide business planning, joint marketing strategy,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90 countries around the world.</w:t>
      </w:r>
    </w:p>
    <w:p>
      <w:pPr>
        <w:spacing w:after="0" w:line="190" w:lineRule="exact"/>
        <w:rPr>
          <w:sz w:val="20"/>
          <w:szCs w:val="20"/>
          <w:color w:val="auto"/>
        </w:rPr>
      </w:pPr>
    </w:p>
    <w:p>
      <w:pPr>
        <w:ind w:right="140" w:firstLine="648"/>
        <w:spacing w:after="0" w:line="274" w:lineRule="auto"/>
        <w:rPr>
          <w:sz w:val="20"/>
          <w:szCs w:val="20"/>
          <w:color w:val="auto"/>
        </w:rPr>
      </w:pPr>
      <w:r>
        <w:rPr>
          <w:rFonts w:ascii="Arial" w:cs="Arial" w:eastAsia="Arial" w:hAnsi="Arial"/>
          <w:sz w:val="16"/>
          <w:szCs w:val="16"/>
          <w:color w:val="auto"/>
        </w:rPr>
        <w:t>Our marketing strategy is focused on building our brand, driving thought leadership with emphasis on the criticality of cybersecurity platform adoption and the convergence of security and networking as well as driving end-customer demand for our security solutions. We use a combination of internal marketing professionals and a network of regional and global channel partners. Our internal marketing organization is responsible for messaging, branding, demand generation, product marketing, channel marketing, partner incentives and promotions,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204" w:lineRule="exact"/>
        <w:rPr>
          <w:sz w:val="20"/>
          <w:szCs w:val="20"/>
          <w:color w:val="auto"/>
        </w:rPr>
      </w:pPr>
    </w:p>
    <w:p>
      <w:pPr>
        <w:ind w:right="60" w:firstLine="648"/>
        <w:spacing w:after="0" w:line="324" w:lineRule="auto"/>
        <w:rPr>
          <w:sz w:val="20"/>
          <w:szCs w:val="20"/>
          <w:color w:val="auto"/>
        </w:rPr>
      </w:pPr>
      <w:r>
        <w:rPr>
          <w:rFonts w:ascii="Arial" w:cs="Arial" w:eastAsia="Arial" w:hAnsi="Arial"/>
          <w:sz w:val="16"/>
          <w:szCs w:val="16"/>
          <w:color w:val="auto"/>
        </w:rPr>
        <w:t>In 2022, we continued to invest in sales and marketing resources, particularly in the enterprise market where we believe there is an opportunity to expand our business. We intend to continue to make investments in sales and marketing resources, which are critical to support our growth.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outsource the manufacturing of our security appliance products to a variety of contract manufacturers and original design manufacturers. Our current manufacturing partners include ADLINK Technology, Inc. (“ADLINK”), IBASE Technology, Inc. (“IBASE”), Micro-Star International Co. (“Micro-Star”), Senao Networks, Inc. (“Senao”), Wistron Corporation (“Wistron”) and a number of other manufacturers. Approximately 88% of our hardware is manufactured in Taiwan.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ASICs, which are key to the performance of our appliances, are built by contract manufacturers including Toshiba America Electronic Components, Inc. (“Toshiba America”) and Renesas Electronics America, Inc. (“Renesas”). These contract manufacturers use foundries in Taiwan and Japan operated by either Taiwan Semiconductor Manufacturing Company Limited (“TSMC”) or by the contract manufacturer itself.</w:t>
      </w:r>
    </w:p>
    <w:p>
      <w:pPr>
        <w:spacing w:after="0" w:line="19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components included in our products are sourced from various suppliers by us or, more frequently, by our contract manufacturers. Some of the components important to our business, including certain CPUs from Intel Corporation (“Intel”) and Advanced Micro Devices, Inc. (“AMD”), network and wireless chips from Broadcom Inc. (“Broadcom”), Marvell Technology</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Group Ltd. (“Marvell”), Qualcomm Incorporated (“Qualcomm”) and Intel and memory devices from Intel, Micron Technology (“Micron”), ADATA Technology Co., Ltd. (“ADATA”), Toshiba Corporation (“Toshiba”), Samsung Electronics Co., Ltd. (“Samsung”), and Western Digital Technologies, Inc. (“Western Digital”), are available from limited or sole sources of supply.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 long-term contracts related to the manufacturing of our ASICs or other components that guarantee any capacity or pricing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focus our research and development efforts on developing new hardware and software products and services, and adding new features to existing products and services.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or new features, components selection, timely implementation of product design and development, product performance, quality, ease of use, costs of development, bill of materials, effective manufacturing and assembly processes and sales and marketing.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We periodically have discussions with third parties regarding licensing Fortinet’s intellectual property (“IP”) and have sometimes taken legal action against competitors to protect our IP, and as a result third parties have paid us fees in return for licenses or covenants-not-to-sue related to Fortinet IP. As of December 31, 2022, we had 1,285 U.S. and foreign-issued patents and 255 pending U.S. and foreign patent applications. We also license software from third parties for inclusion in our products, including open source software and other software.</w:t>
      </w:r>
    </w:p>
    <w:p>
      <w:pPr>
        <w:spacing w:after="0" w:line="20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Despite our efforts to protect our rights in our technology, unauthorized parties may attempt to copy aspects of our products or obtain and use information and technology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21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industry is characterized by the existence of a large number of patents and frequent claims and related litigation regarding patent and other IP rights. Third parties have asserted, are currently asserting and may in the future assert patent, copyright, trademark or other IP rights against us, our channel partners or our end-customers. Successful claims of infringement by a third-party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IP of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 are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Many of the laws and regulations that are or may be applicable to our business are changing or being tested in courts and could be interpreted in ways that could adversely impact our business. In addition, the application and interpretation of these laws and regulations often are uncertain, particularly in the industry in which we operate. We believe we take reasonable steps designed to ensure we are in compliance with current laws and regulations and do not expect continued compliance to have a material impact on our capital expenditures, earnings, or competitive position. We continue to monitor existing and pending laws and regulations and while the impact of regulatory changes cannot be predicted with certainty, we do not currently expect compliance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For information regarding seasonality in our sales, see the section entitled “Management’s Discussion and Analysis of Financial Condition and Results of Operations—Seasonality, Cyclicality and Quarterly Revenue Trends” in Part II, Item 7 of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security performance, throughput, features, effectiveness, interoperability and reliability;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 and integration of new networking and security features and technological expertise;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service and support across varied and complex customer segments and use cases;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financial stability;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factor of the solution;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competitive differentiators.</w:t>
      </w:r>
    </w:p>
    <w:p>
      <w:pPr>
        <w:spacing w:after="0" w:line="224"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Among others, our competitors include Arista Networks, Inc.(“Arista”), Aruba Networks, Inc.(“Aruba”), Barracuda Networks, Inc. (“Barracuda”), Check Point Software Technologies Ltd. (“Check Point”), Cisco Systems, Inc. (“Cisco”), CrowdStrike Holdings, Inc. (“CrowdStrike”), F5 Networks, Inc. (“F5 Networks”), Huawei Technologies Co., Ltd. (“Huawei”), Juniper Networks, Inc. (“Juniper”), Palo Alto Networks, Inc. (“Palo Alto Networks”), SonicWALL, Inc. (“SonicWALL”), Sophos Group Plc (“Sophos”), Trend Micro Incorporated (“Trend Micro”), VMware, Inc. (“VMware”) and Zscaler, Inc. (“Zscaler”).</w:t>
      </w:r>
    </w:p>
    <w:p>
      <w:pPr>
        <w:spacing w:after="0" w:line="23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believe we compete favorably based on our products’ security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functionalities to our products.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Conditions in our markets could change rapidly and significantly as a result of technological advancements, market consolidation, supply chain</w:t>
      </w:r>
    </w:p>
    <w:p>
      <w:pPr>
        <w:spacing w:after="0" w:line="5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constraints, price list or discount changes or inflation.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December 31, 2022, our total headcount was 12,595 employees, approximately 30% of whom were employed in the United States and approximately 70% of whom were employed outside of the United States.</w:t>
      </w:r>
    </w:p>
    <w:p>
      <w:pPr>
        <w:spacing w:after="0" w:line="19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global company, much of our success is rooted in the diversity of our teams and our commitment to diversity, equity and inclusion (“DEI”). Such commitment starts at the top, with a highly skilled and diverse board of directors. As of December 31, 2022, women represented 25% of the members of our board of directors, and approximately 50% of our board of directors was from underrepresented communities. We value diversity at all levels and continue to focus on enhancing our DEI initiatives across our workforce.</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also committed to community engagement and social responsibility with regards to our employees and beyond, and our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spacing w:after="0" w:line="21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our board of directors. In addition, our Chief Executive Officer regularly communicates the importance of Fortinet’s core values of openness, teamwork and innovation.</w:t>
      </w:r>
    </w:p>
    <w:p>
      <w:pPr>
        <w:spacing w:after="0" w:line="19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committed to providing our employees a safe and healthy work environment. We sponsor a global wellness program designed to enhance physical, financial and mental wellbeing for all our employees around the world. Throughout the year, we encourage healthy behaviors through communications, educational sessions, wellness challenges and other incentives.</w:t>
      </w:r>
    </w:p>
    <w:p>
      <w:pPr>
        <w:spacing w:after="0" w:line="211"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None of our U.S. employees are represented by a labor union. Our employees in certain European and Latin American countries, however, have the right to be represented by external labor organizations if they maintain up-to-date union membership. We have not experienced any work stoppages, and we consider our relations with our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239"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We are committed to responsible environmental, social and governance (“ESG”) practices. This commitment starts with the Social Responsibility Committee of our board of directors providing oversight of our Corporate Social Responsibility (“CSR”) strategy, initiatives and execution related to ESG matters. Our senior leadership sponsors the integration of CSR priorities throughout our business operations. In addition, our Global Head of Sustainability and CSR, along with our internal cross-functional employee CSR Committee, engage with internal and external stakeholders to lead CSR execution, communications and disclosure.</w:t>
      </w:r>
    </w:p>
    <w:p>
      <w:pPr>
        <w:spacing w:after="0" w:line="23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7"/>
          <w:szCs w:val="17"/>
          <w:b w:val="1"/>
          <w:bCs w:val="1"/>
          <w:i w:val="1"/>
          <w:iCs w:val="1"/>
          <w:color w:val="auto"/>
        </w:rPr>
        <w:t xml:space="preserve">Environmental. </w:t>
      </w:r>
      <w:r>
        <w:rPr>
          <w:rFonts w:ascii="Arial" w:cs="Arial" w:eastAsia="Arial" w:hAnsi="Arial"/>
          <w:sz w:val="17"/>
          <w:szCs w:val="17"/>
          <w:color w:val="auto"/>
        </w:rPr>
        <w:t>We recognize that environmental considerations such as climate change, resource scarcity and the energy crisis are top priorities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future of our planet. We are committed to helping address climate change impacts and minimizing the environmental footprint of our solutions, operations and our broader value chain. We have engaged with a consultancy to measure our Scope 1 and Scope 2 emissions and to further engage on our path to carbon neutrality in alignment with the Paris Agreement we formally signed on to the Science-Based Target Initiative commitment in September 2022. We implemented an Environmental Management Systems platform to track our energy, water and waste impact, and engaged on the ISO14001 certification process for our company-owned warehouse in Union City, California. We began aligning our climate strategy and disclosures to the Task Force on Climate Related Financial Disclosures framework and submitted our Carbon Disclosure Project report. We continue to combine innovation with environmental sustainability to reduce the use of energy, cooling and space required for our solutions, thereby helping our customers minimize power consumption and greenhouse gas emissions.</w:t>
      </w:r>
    </w:p>
    <w:p>
      <w:pPr>
        <w:spacing w:after="0" w:line="188"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b w:val="1"/>
          <w:bCs w:val="1"/>
          <w:i w:val="1"/>
          <w:iCs w:val="1"/>
          <w:color w:val="auto"/>
        </w:rPr>
        <w:t xml:space="preserve">Social. </w:t>
      </w:r>
      <w:r>
        <w:rPr>
          <w:rFonts w:ascii="Arial" w:cs="Arial" w:eastAsia="Arial" w:hAnsi="Arial"/>
          <w:sz w:val="17"/>
          <w:szCs w:val="17"/>
          <w:color w:val="auto"/>
        </w:rPr>
        <w:t>We are committed to building an inclusive, equitable and diverse workforce within our organization and across the security industry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help empower individuals to reach their full potential. We continue to focus on skilling, upskilling and reskilling individuals to reach our goal of training one million people in cybersecurity by 2026. At the 2022 White House National Cyber Workforce and Education Summit, we announced the expansion of our existing free training offerings, focusing on schools. We introduced an enhanced enterprise-grade Security Awareness and Training service to help Information Technology (“IT”), security and compliance leaders build a cyber-aware culture within their organizations. We continued to expand partnerships with educational institutions and now count over 500 Authorized Academic Partners. Our Education Outreach Program focuses on creating cyber career pathways for underrepresented populations, including women, veterans and disadvantaged individuals. In total, we trained over 210,000 people through our various initiatives in 2022. Internally, we pursue our progress on DEI and have established organizational governance by forming a global DEI Organizing Committee and DEI Council to provide a shared direction and commitment to recruiting and valuing a diverse workforce, fostering a culture of teamwork and openness, and building a more inclusive workplace.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Our approach to responsible business is based on strong corporate governance practices that aim to ensure accountability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meeting our responsibilities across our value chain. Our board of directors frequently reviews our governance practices to ensure that they are appropriate and reflect our company’s maturity. To promote ethical business practices, we have adopted policies related to proper business conduct and ethics that apply to employees, partners and suppliers, and we have compliance trainings and controls in place. In 2022, we expanded the human rights language in our compliance and business ethics training and updated our supplier and partner codes of conduct to reference our environmental and human rights policies. As part of our engagement with stockholders and our commitment to ESG, we regularly evaluate our corporate governance structure and practices, and have implemented the following measures, among others: majority voting standard for uncontested elections of directors, allowing stockholders to call special meetings of our stockholders, declassification of our board of directors, proxy access and stock ownership guidelines with respect to our non-employee directors.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web site is located at https://www.fortinet.com, and our investor relations web 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of 1933, as amended (the “Securities Act”), are available free of charge on our investor relations web site as soon as reasonably practicable after we electronically file such material with, or furnish it to, the Securities and Exchange Commission (the “SEC”). You may also access all of our public filings through the SEC’s website at https://www.sec.gov.</w:t>
      </w:r>
    </w:p>
    <w:p>
      <w:pPr>
        <w:spacing w:after="0" w:line="2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and press and earnings releases, as part of our investor relations website. The contents of these websites are not intended to be incorporated by reference into this report or in any other report or document we file.</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97" w:lineRule="exact"/>
        <w:rPr>
          <w:sz w:val="20"/>
          <w:szCs w:val="20"/>
          <w:color w:val="auto"/>
        </w:rPr>
      </w:pPr>
    </w:p>
    <w:p>
      <w:pPr>
        <w:ind w:left="1300" w:right="480" w:hanging="644"/>
        <w:spacing w:after="0" w:line="248"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conditions, including macroeconomic and regional economic challenges resulting, for example, from a recession or other economic downturn, increased inflation or possible stagflation in certain geographies, rising interest rates, the war in Ukraine, the COVID-19 pandemic or other factors;</w:t>
      </w:r>
    </w:p>
    <w:p>
      <w:pPr>
        <w:spacing w:after="0" w:line="19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jc w:val="both"/>
        <w:ind w:left="1300" w:right="60" w:hanging="644"/>
        <w:spacing w:after="0" w:line="243"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component shortages, including chips and other components, and product inventory shortages, including those caused by factors outside of our control, such as the COVID-19 pandemic, supply chain disruptions, inflation and other cost increases, international trade disputes or tariffs, natural disasters, health emergencies, power outages, civil unrest, labor disruption, international conflicts, terrorism, wars, such as the war in Ukraine, and critical infrastructure attacks;</w:t>
      </w:r>
    </w:p>
    <w:p>
      <w:pPr>
        <w:spacing w:after="0" w:line="22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2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increase backlog and may be impacted by the COVID-19 pandemic and supply chain constraints in ways that we are not able to foresee;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supplier cost increases and any lack of market acceptance of our price increases designed to help offset any supplier cost increases;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our reduction of operations in Russia;</w:t>
      </w:r>
    </w:p>
    <w:p>
      <w:pPr>
        <w:spacing w:after="0" w:line="198" w:lineRule="exact"/>
        <w:rPr>
          <w:rFonts w:ascii="Arial" w:cs="Arial" w:eastAsia="Arial" w:hAnsi="Arial"/>
          <w:sz w:val="18"/>
          <w:szCs w:val="18"/>
          <w:color w:val="auto"/>
        </w:rPr>
      </w:pPr>
    </w:p>
    <w:p>
      <w:pPr>
        <w:ind w:left="1300" w:right="20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 market acceptance of our price increases and our reliance on a concentration of shipments at the end of each quarter;</w:t>
      </w:r>
    </w:p>
    <w:p>
      <w:pPr>
        <w:spacing w:after="0" w:line="211" w:lineRule="exact"/>
        <w:rPr>
          <w:rFonts w:ascii="Arial" w:cs="Arial" w:eastAsia="Arial" w:hAnsi="Arial"/>
          <w:sz w:val="18"/>
          <w:szCs w:val="18"/>
          <w:color w:val="auto"/>
        </w:rPr>
      </w:pPr>
    </w:p>
    <w:p>
      <w:pPr>
        <w:ind w:left="1300" w:right="80" w:hanging="644"/>
        <w:spacing w:after="0" w:line="256"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 increased inflation or possible stagflation in certain geographies, rising interest rates, the war in Ukraine and other factors;</w:t>
      </w:r>
    </w:p>
    <w:p>
      <w:pPr>
        <w:spacing w:after="0" w:line="188" w:lineRule="exact"/>
        <w:rPr>
          <w:rFonts w:ascii="Arial" w:cs="Arial" w:eastAsia="Arial" w:hAnsi="Arial"/>
          <w:sz w:val="18"/>
          <w:szCs w:val="18"/>
          <w:color w:val="auto"/>
        </w:rPr>
      </w:pPr>
    </w:p>
    <w:p>
      <w:pPr>
        <w:ind w:left="1300" w:right="18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57" w:lineRule="exact"/>
        <w:rPr>
          <w:rFonts w:ascii="Arial" w:cs="Arial" w:eastAsia="Arial" w:hAnsi="Arial"/>
          <w:sz w:val="18"/>
          <w:szCs w:val="18"/>
          <w:color w:val="auto"/>
        </w:rPr>
      </w:pPr>
    </w:p>
    <w:p>
      <w:pPr>
        <w:ind w:left="1300" w:hanging="644"/>
        <w:spacing w:after="0" w:line="248"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22" w:lineRule="exact"/>
        <w:rPr>
          <w:rFonts w:ascii="Arial" w:cs="Arial" w:eastAsia="Arial" w:hAnsi="Arial"/>
          <w:sz w:val="18"/>
          <w:szCs w:val="18"/>
          <w:color w:val="auto"/>
        </w:rPr>
      </w:pPr>
    </w:p>
    <w:p>
      <w:pPr>
        <w:jc w:val="both"/>
        <w:ind w:left="1300" w:right="20" w:hanging="644"/>
        <w:spacing w:after="0" w:line="248"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208" w:lineRule="exact"/>
        <w:rPr>
          <w:rFonts w:ascii="Arial" w:cs="Arial" w:eastAsia="Arial" w:hAnsi="Arial"/>
          <w:sz w:val="18"/>
          <w:szCs w:val="18"/>
          <w:color w:val="auto"/>
        </w:rPr>
      </w:pPr>
    </w:p>
    <w:p>
      <w:pPr>
        <w:jc w:val="both"/>
        <w:ind w:left="1300" w:right="160" w:hanging="644"/>
        <w:spacing w:after="0" w:line="324" w:lineRule="auto"/>
        <w:tabs>
          <w:tab w:leader="none" w:pos="12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mix of products sold, such as the mix between Core Platform and Enhanced Platform Technology solutions, and the mix of revenue between products and services, as well as the degree to which products and services are bundled and sold together for a package price;</w:t>
      </w:r>
    </w:p>
    <w:p>
      <w:pPr>
        <w:spacing w:after="0" w:line="164" w:lineRule="exact"/>
        <w:rPr>
          <w:rFonts w:ascii="Arial" w:cs="Arial" w:eastAsia="Arial" w:hAnsi="Arial"/>
          <w:sz w:val="16"/>
          <w:szCs w:val="16"/>
          <w:color w:val="auto"/>
        </w:rPr>
      </w:pPr>
    </w:p>
    <w:p>
      <w:pPr>
        <w:ind w:left="1300" w:right="46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lifecycles or refresh cycles;</w:t>
      </w:r>
    </w:p>
    <w:p>
      <w:pPr>
        <w:spacing w:after="0" w:line="184" w:lineRule="exact"/>
        <w:rPr>
          <w:rFonts w:ascii="Arial" w:cs="Arial" w:eastAsia="Arial" w:hAnsi="Arial"/>
          <w:sz w:val="18"/>
          <w:szCs w:val="18"/>
          <w:color w:val="auto"/>
        </w:rPr>
      </w:pPr>
    </w:p>
    <w:p>
      <w:pPr>
        <w:ind w:left="1300" w:right="160" w:hanging="644"/>
        <w:spacing w:after="0" w:line="262"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spacing w:after="0" w:line="212" w:lineRule="exact"/>
        <w:rPr>
          <w:rFonts w:ascii="Arial" w:cs="Arial" w:eastAsia="Arial" w:hAnsi="Arial"/>
          <w:sz w:val="17"/>
          <w:szCs w:val="17"/>
          <w:color w:val="auto"/>
        </w:rPr>
      </w:pPr>
    </w:p>
    <w:p>
      <w:pPr>
        <w:ind w:left="1300" w:right="68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including the time it takes to hire sales personnel, the timing of hiring and our ability to hire and retain effective sales personnel;</w:t>
      </w:r>
    </w:p>
    <w:p>
      <w:pPr>
        <w:spacing w:after="0" w:line="197" w:lineRule="exact"/>
        <w:rPr>
          <w:rFonts w:ascii="Arial" w:cs="Arial" w:eastAsia="Arial" w:hAnsi="Arial"/>
          <w:sz w:val="18"/>
          <w:szCs w:val="18"/>
          <w:color w:val="auto"/>
        </w:rPr>
      </w:pPr>
    </w:p>
    <w:p>
      <w:pPr>
        <w:ind w:left="1300" w:right="160" w:hanging="644"/>
        <w:spacing w:after="0" w:line="238"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our Enhanced Platform Technology products;</w:t>
      </w:r>
    </w:p>
    <w:p>
      <w:pPr>
        <w:spacing w:after="0" w:line="215" w:lineRule="exact"/>
        <w:rPr>
          <w:rFonts w:ascii="Arial" w:cs="Arial" w:eastAsia="Arial" w:hAnsi="Arial"/>
          <w:sz w:val="18"/>
          <w:szCs w:val="18"/>
          <w:color w:val="auto"/>
        </w:rPr>
      </w:pPr>
    </w:p>
    <w:p>
      <w:pPr>
        <w:ind w:left="1300" w:hanging="644"/>
        <w:spacing w:after="0" w:line="270"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cloud security and endpoint protection, and IoT and OT security opportunities;</w:t>
      </w:r>
    </w:p>
    <w:p>
      <w:pPr>
        <w:spacing w:after="0" w:line="204"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100" w:hanging="644"/>
        <w:spacing w:after="0" w:line="291"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00" w:right="360" w:hanging="644"/>
        <w:spacing w:after="0" w:line="248"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revenue recognition for our sales, including any impacts resulting from extension of payment terms to distributors and fluctuations in backlog levels, which could result in more variability and less predictability in our quarter-to-quarter revenue and operating results;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98" w:lineRule="exact"/>
        <w:rPr>
          <w:rFonts w:ascii="Arial" w:cs="Arial" w:eastAsia="Arial" w:hAnsi="Arial"/>
          <w:sz w:val="18"/>
          <w:szCs w:val="18"/>
          <w:color w:val="auto"/>
        </w:rPr>
      </w:pPr>
    </w:p>
    <w:p>
      <w:pPr>
        <w:ind w:left="1300" w:right="180" w:hanging="644"/>
        <w:spacing w:after="0" w:line="291"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growth rates of the network security market in particular and other security and networking markets, such as SD-WAN, OT, switches, access points and cloud solutions for which we and our competitors sell products and services;</w:t>
      </w:r>
    </w:p>
    <w:p>
      <w:pPr>
        <w:spacing w:after="0" w:line="146" w:lineRule="exact"/>
        <w:rPr>
          <w:rFonts w:ascii="Arial" w:cs="Arial" w:eastAsia="Arial" w:hAnsi="Arial"/>
          <w:sz w:val="17"/>
          <w:szCs w:val="17"/>
          <w:color w:val="auto"/>
        </w:rPr>
      </w:pPr>
    </w:p>
    <w:p>
      <w:pPr>
        <w:ind w:left="1300" w:right="200" w:hanging="644"/>
        <w:spacing w:after="0" w:line="291"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20" w:hanging="644"/>
        <w:spacing w:after="0" w:line="291"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deferral of orders from distributors, resellers or end-customers in anticipation of new products or product enhancements announced by us or our competitors, or the acceleration of orders in response to our announced or expected price list increases;</w:t>
      </w:r>
    </w:p>
    <w:p>
      <w:pPr>
        <w:spacing w:after="0" w:line="146" w:lineRule="exact"/>
        <w:rPr>
          <w:rFonts w:ascii="Arial" w:cs="Arial" w:eastAsia="Arial" w:hAnsi="Arial"/>
          <w:sz w:val="17"/>
          <w:szCs w:val="17"/>
          <w:color w:val="auto"/>
        </w:rPr>
      </w:pPr>
    </w:p>
    <w:p>
      <w:pPr>
        <w:ind w:left="1300" w:hanging="644"/>
        <w:spacing w:after="0" w:line="303" w:lineRule="auto"/>
        <w:tabs>
          <w:tab w:leader="none" w:pos="12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38"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permits, clearances and certifications that are applicable to our ability to conduct business with the public sector, including the U.S. federal government, and other sectors;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cloud-based security solutions on our billings, revenues, operating margins and free cash flow;</w:t>
      </w:r>
    </w:p>
    <w:p>
      <w:pPr>
        <w:spacing w:after="0" w:line="211"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both increase revenues and manage and control operating expenses in order to maintain or improve our operating margins;</w:t>
      </w:r>
    </w:p>
    <w:p>
      <w:pPr>
        <w:spacing w:after="0" w:line="234"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timing of our billings, collection for our contracts or the contractual term of service sold;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38" w:lineRule="exact"/>
        <w:rPr>
          <w:rFonts w:ascii="Arial" w:cs="Arial" w:eastAsia="Arial" w:hAnsi="Arial"/>
          <w:sz w:val="18"/>
          <w:szCs w:val="18"/>
          <w:color w:val="auto"/>
        </w:rPr>
      </w:pPr>
    </w:p>
    <w:p>
      <w:pPr>
        <w:ind w:left="1300" w:right="20" w:hanging="644"/>
        <w:spacing w:after="0" w:line="308"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59" w:lineRule="exact"/>
        <w:rPr>
          <w:rFonts w:ascii="Arial" w:cs="Arial" w:eastAsia="Arial" w:hAnsi="Arial"/>
          <w:sz w:val="17"/>
          <w:szCs w:val="17"/>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43" w:lineRule="exact"/>
        <w:rPr>
          <w:rFonts w:ascii="Arial" w:cs="Arial" w:eastAsia="Arial" w:hAnsi="Arial"/>
          <w:sz w:val="18"/>
          <w:szCs w:val="18"/>
          <w:color w:val="auto"/>
        </w:rPr>
      </w:pPr>
    </w:p>
    <w:p>
      <w:pPr>
        <w:ind w:left="1300" w:right="18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3" w:lineRule="exact"/>
        <w:rPr>
          <w:rFonts w:ascii="Arial" w:cs="Arial" w:eastAsia="Arial" w:hAnsi="Arial"/>
          <w:sz w:val="18"/>
          <w:szCs w:val="18"/>
          <w:color w:val="auto"/>
        </w:rPr>
      </w:pPr>
    </w:p>
    <w:p>
      <w:pPr>
        <w:ind w:left="1300" w:right="640" w:hanging="644"/>
        <w:spacing w:after="0" w:line="291" w:lineRule="auto"/>
        <w:tabs>
          <w:tab w:leader="none" w:pos="12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7" w:lineRule="exact"/>
        <w:rPr>
          <w:rFonts w:ascii="Arial" w:cs="Arial" w:eastAsia="Arial" w:hAnsi="Arial"/>
          <w:sz w:val="17"/>
          <w:szCs w:val="17"/>
          <w:color w:val="auto"/>
        </w:rPr>
      </w:pPr>
    </w:p>
    <w:p>
      <w:pPr>
        <w:jc w:val="both"/>
        <w:ind w:left="1300" w:right="280" w:hanging="644"/>
        <w:spacing w:after="0" w:line="248"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that caused by the war in Ukraine, and any disruption or negative impact on our ability to sell to, ship product to and support customers in certain regions based on trade restrictions, embargoes and export control law restrictions;</w:t>
      </w:r>
    </w:p>
    <w:p>
      <w:pPr>
        <w:spacing w:after="0" w:line="22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38" w:lineRule="exact"/>
        <w:rPr>
          <w:rFonts w:ascii="Arial" w:cs="Arial" w:eastAsia="Arial" w:hAnsi="Arial"/>
          <w:sz w:val="18"/>
          <w:szCs w:val="18"/>
          <w:color w:val="auto"/>
        </w:rPr>
      </w:pPr>
    </w:p>
    <w:p>
      <w:pPr>
        <w:ind w:left="1300" w:right="40" w:hanging="644"/>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211" w:lineRule="exact"/>
        <w:rPr>
          <w:rFonts w:ascii="Arial" w:cs="Arial" w:eastAsia="Arial" w:hAnsi="Arial"/>
          <w:sz w:val="18"/>
          <w:szCs w:val="18"/>
          <w:color w:val="auto"/>
        </w:rPr>
      </w:pPr>
    </w:p>
    <w:p>
      <w:pPr>
        <w:ind w:left="1300" w:right="760" w:hanging="644"/>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Adverse economic conditions, such as a possible recession and possible impacts of inflation or stagflation, rising interest rates or reduced information technology spending, may adversely impact our business.</w:t>
      </w:r>
    </w:p>
    <w:p>
      <w:pPr>
        <w:spacing w:after="0" w:line="170" w:lineRule="exact"/>
        <w:rPr>
          <w:sz w:val="20"/>
          <w:szCs w:val="20"/>
          <w:color w:val="auto"/>
        </w:rPr>
      </w:pPr>
    </w:p>
    <w:p>
      <w:pPr>
        <w:ind w:right="120" w:firstLine="648"/>
        <w:spacing w:after="0" w:line="280"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rising interest rates, geopolitical instability and uncertainty, a reduction in information technology spending regardless of macroeconomic conditions, the effects of the COVID-19 pandemic and the impact of the war in Ukraine each could have a material adverse impacts on our business, financial condition and results of operations, including longer sales cycles, lower prices for our products and services, increased component costs, higher default rates among our channel partners, reduced unit sales and slower or declining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 or stagflation, rising interest rates or any economic downturn or recession.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Inflation or possible stagflation, rising interest rates and any economic downturn or recession in certain regions or worldwide each have the potential to adversely affect our liquidity, business, financial condition and results of operations by increasing our overall product cost structure or decreasing demand. These can negatively impact our business by putting downward pressure on growth or if we are unable to achieve the increases in product prices necessary to appropriately offset the additional costs sufficient to maintain margins. The existence of inflation in certain economies has resulted in, and may continue to result in, rising interest rates and capital costs, increased shipping costs, increased costs of labor, weakening exchange rates and other similar effects. As a result of inflation, we have experienced and may continue to experience component, product and shipping cost increases. Inflation, stagflation and any economic downturn or a recession may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materially adversely affect our business, financial condition, results of operations and liquidity.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including its ongoing variants, may adversely affect our business, for example, through product and component shortages.</w:t>
      </w:r>
    </w:p>
    <w:p>
      <w:pPr>
        <w:spacing w:after="0" w:line="260" w:lineRule="exact"/>
        <w:rPr>
          <w:sz w:val="20"/>
          <w:szCs w:val="20"/>
          <w:color w:val="auto"/>
        </w:rPr>
      </w:pPr>
    </w:p>
    <w:p>
      <w:pPr>
        <w:ind w:right="60" w:firstLine="648"/>
        <w:spacing w:after="0" w:line="267" w:lineRule="auto"/>
        <w:rPr>
          <w:sz w:val="20"/>
          <w:szCs w:val="20"/>
          <w:color w:val="auto"/>
        </w:rPr>
      </w:pPr>
      <w:r>
        <w:rPr>
          <w:rFonts w:ascii="Arial" w:cs="Arial" w:eastAsia="Arial" w:hAnsi="Arial"/>
          <w:sz w:val="16"/>
          <w:szCs w:val="16"/>
          <w:color w:val="auto"/>
        </w:rPr>
        <w:t>The COVID-19 pandemic, including its ongoing variants, has negatively impacted the global economy, disrupted global supply chains, reduced demand for certain solutions and created significant volatility in, and disruption of, global markets. The extent of the future impact of the COVID-19 pandemic on our operational and financial performance is unpredictable, adds uncertainty to our business and will depend on future developments, including the duration and spread of the COVID-19 pandemic and related restrictions on, and disruptions of business, supply chain and world economies, all of which are uncertain and difficult to predict. There is a worldwide shortage of various components, impacting many industries, caused in-part by the COVID-19 pandemic. We continue to experience ongoing product and component shortages, which have resulted in, and which we expect will continue to result in, extended lead times of certain products and significant disruption to our production schedule and predictability. In fact, certain of our contract manufacturers and component suppliers have de-committed from their scheduled delivery dates and product and component delivery commitments. We also have experienced and expect to continue to experience increased component costs, which have negatively impacted our gross margins.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effects of the COVID-19 pandemic continue to limit the availability of our products, either by limiting components available, the actual manufacture and assembly or by limiting or restricting shipping of components and products, this could continue to result in increased product backlog, and result in lower billings, lower revenue and decreased profitability, and would negatively impact, and may materially negatively impact, our operating results and business. In addition, we may face personnel-related risks as certain departments and locations continue to transition back to an in-person working model, including that “return to office” plans may be viewed negatively by employees and lead to attrition and difficulty in hiring.</w:t>
      </w:r>
    </w:p>
    <w:p>
      <w:pPr>
        <w:spacing w:after="0" w:line="20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COVID-19 pandemic may adversely affect certain of our partners’ and customers’ ability or willingness to purchase our products and services, delay certain customers’ purchasing decisions and increase customer attrition rates, all of which will adversely affect our future sales, billings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distributors, which may decrease the likelihood that we will be able to collect from these customers. In addition, the COVID-19 pandemic has caused an increase in certain of our expenses, including increased shipping costs, increased cancellation charges and increased component and product manufacturing costs. The full impact of the COVID-19 pandemic is unknown at this time. While we continue to monitor developments and the potential effect on our business, it is clear that the COVID-19 pandemic may negatively impact certain sales and may have a material negative impact on our operating results in the near term and longer term.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 and our operating margins may decline.</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decrease in services revenue growth, increased competition, worldwide or regional economic challenges based on inflation or possible stagflation, a regional recession or a recession in the global economy, rising interest rates, the war in Ukraine,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32% of our total net accounts receivable as of December 31, 2022.</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84"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Six distributor customers accounted for 69% and 68% of our total net accounts receivable in the aggregate as of December 31, 2022 and 2021, respectively. See Note 16. Segment Information in Part II, Item 8 of this Annual Report on Form 10-K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2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0"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billings and revenue to fall below expected levels or delay collections and the related increase in free cash flow.</w:t>
      </w:r>
    </w:p>
    <w:p>
      <w:pPr>
        <w:spacing w:after="0" w:line="197"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19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50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183" w:lineRule="exact"/>
        <w:rPr>
          <w:rFonts w:ascii="Arial" w:cs="Arial" w:eastAsia="Arial" w:hAnsi="Arial"/>
          <w:sz w:val="18"/>
          <w:szCs w:val="18"/>
          <w:color w:val="auto"/>
        </w:rPr>
      </w:pPr>
    </w:p>
    <w:p>
      <w:pPr>
        <w:ind w:left="1300" w:right="20" w:hanging="644"/>
        <w:spacing w:after="0" w:line="291"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disruption in manufacturing or shipping based on power outages, system failures, labor disputes or constraints, excessive demand, natural disasters or widespread public health problems including pandemics and epidemics such as the COVID-19 pandemic;</w:t>
      </w:r>
    </w:p>
    <w:p>
      <w:pPr>
        <w:spacing w:after="0" w:line="187"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1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FortiGuard and other security subscription and FortiCare technical support service contracts may decline and fluctuate as a result of a number of factors, including fluctuations in purchases of Core Platform appliances or our Enhanced Platform Technology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9"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of December 31, 2022, we had an aggregate of $990.4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275" w:lineRule="exact"/>
        <w:rPr>
          <w:rFonts w:ascii="Arial" w:cs="Arial" w:eastAsia="Arial" w:hAnsi="Arial"/>
          <w:sz w:val="16"/>
          <w:szCs w:val="16"/>
          <w:color w:val="auto"/>
        </w:rPr>
      </w:pPr>
    </w:p>
    <w:p>
      <w:pPr>
        <w:ind w:left="660" w:right="280" w:hanging="4"/>
        <w:spacing w:after="0" w:line="308" w:lineRule="auto"/>
        <w:tabs>
          <w:tab w:leader="none" w:pos="1303"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indebtedness, sell selected assets or reduce or delay planned capital, operating or investment expenditures. Such measures may not be sufficient to enable us to service our debt.</w:t>
      </w:r>
    </w:p>
    <w:p>
      <w:pPr>
        <w:spacing w:after="0" w:line="19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84"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5" w:lineRule="exact"/>
        <w:rPr>
          <w:sz w:val="20"/>
          <w:szCs w:val="20"/>
          <w:color w:val="auto"/>
        </w:rPr>
      </w:pPr>
    </w:p>
    <w:p>
      <w:pPr>
        <w:ind w:left="1300" w:right="40" w:hanging="644"/>
        <w:spacing w:after="0" w:line="296" w:lineRule="auto"/>
        <w:tabs>
          <w:tab w:leader="none" w:pos="1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or other foreign conflicts, such as the war in Ukraine or tensions between China and Taiwan, and critical infrastructure attacks;</w:t>
      </w:r>
    </w:p>
    <w:p>
      <w:pPr>
        <w:spacing w:after="0" w:line="188" w:lineRule="exact"/>
        <w:rPr>
          <w:rFonts w:ascii="Arial" w:cs="Arial" w:eastAsia="Arial" w:hAnsi="Arial"/>
          <w:sz w:val="16"/>
          <w:szCs w:val="16"/>
          <w:color w:val="auto"/>
        </w:rPr>
      </w:pPr>
    </w:p>
    <w:p>
      <w:pPr>
        <w:ind w:left="1300" w:right="200" w:hanging="644"/>
        <w:spacing w:after="0" w:line="256"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1" w:lineRule="exact"/>
        <w:rPr>
          <w:rFonts w:ascii="Arial" w:cs="Arial" w:eastAsia="Arial" w:hAnsi="Arial"/>
          <w:sz w:val="18"/>
          <w:szCs w:val="18"/>
          <w:color w:val="auto"/>
        </w:rPr>
      </w:pPr>
    </w:p>
    <w:p>
      <w:pPr>
        <w:ind w:left="1300" w:hanging="644"/>
        <w:spacing w:after="0" w:line="308" w:lineRule="auto"/>
        <w:tabs>
          <w:tab w:leader="none" w:pos="1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economic or political instability in foreign markets, such as any economic or political instability caused by economic downturns and wars or other foreign conflicts, such as the war in Ukraine, tensions between China and Taiwan and any expansions thereof;</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right="94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U.S.;</w:t>
      </w:r>
    </w:p>
    <w:p>
      <w:pPr>
        <w:spacing w:after="0" w:line="184" w:lineRule="exact"/>
        <w:rPr>
          <w:rFonts w:ascii="Arial" w:cs="Arial" w:eastAsia="Arial" w:hAnsi="Arial"/>
          <w:sz w:val="18"/>
          <w:szCs w:val="18"/>
          <w:color w:val="auto"/>
        </w:rPr>
      </w:pPr>
    </w:p>
    <w:p>
      <w:pPr>
        <w:ind w:left="1300" w:right="80" w:hanging="644"/>
        <w:spacing w:after="0" w:line="259"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00" w:hanging="644"/>
        <w:spacing w:after="0" w:line="259"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12"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The ongoing effects of the COVID-19 pandemic may increase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0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94"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22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120" w:hanging="644"/>
        <w:spacing w:after="0" w:line="263"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6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340" w:firstLine="648"/>
        <w:spacing w:after="0" w:line="249" w:lineRule="auto"/>
        <w:rPr>
          <w:sz w:val="20"/>
          <w:szCs w:val="20"/>
          <w:color w:val="auto"/>
        </w:rPr>
      </w:pPr>
      <w:r>
        <w:rPr>
          <w:rFonts w:ascii="Arial" w:cs="Arial" w:eastAsia="Arial" w:hAnsi="Arial"/>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Enhanced Platform Technology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and to companies that perform on government contracts. These sales subject us to a number of regulatory requirements, challenges and risks.</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We derive a portion of our revenue from sales to government organization in the US (federal, state, local and education markets) and in foreign markets. Sales to government organizations are subject to several risks. Because of public sector budgetary cycles and laws or regulations governing public procurements, such sales often require significant upfront time and expense without any assurance of winning a sale.</w:t>
      </w:r>
    </w:p>
    <w:p>
      <w:pPr>
        <w:spacing w:after="0" w:line="21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84" w:lineRule="exact"/>
        <w:rPr>
          <w:sz w:val="20"/>
          <w:szCs w:val="20"/>
          <w:color w:val="auto"/>
        </w:rPr>
      </w:pPr>
    </w:p>
    <w:p>
      <w:pPr>
        <w:ind w:left="1300" w:right="240" w:hanging="644"/>
        <w:spacing w:after="0" w:line="248"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policies, laws or regulations have in the past, and may in the future, require us to hold certain third-party and government security certifications in order to sell our products and services and to make organizational and operational changes in order to sell into specific government agencies or programs, and such certifications may be costly to obtain and maintain;</w:t>
      </w:r>
    </w:p>
    <w:p>
      <w:pPr>
        <w:spacing w:after="0" w:line="208" w:lineRule="exact"/>
        <w:rPr>
          <w:rFonts w:ascii="Arial" w:cs="Arial" w:eastAsia="Arial" w:hAnsi="Arial"/>
          <w:sz w:val="18"/>
          <w:szCs w:val="18"/>
          <w:color w:val="auto"/>
        </w:rPr>
      </w:pPr>
    </w:p>
    <w:p>
      <w:pPr>
        <w:ind w:left="1300" w:right="460" w:hanging="644"/>
        <w:spacing w:after="0" w:line="261"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 and</w:t>
      </w:r>
    </w:p>
    <w:p>
      <w:pPr>
        <w:spacing w:after="0" w:line="197" w:lineRule="exact"/>
        <w:rPr>
          <w:rFonts w:ascii="Arial" w:cs="Arial" w:eastAsia="Arial" w:hAnsi="Arial"/>
          <w:sz w:val="18"/>
          <w:szCs w:val="18"/>
          <w:color w:val="auto"/>
        </w:rPr>
      </w:pPr>
    </w:p>
    <w:p>
      <w:pPr>
        <w:ind w:left="1300" w:right="40" w:hanging="644"/>
        <w:spacing w:after="0" w:line="294" w:lineRule="auto"/>
        <w:tabs>
          <w:tab w:leader="none" w:pos="12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geopolitical matters, including tariff and trade disputes, government shutdowns, impact of the war in Ukraine,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174"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In addition, government certifications and requirements may restrict our ability to sell to certain government customers until we have obtained certain certifications or meet other applicable requirements, which we are not guaranteed to do. For example, certain of our competitors may be certified under the U.S. Federal Risk and Authorization Management Program (“FedRAMP”) and until such a time that are also certified under FedRAMP, we risk losing sales to certain government customers to certified competitors.</w:t>
      </w:r>
    </w:p>
    <w:p>
      <w:pPr>
        <w:spacing w:after="0" w:line="218"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00"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Finally, purchases by some governments, including the U.S. federal government, may require certain products to be manufactured in the United States or in other high-cost manufacturing locations. We may not manufacture all products in locations that meet such requirements meaning our products will not be eligible for certain government purchases.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war in Ukraine and any expansion thereof and our reduction of operations in Russia have affected, and may continue to affect, our business.</w:t>
      </w:r>
    </w:p>
    <w:p>
      <w:pPr>
        <w:spacing w:after="0" w:line="26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war in Ukraine and resulting disruption are ongoing and likely to continue, and may also expand into other regions. Some of the impacts and potential impacts of the war in Ukraine and possible expansion thereof include, but are not limited to:</w:t>
      </w:r>
    </w:p>
    <w:p>
      <w:pPr>
        <w:spacing w:after="0" w:line="19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 of sales and revenue based on our reduction of operations and sales in Russia;</w:t>
      </w:r>
    </w:p>
    <w:p>
      <w:pPr>
        <w:spacing w:after="0" w:line="252"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business planning and forecasting due to the uncertainty of the impact of the war on aspects of our business, such as on our distributors, resellers and end-customers;</w:t>
      </w:r>
    </w:p>
    <w:p>
      <w:pPr>
        <w:spacing w:after="0" w:line="197"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uncertainty and disruption in the general demand environment, including Russia, Belarus and Ukraine, which could reduce demand by distributors;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and the diversion of management’s attention related to oversight of our international operations;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Russian distributors to pay outstanding accounts receivables owed to us;</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retaliatory actions by Russia or other countries against us and other Western companies that chose to limit or remove business operations in the region;</w:t>
      </w:r>
    </w:p>
    <w:p>
      <w:pPr>
        <w:spacing w:after="0" w:line="197" w:lineRule="exact"/>
        <w:rPr>
          <w:rFonts w:ascii="Arial" w:cs="Arial" w:eastAsia="Arial" w:hAnsi="Arial"/>
          <w:sz w:val="18"/>
          <w:szCs w:val="18"/>
          <w:color w:val="auto"/>
        </w:rPr>
      </w:pPr>
    </w:p>
    <w:p>
      <w:pPr>
        <w:ind w:left="1300" w:right="80" w:hanging="644"/>
        <w:spacing w:after="0" w:line="263"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risk of data breach and other threats from ransomware, destructive malware, distributed denial-of-service attacks, as well as fraud, spam and fake accounts, cyber-attacks or other illegal activity conducted generally by bad actors seeking to take advantage of us, our distributors, resellers or end-customers;</w:t>
      </w:r>
    </w:p>
    <w:p>
      <w:pPr>
        <w:spacing w:after="0" w:line="210"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devaluation of local currency or other inflationary effects caused by the impact of sanctions and other macroeconomic effects of the war;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volatility and disruption of global financial markets and negative impact to global and regional economies.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Sanctions and trade control measures that have been implemented against Russia and Belarus, and others that may be implemented, are complex and still evolving. Our efforts to comply with such measures may be costly, time consuming and divert the attention of management. Any alleged or actual failure to comply with these measures as we work to reduce our business operations in Russia may subject us to government scrutiny, civil or criminal proceedings, sanctions and other liabilities, which may have a material adverse effect on our international operations, financial condition and results of operations.</w:t>
      </w:r>
    </w:p>
    <w:p>
      <w:pPr>
        <w:spacing w:after="0" w:line="21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of the above-mentioned factors could adversely affect our business, prospects, financial condition and results of operations. The extent and duration of the military action, sanctions and resulting market disruptions are impossible to predict,</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but could be substantial. Any such disruptions may also magnify the impact of other risks described in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1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market for network security products is intensely competitive and dynamic, and we expect competition to continue to intensify. We face many competitors across the different cybersecurity markets. Our competitors include companies such as Arista, Aruba, Barracuda, Check Point, Cisco, CrowdStrike, F5 Networks, Huawei, Juniper, Palo Alto Networks, SonicWALL, Sophos, Trend Micro, VMware and Zscaler.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199" w:lineRule="exact"/>
        <w:rPr>
          <w:sz w:val="20"/>
          <w:szCs w:val="20"/>
          <w:color w:val="auto"/>
        </w:rPr>
      </w:pPr>
    </w:p>
    <w:p>
      <w:pPr>
        <w:ind w:firstLine="648"/>
        <w:spacing w:after="0" w:line="250"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97" w:lineRule="exact"/>
        <w:rPr>
          <w:sz w:val="20"/>
          <w:szCs w:val="20"/>
          <w:color w:val="auto"/>
        </w:rPr>
      </w:pPr>
    </w:p>
    <w:p>
      <w:pPr>
        <w:ind w:right="60" w:firstLine="648"/>
        <w:spacing w:after="0" w:line="275" w:lineRule="auto"/>
        <w:rPr>
          <w:sz w:val="20"/>
          <w:szCs w:val="20"/>
          <w:color w:val="auto"/>
        </w:rPr>
      </w:pPr>
      <w:r>
        <w:rPr>
          <w:rFonts w:ascii="Arial" w:cs="Arial" w:eastAsia="Arial" w:hAnsi="Arial"/>
          <w:sz w:val="16"/>
          <w:szCs w:val="16"/>
          <w:color w:val="auto"/>
        </w:rPr>
        <w:t>Managing our inventory is complex, especially given current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the time required to source components including chips and other components, and manufacture or ship certain products has increased, and so we expect inventory shortfalls to continue and costs to manufacture and ship on-time to continue to increase.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or other foreign conflicts, such as the war in Ukraine or tensions between China and Taiwan, and critical infrastructure attacks, our business and financial results could be materially and adversely impacted.</w:t>
      </w:r>
    </w:p>
    <w:p>
      <w:pPr>
        <w:spacing w:after="0" w:line="20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The global chip shortage caused by the COVID-19 pandemic and other factors affecting manufacturing capacity is having, and we expect to continue to have, an adverse impact on our ability to manage our inventory and to meet product demand in a timely fashion. We expect this shortage will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for us to obtain components and inventory, as well as increases to freight and shipping costs, and may result in a material adverse effect on our results of operations.</w:t>
      </w:r>
    </w:p>
    <w:p>
      <w:pPr>
        <w:spacing w:after="0" w:line="21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develop internally and acquire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have the appropriate research and development expertise and focus to make our top strategic Enhanced Platform Technology products successful;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97" w:lineRule="exact"/>
        <w:rPr>
          <w:sz w:val="20"/>
          <w:szCs w:val="20"/>
          <w:color w:val="auto"/>
        </w:rPr>
      </w:pPr>
    </w:p>
    <w:p>
      <w:pPr>
        <w:ind w:right="20" w:firstLine="648"/>
        <w:spacing w:after="0" w:line="250"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such as the war in Ukraine,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88% of our hardware is manufactured in Taiwan. Any increase in tensions between China and Taiwan, including threats of military actions or escalation of military activities, could adversely affect our manufacturing operations in Taiwan.</w:t>
      </w:r>
    </w:p>
    <w:p>
      <w:pPr>
        <w:spacing w:after="0" w:line="2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proprietary ASICs,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9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and AMD, network and wireless chips from Broadcom, Marvell, Qualcomm and Intel, and memory devices from Intel, Micron, ADATA, Toshiba, Samsung and Western Digital. We also may face shortages in the supply of the capacitors and resistors that are used in the manufacturing of our products. For example, the global chip shortage caused by the COVID-19 pandemic and other factors affecting manufacturing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such as the war in Ukraine, critical infrastructure attacks and other factors. Our reliance on a limited number of suppliers involves several additional risks, including:</w:t>
      </w:r>
    </w:p>
    <w:p>
      <w:pPr>
        <w:spacing w:after="0" w:line="214"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errors or vulnerabilities in our products or services, the failure of our products or services to detect or prevent a security breach or the misuse of our products could harm our operational results and reputation.</w:t>
      </w:r>
    </w:p>
    <w:p>
      <w:pPr>
        <w:spacing w:after="0" w:line="18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6"/>
          <w:szCs w:val="16"/>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Our Product Security Incident Response Team publicly posts on our FortiGuard Labs website known product vulnerabilities, including critical vulnerabilities, and methods for customers to mitigate the risk of vulnerabilities. However, there can be no assurance that such posts will be sufficiently timely or complete or those customers will take steps to mitigate the risk of vulnerabilities, and certain customers may be</w:t>
      </w:r>
    </w:p>
    <w:p>
      <w:pPr>
        <w:spacing w:after="0" w:line="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negatively impacted. Additionally, any perception that our products have vulnerabilities, whether or not accurate, and any actual vulnerabilities may harm our operational results and reputation, more significantly as compared to certain other companies because we are a security company.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operational results and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00" w:lineRule="exact"/>
        <w:rPr>
          <w:sz w:val="20"/>
          <w:szCs w:val="20"/>
          <w:color w:val="auto"/>
        </w:rPr>
      </w:pP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8" w:lineRule="exact"/>
        <w:rPr>
          <w:sz w:val="20"/>
          <w:szCs w:val="20"/>
          <w:color w:val="auto"/>
        </w:rPr>
      </w:pPr>
    </w:p>
    <w:p>
      <w:pPr>
        <w:ind w:left="1300" w:right="12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19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Moreover, business models based on a subscription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subscription SaaS business model, we would be required to make additional investments in our infrastructure and personnel to be able to more fully provide our platform through a subscription SaaS model in order to maintain the competitiveness of our platform. Such investments may involve expanding our data centers, servers and networks, and increasing our technical operations and engineering teams. These risks are compounded by the uncertainty concerning the future success of any of our particular subscription SaaS business models and the future demand for our subscription SaaS models by customers. Additionally, if we are unable to meet the demand to provide our services through a subscription SaaS model, we may lose customers to competitors.</w:t>
      </w:r>
    </w:p>
    <w:p>
      <w:pPr>
        <w:spacing w:after="0" w:line="1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harm our reputation. Any failure to effectively categorize and filter websites according to our end-customers’ and channel partners’ expectations could impair the growth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would have a material adverse effect on our sales and results of operations.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43"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75"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19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w:t>
      </w:r>
      <w:r>
        <w:rPr>
          <w:rFonts w:ascii="Arial" w:cs="Arial" w:eastAsia="Arial" w:hAnsi="Arial"/>
          <w:sz w:val="17"/>
          <w:szCs w:val="17"/>
          <w:color w:val="008080"/>
        </w:rPr>
        <w:t>.</w:t>
      </w:r>
      <w:r>
        <w:rPr>
          <w:rFonts w:ascii="Arial" w:cs="Arial" w:eastAsia="Arial" w:hAnsi="Arial"/>
          <w:sz w:val="17"/>
          <w:szCs w:val="17"/>
          <w:color w:val="auto"/>
        </w:rPr>
        <w:t xml:space="preserve"> These and other hacking efforts against us and our customers may be ongoing and may happen in the future.</w:t>
      </w:r>
    </w:p>
    <w:p>
      <w:pPr>
        <w:spacing w:after="0" w:line="22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breach could negatively impact our reputation and results of operations.</w:t>
      </w:r>
    </w:p>
    <w:p>
      <w:pPr>
        <w:spacing w:after="0" w:line="2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92" w:lineRule="exact"/>
        <w:rPr>
          <w:sz w:val="20"/>
          <w:szCs w:val="20"/>
          <w:color w:val="auto"/>
        </w:rPr>
      </w:pPr>
    </w:p>
    <w:p>
      <w:pPr>
        <w:ind w:right="46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jc w:val="both"/>
        <w:ind w:right="4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proprietary rights may be difficult to enforce and we may be subject to claims by others that we infringe their propriety technology.</w:t>
      </w:r>
    </w:p>
    <w:p>
      <w:pPr>
        <w:spacing w:after="0" w:line="2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5"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are, or may in the future, be reflected in our operating results, and we depend</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15" w:lineRule="exact"/>
        <w:rPr>
          <w:sz w:val="20"/>
          <w:szCs w:val="20"/>
          <w:color w:val="auto"/>
        </w:rPr>
      </w:pPr>
    </w:p>
    <w:p>
      <w:pPr>
        <w:ind w:right="80" w:firstLine="648"/>
        <w:spacing w:after="0" w:line="268" w:lineRule="auto"/>
        <w:rPr>
          <w:sz w:val="20"/>
          <w:szCs w:val="20"/>
          <w:color w:val="auto"/>
        </w:rPr>
      </w:pPr>
      <w:r>
        <w:rPr>
          <w:rFonts w:ascii="Arial" w:cs="Arial" w:eastAsia="Arial" w:hAnsi="Arial"/>
          <w:sz w:val="16"/>
          <w:szCs w:val="16"/>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have analyzed whether there should be an OTTI of the value of our investment in Linksys and during the three months ended December 31, 2022 we recorded an OTTI charge of $22.2 million. In evaluating OTTI, we considered factors such as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consolidated statements of income. 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spacing w:after="0" w:line="21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9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648"/>
        <w:spacing w:after="0" w:line="277" w:lineRule="auto"/>
        <w:rPr>
          <w:sz w:val="20"/>
          <w:szCs w:val="20"/>
          <w:color w:val="auto"/>
        </w:rPr>
      </w:pPr>
      <w:r>
        <w:rPr>
          <w:rFonts w:ascii="Arial" w:cs="Arial" w:eastAsia="Arial" w:hAnsi="Arial"/>
          <w:sz w:val="16"/>
          <w:szCs w:val="16"/>
          <w:color w:val="auto"/>
        </w:rPr>
        <w:t>For example,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becomes effective in 2023. Other states have since passed similar laws. The costs of compliance with and the penalties for violations of the GDPR, the CCPA and other similar state laws, along with other burdens imposed by these regulations, may limit the use and adoption of our products and services and could have an adverse impact on our business.</w:t>
      </w:r>
    </w:p>
    <w:p>
      <w:pPr>
        <w:spacing w:after="0" w:line="208"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47" w:lineRule="exact"/>
        <w:rPr>
          <w:sz w:val="20"/>
          <w:szCs w:val="20"/>
          <w:color w:val="auto"/>
        </w:rPr>
      </w:pPr>
    </w:p>
    <w:p>
      <w:pPr>
        <w:ind w:right="160" w:firstLine="648"/>
        <w:spacing w:after="0" w:line="249"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4"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4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73"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have an adverse impact on the costs of components in our products.</w:t>
      </w:r>
    </w:p>
    <w:p>
      <w:pPr>
        <w:spacing w:after="0" w:line="22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required to re-engineer our products to use components compatible with these regulations. This re-engineering and component substitution could result in additional costs to us and/or disrupt our operations or logistics.</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European Economic Area and UK.</w:t>
      </w:r>
    </w:p>
    <w:p>
      <w:pPr>
        <w:spacing w:after="0" w:line="186"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The EU’s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16" w:lineRule="exact"/>
        <w:rPr>
          <w:sz w:val="20"/>
          <w:szCs w:val="20"/>
          <w:color w:val="auto"/>
        </w:rPr>
      </w:pPr>
    </w:p>
    <w:p>
      <w:pPr>
        <w:ind w:right="60" w:firstLine="648"/>
        <w:spacing w:after="0" w:line="244" w:lineRule="auto"/>
        <w:rPr>
          <w:sz w:val="20"/>
          <w:szCs w:val="20"/>
          <w:color w:val="auto"/>
        </w:rPr>
      </w:pPr>
      <w:r>
        <w:rPr>
          <w:rFonts w:ascii="Arial" w:cs="Arial" w:eastAsia="Arial" w:hAnsi="Arial"/>
          <w:sz w:val="17"/>
          <w:szCs w:val="17"/>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8"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208"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Furthermore, in the event that we communicate certain initiatives and goals regarding ESG matters, such as our commitment to target carbon neutrality on Scope 1 and Scope 2 emissions resulting from our owned facilities worldwide by 2030,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has also proposed a draft rule that requires climate disclosures in financial filings. To the extent the SEC proposal becomes effective for our company,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Operations—Critical Accounting Policies and Estimates”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accounting for business combinations, contingent liabilities and accounting for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5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to corporate tax rates;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21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0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2022, our internal controls over financial reporting were effective, we cannot predict the outcome of our testing in 2023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we do not maintain adequate research coverage, if one or more of the analysts who cover us downgrades our stock or publishes inaccurate or unfavorable research about our business or if our results or forecasts fail to meet the expectations of research analysts and investors, our stock price could decline. If one or more of these analysts ceases coverage of our company or fails to publish reports on us regularly, demand for our stock could decrease, which could cause our stock price and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may be volatile, which may be exacerbated by share repurchases under our Share Repurchase Program.</w:t>
      </w:r>
    </w:p>
    <w:p>
      <w:pPr>
        <w:spacing w:after="0" w:line="248"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2022, the closing price of our common stock ranged from $45.93 to $69.50 per share (as adjusted for the five-for-one forward stock split of our common stock effective June 22, 2022).</w:t>
      </w:r>
    </w:p>
    <w:p>
      <w:pPr>
        <w:spacing w:after="0" w:line="226" w:lineRule="exact"/>
        <w:rPr>
          <w:sz w:val="20"/>
          <w:szCs w:val="20"/>
          <w:color w:val="auto"/>
        </w:rPr>
      </w:pPr>
    </w:p>
    <w:p>
      <w:pPr>
        <w:ind w:right="12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2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February 2023, our board of directors approved an extension of the Repurchase Program to February 29, 2024. As of December 31, 2022, the aggregate amount authorized to be repurchased under the Repurchase Program was $5.25 billion and $529.6 million remained available for future share repurchases.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19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Global economic uncertainty, an economic downturn, the possibility of a recession, inflation, rising interest rates, weakening product demand caused by political instability, changes in trade agreements and conflicts such as the war in Ukraine, could adversely affect our business and financial performance.</w:t>
      </w:r>
    </w:p>
    <w:p>
      <w:pPr>
        <w:spacing w:after="0" w:line="21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Economic uncertainty in various global markets caused by political instability and conflict, such as the war in Ukraine, and economic challenges caused by the effects of the COVID-19 pandemic, the economic downturn, any resulting recession, inflation or rise in interest rates has resulted, and may continue to result, in weakened demand for our products and services and difficulty in forecasting our financial results and managing inventory levels. The current economic uncertainty, and possibility of a recession, has negatively impacted the stock prices of many companies in 2022, including many companies in the technology sector.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22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188" w:lineRule="exact"/>
        <w:rPr>
          <w:sz w:val="20"/>
          <w:szCs w:val="20"/>
          <w:color w:val="auto"/>
        </w:rPr>
      </w:pPr>
    </w:p>
    <w:p>
      <w:pPr>
        <w:ind w:firstLine="648"/>
        <w:spacing w:after="0" w:line="249" w:lineRule="auto"/>
        <w:rPr>
          <w:sz w:val="20"/>
          <w:szCs w:val="20"/>
          <w:color w:val="auto"/>
        </w:rPr>
      </w:pPr>
      <w:r>
        <w:rPr>
          <w:rFonts w:ascii="Arial" w:cs="Arial" w:eastAsia="Arial" w:hAnsi="Arial"/>
          <w:sz w:val="17"/>
          <w:szCs w:val="17"/>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revenues, or the effects of the COVID-19 pandemic may negatively impact our ability to manufacture and ship products, possibly in a material way, and could result in delays and reductions in billings and revenues,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01"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corporate headquarters is located in Sunnyvale, California and comprises approximately 395,000 square feet of building space on 20 acres of land. Along with our corporate headquarters, as of December 31, 2022, we own approximately 290,000 square feet in Union City, California, used for manufacturing assembly and operations; approximately 560,000 square feet of office space in Burnaby and Ottawa, Canada, used for operations, support and research and development work; approximately 100,000 square feet of office space in Chicago; approximately 100,000 square feet of office space in Florida; approximately 90,000 square feet of office space in Texas; and approximately 70,000 square feet of office space in Valbonne, France, predominantly used for sales and support. We also own additional building space in Sunnyvale and Union City, California, for future development of approximately 470,000 square feet.</w:t>
      </w:r>
    </w:p>
    <w:p>
      <w:pPr>
        <w:spacing w:after="0" w:line="22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maintain additional leased offices throughout the world, predominantly used as sales and support offices, and leased data center spaces throughout the world operated under co-location arrangements. We believe that our existing properties are sufficient and suitable to meet our current needs. We intend to expand our facilities or add new facilities to support our future growth and enter new markets, and we believe that suitable additional or alternative space will be available or can be developed as needed to accommodate ongoing operations and any such growth. However, we expect to incur additional operating expenses and capital expenditures in connection with such new or expanded facilities.</w:t>
      </w:r>
    </w:p>
    <w:p>
      <w:pPr>
        <w:spacing w:after="0" w:line="20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information regarding the geographical location of our property and equipment, refer to Note 16 to our consolidated financial statements in Part II, Item 8 of this Annual Report on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ordinary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i w:val="1"/>
          <w:iCs w:val="1"/>
          <w:color w:val="auto"/>
        </w:rPr>
        <w:t>All share and per share amounts presented in this Part II have been retroactively adjusted to reflect the five-for-one forward stock split of our common stock effective June 22, 2022.</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on The Nasdaq Global Select Market under the symbol “FTNT.”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February 17, 2023, there were 43 holders of record of our common stock. A substantially greater number of holders of our common stock are “street name” or beneficial holders, whose shares are held by banks, brokers and other financial institutions.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2023 Annual Meeting of Stockholders to be filed with the Securities and Exchange Commission (the “SEC”) within 120 days after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This performance graph shall not be deemed “filed” for purposes of Section 18 of the Securities and Exchange Act of 1934 </w:t>
      </w:r>
      <w:r>
        <w:rPr>
          <w:rFonts w:ascii="Arial" w:cs="Arial" w:eastAsia="Arial" w:hAnsi="Arial"/>
          <w:sz w:val="18"/>
          <w:szCs w:val="18"/>
          <w:color w:val="auto"/>
        </w:rPr>
        <w:t>(</w:t>
      </w:r>
      <w:r>
        <w:rPr>
          <w:rFonts w:ascii="Arial" w:cs="Arial" w:eastAsia="Arial" w:hAnsi="Arial"/>
          <w:sz w:val="18"/>
          <w:szCs w:val="18"/>
          <w:i w:val="1"/>
          <w:iCs w:val="1"/>
          <w:color w:val="auto"/>
        </w:rPr>
        <w:t>the “Exchange Act”), or incorporated by reference into any filing of Fortinet under the Securities Act of 1933, as amended (the “Securities Act”), or the Exchange Act, except as shall be expressly set forth by specific reference in such filing.</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graph compares the cumulative five-year total return for our common stock, the Standard &amp; Poor’s 500 Stock Index (the “S&amp;P 500 Index”) and the NASDAQ Computer Index. Such returns are based on historical results and are not intended to suggest future performance. Data for the S&amp;P 500 Index and the NASDAQ Computer Index assume reinvestment of dividends.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Among Fortinet, Inc., the S&amp;P 500 Index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2665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359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w:t>
            </w:r>
          </w:p>
        </w:tc>
        <w:tc>
          <w:tcPr>
            <w:tcW w:w="12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December</w:t>
            </w:r>
          </w:p>
        </w:tc>
      </w:tr>
      <w:tr>
        <w:trPr>
          <w:trHeight w:val="213"/>
        </w:trPr>
        <w:tc>
          <w:tcPr>
            <w:tcW w:w="4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2022</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468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bl>
    <w:p>
      <w:pPr>
        <w:spacing w:after="0" w:line="130" w:lineRule="exact"/>
        <w:rPr>
          <w:sz w:val="20"/>
          <w:szCs w:val="20"/>
          <w:color w:val="auto"/>
        </w:rPr>
      </w:pPr>
    </w:p>
    <w:p>
      <w:pPr>
        <w:ind w:left="80" w:right="520" w:hanging="7"/>
        <w:spacing w:after="0" w:line="253" w:lineRule="auto"/>
        <w:tabs>
          <w:tab w:leader="none" w:pos="188"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Assumes that $100 was invested on December 31, 2017 in stock or index, including reinvestment of dividends. Stockholder returns over the indicated period should not be considered indicative of future stockholder returns.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6"/>
          <w:szCs w:val="16"/>
          <w:color w:val="auto"/>
        </w:rPr>
        <w:t>In January 2016, our board of directors approved our Share Repurchase Program (the “Repurchase Program”), which authorized the repurchase of up to $200.0 million of our outstanding common stock through December 31, 2017. From 2016 through 2021, our board of directors approved increases to our Repurchase Program by various amounts and extended the term to February 28, 2023, bringing the aggregated amount authorized to $4.25 billion. In July 2022, our board of directors approved a $1.0 billion increase, bringing the aggregate amount authorized to be repurchased to $5.25 billion. In February 2023, our board of directors approved an extension of the Repurchase Program to February 29, 2024.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Since its inception, we have repurchased 211.4 million shares of our common stock under the Repurchase Program for an aggregate purchase price of $4.72 billion.</w:t>
      </w:r>
    </w:p>
    <w:p>
      <w:pPr>
        <w:spacing w:after="0" w:line="191"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There were no repurchases of common stock during the three months ended December 31, 2022. As of December 31, 2022, $529.6 million remained available for future share repurchases under the Repurchase Program.</w:t>
      </w:r>
    </w:p>
    <w:p>
      <w:pPr>
        <w:spacing w:after="0" w:line="200" w:lineRule="exact"/>
        <w:rPr>
          <w:sz w:val="20"/>
          <w:szCs w:val="20"/>
          <w:color w:val="auto"/>
        </w:rPr>
      </w:pPr>
    </w:p>
    <w:p>
      <w:pPr>
        <w:spacing w:after="0" w:line="3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right="40" w:firstLine="648"/>
        <w:spacing w:after="0" w:line="324"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65" w:lineRule="exact"/>
        <w:rPr>
          <w:sz w:val="20"/>
          <w:szCs w:val="20"/>
          <w:color w:val="auto"/>
        </w:rPr>
      </w:pPr>
    </w:p>
    <w:p>
      <w:pPr>
        <w:ind w:left="1300" w:hanging="644"/>
        <w:spacing w:after="0" w:line="277" w:lineRule="auto"/>
        <w:tabs>
          <w:tab w:leader="none" w:pos="12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supply chain constraints, the global chip and component shortages, and other factors affecting our manufacturing capacity, delivery, cost and inventory management;</w:t>
      </w:r>
    </w:p>
    <w:p>
      <w:pPr>
        <w:spacing w:after="0" w:line="197" w:lineRule="exact"/>
        <w:rPr>
          <w:rFonts w:ascii="Arial" w:cs="Arial" w:eastAsia="Arial" w:hAnsi="Arial"/>
          <w:sz w:val="18"/>
          <w:szCs w:val="18"/>
          <w:i w:val="1"/>
          <w:iCs w:val="1"/>
          <w:color w:val="auto"/>
        </w:rPr>
      </w:pPr>
    </w:p>
    <w:p>
      <w:pPr>
        <w:ind w:left="1300" w:right="240" w:hanging="644"/>
        <w:spacing w:after="0" w:line="277" w:lineRule="auto"/>
        <w:tabs>
          <w:tab w:leader="none" w:pos="12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inflation or stagflation, and rising interest rates in many geographies and changes in currency exchange rates and currency regulations;</w:t>
      </w:r>
    </w:p>
    <w:p>
      <w:pPr>
        <w:spacing w:after="0" w:line="201"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0"/>
        </w:numPr>
        <w:rPr>
          <w:rFonts w:ascii="Arial" w:cs="Arial" w:eastAsia="Arial" w:hAnsi="Arial"/>
          <w:sz w:val="22"/>
          <w:szCs w:val="22"/>
          <w:color w:val="auto"/>
        </w:rPr>
      </w:pPr>
      <w:r>
        <w:rPr>
          <w:rFonts w:ascii="Arial" w:cs="Arial" w:eastAsia="Arial" w:hAnsi="Arial"/>
          <w:sz w:val="18"/>
          <w:szCs w:val="18"/>
          <w:i w:val="1"/>
          <w:iCs w:val="1"/>
          <w:color w:val="auto"/>
        </w:rPr>
        <w:t>the duration and impact of the COVID-19 pandemic, including various COVID-19 variants and “return to office” plans;</w:t>
      </w:r>
    </w:p>
    <w:p>
      <w:pPr>
        <w:spacing w:after="0" w:line="228" w:lineRule="exact"/>
        <w:rPr>
          <w:rFonts w:ascii="Arial" w:cs="Arial" w:eastAsia="Arial" w:hAnsi="Arial"/>
          <w:sz w:val="22"/>
          <w:szCs w:val="22"/>
          <w:color w:val="auto"/>
        </w:rPr>
      </w:pPr>
    </w:p>
    <w:p>
      <w:pPr>
        <w:ind w:left="1300" w:hanging="644"/>
        <w:spacing w:after="0"/>
        <w:tabs>
          <w:tab w:leader="none" w:pos="130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and service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660" w:hanging="644"/>
        <w:spacing w:after="0" w:line="277" w:lineRule="auto"/>
        <w:tabs>
          <w:tab w:leader="none" w:pos="12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macroeconomic, geopolitical factors and other disruption on our manufacturing or sales, including the impact of the COVID-19 pandemic and other public health issues, wars and natural disasters;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government regulation, tariffs and other policies;</w:t>
      </w:r>
    </w:p>
    <w:p>
      <w:pPr>
        <w:spacing w:after="0" w:line="252" w:lineRule="exact"/>
        <w:rPr>
          <w:rFonts w:ascii="Arial" w:cs="Arial" w:eastAsia="Arial" w:hAnsi="Arial"/>
          <w:sz w:val="18"/>
          <w:szCs w:val="18"/>
          <w:color w:val="auto"/>
        </w:rPr>
      </w:pPr>
    </w:p>
    <w:p>
      <w:pPr>
        <w:ind w:left="1300" w:right="50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and capacity, functionality and value in our service offerings;</w:t>
      </w:r>
    </w:p>
    <w:p>
      <w:pPr>
        <w:spacing w:after="0" w:line="197" w:lineRule="exact"/>
        <w:rPr>
          <w:rFonts w:ascii="Arial" w:cs="Arial" w:eastAsia="Arial" w:hAnsi="Arial"/>
          <w:sz w:val="18"/>
          <w:szCs w:val="18"/>
          <w:color w:val="auto"/>
        </w:rPr>
      </w:pPr>
    </w:p>
    <w:p>
      <w:pPr>
        <w:ind w:left="1300" w:right="20" w:hanging="644"/>
        <w:spacing w:after="0" w:line="259"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right="20" w:hanging="644"/>
        <w:spacing w:after="0" w:line="263" w:lineRule="auto"/>
        <w:tabs>
          <w:tab w:leader="none" w:pos="12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 will increase in absolute dollars during 2023;</w:t>
      </w:r>
    </w:p>
    <w:p>
      <w:pPr>
        <w:spacing w:after="0" w:line="252" w:lineRule="exact"/>
        <w:rPr>
          <w:rFonts w:ascii="Arial" w:cs="Arial" w:eastAsia="Arial" w:hAnsi="Arial"/>
          <w:sz w:val="18"/>
          <w:szCs w:val="18"/>
          <w:i w:val="1"/>
          <w:iCs w:val="1"/>
          <w:color w:val="auto"/>
        </w:rPr>
      </w:pPr>
    </w:p>
    <w:p>
      <w:pPr>
        <w:ind w:left="1300" w:right="60" w:hanging="644"/>
        <w:spacing w:after="0" w:line="277" w:lineRule="auto"/>
        <w:tabs>
          <w:tab w:leader="none" w:pos="12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97" w:lineRule="exact"/>
        <w:rPr>
          <w:rFonts w:ascii="Arial" w:cs="Arial" w:eastAsia="Arial" w:hAnsi="Arial"/>
          <w:sz w:val="18"/>
          <w:szCs w:val="18"/>
          <w:i w:val="1"/>
          <w:iCs w:val="1"/>
          <w:color w:val="auto"/>
        </w:rPr>
      </w:pPr>
    </w:p>
    <w:p>
      <w:pPr>
        <w:ind w:left="1300" w:right="20" w:hanging="644"/>
        <w:spacing w:after="0" w:line="342" w:lineRule="auto"/>
        <w:tabs>
          <w:tab w:leader="none" w:pos="1295"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expectations regarding uncertain tax benefits and our effective domestic and global tax rates, and the impact of the Tax Cuts and Jobs Act of 2017 (“TCJA”), the Coronavirus Aid, Relief, and Economic Security Act of 2020 and the Inflation Reduction Act of 2022 (</w:t>
      </w:r>
      <w:r>
        <w:rPr>
          <w:rFonts w:ascii="Arial" w:cs="Arial" w:eastAsia="Arial" w:hAnsi="Arial"/>
          <w:sz w:val="16"/>
          <w:szCs w:val="16"/>
          <w:color w:val="auto"/>
        </w:rPr>
        <w:t>“</w:t>
      </w:r>
      <w:r>
        <w:rPr>
          <w:rFonts w:ascii="Arial" w:cs="Arial" w:eastAsia="Arial" w:hAnsi="Arial"/>
          <w:sz w:val="16"/>
          <w:szCs w:val="16"/>
          <w:i w:val="1"/>
          <w:iCs w:val="1"/>
          <w:color w:val="auto"/>
        </w:rPr>
        <w:t>IRA”);</w:t>
      </w:r>
    </w:p>
    <w:p>
      <w:pPr>
        <w:spacing w:after="0" w:line="150" w:lineRule="exact"/>
        <w:rPr>
          <w:rFonts w:ascii="Arial" w:cs="Arial" w:eastAsia="Arial" w:hAnsi="Arial"/>
          <w:sz w:val="16"/>
          <w:szCs w:val="16"/>
          <w:i w:val="1"/>
          <w:iCs w:val="1"/>
          <w:color w:val="auto"/>
        </w:rPr>
      </w:pPr>
    </w:p>
    <w:p>
      <w:pPr>
        <w:ind w:left="1300" w:right="280" w:hanging="644"/>
        <w:spacing w:after="0" w:line="277" w:lineRule="auto"/>
        <w:tabs>
          <w:tab w:leader="none" w:pos="129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acquisitions and development, data center investments, as well as other capital expenditures and to the impact on free cash flow;</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estimates of a range of 2023 spending on capital expenditures;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39"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including enterprises, communication service providers and security service providers, government organizations and small businesses. Our cybersecurity solutions are designed to provide broad visibility and segmentation of the digital attack surface through our integrated cybersecurity platform products and services providing a mesh architecture, which feature automated protection, detection and response along with consolidated visibility across both Fortinet-developed solutions and a broad ecosystem of third-party solutions and technologies. Our cybersecurity platform portfolio leverages a common operating system or integration to this operating system across our product offerings and helps organizations better secure their environments and reduce their security and network complexities. The Fortinet operating system has an open architecture designed to integrate Fortinet solutions with third-party solutions in a single ecosystem, enabling automated detection and response across the attack surface.</w:t>
      </w:r>
    </w:p>
    <w:p>
      <w:pPr>
        <w:spacing w:after="0" w:line="20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product offerings consist of our Core Platform (previously referred to as FortiGate network security) and our Enhanced Platform Technologies (previously referred to as Platform Extension). The Enhanced Platform includes Secure Networking (Secure Switching, Access Points, 5G and Network Access Control), Network and Security Operations (Management, Analytics, Security Information and Event Management, Security Operations, Orchestration and Response and Email Security), Endpoint Security (Enhanced Detection and Response and Identity) and Cloud Security (Web Application Firewall, Cloud Network Security and Cloud-native Application Protection).</w:t>
      </w:r>
    </w:p>
    <w:p>
      <w:pPr>
        <w:spacing w:after="0" w:line="229"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Our cloud- and hosted- Enhanced Platform Technology products and services include sandboxing, endpoint detection and response (“EDR”), email security, web application and application programming interface (“API”) security, cloud networking security and cloud-native protection as well as management and analytics.</w:t>
      </w:r>
    </w:p>
    <w:p>
      <w:pPr>
        <w:spacing w:after="0" w:line="188" w:lineRule="exact"/>
        <w:rPr>
          <w:sz w:val="20"/>
          <w:szCs w:val="20"/>
          <w:color w:val="auto"/>
        </w:rPr>
      </w:pPr>
    </w:p>
    <w:p>
      <w:pPr>
        <w:ind w:right="460" w:firstLine="648"/>
        <w:spacing w:after="0" w:line="248" w:lineRule="auto"/>
        <w:rPr>
          <w:sz w:val="20"/>
          <w:szCs w:val="20"/>
          <w:color w:val="auto"/>
        </w:rPr>
      </w:pPr>
      <w:r>
        <w:rPr>
          <w:rFonts w:ascii="Arial" w:cs="Arial" w:eastAsia="Arial" w:hAnsi="Arial"/>
          <w:sz w:val="18"/>
          <w:szCs w:val="18"/>
          <w:color w:val="auto"/>
        </w:rPr>
        <w:t>Our FortiGuard security subscription services are enabled by FortiGuard Labs, which provides threat research and artificial intelligence capabilities from a cloud network to deliver coordinated protection for the ever-expanding attack surface through Core Platform appliance and virtual machine as well as all Enhanced Platform Technology products that are registered by the end-customer.</w:t>
      </w:r>
    </w:p>
    <w:p>
      <w:pPr>
        <w:spacing w:after="0" w:line="20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Our FortiCare support services provide both technical support and professional services to help our customers deploy, maintain, and operationalize our Core Platform and Enhanced Platform Technology products and services</w:t>
      </w:r>
      <w:r>
        <w:rPr>
          <w:rFonts w:ascii="Arial" w:cs="Arial" w:eastAsia="Arial" w:hAnsi="Arial"/>
          <w:sz w:val="18"/>
          <w:szCs w:val="18"/>
          <w:color w:val="008080"/>
        </w:rPr>
        <w:t>.</w:t>
      </w:r>
    </w:p>
    <w:p>
      <w:pPr>
        <w:spacing w:after="0" w:line="210" w:lineRule="exact"/>
        <w:rPr>
          <w:sz w:val="20"/>
          <w:szCs w:val="20"/>
          <w:color w:val="auto"/>
        </w:rPr>
      </w:pPr>
    </w:p>
    <w:p>
      <w:pPr>
        <w:jc w:val="both"/>
        <w:ind w:right="80" w:firstLine="648"/>
        <w:spacing w:after="0" w:line="238" w:lineRule="auto"/>
        <w:rPr>
          <w:sz w:val="20"/>
          <w:szCs w:val="20"/>
          <w:color w:val="auto"/>
        </w:rPr>
      </w:pPr>
      <w:r>
        <w:rPr>
          <w:rFonts w:ascii="Arial" w:cs="Arial" w:eastAsia="Arial" w:hAnsi="Arial"/>
          <w:sz w:val="18"/>
          <w:szCs w:val="18"/>
          <w:color w:val="auto"/>
        </w:rPr>
        <w:t>Our proprietary Application-Specific Integrated Circuits (“ASIC”) are implemented in our physical Core Platform appliances and are designed to enhance the security processing capabilities implemented in software by accelerating computationally intensive tasks such as firewall policy enforcement, software-defined wide-area network (“SD-WAN”), network address translation, Intrusion Prevention Systems (“IPS”), threat detection and encryption. We also provide Fortinet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virtualized Application-Specific Integrated Circuits (“vASICs”) across our Core Platform virtual appliances to deliver similar accelerated capabilities when run in virtualized environments.</w:t>
      </w:r>
    </w:p>
    <w:p>
      <w:pPr>
        <w:spacing w:after="0" w:line="21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FortiOS operating system provides the foundation for the operation of Core Platform and Enhanced Platform Technology products, whether physical, virtual, private- or public-cloud based. FortiOS directs the operations of processors and ASICs and provides system management functions. We make regular updates to FortiOS available through our FortiCare support services.</w:t>
      </w:r>
    </w:p>
    <w:p>
      <w:pPr>
        <w:spacing w:after="0" w:line="197"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Networking functionality and security capabilities are integrated into the FortiOS operating system to run both the Core Platform and Enhanced Platform Technology capabilities of our cybersecurity mesh architecture (“Fortinet Security Fabric”). This approach to security combines discrete security solutions together into an integrated operating system which provides centralized management, visibility, automation and intelligence sharing to simplify operations and respond rapidly to threats.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39" w:lineRule="exact"/>
        <w:rPr>
          <w:sz w:val="20"/>
          <w:szCs w:val="20"/>
          <w:color w:val="auto"/>
        </w:rPr>
      </w:pPr>
    </w:p>
    <w:p>
      <w:pPr>
        <w:ind w:left="660" w:hanging="328"/>
        <w:spacing w:after="0" w:line="257"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Secure Networking</w:t>
      </w:r>
      <w:r>
        <w:rPr>
          <w:rFonts w:ascii="Arial" w:cs="Arial" w:eastAsia="Arial" w:hAnsi="Arial"/>
          <w:sz w:val="17"/>
          <w:szCs w:val="17"/>
          <w:color w:val="auto"/>
        </w:rPr>
        <w:t>—Our Security-Driven Networking solutions enables the convergence of networking and security across all edges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next-generation firewall (“NGFW”), SD-WAN, LAN Edge (Wi-Fi and switch) and secure access service edge (“SASE”). We derive a majority of product sales from our Core Platform network security appliances. Core Platform network security appliances include a broad set of built-in security and networking features and functionalities, including firewall, next-generation firewall, secure web gateway, secure sockets layer (“SSL”) inspection, SD-WAN, Intrusion Prevention system (“IPS”), sandboxing, data leak prevention, virtual private network (“VPN”), switch and wireless controller and wide area network (“WAN”) edge. Our network security appliances are managed by our FortiOS network operating system, which provides the foundation for Core Platform security functions. We enhance the performance of our network security appliances from branch to data center by designing and implementing ASICs technology within our appliances, enabling us to add security and network functionality with minimal impact to network throughput performance. Along with our secure Wi-Fi access points and switches, we help organizations secure their networks across campuses, branches and work from anywhere (“WFA”) deployments. For the Japanese market, we also offer high performance network switches marketed under Alaxala for data center switching.</w:t>
      </w:r>
    </w:p>
    <w:p>
      <w:pPr>
        <w:spacing w:after="0" w:line="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FortiOS supports many more secure networking markets and applications than just Firewall. These include:</w:t>
      </w:r>
    </w:p>
    <w:p>
      <w:pPr>
        <w:spacing w:after="0" w:line="240" w:lineRule="exact"/>
        <w:rPr>
          <w:rFonts w:ascii="Arial" w:cs="Arial" w:eastAsia="Arial" w:hAnsi="Arial"/>
          <w:sz w:val="17"/>
          <w:szCs w:val="17"/>
          <w:color w:val="auto"/>
        </w:rPr>
      </w:pPr>
    </w:p>
    <w:p>
      <w:pPr>
        <w:ind w:left="1300" w:hanging="320"/>
        <w:spacing w:after="0"/>
        <w:tabs>
          <w:tab w:leader="none" w:pos="1300" w:val="left"/>
        </w:tabs>
        <w:numPr>
          <w:ilvl w:val="1"/>
          <w:numId w:val="32"/>
        </w:numPr>
        <w:rPr>
          <w:rFonts w:ascii="Arial" w:cs="Arial" w:eastAsia="Arial" w:hAnsi="Arial"/>
          <w:sz w:val="22"/>
          <w:szCs w:val="22"/>
          <w:color w:val="auto"/>
        </w:rPr>
      </w:pPr>
      <w:r>
        <w:rPr>
          <w:rFonts w:ascii="Arial" w:cs="Arial" w:eastAsia="Arial" w:hAnsi="Arial"/>
          <w:sz w:val="18"/>
          <w:szCs w:val="18"/>
          <w:color w:val="auto"/>
        </w:rPr>
        <w:t>Network Firewall (“NFW”)</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1"/>
          <w:numId w:val="32"/>
        </w:numPr>
        <w:rPr>
          <w:rFonts w:ascii="Arial" w:cs="Arial" w:eastAsia="Arial" w:hAnsi="Arial"/>
          <w:sz w:val="22"/>
          <w:szCs w:val="22"/>
          <w:color w:val="auto"/>
        </w:rPr>
      </w:pPr>
      <w:r>
        <w:rPr>
          <w:rFonts w:ascii="Arial" w:cs="Arial" w:eastAsia="Arial" w:hAnsi="Arial"/>
          <w:sz w:val="18"/>
          <w:szCs w:val="18"/>
          <w:color w:val="auto"/>
        </w:rPr>
        <w:t>Software-Defined Wide Area Network (“SD-WAN”)</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18"/>
          <w:szCs w:val="18"/>
          <w:color w:val="auto"/>
        </w:rPr>
        <w:t>Secure LAN/WLAN (Wi-Fi and Switch) (SD-Branch/Campus)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18"/>
          <w:szCs w:val="18"/>
          <w:color w:val="auto"/>
        </w:rPr>
        <w:t>Secure Access Service Edge (“SASE”)</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18"/>
          <w:szCs w:val="18"/>
          <w:color w:val="auto"/>
        </w:rPr>
        <w:t>Universal Zero Trust Network Access (“ZTNA”)</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18"/>
          <w:szCs w:val="18"/>
          <w:color w:val="auto"/>
        </w:rPr>
        <w:t>Encryption Applications (SSL Inspection, Virtual Private Network (“VPN”), and IPsec Connectivity)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each security application has number of customer use cases. For example, Network Firewall has the following use cases:</w:t>
      </w:r>
    </w:p>
    <w:p>
      <w:pPr>
        <w:spacing w:after="0" w:line="270" w:lineRule="exact"/>
        <w:rPr>
          <w:sz w:val="20"/>
          <w:szCs w:val="20"/>
          <w:color w:val="auto"/>
        </w:rPr>
      </w:pPr>
    </w:p>
    <w:p>
      <w:pPr>
        <w:ind w:left="1300" w:hanging="320"/>
        <w:spacing w:after="0"/>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Data Center Perimeter NGFW</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North–South Internal Segmentation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Distributed Network Edge Firewall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East–West Micro Segmentation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Virtual Firewall (“VM”)</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Cloud Native Firewall (“CNF”)</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Firewall as a Service (“FWaaS”)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Containerized Firewall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Endpoint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SMB Firewall</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18"/>
          <w:szCs w:val="18"/>
          <w:color w:val="auto"/>
        </w:rPr>
        <w:t>Home Firewall</w:t>
      </w:r>
    </w:p>
    <w:p>
      <w:pPr>
        <w:spacing w:after="0" w:line="216" w:lineRule="exact"/>
        <w:rPr>
          <w:rFonts w:ascii="Arial" w:cs="Arial" w:eastAsia="Arial" w:hAnsi="Arial"/>
          <w:sz w:val="22"/>
          <w:szCs w:val="22"/>
          <w:color w:val="auto"/>
        </w:rPr>
      </w:pPr>
    </w:p>
    <w:p>
      <w:pPr>
        <w:ind w:left="660" w:right="20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Zero Trust Access</w:t>
      </w:r>
      <w:r>
        <w:rPr>
          <w:rFonts w:ascii="Arial" w:cs="Arial" w:eastAsia="Arial" w:hAnsi="Arial"/>
          <w:sz w:val="18"/>
          <w:szCs w:val="18"/>
          <w:color w:val="auto"/>
        </w:rPr>
        <w:t>—Fortinet’s Enhanced Platform Technology products and services extend beyond the network to create a cybersecurity mesh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architecture to cover other attack vectors. Our Zero Trust Access solutions enable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140"/>
        <w:spacing w:after="0" w:line="243" w:lineRule="auto"/>
        <w:rPr>
          <w:sz w:val="20"/>
          <w:szCs w:val="20"/>
          <w:color w:val="auto"/>
        </w:rPr>
      </w:pPr>
      <w:r>
        <w:rPr>
          <w:rFonts w:ascii="Arial" w:cs="Arial" w:eastAsia="Arial" w:hAnsi="Arial"/>
          <w:sz w:val="18"/>
          <w:szCs w:val="18"/>
          <w:color w:val="auto"/>
        </w:rPr>
        <w:t>customers to know and control who and what is on their network, in addition to providing security for WFA. Zero Trust Access solutions include FortiNAC, FortiAuthenticator, FortiClient and FortiToken. Additionally, the proliferation of OT and internet of things (“IoT”) devices has generated new opportunities for us to grow our business. Our network access control solutions provide visibility, control and automated event responses in order to secure OT and IoT devices.</w:t>
      </w:r>
    </w:p>
    <w:p>
      <w:pPr>
        <w:spacing w:after="0" w:line="215" w:lineRule="exact"/>
        <w:rPr>
          <w:sz w:val="20"/>
          <w:szCs w:val="20"/>
          <w:color w:val="auto"/>
        </w:rPr>
      </w:pPr>
    </w:p>
    <w:p>
      <w:pPr>
        <w:ind w:left="660" w:right="180" w:hanging="328"/>
        <w:spacing w:after="0" w:line="268"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Cloud Security</w:t>
      </w:r>
      <w:r>
        <w:rPr>
          <w:rFonts w:ascii="Arial" w:cs="Arial" w:eastAsia="Arial" w:hAnsi="Arial"/>
          <w:sz w:val="16"/>
          <w:szCs w:val="16"/>
          <w:color w:val="auto"/>
        </w:rPr>
        <w:t>—We help customers connect securely to and across their individual, hybrid cloud, multi-cloud and virtualized data center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environments by offering security through our virtual firewall and other software products and through integrated cloud-native capabilities with major cloud platforms. Our public and private cloud security solutions, including virtual appliances and hosted solutions, bring our Enhanced Platform Technology products and services into and across cloud environments, delivering security that follows their applications and data. Our solutions include network security, web application firewall and API protection, cloud-native security and workload protection.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 all environments in which they can be deployed, including physical and virtual data centers, clouds, and edge compute instances. Fortinet cloud security offerings are available for deployment in major public and private cloud environments, including Amazon Web Services, Google Cloud, IBM Cloud, Microsoft Azure, Oracle Cloud and VMWare Cloud. We also offer managed web application firewall (“WAF”) rules delivered by FortiGuard Labs as an overlay service to native security offerings offered by Amazon Web Services.</w:t>
      </w:r>
    </w:p>
    <w:p>
      <w:pPr>
        <w:spacing w:after="0" w:line="197" w:lineRule="exact"/>
        <w:rPr>
          <w:rFonts w:ascii="Arial" w:cs="Arial" w:eastAsia="Arial" w:hAnsi="Arial"/>
          <w:sz w:val="16"/>
          <w:szCs w:val="16"/>
          <w:color w:val="auto"/>
        </w:rPr>
      </w:pPr>
    </w:p>
    <w:p>
      <w:pPr>
        <w:ind w:left="660" w:right="20" w:hanging="328"/>
        <w:spacing w:after="0" w:line="271"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Security Operations</w:t>
      </w:r>
      <w:r>
        <w:rPr>
          <w:rFonts w:ascii="Arial" w:cs="Arial" w:eastAsia="Arial" w:hAnsi="Arial"/>
          <w:sz w:val="16"/>
          <w:szCs w:val="16"/>
          <w:color w:val="auto"/>
        </w:rPr>
        <w:t>—We develop and provide a range of products and services that enable the security operations center (“SOC”) teams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 investigate and remediate potential incidents in which cybercriminals bypass prevention-oriented controls. Given the breadth of the attack surface to monitor, as well as the volume and sophistication of cyber threats, artificial intelligence is a key part of these offerings, which include: FortiGuard and other security subscription services, modern endpoint security with EDR, a range of breach-protection technologies plus our security information and event management (“SIEM”) and security orchestration, automation and response (“SOAR”), all of which can be applied across the entire set of Platform Extension products and services. These solutions automatically deliver security intelligence and insights that enable organizations to protect against and respond to threats faster through integration with Fortinet and third-party controls.</w:t>
      </w:r>
    </w:p>
    <w:p>
      <w:pPr>
        <w:spacing w:after="0" w:line="192" w:lineRule="exact"/>
        <w:rPr>
          <w:rFonts w:ascii="Arial" w:cs="Arial" w:eastAsia="Arial" w:hAnsi="Arial"/>
          <w:sz w:val="16"/>
          <w:szCs w:val="16"/>
          <w:color w:val="auto"/>
        </w:rPr>
      </w:pPr>
    </w:p>
    <w:p>
      <w:pPr>
        <w:ind w:left="660" w:right="200" w:hanging="328"/>
        <w:spacing w:after="0"/>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as a Service</w:t>
      </w:r>
      <w:r>
        <w:rPr>
          <w:rFonts w:ascii="Arial" w:cs="Arial" w:eastAsia="Arial" w:hAnsi="Arial"/>
          <w:sz w:val="18"/>
          <w:szCs w:val="18"/>
          <w:color w:val="auto"/>
        </w:rPr>
        <w:t>—Our customers purchase our natively integrated FortiGuard security subscription services as an add-on to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many of the Enhanced Platform Technology products and services with the goal of receiving real-time threat intelligence and protection updates. The rich set of FortiGuard security subscription services is built from the ground up to provide comprehensive protection for users and applications, including market leading offerings for IPS, Web, video and DNS filtering, AV and cloud sandbox as well as OT and IoT Security. The FortiGuard security subscription services are provided from our FortiGuard Labs and cloud-delivered to provide real-time unified protection across network endpoint and cloud.</w:t>
      </w:r>
    </w:p>
    <w:p>
      <w:pPr>
        <w:spacing w:after="0" w:line="216" w:lineRule="exact"/>
        <w:rPr>
          <w:rFonts w:ascii="Arial" w:cs="Arial" w:eastAsia="Arial" w:hAnsi="Arial"/>
          <w:sz w:val="18"/>
          <w:szCs w:val="18"/>
          <w:color w:val="auto"/>
        </w:rPr>
      </w:pPr>
    </w:p>
    <w:p>
      <w:pPr>
        <w:ind w:left="660" w:hanging="328"/>
        <w:spacing w:after="0" w:line="24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Support and Professional Services</w:t>
      </w:r>
      <w:r>
        <w:rPr>
          <w:rFonts w:ascii="Arial" w:cs="Arial" w:eastAsia="Arial" w:hAnsi="Arial"/>
          <w:sz w:val="18"/>
          <w:szCs w:val="18"/>
          <w:color w:val="auto"/>
        </w:rPr>
        <w:t>—We offer technical support, FortiOS updates and extended product warranty through our FortiCare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 addition to our technical support services, we offer a range of advanced services, including premium support, professional services and expedited warranty replacement. Our advanced support service offerings include technical account managers that act as a single point of contact and customer advocate within Fortinet. Our professional service offerings include resident engineers and professional service consultants for implementations or trainings.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revenue was $4.42 billion in 2022, an increase of 32% compared to $3.34 billion in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revenue was $1.78 billion in 2022, an increase of 42% compared to $1.26 billion in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Service revenue was $2.64 billion in 2022, an increase of 26% compared to $2.09 billion in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gross profit was $3.33 billion in 2022, an increase of 30% compared to $2.56 billion in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income was $969.6 million in 2022, an increase of 49% compared to $650.4 million in 2021.</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cash equivalents, investments and marketable equity securities were $2.26 billion as of December 31, 2022, a decrease of $736.0 million, or 25%, from December 31,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debt, net of unamortized discount and debt issuance costs, was $990.4 million and $988.4 million as of December 31, 2022 and 2021, respectively.</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2022, we repurchased 36.0 million shares of common stock under the Repurchase Program for an aggregate purchase price of $1.99 billion. In 2021, we repurchased 12.9 million shares of common stock for a total purchase price of $741.8 million.</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Deferred revenue was $4.64 billion as of December 31, 2022, an increase of $1.19 billion, or 34%, from December 31, 2021. Short-term deferred revenue was $2.35 billion as of December 31, 2022, an increase of $571.9 million, or 32%, from December 31,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flows from operating activities were $1.73 billion in 2022, an increase of $230.9 million, or 15%, compared to 2021.</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October 2022, we acquired the remaining 25% of equity interests in Alaxala for $13.5 million in cash, and Alaxala became a wholly owned subsidiary.</w:t>
      </w:r>
    </w:p>
    <w:p>
      <w:pPr>
        <w:spacing w:after="0" w:line="197" w:lineRule="exact"/>
        <w:rPr>
          <w:rFonts w:ascii="Arial" w:cs="Arial" w:eastAsia="Arial" w:hAnsi="Arial"/>
          <w:sz w:val="18"/>
          <w:szCs w:val="18"/>
          <w:color w:val="auto"/>
        </w:rPr>
      </w:pPr>
    </w:p>
    <w:p>
      <w:pPr>
        <w:jc w:val="both"/>
        <w:ind w:left="660" w:right="200" w:hanging="328"/>
        <w:spacing w:after="0" w:line="25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loss related to our equity method investment in Linksys Holdings, Inc. (“Linksys”) in fiscal 2022 totaled $68.1 million, which comprised of our proportionate share of Linksys’ financial results as well as the amortization of the basis differences of $45.9 million, which included a $17.5 million charge in connection with a valuation allowance established on deferred tax assets at Linksys, and the other-than-temporary impairment (“OTTI”) charge of $22.2 million.</w:t>
      </w:r>
    </w:p>
    <w:p>
      <w:pPr>
        <w:spacing w:after="0" w:line="21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revenue growth was driven by both product and service revenue. On a geographic basis, revenue continues to be diversified globally, which remains a key strength of our business.</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2022, the Americas region, the Europe, Middle East and Africa (“EMEA”) region and the Asia Pacific (“APAC”) region contributed 41%, 38% and 21% of our total revenue, respectively, and increased by 31%, 33% and 33% compared to 2021, respectively.</w:t>
      </w:r>
    </w:p>
    <w:p>
      <w:pPr>
        <w:spacing w:after="0" w:line="184"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Product revenue grew 42% in 2022. Product revenue growth was consistent with an elevated cyber threat landscape and changes in our pricing model. The product revenue growth was primarily due to strong growth across many of our Enhanced Platform Technology products, including our secure access products and software licenses. In addition, our product revenue growth was driven by a strong demand for the wide range operating system capabilities embedded in our Core Platform products.</w:t>
      </w:r>
    </w:p>
    <w:p>
      <w:pPr>
        <w:spacing w:after="0" w:line="215" w:lineRule="exact"/>
        <w:rPr>
          <w:sz w:val="20"/>
          <w:szCs w:val="20"/>
          <w:color w:val="auto"/>
        </w:rPr>
      </w:pPr>
    </w:p>
    <w:p>
      <w:pPr>
        <w:ind w:right="200" w:firstLine="648"/>
        <w:spacing w:after="0" w:line="274" w:lineRule="auto"/>
        <w:rPr>
          <w:sz w:val="20"/>
          <w:szCs w:val="20"/>
          <w:color w:val="auto"/>
        </w:rPr>
      </w:pPr>
      <w:r>
        <w:rPr>
          <w:rFonts w:ascii="Arial" w:cs="Arial" w:eastAsia="Arial" w:hAnsi="Arial"/>
          <w:sz w:val="16"/>
          <w:szCs w:val="16"/>
          <w:color w:val="auto"/>
        </w:rPr>
        <w:t>Service revenue growth has accelerated over the past three years from 22% in 2020, to 24% in 2021, to 26% in 2022. Service revenue growth of 26% in 2022 was driven by the strength of our FortiGuard and other security subscription revenue and FortiCare technical support and other service revenue, which grew 27% and 26%, respectively. The increases were primarily due to the recognition of revenue from our growing deferred revenue balance related to FortiGuard and other security subscriptions delivered to on-premise and cloud-based environments, as well as FortiCare and other technical support, including our customers moving to higher-tier support offerings and the early effects of certain pricing actions.</w:t>
      </w:r>
    </w:p>
    <w:p>
      <w:pPr>
        <w:spacing w:after="0" w:line="2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billings were diversified on a geographic basis. In 2022, six countries represented approximately 50% of our billings and the remaining 50% in the aggregate were from over 100 countries that individually contributed less than 4% of our billings.</w:t>
      </w:r>
    </w:p>
    <w:p>
      <w:pPr>
        <w:spacing w:after="0" w:line="184"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Operating expenses as a percentage of revenue decreased by approximately 3.6 percentage points in 2022 compared to 2021, which benefited from the favorable impact of foreign currency fluctuations. Headcount increased by 24% to 12,595 employees as of December 31, 2022, up from 10,195 as of December 31,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Developments and COVID-19 Pandemic Update</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overall performance depends in part on worldwide economic and geopolitical conditions and their impact on customer behavior. Worsening economic conditions, including inflation, higher interest rates, slower growth, fluctuations in foreign exchange rates and other changes in economic conditions, may adversely affect our results of operations and financial performance.</w:t>
      </w:r>
    </w:p>
    <w:p>
      <w:pPr>
        <w:spacing w:after="0" w:line="19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We continue to monitor and respond to developments relating to the COVID-19 pandemic. In response to the COVID-19 pandemic, we undertook a number of actions to protect our employees, including restricting travel and directing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many of our employees to work from home. In certain geographies, we have transitioned back to an in-person working mode, allowing increasing numbers of employees to work from our offices with reasonable precautions and, in all cases, subject to abiding by local legal restrictions. We intend to continue to monitor and abide by local employee health and safety protocols and other regulations as applicable to each local office.</w:t>
      </w:r>
    </w:p>
    <w:p>
      <w:pPr>
        <w:spacing w:after="0" w:line="191"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We have seen certain impacts on our business and operations, results of operations, financial condition, cash flows, liquidity and capital and financial resources as of and during the year ended December 31, 2022. Conversely, some aspects of our business do not appear to have been significantly affected. During the year ended December 31, 2022, we observed the following:</w:t>
      </w:r>
    </w:p>
    <w:p>
      <w:pPr>
        <w:spacing w:after="0" w:line="215" w:lineRule="exact"/>
        <w:rPr>
          <w:sz w:val="20"/>
          <w:szCs w:val="20"/>
          <w:color w:val="auto"/>
        </w:rPr>
      </w:pPr>
    </w:p>
    <w:p>
      <w:pPr>
        <w:ind w:left="660" w:right="700" w:hanging="328"/>
        <w:spacing w:after="0" w:line="274"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saw continued supply chain challenges, including chip and other component shortages and increased costs for certain chips and other components and shipping, and we did not have enough inventory to promptly meet all demand for all products.</w:t>
      </w:r>
    </w:p>
    <w:p>
      <w:pPr>
        <w:spacing w:after="0" w:line="188" w:lineRule="exact"/>
        <w:rPr>
          <w:rFonts w:ascii="Arial" w:cs="Arial" w:eastAsia="Arial" w:hAnsi="Arial"/>
          <w:sz w:val="17"/>
          <w:szCs w:val="17"/>
          <w:color w:val="auto"/>
        </w:rPr>
      </w:pPr>
    </w:p>
    <w:p>
      <w:pPr>
        <w:ind w:left="660" w:right="40" w:hanging="328"/>
        <w:spacing w:after="0" w:line="284"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many countries, our employees’ ability to travel was reduced and certain in-person sales and marketing events or meetings that would normally have been held were canceled, postponed or converted into virtual events. However, as certain country’s restrictions continued to ease, we have started to see an increase in expenses related to travel and marketing events. Although we cannot predict if or when such expenses will return to pre-pandemic levels, as of December 31, 2022, we had started to see an increase in such expenses as compared to the same period last year.</w:t>
      </w:r>
    </w:p>
    <w:p>
      <w:pPr>
        <w:spacing w:after="0" w:line="182" w:lineRule="exact"/>
        <w:rPr>
          <w:rFonts w:ascii="Arial" w:cs="Arial" w:eastAsia="Arial" w:hAnsi="Arial"/>
          <w:sz w:val="16"/>
          <w:szCs w:val="16"/>
          <w:color w:val="auto"/>
        </w:rPr>
      </w:pPr>
    </w:p>
    <w:p>
      <w:pPr>
        <w:ind w:left="660" w:right="20" w:hanging="328"/>
        <w:spacing w:after="0" w:line="24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order to mitigate supply chain disruptions and other supply chain risks and in anticipation of future demand, we increased our commitments with certain suppliers to secure capacity and are meeting regularly with our contract manufacturers and component suppliers to manage future commitments, address component shortages and monitor delivery. We have also transitioned primarily to air shipping to avoid port congestion and extended ocean freight time.</w:t>
      </w:r>
    </w:p>
    <w:p>
      <w:pPr>
        <w:spacing w:after="0" w:line="228" w:lineRule="exact"/>
        <w:rPr>
          <w:rFonts w:ascii="Arial" w:cs="Arial" w:eastAsia="Arial" w:hAnsi="Arial"/>
          <w:sz w:val="18"/>
          <w:szCs w:val="18"/>
          <w:color w:val="auto"/>
        </w:rPr>
      </w:pPr>
    </w:p>
    <w:p>
      <w:pPr>
        <w:ind w:left="660" w:right="40" w:hanging="328"/>
        <w:spacing w:after="0" w:line="311"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days sales outstanding increased to 89 days for the year ended December 31, 2022, compared to 75 days for the year ended December 31, 2021, primarily due to the sales linearity. The accounts receivable allowance for credit losses was $3.6 million as of December 31, 2022, an increase of $1.2 million compared to $2.4 million as of December 31, 2021, primarily due to an increase in past due invoices over 60 and 90 days.</w:t>
      </w:r>
    </w:p>
    <w:p>
      <w:pPr>
        <w:spacing w:after="0" w:line="176" w:lineRule="exact"/>
        <w:rPr>
          <w:sz w:val="20"/>
          <w:szCs w:val="20"/>
          <w:color w:val="auto"/>
        </w:rPr>
      </w:pPr>
    </w:p>
    <w:p>
      <w:pPr>
        <w:ind w:right="160" w:firstLine="405"/>
        <w:spacing w:after="0" w:line="288" w:lineRule="auto"/>
        <w:rPr>
          <w:sz w:val="20"/>
          <w:szCs w:val="20"/>
          <w:color w:val="auto"/>
        </w:rPr>
      </w:pPr>
      <w:r>
        <w:rPr>
          <w:rFonts w:ascii="Arial" w:cs="Arial" w:eastAsia="Arial" w:hAnsi="Arial"/>
          <w:sz w:val="16"/>
          <w:szCs w:val="16"/>
          <w:color w:val="auto"/>
        </w:rPr>
        <w:t>The COVID-19 pandemic may have a material negative impact on our future periods. If we experience component, shipping, inventory or customer payment challenges, it will negatively impact billings and product revenue in the current quarter and FortiGuard and FortiCare service revenues in subsequent quarters, as we sell annual and multi-year service contracts that are recognized ratably over the service term, generally starting on the contract registration date. In addition, the broader implications of the pandemic on our business and operations and our financial results, including the extent to which the effects of the pandemic may impact future results and growth in the cybersecurity industry, remain uncertain. The extent of the impact of the COVID-19 pandemic on our operational and financial performance will depend on ongoing developments, including the duration and spread of the virus and its variants, the impact on our end-customers’ spending, the volume of sales and length of our sales cycles, the impact on our partners, suppliers, and employees, actions that may be taken by governmental authorities and other factors identified in Part I, Item 1A “Risk Factors” in this Form 10-K. Given the dynamic nature of these circumstances, the full impact of the COVID-19 pandemic on our business and operations, results of operations, financial condition, cash flows, liquidity and capital and financial resources cannot be reasonably estimated at this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39"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We typically sell our security solutions to distributors that sell to networking security focused resellers and to certain service providers, who, in turn, sell to end-customers or use our products and services to provide hosted solutions to other enterprises. At times, we also sell directly to certain large enterprise customers, large service providers and major systems integrators. Our end-customers are located in over 100 countries and include small, medium and large enterprises and government organizations across a wide range of industries, including education, financial services, government, healthcare, manufacturing, retail, technology and telecommunications. An end-customer deployment may involve as few as one or as many as thousands of Core Platform products as well as Enhanced Platform Technology products, depending on the end-customer’s size and security requirements.</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also offer our products hosted in our own data centers and through co-locations and major cloud providers, including Amazon Web Services, Google Cloud, IBM Cloud, Microsoft Azure and Oracle Cloud. We have also recognized revenue from customers who deploy our products in a bring-your-own-license (“BYOL”) arrangements at cloud providers or at private clouds. In a BYOL arrangement, a customer purchases a software license through our channel partners and deploys the software in a cloud provider’s environment in third-party clouds or in their private cloud.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firstLine="648"/>
        <w:spacing w:after="0" w:line="303"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services. Standard payment terms are generally no more than 60 days, though we may offer extended payment terms to certain distributors or related to certain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 Components of Operating Results,” and we discuss net cash provided by operating activities below under “—Liquidity and Capital Resources.” Deferred revenue, billings (non-GAAP), and free cash flow (non-GAAP) are discussed immediately below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6"/>
                <w:szCs w:val="16"/>
                <w:b w:val="1"/>
                <w:bCs w:val="1"/>
                <w:color w:val="auto"/>
                <w:w w:val="91"/>
              </w:rPr>
              <w:t>Year Ended or As of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0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50"/>
        </w:trPr>
        <w:tc>
          <w:tcPr>
            <w:tcW w:w="6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millions)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4,640.3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3,452.9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2,605.3</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(non-GAAP)</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5,594.0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1,730.6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1,499.7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1,083.7</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r>
    </w:tbl>
    <w:p>
      <w:pPr>
        <w:spacing w:after="0" w:line="32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service term. We monitor our deferred revenue balance, short term and total deferred revenue growth and the mix of short-term and long-term deferred revenue because deferred revenue represents a significant portion of free cash flow and of revenue to be recognized in future periods. Deferred revenue was $4.64 billion as of December 31, 2022, an increase of $1.19 billion, or 34%, from December 31, 2021. Short term deferred revenue was $2.35 billion as of December 31, 2022, and increase of $571.9 million, or 32%, from December 31, 2021.</w:t>
      </w:r>
    </w:p>
    <w:p>
      <w:pPr>
        <w:spacing w:after="0" w:line="22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Billings (non-GAAP). </w:t>
      </w:r>
      <w:r>
        <w:rPr>
          <w:rFonts w:ascii="Arial" w:cs="Arial" w:eastAsia="Arial" w:hAnsi="Arial"/>
          <w:sz w:val="18"/>
          <w:szCs w:val="18"/>
          <w:color w:val="auto"/>
        </w:rPr>
        <w:t>We define billings as revenue recognized in accordance with generally accepted accounting principles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(“GAAP”) plus the change in deferred revenue from the beginning to the end of the period, less any deferred revenue balances acquired from business combination(s) and adjustment due to adoption of new accounting standard during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 recognized as revenue and are impacted by the term of FortiGuard security subscription and FortiCare and other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$5.59 billion in 2022, an increase of 34% compared to $4.18 billion in 2021.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4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50"/>
        </w:trPr>
        <w:tc>
          <w:tcPr>
            <w:tcW w:w="6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4,417.4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3,342.2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2,594.4</w:t>
            </w:r>
          </w:p>
        </w:tc>
      </w:tr>
      <w:tr>
        <w:trPr>
          <w:trHeight w:val="230"/>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Change in deferred revenue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29"/>
        </w:trPr>
        <w:tc>
          <w:tcPr>
            <w:tcW w:w="6020" w:type="dxa"/>
            <w:vAlign w:val="bottom"/>
          </w:tcPr>
          <w:p>
            <w:pPr>
              <w:ind w:left="200"/>
              <w:spacing w:after="0"/>
              <w:rPr>
                <w:sz w:val="20"/>
                <w:szCs w:val="20"/>
                <w:color w:val="auto"/>
              </w:rPr>
            </w:pPr>
            <w:r>
              <w:rPr>
                <w:rFonts w:ascii="Arial" w:cs="Arial" w:eastAsia="Arial" w:hAnsi="Arial"/>
                <w:sz w:val="18"/>
                <w:szCs w:val="18"/>
                <w:color w:val="auto"/>
              </w:rPr>
              <w:t>Less: Deferred revenue balance acquired in business combinations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due to adoption of ASU 2021-08</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billings (non-GAAP)</w:t>
            </w: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5,594.0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3,090.0</w:t>
            </w:r>
          </w:p>
        </w:tc>
      </w:tr>
      <w:tr>
        <w:trPr>
          <w:trHeight w:val="21"/>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50"/>
        </w:trPr>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1,730.6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1,083.7</w:t>
            </w:r>
          </w:p>
        </w:tc>
      </w:tr>
      <w:tr>
        <w:trPr>
          <w:trHeight w:val="230"/>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Purchases of property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30"/>
        </w:trPr>
        <w:tc>
          <w:tcPr>
            <w:tcW w:w="6020" w:type="dxa"/>
            <w:vAlign w:val="bottom"/>
          </w:tcPr>
          <w:p>
            <w:pPr>
              <w:ind w:left="200"/>
              <w:spacing w:after="0"/>
              <w:rPr>
                <w:sz w:val="20"/>
                <w:szCs w:val="20"/>
                <w:color w:val="auto"/>
              </w:rPr>
            </w:pPr>
            <w:r>
              <w:rPr>
                <w:rFonts w:ascii="Arial" w:cs="Arial" w:eastAsia="Arial" w:hAnsi="Arial"/>
                <w:sz w:val="18"/>
                <w:szCs w:val="18"/>
                <w:color w:val="auto"/>
              </w:rPr>
              <w:t>Less: Proceeds from intellectual property matter</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763.9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(1,325.1)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5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the majority of our revenue from sales of our hardware and software products and amortization of amounts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revenue related to previous sales of FortiGuard security subscription and FortiCare technical support services. We also recognize revenue from cloud security solutions, professional services, and training.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w:t>
      </w:r>
    </w:p>
    <w:p>
      <w:pPr>
        <w:spacing w:after="0" w:line="239" w:lineRule="exact"/>
        <w:rPr>
          <w:sz w:val="20"/>
          <w:szCs w:val="20"/>
          <w:color w:val="auto"/>
        </w:rPr>
      </w:pPr>
    </w:p>
    <w:p>
      <w:pPr>
        <w:ind w:left="1300" w:right="180" w:hanging="644"/>
        <w:spacing w:after="0" w:line="294" w:lineRule="auto"/>
        <w:tabs>
          <w:tab w:leader="none" w:pos="129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Product revenue</w:t>
      </w:r>
      <w:r>
        <w:rPr>
          <w:rFonts w:ascii="Arial" w:cs="Arial" w:eastAsia="Arial" w:hAnsi="Arial"/>
          <w:sz w:val="16"/>
          <w:szCs w:val="16"/>
          <w:color w:val="auto"/>
        </w:rPr>
        <w:t>. Product revenue is primarily generated from sales of our physical and virtual machine appliances. The majority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revenue continues to be generated by our Core Platform product line. Product revenue also includes revenue from sales of Enhanced Platform Technologies. As a percentage of total revenue, our product revenue has varied from quarter to quarter.</w:t>
      </w:r>
    </w:p>
    <w:p>
      <w:pPr>
        <w:spacing w:after="0" w:line="174" w:lineRule="exact"/>
        <w:rPr>
          <w:rFonts w:ascii="Arial" w:cs="Arial" w:eastAsia="Arial" w:hAnsi="Arial"/>
          <w:sz w:val="16"/>
          <w:szCs w:val="16"/>
          <w:color w:val="auto"/>
        </w:rPr>
      </w:pPr>
    </w:p>
    <w:p>
      <w:pPr>
        <w:ind w:left="1300" w:right="20" w:hanging="644"/>
        <w:spacing w:after="0" w:line="270" w:lineRule="auto"/>
        <w:tabs>
          <w:tab w:leader="none" w:pos="129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Service revenue is generated primarily from FortiGuard security subscription services and FortiCare technical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recognize revenue from FortiGuard security subscription and FortiCare technical support services ratably over the service term. Our typical contractual support and subscription term is one to five years. We also generate a small portion of our revenue from other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mix of our product revenue, pricing actions, the expansion and introduction of new service offerings, the attach rate of service contracts to new product sales, and the renewal of service contracts by our existing customers.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w:t>
      </w:r>
    </w:p>
    <w:p>
      <w:pPr>
        <w:spacing w:after="0" w:line="252" w:lineRule="exact"/>
        <w:rPr>
          <w:sz w:val="20"/>
          <w:szCs w:val="20"/>
          <w:color w:val="auto"/>
        </w:rPr>
      </w:pPr>
    </w:p>
    <w:p>
      <w:pPr>
        <w:jc w:val="both"/>
        <w:ind w:left="1300" w:right="40" w:hanging="644"/>
        <w:spacing w:after="0" w:line="287" w:lineRule="auto"/>
        <w:tabs>
          <w:tab w:leader="none" w:pos="129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Cost of product revenue</w:t>
      </w:r>
      <w:r>
        <w:rPr>
          <w:rFonts w:ascii="Arial" w:cs="Arial" w:eastAsia="Arial" w:hAnsi="Arial"/>
          <w:sz w:val="16"/>
          <w:szCs w:val="16"/>
          <w:color w:val="auto"/>
        </w:rPr>
        <w:t>. The majority of the cost of product revenue consists of third-party contract manufacturers’ costs and the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used in production. Our cost of product revenue also includes supplies, shipping costs, personnel costs associated with logistics and quality control, facility-related costs, excess and obsolete inventory costs, warranty costs and amortization of intangible assets.</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Personnel costs include compensation benefits and stock-based compensation.</w:t>
      </w:r>
    </w:p>
    <w:p>
      <w:pPr>
        <w:spacing w:after="0" w:line="237" w:lineRule="exact"/>
        <w:rPr>
          <w:rFonts w:ascii="Arial" w:cs="Arial" w:eastAsia="Arial" w:hAnsi="Arial"/>
          <w:sz w:val="16"/>
          <w:szCs w:val="16"/>
          <w:color w:val="auto"/>
        </w:rPr>
      </w:pPr>
    </w:p>
    <w:p>
      <w:pPr>
        <w:ind w:left="1300" w:hanging="644"/>
        <w:spacing w:after="0" w:line="308" w:lineRule="auto"/>
        <w:tabs>
          <w:tab w:leader="none" w:pos="1295"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Cost of service revenue</w:t>
      </w:r>
      <w:r>
        <w:rPr>
          <w:rFonts w:ascii="Arial" w:cs="Arial" w:eastAsia="Arial" w:hAnsi="Arial"/>
          <w:sz w:val="17"/>
          <w:szCs w:val="17"/>
          <w:color w:val="auto"/>
        </w:rPr>
        <w:t>. Cost of service revenue is primarily comprised of personnel costs, third-party repair and contract fulfillment, data</w:t>
      </w:r>
      <w:r>
        <w:rPr>
          <w:rFonts w:ascii="Arial" w:cs="Arial" w:eastAsia="Arial" w:hAnsi="Arial"/>
          <w:sz w:val="17"/>
          <w:szCs w:val="17"/>
          <w:i w:val="1"/>
          <w:iCs w:val="1"/>
          <w:color w:val="auto"/>
        </w:rPr>
        <w:t xml:space="preserve"> </w:t>
      </w:r>
      <w:r>
        <w:rPr>
          <w:rFonts w:ascii="Arial" w:cs="Arial" w:eastAsia="Arial" w:hAnsi="Arial"/>
          <w:sz w:val="17"/>
          <w:szCs w:val="17"/>
          <w:color w:val="auto"/>
        </w:rPr>
        <w:t>center costs, colocation expenses and cloud hosting, supplies, facility-related costs and amortization of intangible assets.</w:t>
      </w:r>
    </w:p>
    <w:p>
      <w:pPr>
        <w:spacing w:after="0" w:line="160"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profit as a percentage of revenue, or gross margin, has been and will continue to be affected by a variety of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sales price of our products, product costs, the mix of products sold and the mix of revenue between hardware products, software licenses and services and any excess inventory or other charges. Service revenue and software licenses have higher gross margins compared to hardware products. During 2022, product gross margin benefited from gains in average selling price, partially offset by higher component costs due to supply chain constraints and the consolidation of Alaxala Networks Corporation (“Alaxala”) starting from August 31, 2021. It also benefited from software revenue growth. Service gross margin decreased due to data center expansion, increased labor cost and our consolidation of Alaxala, partially offset by favorable impact of foreign currency exchange rates and higher average selling prices. Overall gross margin in 2023 will be impacted by service and product revenue mix.</w:t>
      </w:r>
    </w:p>
    <w:p>
      <w:pPr>
        <w:spacing w:after="0" w:line="190"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Our operating expenses consist of research and development, sales and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are the most significant component of operating expenses and consist primarily of salaries, benefits, bonuses, sales commissions and stock-based compensation. We expect personnel costs to continue to increase in absolute dollars as we expand our workforce.</w:t>
      </w:r>
    </w:p>
    <w:p>
      <w:pPr>
        <w:spacing w:after="0" w:line="213" w:lineRule="exact"/>
        <w:rPr>
          <w:sz w:val="20"/>
          <w:szCs w:val="20"/>
          <w:color w:val="auto"/>
        </w:rPr>
      </w:pPr>
    </w:p>
    <w:p>
      <w:pPr>
        <w:ind w:left="1300" w:right="220" w:hanging="644"/>
        <w:spacing w:after="0" w:line="254"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consists primarily of personnel costs. Additional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include ASIC and system prototypes and certification-related expenses, depreciation of property and equipment and facility-related expenses. The majority of our research and development is focused on software development and the ongoing development of our hardware products. We record research and development expenses as incurred. As of December 31, 2022, approximately 89% of our research and development teams were located in Canada, the United States and India. As of December 31, 2022, approximately two-thirds of our engineers worked on software development while the remainder worked on hardware development.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line="25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Additional sales and marketing expenses include product marketing, public relations, field marketing and events and channel marketing programs (e.g., partner cooperative marketing arrangements), as well as travel, depreciation of property and equipment and facility-related expenses. We intend to hire additional personnel focused on sales and marketing and expand our sales and marketing efforts worldwide in order to capture market share.</w:t>
      </w:r>
    </w:p>
    <w:p>
      <w:pPr>
        <w:spacing w:after="0" w:line="214"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personnel costs, as well as professional fees,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and software and facility-related expenses. General and administrative personnel include our executive, finance, human resources, information technology and legal organizations. Our professional fees principally consist of outside legal, auditing, tax, information technology and other consulting costs.</w:t>
      </w:r>
    </w:p>
    <w:p>
      <w:pPr>
        <w:spacing w:after="0" w:line="213" w:lineRule="exact"/>
        <w:rPr>
          <w:rFonts w:ascii="Arial" w:cs="Arial" w:eastAsia="Arial" w:hAnsi="Arial"/>
          <w:sz w:val="18"/>
          <w:szCs w:val="18"/>
          <w:color w:val="auto"/>
        </w:rPr>
      </w:pPr>
    </w:p>
    <w:p>
      <w:pPr>
        <w:jc w:val="both"/>
        <w:ind w:left="1300" w:right="240" w:hanging="644"/>
        <w:spacing w:after="0" w:line="263"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Gain on intellectual property matter. </w:t>
      </w:r>
      <w:r>
        <w:rPr>
          <w:rFonts w:ascii="Arial" w:cs="Arial" w:eastAsia="Arial" w:hAnsi="Arial"/>
          <w:sz w:val="18"/>
          <w:szCs w:val="18"/>
          <w:color w:val="auto"/>
        </w:rPr>
        <w:t>Gain on intellectual property matter consists of the amortization of the deferred component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competitor in the network security industry, whereby, the competitor party paid us a lump sum of $50.0 million for a seven-year mutual covenant-not-to-sue for patent claims.</w:t>
      </w:r>
    </w:p>
    <w:p>
      <w:pPr>
        <w:spacing w:after="0" w:line="197"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primarily of interest earned on our cash equivalents and investments. Historically, our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corporate debt securities, certificates of deposit and term deposits, commercial paper, money market funds, U.S. government and agency securities and municipal bonds.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consists primarily of interest expense due to the senior notes and other miscellaneous interest expense.</w:t>
      </w:r>
    </w:p>
    <w:p>
      <w:pPr>
        <w:spacing w:after="0" w:line="25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w:t>
      </w:r>
      <w:r>
        <w:rPr>
          <w:rFonts w:ascii="Arial" w:cs="Arial" w:eastAsia="Arial" w:hAnsi="Arial"/>
          <w:sz w:val="18"/>
          <w:szCs w:val="18"/>
          <w:i w:val="1"/>
          <w:iCs w:val="1"/>
          <w:color w:val="auto"/>
        </w:rPr>
        <w:t>net</w:t>
      </w:r>
      <w:r>
        <w:rPr>
          <w:rFonts w:ascii="Arial" w:cs="Arial" w:eastAsia="Arial" w:hAnsi="Arial"/>
          <w:sz w:val="18"/>
          <w:szCs w:val="18"/>
          <w:color w:val="auto"/>
        </w:rPr>
        <w:t>. Other expense—net consists primarily of foreign exchange gains and losses related to foreign currency remeasurement, gains</w:t>
      </w:r>
      <w:r>
        <w:rPr>
          <w:rFonts w:ascii="Arial" w:cs="Arial" w:eastAsia="Arial" w:hAnsi="Arial"/>
          <w:sz w:val="18"/>
          <w:szCs w:val="18"/>
          <w:i w:val="1"/>
          <w:iCs w:val="1"/>
          <w:color w:val="auto"/>
        </w:rPr>
        <w:t xml:space="preserve"> </w:t>
      </w:r>
      <w:r>
        <w:rPr>
          <w:rFonts w:ascii="Arial" w:cs="Arial" w:eastAsia="Arial" w:hAnsi="Arial"/>
          <w:sz w:val="18"/>
          <w:szCs w:val="18"/>
          <w:color w:val="auto"/>
        </w:rPr>
        <w:t>or losses due to the changes in fair value of our marketable equity securities, realized gains and losses of available-for-sale securities, net rental income from real estate, as well as the gain on the sale or the impairment charges of our investments in privately held companies without readily determinable fair values, which are not accounted for under the equity method.</w:t>
      </w:r>
    </w:p>
    <w:p>
      <w:pPr>
        <w:spacing w:after="0" w:line="21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We are subject to income taxes in the United States, as well as other tax jurisdictions or countries in which we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Earnings from our non-U.S. activities are subject to income taxes in local countries and may be subject to U.S. income taxes. Our effective tax rate differs from the U.S. statutory rate primarily due to foreign income subject to different tax rates than in the U.S., federal research and development tax credit, state income taxes, withholding taxes, excess tax benefits related to stock-based compensation expense and the tax impacts of the foreign-derived intangible income (“FDII”) deduction.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Revenues are recognized when control of goods or services is transferred to our customers, in an amount that reflects the consideration we expect to be entitled to in exchange for those goods or services.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160" w:hanging="320"/>
        <w:spacing w:after="0" w:line="258"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as to being distinct goods or services in a contract;</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Costs and Commission Expense</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Costs for initial contracts that are not commensurate with commissions on renewal contracts are amortized on a straight-line basis over the period of benefit of five years. Estimates, assumptions, and judgments in accounting for deferred contract costs include, but are not limited to, identification of contract costs, anticipated billings and the expected period of benefit.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changes are recorded in the period in which they are identified.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Liabilities</w:t>
      </w:r>
    </w:p>
    <w:p>
      <w:pPr>
        <w:spacing w:after="0" w:line="239" w:lineRule="exact"/>
        <w:rPr>
          <w:sz w:val="20"/>
          <w:szCs w:val="20"/>
          <w:color w:val="auto"/>
        </w:rPr>
      </w:pPr>
    </w:p>
    <w:p>
      <w:pPr>
        <w:ind w:right="80" w:firstLine="648"/>
        <w:spacing w:after="0" w:line="262" w:lineRule="auto"/>
        <w:rPr>
          <w:sz w:val="20"/>
          <w:szCs w:val="20"/>
          <w:color w:val="auto"/>
        </w:rPr>
      </w:pPr>
      <w:r>
        <w:rPr>
          <w:rFonts w:ascii="Arial" w:cs="Arial" w:eastAsia="Arial" w:hAnsi="Arial"/>
          <w:sz w:val="16"/>
          <w:szCs w:val="16"/>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periodically review significant claims and litigation matters for the probability of an adverse outcome. We accrue for a loss contingency if a loss is probable and the amount of the loss can be reasonably estimated. These accruals are generally based on a range of possible outcomes that require significant judgement. Estimates can change as individual claims develop. The actual liability in any such matters may be materially different from our estimates, which could result in the need to adjust our liability and record additional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represent future tax benefits to be received when certain expenses previously recognized in our consolidated statements of income become deductible expenses under applicable income tax laws, or loss or credit carryforwards are utilized.</w:t>
      </w:r>
    </w:p>
    <w:p>
      <w:pPr>
        <w:spacing w:after="0" w:line="19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0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 in privately held companies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investments in privately held companies consist of investments in common stock or in-substance common stock. One of these investments provides us with the ability to exercise significant influence over the investee, but not an absolute controlling financial interest. The investment is accounted for under the equity method of accounting. Determining that we do not control but exercise significant influence over the operating and financial policies of the investee requires significant judgement when considering many factors, including but not limited to, the ownership interest in the investee, board representation, participation in policy-making processes, and participation rights in certain significant financial and operating decisions of the investee in the ordinary course of business. Our investment in Linksys is our only equity method investment. We record our proportionate share of the net earnings or losses of Linksys based on the most recently available financial statements of Linksys, which are provided to us on a three-month lag. We evaluate if there are material transactions or events that occur during the intervening period that materially affect the financial position or results of operations. We also record our share of the amortization of any basis differences, as well as any OTTI as gain or loss from equity method investment in our consolidated statements of income and as an adjustment to the investment balance.</w:t>
      </w:r>
    </w:p>
    <w:p>
      <w:pPr>
        <w:spacing w:after="0" w:line="219"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We evaluate our equity method investment at the end of each reporting period to determine whether events or changes in business circumstances indicate that the carrying value of the investment may not be recoverable. Evidence of a loss in value might include, but would not necessarily be limited to, series of operating losses, current expected performance relative to expected performance when we initially invested, performance relative to peers and the results of a discounted cash flow analysis. We consider various factors in determining whether an OTTI has occurred, including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5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Income Data:</w:t>
            </w: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Product</w:t>
            </w:r>
          </w:p>
        </w:tc>
        <w:tc>
          <w:tcPr>
            <w:tcW w:w="1760" w:type="dxa"/>
            <w:vAlign w:val="bottom"/>
            <w:gridSpan w:val="2"/>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1,780.5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revenue</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4,417.4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Product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cost of revenue</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Product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gross profit</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3,332.5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1,686.1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Gain on intellectual property matter</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4"/>
              </w:rPr>
              <w:t>Income before income taxes and loss from equity method investment</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equity method investment</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interests, net of tax</w:t>
            </w:r>
          </w:p>
        </w:tc>
        <w:tc>
          <w:tcPr>
            <w:tcW w:w="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7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63</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2020</w:t>
            </w:r>
          </w:p>
        </w:tc>
      </w:tr>
      <w:tr>
        <w:trPr>
          <w:trHeight w:val="250"/>
        </w:trPr>
        <w:tc>
          <w:tcPr>
            <w:tcW w:w="5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(as percentage of revenue)</w:t>
            </w:r>
          </w:p>
        </w:tc>
        <w:tc>
          <w:tcPr>
            <w:tcW w:w="1740" w:type="dxa"/>
            <w:vAlign w:val="bottom"/>
          </w:tcPr>
          <w:p>
            <w:pPr>
              <w:spacing w:after="0"/>
              <w:rPr>
                <w:sz w:val="21"/>
                <w:szCs w:val="21"/>
                <w:color w:val="auto"/>
              </w:rPr>
            </w:pPr>
          </w:p>
        </w:tc>
      </w:tr>
      <w:tr>
        <w:trPr>
          <w:trHeight w:val="23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Product</w:t>
            </w:r>
          </w:p>
        </w:tc>
        <w:tc>
          <w:tcPr>
            <w:tcW w:w="600" w:type="dxa"/>
            <w:vAlign w:val="bottom"/>
          </w:tcPr>
          <w:p>
            <w:pPr>
              <w:jc w:val="right"/>
              <w:spacing w:after="0"/>
              <w:rPr>
                <w:sz w:val="20"/>
                <w:szCs w:val="20"/>
                <w:color w:val="auto"/>
              </w:rPr>
            </w:pPr>
            <w:r>
              <w:rPr>
                <w:rFonts w:ascii="Arial" w:cs="Arial" w:eastAsia="Arial" w:hAnsi="Arial"/>
                <w:sz w:val="18"/>
                <w:szCs w:val="18"/>
                <w:color w:val="auto"/>
              </w:rPr>
              <w:t>40 %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r>
      <w:tr>
        <w:trPr>
          <w:trHeight w:val="223"/>
        </w:trPr>
        <w:tc>
          <w:tcPr>
            <w:tcW w:w="5740" w:type="dxa"/>
            <w:vAlign w:val="bottom"/>
          </w:tcPr>
          <w:p>
            <w:pPr>
              <w:ind w:left="78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Product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r>
      <w:tr>
        <w:trPr>
          <w:trHeight w:val="223"/>
        </w:trPr>
        <w:tc>
          <w:tcPr>
            <w:tcW w:w="5740" w:type="dxa"/>
            <w:vAlign w:val="bottom"/>
          </w:tcPr>
          <w:p>
            <w:pPr>
              <w:ind w:left="780"/>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Product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62</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r>
      <w:tr>
        <w:trPr>
          <w:trHeight w:val="223"/>
        </w:trPr>
        <w:tc>
          <w:tcPr>
            <w:tcW w:w="57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gross margin</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78</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230"/>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8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r>
      <w:tr>
        <w:trPr>
          <w:trHeight w:val="229"/>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840" w:type="dxa"/>
            <w:vAlign w:val="bottom"/>
            <w:gridSpan w:val="2"/>
          </w:tcPr>
          <w:p>
            <w:pPr>
              <w:jc w:val="right"/>
              <w:ind w:right="1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29"/>
        </w:trPr>
        <w:tc>
          <w:tcPr>
            <w:tcW w:w="6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Gain on intellectual property matter</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Other expense—net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loss from equity method investment</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2</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 net of tax</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6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3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Discussion regarding our financial condition and results of operations for 2021 as compared to 2020 can be found in Item 7 of our Annual Report on Form 10-K for the fiscal year ended December 31, 2021, filed with the SEC on February 25,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40"/>
              <w:spacing w:after="0"/>
              <w:rPr>
                <w:sz w:val="20"/>
                <w:szCs w:val="20"/>
                <w:color w:val="auto"/>
              </w:rPr>
            </w:pPr>
            <w:r>
              <w:rPr>
                <w:rFonts w:ascii="Arial" w:cs="Arial" w:eastAsia="Arial" w:hAnsi="Arial"/>
                <w:sz w:val="16"/>
                <w:szCs w:val="16"/>
                <w:b w:val="1"/>
                <w:bCs w:val="1"/>
                <w:color w:val="auto"/>
                <w:w w:val="98"/>
              </w:rPr>
              <w:t>(in millions, except percentages)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1,780.5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1,255.0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525.5</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2"/>
              </w:rPr>
              <w:t>42 %</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4,417.4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1,075.2</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2"/>
              </w:rPr>
              <w:t>32 %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1,785.0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1,358.8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426.2</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92"/>
              </w:rPr>
              <w:t>31 %</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1,691.8</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26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940.6</w:t>
            </w:r>
          </w:p>
        </w:tc>
        <w:tc>
          <w:tcPr>
            <w:tcW w:w="144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707.5</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233.1</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1,075.2</w:t>
            </w:r>
          </w:p>
        </w:tc>
        <w:tc>
          <w:tcPr>
            <w:tcW w:w="1420" w:type="dxa"/>
            <w:vAlign w:val="bottom"/>
            <w:tcBorders>
              <w:top w:val="single" w:sz="8" w:color="CCEEFF"/>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w w:val="92"/>
              </w:rPr>
              <w:t>32 %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Total revenue increased by $1.08 billion, or 32%, in 2022 compared to 2021. We continued to experience significant organic revenue growth (i.e., revenue growth excluding attribution from recent acquisitions) with diversification of revenue geographically, and across both customer and industry segments. Revenue from all regions grew, with the Americas contributing the largest portion of the increase on an absolute dollar basis and APAC, which included Alaxala, contributing the largest portion of the increase on a percentage basis.</w:t>
      </w:r>
    </w:p>
    <w:p>
      <w:pPr>
        <w:spacing w:after="0" w:line="20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Product revenue increased by $525.5 million, or 42%, in 2022 compared to 2021. Product revenue growth was consistent with an elevated cyber threat landscape, the convergence of security and networking and included the benefit of certain pricing actions. The product revenue growth was primarily due to strong growth across many of our Enhanced Platform Technology products, including our secure access products and software licenses. In addition, our product revenue growth was driven by a strong demand for the wide range operating system capabilities embedded in our Core Platform products.</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Service revenue increased by $549.7 million, or 26%, in 2022 compared to 2021. Service revenue growth has accelerated over the past three years from 22% in 2020, to 24% in 2021 to 26% in 2022. Compared to 2021, FortiGuard security subscription revenue increased by $302.0 million, or 27% and FortiCare, other technical support and other revenues increased by $247.7 million, or 26%, in 2022. The increases were primarily due to the recognition of revenue from our growing deferred revenue balance related to FortiGuard and other security subscriptions delivered to on-premise and cloud-based environments as well as FortiCare and other technical support. Our growing deferred revenue balance was primarily due to our growth in customer base, expansion of our service offerings, and impact of pricing actions.</w:t>
      </w:r>
    </w:p>
    <w:p>
      <w:pPr>
        <w:spacing w:after="0" w:line="216"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Of the service revenue recognized in 2022, 66% was included in the deferred revenue balance as of December 31, 2021. Of the service revenue recognized in 2021, 65% was included in the deferred revenue balance as of December 31, 2020.</w:t>
      </w:r>
    </w:p>
    <w:p>
      <w:pPr>
        <w:spacing w:after="0" w:line="19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Of the service revenue recognized in each quarter of 2022, from 87% to 88% was included in deferred revenue as of the beginning of the respective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4040" w:type="dxa"/>
            <w:vAlign w:val="bottom"/>
            <w:gridSpan w:val="6"/>
          </w:tcPr>
          <w:p>
            <w:pPr>
              <w:ind w:left="10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7"/>
        </w:trPr>
        <w:tc>
          <w:tcPr>
            <w:tcW w:w="33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9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 Change</w:t>
            </w:r>
          </w:p>
        </w:tc>
      </w:tr>
      <w:tr>
        <w:trPr>
          <w:trHeight w:val="290"/>
        </w:trPr>
        <w:tc>
          <w:tcPr>
            <w:tcW w:w="3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gridSpan w:val="4"/>
          </w:tcPr>
          <w:p>
            <w:pPr>
              <w:ind w:left="340"/>
              <w:spacing w:after="0"/>
              <w:rPr>
                <w:sz w:val="20"/>
                <w:szCs w:val="20"/>
                <w:color w:val="auto"/>
              </w:rPr>
            </w:pPr>
            <w:r>
              <w:rPr>
                <w:rFonts w:ascii="Arial" w:cs="Arial" w:eastAsia="Arial" w:hAnsi="Arial"/>
                <w:sz w:val="16"/>
                <w:szCs w:val="16"/>
                <w:b w:val="1"/>
                <w:bCs w:val="1"/>
                <w:color w:val="auto"/>
              </w:rPr>
              <w:t>(in millions, except percentages)</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4"/>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203.6</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92"/>
              </w:rPr>
              <w:t>42 %</w:t>
            </w: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295.3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33</w:t>
            </w: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6"/>
              </w:rPr>
              <w:t>1,084.9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w w:val="92"/>
              </w:rPr>
              <w:t>39 %</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19"/>
                <w:szCs w:val="19"/>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920" w:type="dxa"/>
            <w:vAlign w:val="bottom"/>
          </w:tcPr>
          <w:p>
            <w:pPr>
              <w:jc w:val="right"/>
              <w:spacing w:after="0"/>
              <w:rPr>
                <w:sz w:val="20"/>
                <w:szCs w:val="20"/>
                <w:color w:val="auto"/>
              </w:rPr>
            </w:pPr>
            <w:r>
              <w:rPr>
                <w:rFonts w:ascii="Arial" w:cs="Arial" w:eastAsia="Arial" w:hAnsi="Arial"/>
                <w:sz w:val="18"/>
                <w:szCs w:val="18"/>
                <w:color w:val="auto"/>
              </w:rPr>
              <w:t>61.2 %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61.1 %</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1920" w:type="dxa"/>
            <w:vAlign w:val="bottom"/>
          </w:tcPr>
          <w:p>
            <w:pPr>
              <w:jc w:val="right"/>
              <w:spacing w:after="0"/>
              <w:rPr>
                <w:sz w:val="20"/>
                <w:szCs w:val="20"/>
                <w:color w:val="auto"/>
              </w:rPr>
            </w:pPr>
            <w:r>
              <w:rPr>
                <w:rFonts w:ascii="Arial" w:cs="Arial" w:eastAsia="Arial" w:hAnsi="Arial"/>
                <w:sz w:val="18"/>
                <w:szCs w:val="18"/>
                <w:color w:val="auto"/>
              </w:rPr>
              <w:t>75.4 %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76.6 %</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309" w:lineRule="exact"/>
        <w:rPr>
          <w:sz w:val="20"/>
          <w:szCs w:val="20"/>
          <w:color w:val="auto"/>
        </w:rPr>
      </w:pPr>
    </w:p>
    <w:p>
      <w:pPr>
        <w:ind w:right="240" w:firstLine="648"/>
        <w:spacing w:after="0" w:line="231" w:lineRule="auto"/>
        <w:rPr>
          <w:sz w:val="20"/>
          <w:szCs w:val="20"/>
          <w:color w:val="auto"/>
        </w:rPr>
      </w:pPr>
      <w:r>
        <w:rPr>
          <w:rFonts w:ascii="Arial" w:cs="Arial" w:eastAsia="Arial" w:hAnsi="Arial"/>
          <w:sz w:val="18"/>
          <w:szCs w:val="18"/>
          <w:color w:val="auto"/>
        </w:rPr>
        <w:t>Total gross margin decreased by 1.2 percentage points in 2022 compared to 2021, primarily driven by a change in revenue mix to lower margin product revenue from higher margin service revenue and the consolidation of Alaxala starting from August 31, 2021 and partially offset by favorable impact of foreign currency fluctuations. Revenue mix shifted by 2.0 percentage points from service revenue to product revenue, as a percentage of total revenue.</w:t>
      </w:r>
    </w:p>
    <w:p>
      <w:pPr>
        <w:spacing w:after="0" w:line="2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Product gross margin increased by 0.1 percentage points in 2022 compared to 2021, primarily driven by higher average selling prices and partially offset by higher expedite fees and other component costs due to supply chain constraints and the consolidation of Alaxala. Cost of product revenue was comprised primarily of third-party contract manufacturers’ costs and the costs of materials used in production.</w:t>
      </w:r>
    </w:p>
    <w:p>
      <w:pPr>
        <w:spacing w:after="0" w:line="191" w:lineRule="exact"/>
        <w:rPr>
          <w:sz w:val="20"/>
          <w:szCs w:val="20"/>
          <w:color w:val="auto"/>
        </w:rPr>
      </w:pPr>
    </w:p>
    <w:p>
      <w:pPr>
        <w:jc w:val="both"/>
        <w:ind w:right="280" w:firstLine="648"/>
        <w:spacing w:after="0" w:line="249" w:lineRule="auto"/>
        <w:rPr>
          <w:sz w:val="20"/>
          <w:szCs w:val="20"/>
          <w:color w:val="auto"/>
        </w:rPr>
      </w:pPr>
      <w:r>
        <w:rPr>
          <w:rFonts w:ascii="Arial" w:cs="Arial" w:eastAsia="Arial" w:hAnsi="Arial"/>
          <w:sz w:val="18"/>
          <w:szCs w:val="18"/>
          <w:color w:val="auto"/>
        </w:rPr>
        <w:t>Service gross margin decreased by 0.8 percentage points in 2022 compared to 2021, primarily driven by data center expansion, increased labor cost and our consolidation of Alaxala and partially offset by favorable impact of foreign currency fluctuation and higher average selling prices. Cost of service revenue was comprised primarily of personnel costs, third-party repair and contract fulfillment, data center costs, colocation expenses and cloud hosting, supplies and facility-related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6"/>
                <w:szCs w:val="16"/>
                <w:b w:val="1"/>
                <w:bCs w:val="1"/>
                <w:color w:val="auto"/>
                <w:w w:val="99"/>
              </w:rPr>
              <w:t>Year Ended 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02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020" w:type="dxa"/>
            <w:vAlign w:val="bottom"/>
          </w:tcPr>
          <w:p>
            <w:pPr>
              <w:jc w:val="right"/>
              <w:ind w:right="393"/>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20" w:type="dxa"/>
            <w:vAlign w:val="bottom"/>
            <w:vMerge w:val="restart"/>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8"/>
              </w:rPr>
              <w:t>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8"/>
              </w:rPr>
              <w:t>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w w:val="92"/>
              </w:rPr>
              <w:t>21 %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Gain on intellectual property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2"/>
              </w:rPr>
              <w:t>24 %</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Research and development expense increased by $88.2 million, or 21%, in 2022 compared to 2021, primarily due to an increase of $63.1 million in personnel-related costs as a result of increased compensation rates and headcount to support the development of new products and continued enhancements to our existing products. In addition, we incurred increases in depreciation and other occupancy costs of $16.6 million and product development costs of $4.9 million, partially offset by the favorable impact of foreign currency fluctuations. We currently intend to continue to invest in our research and development organization, and expect research and development expense to increase in absolute dollars in 2023.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7"/>
          <w:szCs w:val="17"/>
          <w:color w:val="auto"/>
        </w:rPr>
        <w:t>Sales and marketing expense increased by $340.4 million, or 25%, in 2022 compared to 2021, primarily due to an increase of $208.5 million in personnel-related costs. We significantly increased our sales capacity, including newer non-tenured salespeople. The increase in headcount is expected to help drive global revenue increases. In addition, we incurred increases in marketing-related expenses of $52.6 million, travel expense of $38.8 million, depreciation and other occupancy-related expense of $17.8 million and supplies expense of $10.6 million, partially offset by the favorable impact of foreign currency fluctuations. We currently intend to continue to make investments in sales and marketing resources, which are critical to support our future growth, and expect sales and marketing expense to increase in absolute dollars in 2023.</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General and administrative expense increased by $25.5 million, or 18%, in 2022 compared to 2021, primarily due to an increase in personnel-related costs of $17.3 million. In addition, we incurred increases in depreciation and other occupancy costs of $3.5 million, subscriptions and other expense of $3.2 million, professional services fee of $2.9 million and provision for expected credit losses of $1.4 million, partially offset by a decrease in legal-related costs of $6.1 million and the favorable impact of foreign currency fluctuations. We currently expect general and administrative expense to increase in absolute dollars in 2023.</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39" w:lineRule="exact"/>
        <w:rPr>
          <w:sz w:val="20"/>
          <w:szCs w:val="20"/>
          <w:color w:val="auto"/>
        </w:rPr>
      </w:pPr>
    </w:p>
    <w:p>
      <w:pPr>
        <w:ind w:right="60" w:firstLine="648"/>
        <w:spacing w:after="0" w:line="243" w:lineRule="auto"/>
        <w:rPr>
          <w:sz w:val="20"/>
          <w:szCs w:val="20"/>
          <w:color w:val="auto"/>
        </w:rPr>
      </w:pPr>
      <w:r>
        <w:rPr>
          <w:rFonts w:ascii="Arial" w:cs="Arial" w:eastAsia="Arial" w:hAnsi="Arial"/>
          <w:sz w:val="17"/>
          <w:szCs w:val="17"/>
          <w:color w:val="auto"/>
        </w:rPr>
        <w:t>We generated operating income of $969.6 million in 2022, an increase of $319.2 million, or 49%, compared to $650.4 million in 2021. Operating income as a percentage of revenue increased to 22% in 2022 compared to 19% in 2021. The increase in our operating margin primarily benefits from a 2.1 percentage point decrease in sales and marketing expense as a percentage of revenue, primarily due to the favorable impact of foreign currency fluctuations, as well as improvement in sales productivity compared to prior year. In addition, research and development expense and general and administrative expense decreased 1.1 percentage points and 0.5 percentage points, respectively, as percentage of revenue. The benefit from lower operating expense as a percentage of revenue was partially offset by a 1.2 percentage point decrease in gross margin.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800" w:type="dxa"/>
            <w:vAlign w:val="bottom"/>
            <w:gridSpan w:val="6"/>
          </w:tcPr>
          <w:p>
            <w:pPr>
              <w:ind w:left="94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36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80" w:type="dxa"/>
            <w:vAlign w:val="bottom"/>
            <w:gridSpan w:val="5"/>
          </w:tcPr>
          <w:p>
            <w:pPr>
              <w:ind w:left="400"/>
              <w:spacing w:after="0"/>
              <w:rPr>
                <w:sz w:val="20"/>
                <w:szCs w:val="20"/>
                <w:color w:val="auto"/>
              </w:rPr>
            </w:pPr>
            <w:r>
              <w:rPr>
                <w:rFonts w:ascii="Arial" w:cs="Arial" w:eastAsia="Arial" w:hAnsi="Arial"/>
                <w:sz w:val="16"/>
                <w:szCs w:val="16"/>
                <w:b w:val="1"/>
                <w:bCs w:val="1"/>
                <w:color w:val="auto"/>
              </w:rPr>
              <w:t>(in millions, except percentages)</w:t>
            </w:r>
          </w:p>
        </w:tc>
        <w:tc>
          <w:tcPr>
            <w:tcW w:w="1940" w:type="dxa"/>
            <w:vAlign w:val="bottom"/>
          </w:tcPr>
          <w:p>
            <w:pPr>
              <w:spacing w:after="0"/>
              <w:rPr>
                <w:sz w:val="21"/>
                <w:szCs w:val="21"/>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5"/>
              </w:rPr>
              <w:t>17.4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9"/>
                <w:szCs w:val="19"/>
                <w:color w:val="auto"/>
              </w:rPr>
            </w:pPr>
          </w:p>
        </w:tc>
        <w:tc>
          <w:tcPr>
            <w:tcW w:w="600" w:type="dxa"/>
            <w:vAlign w:val="bottom"/>
          </w:tcPr>
          <w:p>
            <w:pPr>
              <w:jc w:val="center"/>
              <w:ind w:left="30"/>
              <w:spacing w:after="0"/>
              <w:rPr>
                <w:sz w:val="20"/>
                <w:szCs w:val="20"/>
                <w:color w:val="auto"/>
              </w:rPr>
            </w:pPr>
            <w:r>
              <w:rPr>
                <w:rFonts w:ascii="Arial" w:cs="Arial" w:eastAsia="Arial" w:hAnsi="Arial"/>
                <w:sz w:val="18"/>
                <w:szCs w:val="18"/>
                <w:color w:val="auto"/>
                <w:w w:val="93"/>
              </w:rPr>
              <w:t>(18.0)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ind w:left="1060"/>
              <w:spacing w:after="0"/>
              <w:rPr>
                <w:sz w:val="20"/>
                <w:szCs w:val="20"/>
                <w:color w:val="auto"/>
              </w:rPr>
            </w:pPr>
            <w:r>
              <w:rPr>
                <w:rFonts w:ascii="Arial" w:cs="Arial" w:eastAsia="Arial" w:hAnsi="Arial"/>
                <w:sz w:val="18"/>
                <w:szCs w:val="18"/>
                <w:color w:val="auto"/>
                <w:w w:val="91"/>
              </w:rPr>
              <w:t>(3.1)</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(13.5)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(1.9)</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310"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Interest income increased by $12.9 million in 2022 as compared to 2021, primarily as a result of higher interest rates, partially offset by lower investment balances. Interest income varies depending on our average investment balances during the period, types and mix of investments, and market interest rates. Interest expense increased by $3.1 million in 2022 as compared to 2021, primarily due to our senior notes issued in the first quarter of 2021. Other expense—net increased by $1.9 million in 2022 as compared to 2021 due to an $8.0 million increase in loss on marketable equity securities, partially offset by a $3.6 million decrease in foreign exchange losses and a $2.5 million increase in net rental income from real estate.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500" w:type="dxa"/>
            <w:vAlign w:val="bottom"/>
          </w:tcPr>
          <w:p>
            <w:pPr>
              <w:spacing w:after="0"/>
              <w:rPr>
                <w:sz w:val="20"/>
                <w:szCs w:val="20"/>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 Change</w:t>
            </w:r>
          </w:p>
        </w:tc>
      </w:tr>
      <w:tr>
        <w:trPr>
          <w:trHeight w:val="290"/>
        </w:trPr>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4"/>
          </w:tcPr>
          <w:p>
            <w:pPr>
              <w:ind w:left="780"/>
              <w:spacing w:after="0"/>
              <w:rPr>
                <w:sz w:val="20"/>
                <w:szCs w:val="20"/>
                <w:color w:val="auto"/>
              </w:rPr>
            </w:pPr>
            <w:r>
              <w:rPr>
                <w:rFonts w:ascii="Arial" w:cs="Arial" w:eastAsia="Arial" w:hAnsi="Arial"/>
                <w:sz w:val="16"/>
                <w:szCs w:val="16"/>
                <w:b w:val="1"/>
                <w:bCs w:val="1"/>
                <w:color w:val="auto"/>
                <w:w w:val="98"/>
              </w:rPr>
              <w:t>(in millions, except percentages)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1360" w:type="dxa"/>
            <w:vAlign w:val="bottom"/>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3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provision for income taxes for 2022 reflects an effective tax rate of 3%, compared to an effective tax rate of 2% for 2021. The provision for income taxes for 2022 was comprised primarily of a $233.4 million tax expense related to U.S. federal and state income taxes, other foreign income taxes, foreign withholding taxes and unrecognized tax benefits. The provision was partially offset by excess tax benefits of $75.8 million from stock-based compensation expense, a tax benefit of $115.2 million from the FDII deduction, and a tax benefit of $11.6 million from federal research and development tax credits.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provision for income taxes for 2021 reflects an effective tax rate of 2%, compared to an effective tax rate of 10% for 2020. The provision for income taxes for 2021 was comprised primarily of a $140.8 million tax expense related to U.S. federal and state income taxes, other foreign income taxes, foreign withholding taxes and unrecognized tax benefits. The provision was partially offset by excess tax benefits of $82.0 million from stock-based compensation expense, a tax benefit of $33.6 million from the FDII deduction, and a tax benefit of $11.1 million from federal research and development tax credits.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Equity Method Investment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6"/>
        </w:trPr>
        <w:tc>
          <w:tcPr>
            <w:tcW w:w="3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 Change</w:t>
            </w:r>
          </w:p>
        </w:tc>
      </w:tr>
      <w:tr>
        <w:trPr>
          <w:trHeight w:val="291"/>
        </w:trPr>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5"/>
          </w:tcPr>
          <w:p>
            <w:pPr>
              <w:ind w:left="400"/>
              <w:spacing w:after="0"/>
              <w:rPr>
                <w:sz w:val="20"/>
                <w:szCs w:val="20"/>
                <w:color w:val="auto"/>
              </w:rPr>
            </w:pPr>
            <w:r>
              <w:rPr>
                <w:rFonts w:ascii="Arial" w:cs="Arial" w:eastAsia="Arial" w:hAnsi="Arial"/>
                <w:sz w:val="16"/>
                <w:szCs w:val="16"/>
                <w:b w:val="1"/>
                <w:bCs w:val="1"/>
                <w:color w:val="auto"/>
              </w:rPr>
              <w:t>(in millions, except percentages)</w:t>
            </w:r>
          </w:p>
        </w:tc>
        <w:tc>
          <w:tcPr>
            <w:tcW w:w="1940" w:type="dxa"/>
            <w:vAlign w:val="bottom"/>
          </w:tcPr>
          <w:p>
            <w:pPr>
              <w:spacing w:after="0"/>
              <w:rPr>
                <w:sz w:val="24"/>
                <w:szCs w:val="24"/>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796 %</w:t>
            </w:r>
          </w:p>
        </w:tc>
      </w:tr>
    </w:tbl>
    <w:p>
      <w:pPr>
        <w:spacing w:after="0" w:line="310"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Loss from equity method investment increased by $60.5 million in 2022 as compared to 2021, due to $38.3 million increase in our proportionate share of Linksys’ financial results as well as the amortization of the basis differences, which included a $17.5 million charge in connection with a valuation allowance established on deferred tax assets at Linksys, and the OTTI charge of $22.2 million recorded in the three months ended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quarterly results reflect a pattern of increased customer buying at year-end, which has positively impacted billings and product revenue activity in the fourth quarter. In the first quarter, we generally experience lower sequential customer product buying, followed by an increase in buying in the second and third quarters. Although these seasonal factors may be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219"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Consistent with the seasonality note above, our quarterly revenue over the past two years has increased sequentially each year. Product revenue increased year-over-year as compared to 2021, as we have continued product innovation and launched new product models, expanded our solution sales, including SD-WAN and OT solutions and increased our investments in our sales and marketing organizations.</w:t>
      </w:r>
    </w:p>
    <w:p>
      <w:pPr>
        <w:spacing w:after="0" w:line="1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6"/>
          <w:szCs w:val="16"/>
          <w:color w:val="auto"/>
        </w:rPr>
        <w:t>Total gross margin has fluctuated on a quarterly basis primarily due to the relative product and service mix as well as the timing of supplier cost increases and our own price increases. Product gross margin varies based on the types of products sold, their cost profile and their average selling prices. In 2022, product gross margin was impacted by new product introductions, the mix of high-end, mid-range and entry-level Core Platform products and the mix of other Enhanced Platform Technologies products, software sales and the timing and impact of supplier cost increases and our own price list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increases. In 2022, we experienced an unusual level of component suppliers charging new expedite fees and increases in freight costs. Historically, we have been able to improve our direct cost of appliances and our product gross margin. Service gross margin is impacted by revenue growth and our personnel-related costs, third-party repair and contract fulfillment, data center, colocation fees, cloud hosting, supplies, facility-related costs and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50"/>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Short-term and long-term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893.8</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cash, cash equivalents, investments and marketable equity securities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1,955.6</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732"/>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24"/>
                <w:szCs w:val="24"/>
                <w:color w:val="auto"/>
              </w:rPr>
            </w:pPr>
          </w:p>
        </w:tc>
      </w:tr>
      <w:tr>
        <w:trPr>
          <w:trHeight w:val="210"/>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50"/>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18"/>
          <w:szCs w:val="18"/>
          <w:color w:val="auto"/>
        </w:rPr>
        <w:t>Liquidity and capital resources are primarily impacted by our operating activities, including cash tax payments, proceeds from issuance of our investment grade debt, as well as cash used on stock repurchases, real estate purchases and other capital expenditures, investments in various companies and business acquisitions.</w:t>
      </w:r>
    </w:p>
    <w:p>
      <w:pPr>
        <w:spacing w:after="0" w:line="209"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market or industry changes, macroeconomic events such as rising inflation and interest rates, the COVID-19 pandemic, supply chain capacity and disruptions, international conflicts, including the war in Ukraine, and our ability to execute. We expect proceeds from the exercise of stock options in future years to be impacted by the increased mix of restricted stock units versus stock options granted to our employees and to vary based on our share price. We expect our cash tax payments to increase as a result of a provision in the TCJA requiring taxpayers to capitalize and amortize research and development expenses for tax purposes, other tax law changes and our expected growth.</w:t>
      </w:r>
    </w:p>
    <w:p>
      <w:pPr>
        <w:spacing w:after="0" w:line="206" w:lineRule="exact"/>
        <w:rPr>
          <w:sz w:val="20"/>
          <w:szCs w:val="20"/>
          <w:color w:val="auto"/>
        </w:rPr>
      </w:pPr>
    </w:p>
    <w:p>
      <w:pPr>
        <w:ind w:right="40" w:firstLine="648"/>
        <w:spacing w:after="0" w:line="249" w:lineRule="auto"/>
        <w:rPr>
          <w:sz w:val="20"/>
          <w:szCs w:val="20"/>
          <w:color w:val="auto"/>
        </w:rPr>
      </w:pPr>
      <w:r>
        <w:rPr>
          <w:rFonts w:ascii="Arial" w:cs="Arial" w:eastAsia="Arial" w:hAnsi="Arial"/>
          <w:sz w:val="18"/>
          <w:szCs w:val="18"/>
          <w:color w:val="auto"/>
        </w:rPr>
        <w:t>In July 2022, our board of directors authorized a $1.0 billion increase in the authorized stock repurchase under the Repurchase Program, bringing the aggregate amount of authorized to be repurchased to $5.25 billion of our outstanding common stock through February 28, 2023. In 2022, we repurchased 36.0 million shares of common stock under the Repurchase Program for an aggregate purchase price of $1.99 billion. As of December 31, 2022, $529.6 million remained available for future share repurchases under the Repurchase Program. In February 2023, our board of directors approved an extension of the Repurchase Program to February 29, 2024.</w:t>
      </w:r>
    </w:p>
    <w:p>
      <w:pPr>
        <w:spacing w:after="0" w:line="195" w:lineRule="exact"/>
        <w:rPr>
          <w:sz w:val="20"/>
          <w:szCs w:val="20"/>
          <w:color w:val="auto"/>
        </w:rPr>
      </w:pPr>
    </w:p>
    <w:p>
      <w:pPr>
        <w:jc w:val="both"/>
        <w:ind w:right="280" w:firstLine="648"/>
        <w:spacing w:after="0" w:line="243" w:lineRule="auto"/>
        <w:rPr>
          <w:sz w:val="20"/>
          <w:szCs w:val="20"/>
          <w:color w:val="auto"/>
        </w:rPr>
      </w:pPr>
      <w:r>
        <w:rPr>
          <w:rFonts w:ascii="Arial" w:cs="Arial" w:eastAsia="Arial" w:hAnsi="Arial"/>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 We do not currently intend to retire these senior notes early. Refer to Note 11. Debt in Part II, Item 8 of this Annual Report on Form 10-K for information on the senior notes.</w:t>
      </w:r>
    </w:p>
    <w:p>
      <w:pPr>
        <w:spacing w:after="0" w:line="215" w:lineRule="exact"/>
        <w:rPr>
          <w:sz w:val="20"/>
          <w:szCs w:val="20"/>
          <w:color w:val="auto"/>
        </w:rPr>
      </w:pPr>
    </w:p>
    <w:p>
      <w:pPr>
        <w:ind w:right="460" w:firstLine="648"/>
        <w:spacing w:after="0"/>
        <w:rPr>
          <w:sz w:val="20"/>
          <w:szCs w:val="20"/>
          <w:color w:val="auto"/>
        </w:rPr>
      </w:pPr>
      <w:r>
        <w:rPr>
          <w:rFonts w:ascii="Arial" w:cs="Arial" w:eastAsia="Arial" w:hAnsi="Arial"/>
          <w:sz w:val="18"/>
          <w:szCs w:val="18"/>
          <w:color w:val="auto"/>
        </w:rPr>
        <w:t>We expect to continue to increase our data center, office and warehouse capacity to support growth and the expansion of existing services or introduction of new services. As we purchase new properties, we will work to incorporate these properties into the environmental goals we have established. We estimate 2023 capital expenditures to be between $400.0 million and $450.0 million.</w:t>
      </w:r>
    </w:p>
    <w:p>
      <w:pPr>
        <w:spacing w:after="0" w:line="216"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principal commitments consist of obligations under our senior notes, inventory purchase and other contractual commitments. As of December 31, 2022, the long-term debt, net of unamortized discount and debt issuance costs, was $990.4 million. $500.0 million in aggregate principal amount of senior notes is due on March 15, 2026 and $500.0 million in aggregate principal amount of senior notes is due on March 15, 2031. In addition, we enter into non-cancellable agreements with contract manufacturers to procure inventory based on our requirements in order to reduce manufacturing lead times, plan for adequate component supply or incentivize suppliers to deliver. In certain instances, these agreements allow us the option to reschedule and adjust our requirements based on our business needs prior to firm orders being placed. In 2022, we significantly increased these commitments as contract manufacturers and component suppliers significantly increased their pricing and lead times. Inventory purchase commitments as of December 31, 2022, were $1.34 billion, an increase of $194.5 million compared to $1.14 billion as of December 31, 2021. We estimate payments of $1.27 billion due on or before December 31, 2023 related to these commitments. We also have open purchase orders and contractual obligations in the ordinary course of business for which we have not received goods or services. As of December 31, 2022, we had $108.1 million in other contractual commitments having a remaining term in excess of one year that are non-cancelable.</w:t>
      </w:r>
    </w:p>
    <w:p>
      <w:pPr>
        <w:spacing w:after="0" w:line="213"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As of December 31, 2022, our cash, cash equivalents, investments and marketable equity securities of $2.26 billion were invested primarily in deposit accounts, commercial paper, corporate debt securities, U.S. government and agency securities, certificates of deposit and term deposits, money market funds, municipal bonds and marketable equity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$218.1 million and $132.4 million as of December 31, 2022 and 2021, respectively.</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cash tax payments and macroeconomic impacts such as rising inflation and interest rates, the war in Ukraine and the COVID-19 pandemic. Historically, we have required capital principally</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to fund our working capital needs, share repurchases, capital expenditures and acquisition activities. In the event that additional financing is required from outside sources, we may not be able to raise it on terms acceptable to us or at all.</w:t>
      </w:r>
    </w:p>
    <w:p>
      <w:pPr>
        <w:spacing w:after="0" w:line="198" w:lineRule="exact"/>
        <w:rPr>
          <w:sz w:val="20"/>
          <w:szCs w:val="20"/>
          <w:color w:val="auto"/>
        </w:rPr>
      </w:pPr>
    </w:p>
    <w:p>
      <w:pPr>
        <w:jc w:val="both"/>
        <w:ind w:right="320" w:firstLine="648"/>
        <w:spacing w:after="0" w:line="248" w:lineRule="auto"/>
        <w:rPr>
          <w:sz w:val="20"/>
          <w:szCs w:val="20"/>
          <w:color w:val="auto"/>
        </w:rPr>
      </w:pPr>
      <w:r>
        <w:rPr>
          <w:rFonts w:ascii="Arial" w:cs="Arial" w:eastAsia="Arial" w:hAnsi="Arial"/>
          <w:sz w:val="18"/>
          <w:szCs w:val="18"/>
          <w:color w:val="auto"/>
        </w:rPr>
        <w:t>During 2022, 2021 and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4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deferred revenue, accounts receivable, net, deferred contract costs and deferred tax assets.</w:t>
      </w:r>
    </w:p>
    <w:p>
      <w:pPr>
        <w:spacing w:after="0" w:line="208" w:lineRule="exact"/>
        <w:rPr>
          <w:sz w:val="20"/>
          <w:szCs w:val="20"/>
          <w:color w:val="auto"/>
        </w:rPr>
      </w:pPr>
    </w:p>
    <w:p>
      <w:pPr>
        <w:ind w:right="200" w:firstLine="648"/>
        <w:spacing w:after="0" w:line="249" w:lineRule="auto"/>
        <w:rPr>
          <w:sz w:val="20"/>
          <w:szCs w:val="20"/>
          <w:color w:val="auto"/>
        </w:rPr>
      </w:pPr>
      <w:r>
        <w:rPr>
          <w:rFonts w:ascii="Arial" w:cs="Arial" w:eastAsia="Arial" w:hAnsi="Arial"/>
          <w:sz w:val="18"/>
          <w:szCs w:val="18"/>
          <w:color w:val="auto"/>
        </w:rPr>
        <w:t>Our operating activities during 2022 provided cash flows of $1.73 billion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of $1.18 billion in our deferred revenue during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purchases of property and equipment, investments in various companies and business acquisitions. Historically, in making a lease-versus-ownership decision related to warehouse, office or data center space, we have considered various factors including financial metrics and expected long-term growth rates. In certain cases, we have elected to own the facility if we believed that purchasing or developing buildings rather than leasing is more in line with our long-term strategy. We may make similar decisions in the future. We may also make cash payments in connection with future business combinations.</w:t>
      </w:r>
    </w:p>
    <w:p>
      <w:pPr>
        <w:spacing w:after="0" w:line="200" w:lineRule="exact"/>
        <w:rPr>
          <w:sz w:val="20"/>
          <w:szCs w:val="20"/>
          <w:color w:val="auto"/>
        </w:rPr>
      </w:pPr>
    </w:p>
    <w:p>
      <w:pPr>
        <w:jc w:val="both"/>
        <w:ind w:right="160" w:firstLine="648"/>
        <w:spacing w:after="0" w:line="278" w:lineRule="auto"/>
        <w:rPr>
          <w:sz w:val="20"/>
          <w:szCs w:val="20"/>
          <w:color w:val="auto"/>
        </w:rPr>
      </w:pPr>
      <w:r>
        <w:rPr>
          <w:rFonts w:ascii="Arial" w:cs="Arial" w:eastAsia="Arial" w:hAnsi="Arial"/>
          <w:sz w:val="17"/>
          <w:szCs w:val="17"/>
          <w:color w:val="auto"/>
        </w:rPr>
        <w:t>During 2022, cash provided by investing activities was primarily driven by $1.08 billion cash proceeds from maturities and sales of investments, net of purchases of investments, $281.2 million of purchases of property and equipment, and $30.8 million used for the acquisitions of certain assets and liabilities in a network detection and response business and the remaining 25% equity interests in Alaxala, net of cash.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9"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our Amended and Restated 2009 Equity Incentive Plan (the “2009 EIP”).</w:t>
      </w:r>
    </w:p>
    <w:p>
      <w:pPr>
        <w:spacing w:after="0" w:line="22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2022, cash used in financing activities was $2.13 billion, primarily driven by $1.99 billion used to repurchase shares of our common stock and $134.3 million used to pay tax withholding, net of proceeds from the issuance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1 of the notes to our consolidated financial statements in Part II, Item 8 of this Annual Report on Form 10-K for a full description of recently adopted accounting pronouncements.</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Fluctuation Risk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risks related to our investment portfolio and outstanding debt.</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investments and marketable equity securities in a variety of securities, including commercial paper, corporate debt securities, U.S. government and agency securities, certificates of deposit and term deposits, money market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funds, municipal bonds and marketable equity securities. The risk associated with fluctuating interest rates is limited to our investment portfolio. A 10% decrease in interest rates in 2022, 2021 and 2020 would have resulted in an insignificant decrease in our interest income in each of these periods.</w:t>
      </w:r>
    </w:p>
    <w:p>
      <w:pPr>
        <w:spacing w:after="0" w:line="15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March 5, 2021, we issued $1.0 billion aggregate principal amount of senior notes, consisting of $500.0 million aggregate principal amount of 1.0% notes due March 15, 2026 and $500.0 million aggregate principal amount of 2.2% notes due March 15, 2031. We carry the senior notes at face value less unamortized discount on our consolidated balance sheets. As the senior notes bear interest at a fixed rate, we have no financial statement risk associated with changes in interest rates. Refer to Note 11. Debt in Part II, Item 8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Euro (“EUR”), the Japanese yen (“JPY”), the Canadian dollar (“CAD”) and the British pound (“GBP”).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expense—net in the consolidated statements of income. We recognized an expense of $4.6 million in 2022 due to foreign currency transaction losses.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JPY and GBP,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$16.4 million change in the value of our foreign currency cash balances as of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6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Page</w:t>
            </w:r>
          </w:p>
        </w:tc>
      </w:tr>
      <w:tr>
        <w:trPr>
          <w:trHeight w:val="442"/>
        </w:trPr>
        <w:tc>
          <w:tcPr>
            <w:tcW w:w="1054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No.34)</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FF"/>
              </w:rPr>
              <w:t>74</w:t>
            </w:r>
          </w:p>
        </w:tc>
        <w:tc>
          <w:tcPr>
            <w:tcW w:w="20" w:type="dxa"/>
            <w:vAlign w:val="bottom"/>
          </w:tcPr>
          <w:p>
            <w:pPr>
              <w:spacing w:after="0"/>
              <w:rPr>
                <w:sz w:val="24"/>
                <w:szCs w:val="24"/>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60" w:type="dxa"/>
            <w:vAlign w:val="bottom"/>
            <w:gridSpan w:val="3"/>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5880" w:type="dxa"/>
            <w:vAlign w:val="bottom"/>
            <w:gridSpan w:val="5"/>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FF"/>
              </w:rPr>
              <w:t>77</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540" w:type="dxa"/>
            <w:vAlign w:val="bottom"/>
            <w:gridSpan w:val="4"/>
          </w:tcPr>
          <w:p>
            <w:pPr>
              <w:spacing w:after="0"/>
              <w:rPr>
                <w:sz w:val="20"/>
                <w:szCs w:val="20"/>
                <w:color w:val="auto"/>
              </w:rPr>
            </w:pPr>
            <w:r>
              <w:rPr>
                <w:rFonts w:ascii="Arial" w:cs="Arial" w:eastAsia="Arial" w:hAnsi="Arial"/>
                <w:sz w:val="18"/>
                <w:szCs w:val="18"/>
                <w:color w:val="0000FF"/>
                <w:w w:val="89"/>
              </w:rPr>
              <w:t>Consolidated Statements of Income for the year ended December 31, 2022, 2021 and 2020</w:t>
            </w:r>
          </w:p>
        </w:tc>
        <w:tc>
          <w:tcPr>
            <w:tcW w:w="4000" w:type="dxa"/>
            <w:vAlign w:val="bottom"/>
            <w:gridSpan w:val="4"/>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FF"/>
              </w:rPr>
              <w:t>78</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720" w:type="dxa"/>
            <w:vAlign w:val="bottom"/>
            <w:gridSpan w:val="7"/>
          </w:tcPr>
          <w:p>
            <w:pPr>
              <w:spacing w:after="0"/>
              <w:rPr>
                <w:sz w:val="20"/>
                <w:szCs w:val="20"/>
                <w:color w:val="auto"/>
              </w:rPr>
            </w:pPr>
            <w:r>
              <w:rPr>
                <w:rFonts w:ascii="Arial" w:cs="Arial" w:eastAsia="Arial" w:hAnsi="Arial"/>
                <w:sz w:val="18"/>
                <w:szCs w:val="18"/>
                <w:color w:val="0000FF"/>
                <w:w w:val="89"/>
              </w:rPr>
              <w:t>Consolidated Statements of Comprehensive Income for the year ended December 31, 2022, 2021 and 2020</w:t>
            </w:r>
          </w:p>
        </w:tc>
        <w:tc>
          <w:tcPr>
            <w:tcW w:w="28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FF"/>
              </w:rPr>
              <w:t>79</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720" w:type="dxa"/>
            <w:vAlign w:val="bottom"/>
            <w:gridSpan w:val="7"/>
          </w:tcPr>
          <w:p>
            <w:pPr>
              <w:spacing w:after="0"/>
              <w:rPr>
                <w:sz w:val="20"/>
                <w:szCs w:val="20"/>
                <w:color w:val="auto"/>
              </w:rPr>
            </w:pPr>
            <w:r>
              <w:rPr>
                <w:rFonts w:ascii="Arial" w:cs="Arial" w:eastAsia="Arial" w:hAnsi="Arial"/>
                <w:sz w:val="18"/>
                <w:szCs w:val="18"/>
                <w:color w:val="0000FF"/>
                <w:w w:val="97"/>
              </w:rPr>
              <w:t>Consolidated Statements of Equity (Deficit) for the year ended December 31, 2022, 2021 and 2020</w:t>
            </w:r>
          </w:p>
        </w:tc>
        <w:tc>
          <w:tcPr>
            <w:tcW w:w="28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FF"/>
              </w:rPr>
              <w:t>80</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140" w:type="dxa"/>
            <w:vAlign w:val="bottom"/>
            <w:gridSpan w:val="6"/>
          </w:tcPr>
          <w:p>
            <w:pPr>
              <w:spacing w:after="0"/>
              <w:rPr>
                <w:sz w:val="20"/>
                <w:szCs w:val="20"/>
                <w:color w:val="auto"/>
              </w:rPr>
            </w:pPr>
            <w:r>
              <w:rPr>
                <w:rFonts w:ascii="Arial" w:cs="Arial" w:eastAsia="Arial" w:hAnsi="Arial"/>
                <w:sz w:val="18"/>
                <w:szCs w:val="18"/>
                <w:color w:val="0000FF"/>
                <w:w w:val="93"/>
              </w:rPr>
              <w:t>Consolidated Statements of Cash Flows for the year ended December 31, 2022, 2021 and 2020</w:t>
            </w:r>
          </w:p>
        </w:tc>
        <w:tc>
          <w:tcPr>
            <w:tcW w:w="3400" w:type="dxa"/>
            <w:vAlign w:val="bottom"/>
            <w:gridSpan w:val="2"/>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FF"/>
              </w:rPr>
              <w:t>81</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680" w:type="dxa"/>
            <w:vAlign w:val="bottom"/>
            <w:gridSpan w:val="4"/>
          </w:tcPr>
          <w:p>
            <w:pPr>
              <w:spacing w:after="0"/>
              <w:rPr>
                <w:sz w:val="18"/>
                <w:szCs w:val="18"/>
                <w:color w:val="auto"/>
              </w:rPr>
            </w:pPr>
          </w:p>
        </w:tc>
        <w:tc>
          <w:tcPr>
            <w:tcW w:w="3700" w:type="dxa"/>
            <w:vAlign w:val="bottom"/>
            <w:gridSpan w:val="3"/>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FF"/>
              </w:rPr>
              <w:t>82</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audited the accompanying consolidated balance sheets of Fortinet, Inc. and subsidiaries (the “Company”) as of December 31, 2022 and 2021, the related consolidated statements of income, comprehensive income,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2023,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4" w:lineRule="exact"/>
        <w:rPr>
          <w:sz w:val="20"/>
          <w:szCs w:val="20"/>
          <w:color w:val="auto"/>
        </w:rPr>
      </w:pPr>
    </w:p>
    <w:p>
      <w:pPr>
        <w:ind w:right="4300"/>
        <w:spacing w:after="0" w:line="430" w:lineRule="auto"/>
        <w:rPr>
          <w:sz w:val="20"/>
          <w:szCs w:val="20"/>
          <w:color w:val="auto"/>
        </w:rPr>
      </w:pPr>
      <w:r>
        <w:rPr>
          <w:rFonts w:ascii="Arial" w:cs="Arial" w:eastAsia="Arial" w:hAnsi="Arial"/>
          <w:sz w:val="18"/>
          <w:szCs w:val="18"/>
          <w:b w:val="1"/>
          <w:bCs w:val="1"/>
          <w:i w:val="1"/>
          <w:iCs w:val="1"/>
          <w:color w:val="auto"/>
        </w:rPr>
        <w:t xml:space="preserve">Investments in Privately Held Companies – Refer to Notes 1 and 6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fiscal year 2021, the Company invested $160 million in cash for shares of Series A Preferred Stock of Linksys Holdings, Inc. (“Linksys”), for a 50.8% ownership interest. This investment is accounted for under the equity method of accounting and is evaluated for events or changes in business circumstances that indicate that it’s carrying value might not be recoverable and whether any estimated decline in value is considered to be other-than-temporary. Evaluating whether the investment is other-than-temporarily impaired requires management to evaluate several qualitative and quantitative factors including, among others, Linksys financial results and operating history, the Company’s ability and intent to hold the investment until its fair value recovers, the implied revenue valuation multiples compared to guideline public companies, Linksys’ ability to achieve milestones and any notable operational and strategic changes (collectively, “impairment indicators”). In the fourth quarter of fiscal year 2022, management concluded that such investment was other-than-temporarily impaired and recorded an impairment charge.</w:t>
      </w:r>
    </w:p>
    <w:p>
      <w:pPr>
        <w:spacing w:after="0" w:line="20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Concluding on whether the presence of impairment indicators indicates that an investment is other-than-temporarily impaired, involves significant and complex management judgment. Therefore, a high degree of auditor judgment and an increased extent</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of effort was required when performing audit procedures to evaluate the appropriateness of management’s assessment of identified impairment indicators and the conclusions reached around whether these impairment indicators result in an other-than-temporary impairment.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Our audit procedures related to management’s assessment of identified impairment indicators and the conclusions reached around whether these impairment indicators result in an other-than-temporary impairment included, among others:</w:t>
      </w:r>
    </w:p>
    <w:p>
      <w:pPr>
        <w:spacing w:after="0" w:line="130" w:lineRule="exact"/>
        <w:rPr>
          <w:sz w:val="20"/>
          <w:szCs w:val="20"/>
          <w:color w:val="auto"/>
        </w:rPr>
      </w:pPr>
    </w:p>
    <w:p>
      <w:pPr>
        <w:ind w:left="260" w:right="140" w:hanging="252"/>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assessment of identified impairment indicators and the conclusions reached around whether these impairment indicators result in an other-than-temporary impairment.</w:t>
      </w:r>
    </w:p>
    <w:p>
      <w:pPr>
        <w:spacing w:after="0" w:line="116" w:lineRule="exact"/>
        <w:rPr>
          <w:rFonts w:ascii="Arial" w:cs="Arial" w:eastAsia="Arial" w:hAnsi="Arial"/>
          <w:sz w:val="18"/>
          <w:szCs w:val="18"/>
          <w:color w:val="auto"/>
        </w:rPr>
      </w:pPr>
    </w:p>
    <w:p>
      <w:pPr>
        <w:ind w:left="260" w:right="180" w:hanging="252"/>
        <w:spacing w:after="0" w:line="308" w:lineRule="auto"/>
        <w:tabs>
          <w:tab w:leader="none" w:pos="2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evaluated management’s other-than-temporary impairment analysis of its Linksys investment by assessing whether certain indicators were present and whether those indications implied an other-than-temporary loss of value. These procedures included but were not limited to:</w:t>
      </w:r>
    </w:p>
    <w:p>
      <w:pPr>
        <w:spacing w:after="0" w:line="78" w:lineRule="exact"/>
        <w:rPr>
          <w:rFonts w:ascii="Arial" w:cs="Arial" w:eastAsia="Arial" w:hAnsi="Arial"/>
          <w:sz w:val="17"/>
          <w:szCs w:val="17"/>
          <w:color w:val="auto"/>
        </w:rPr>
      </w:pPr>
    </w:p>
    <w:p>
      <w:pPr>
        <w:ind w:left="900" w:right="300" w:hanging="244"/>
        <w:spacing w:after="0" w:line="261" w:lineRule="auto"/>
        <w:tabs>
          <w:tab w:leader="none" w:pos="8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evaluated the reasonableness of the estimated cash flows by comparing such estimated cash flows to historical results and other internal and external information.</w:t>
      </w:r>
    </w:p>
    <w:p>
      <w:pPr>
        <w:spacing w:after="0" w:line="197" w:lineRule="exact"/>
        <w:rPr>
          <w:rFonts w:ascii="Arial" w:cs="Arial" w:eastAsia="Arial" w:hAnsi="Arial"/>
          <w:sz w:val="18"/>
          <w:szCs w:val="18"/>
          <w:color w:val="auto"/>
        </w:rPr>
      </w:pPr>
    </w:p>
    <w:p>
      <w:pPr>
        <w:ind w:left="900" w:right="760" w:hanging="244"/>
        <w:spacing w:after="0" w:line="246" w:lineRule="auto"/>
        <w:tabs>
          <w:tab w:leader="none" w:pos="8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discount rates and revenue valuation multiples by testing the source information used in determining discount rates and revenue valuation multiples.</w:t>
      </w:r>
    </w:p>
    <w:p>
      <w:pPr>
        <w:spacing w:after="0" w:line="210"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tested the mathematical accuracy of the discounted cash flows analysis and the resulting estimated fair value of Linksys.</w:t>
      </w:r>
    </w:p>
    <w:p>
      <w:pPr>
        <w:spacing w:after="0" w:line="238"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compared Linksys’ estimated undiscounted cash flows and estimated fair value to Fortinet’s carrying amount.</w:t>
      </w:r>
    </w:p>
    <w:p>
      <w:pPr>
        <w:spacing w:after="0" w:line="238" w:lineRule="exact"/>
        <w:rPr>
          <w:rFonts w:ascii="Arial" w:cs="Arial" w:eastAsia="Arial" w:hAnsi="Arial"/>
          <w:sz w:val="18"/>
          <w:szCs w:val="18"/>
          <w:color w:val="auto"/>
        </w:rPr>
      </w:pPr>
    </w:p>
    <w:p>
      <w:pPr>
        <w:ind w:left="900" w:right="500" w:hanging="244"/>
        <w:spacing w:after="0" w:line="261" w:lineRule="auto"/>
        <w:tabs>
          <w:tab w:leader="none" w:pos="8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performed inquiries with relevant members of management to obtain an understanding of their current and expected performance for Linksys, including their understanding of any operational and strategic changes.</w:t>
      </w:r>
    </w:p>
    <w:p>
      <w:pPr>
        <w:spacing w:after="0" w:line="197" w:lineRule="exact"/>
        <w:rPr>
          <w:rFonts w:ascii="Arial" w:cs="Arial" w:eastAsia="Arial" w:hAnsi="Arial"/>
          <w:sz w:val="18"/>
          <w:szCs w:val="18"/>
          <w:color w:val="auto"/>
        </w:rPr>
      </w:pPr>
    </w:p>
    <w:p>
      <w:pPr>
        <w:ind w:left="900" w:right="900" w:hanging="244"/>
        <w:spacing w:after="0" w:line="261" w:lineRule="auto"/>
        <w:tabs>
          <w:tab w:leader="none" w:pos="8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performed a retrospective review of Linksys’ performance by comparing actual Linksys results to the performance expected by management when the Company initially invested in Linksys.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evaluated the length of time Linksys has incurred losses.</w:t>
      </w:r>
    </w:p>
    <w:p>
      <w:pPr>
        <w:spacing w:after="0" w:line="238" w:lineRule="exact"/>
        <w:rPr>
          <w:rFonts w:ascii="Arial" w:cs="Arial" w:eastAsia="Arial" w:hAnsi="Arial"/>
          <w:sz w:val="18"/>
          <w:szCs w:val="18"/>
          <w:color w:val="auto"/>
        </w:rPr>
      </w:pPr>
    </w:p>
    <w:p>
      <w:pPr>
        <w:ind w:left="900" w:right="180" w:hanging="244"/>
        <w:spacing w:after="0" w:line="261" w:lineRule="auto"/>
        <w:tabs>
          <w:tab w:leader="none" w:pos="8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evaluated Linksys’ performance relative to its peers and to the economy by performing a comparison to peer company results and macro-economic trends.</w:t>
      </w:r>
    </w:p>
    <w:p>
      <w:pPr>
        <w:spacing w:after="0" w:line="197"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tested the mathematical accuracy of the Linksys impairment as the excess of the investment’s carrying value over its estimated fair value.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 Refer to Notes 1 and 12 to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5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is involved in disputes, litigation and other legal actions in the normal course of business. Claims from third parties may result in a requirement to pay substantial damages and could prevent the Company from selling certain of its products. The Company accrues for a loss contingency if a loss is probable and the amount of the loss can be reasonably estimated. These accruals are generally based on a range of possible outcomes that require significant management judgement.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Given the inherent uncertainty of the outcome of identified current matters, auditing litigation contingencies required a high degree of auditor judgment and an increased extent of effort when performing audit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litigation contingencies included the following, among others:</w:t>
      </w:r>
    </w:p>
    <w:p>
      <w:pPr>
        <w:spacing w:after="0" w:line="171"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litigation contingency accrual analysis and assessment of matters with potential impact.</w:t>
      </w:r>
    </w:p>
    <w:p>
      <w:pPr>
        <w:spacing w:after="0" w:line="194" w:lineRule="exact"/>
        <w:rPr>
          <w:rFonts w:ascii="Arial" w:cs="Arial" w:eastAsia="Arial" w:hAnsi="Arial"/>
          <w:sz w:val="16"/>
          <w:szCs w:val="16"/>
          <w:color w:val="auto"/>
        </w:rPr>
      </w:pPr>
    </w:p>
    <w:p>
      <w:pPr>
        <w:ind w:left="260" w:right="400" w:hanging="252"/>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obtained and evaluated legal letters from internal and external legal counsel, and we discussed with internal legal counsel the pending litigation matters.</w:t>
      </w:r>
    </w:p>
    <w:p>
      <w:pPr>
        <w:spacing w:after="0" w:line="116" w:lineRule="exact"/>
        <w:rPr>
          <w:rFonts w:ascii="Arial" w:cs="Arial" w:eastAsia="Arial" w:hAnsi="Arial"/>
          <w:sz w:val="18"/>
          <w:szCs w:val="18"/>
          <w:color w:val="auto"/>
        </w:rPr>
      </w:pPr>
    </w:p>
    <w:p>
      <w:pPr>
        <w:ind w:left="240" w:hanging="232"/>
        <w:spacing w:after="0"/>
        <w:tabs>
          <w:tab w:leader="none" w:pos="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made inquiries with management to obtain an understanding of litigation matters that the Company is currently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undergoing.</w:t>
      </w:r>
    </w:p>
    <w:p>
      <w:pPr>
        <w:spacing w:after="0" w:line="171"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read available court filings for litigation matters to search for contradictory information.</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read Board of Directors meeting minutes to search for contradictory information.</w:t>
      </w:r>
    </w:p>
    <w:p>
      <w:pPr>
        <w:spacing w:after="0" w:line="171" w:lineRule="exact"/>
        <w:rPr>
          <w:rFonts w:ascii="Arial" w:cs="Arial" w:eastAsia="Arial" w:hAnsi="Arial"/>
          <w:sz w:val="18"/>
          <w:szCs w:val="18"/>
          <w:color w:val="auto"/>
        </w:rPr>
      </w:pPr>
    </w:p>
    <w:p>
      <w:pPr>
        <w:ind w:left="260" w:hanging="252"/>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evaluated the assumptions used by the Company to estimate the litigation contingency, including corroborating the assumptions with internal legal counsel.</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r>
      <w:tr>
        <w:trPr>
          <w:trHeight w:val="212"/>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1,194.0</w:t>
            </w: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Marketable equity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175"/>
        </w:trPr>
        <w:tc>
          <w:tcPr>
            <w:tcW w:w="8060" w:type="dxa"/>
            <w:vAlign w:val="bottom"/>
          </w:tcPr>
          <w:p>
            <w:pPr>
              <w:ind w:left="460"/>
              <w:spacing w:after="0" w:line="176" w:lineRule="exact"/>
              <w:rPr>
                <w:sz w:val="20"/>
                <w:szCs w:val="20"/>
                <w:color w:val="auto"/>
              </w:rPr>
            </w:pPr>
            <w:r>
              <w:rPr>
                <w:rFonts w:ascii="Arial" w:cs="Arial" w:eastAsia="Arial" w:hAnsi="Arial"/>
                <w:sz w:val="18"/>
                <w:szCs w:val="18"/>
                <w:color w:val="auto"/>
                <w:w w:val="94"/>
              </w:rPr>
              <w:t>Accounts receivable—Net of allowance for credit losses of $3.6 million and $2.4 million at December</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31, 2022 and 2021,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807.7</w:t>
            </w: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30"/>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3,600.6</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440.8</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423.3</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 (DEFICIT)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30"/>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1,675.5</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TAX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988.4</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80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5,120.7</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EQUITY (DEFICIT):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5"/>
        </w:trPr>
        <w:tc>
          <w:tcPr>
            <w:tcW w:w="80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Common stock, $0.001 par value—1,500.0 shares authorized; 781.5 shares and 810.0 shares issued and</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at December 31, 2022 and 2021, respectively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1,253.6</w:t>
            </w: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Fortinet, Inc. stockholders’ equity (deficit)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06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equity (deficit)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5,919.1</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Year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Arial" w:cs="Arial" w:eastAsia="Arial" w:hAnsi="Arial"/>
                <w:sz w:val="18"/>
                <w:szCs w:val="18"/>
                <w:color w:val="auto"/>
              </w:rPr>
              <w:t>Product</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1,780.5</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1,255.0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2,636.9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4,417.4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1,084.9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1,089.2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2,243.3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3,332.5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2,024.4</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1,686.1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2,362.9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EXPENSE—NET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56"/>
        </w:trPr>
        <w:tc>
          <w:tcPr>
            <w:tcW w:w="5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INCOME TAXES AND LOSS FROM EQUITY</w:t>
            </w:r>
          </w:p>
        </w:tc>
        <w:tc>
          <w:tcPr>
            <w:tcW w:w="1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 INVESTMENT</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LOSS ATTRIBUTABLE TO NON-CONTROLLING</w:t>
            </w: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 NET OF TAX</w:t>
            </w:r>
          </w:p>
        </w:tc>
        <w:tc>
          <w:tcPr>
            <w:tcW w:w="1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114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 (Note 9):</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89"/>
              </w:rPr>
              <w:t>Weighted-average shares used to compute net income per share attributable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to Fortinet, Inc.:</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805.3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835.3</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340"/>
              <w:spacing w:after="0"/>
              <w:rPr>
                <w:sz w:val="20"/>
                <w:szCs w:val="20"/>
                <w:color w:val="auto"/>
              </w:rPr>
            </w:pPr>
            <w:r>
              <w:rPr>
                <w:rFonts w:ascii="Arial" w:cs="Arial" w:eastAsia="Arial" w:hAnsi="Arial"/>
                <w:sz w:val="18"/>
                <w:szCs w:val="18"/>
                <w:color w:val="auto"/>
              </w:rPr>
              <w:t>Change in unrealized gains (losses) on investments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tax provision (benefit) related to items of other comprehensive loss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including non-controlling interests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Fortinet, Inc.</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STATEMENTS OF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6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2"/>
                <w:szCs w:val="2"/>
                <w:color w:val="auto"/>
              </w:rPr>
            </w:pPr>
          </w:p>
        </w:tc>
        <w:tc>
          <w:tcPr>
            <w:tcW w:w="6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5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5"/>
              </w:rPr>
              <w:t>(Accumulated</w:t>
            </w:r>
          </w:p>
        </w:tc>
        <w:tc>
          <w:tcPr>
            <w:tcW w:w="8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6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50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7"/>
                <w:szCs w:val="17"/>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2"/>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2019</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1,342.4</w:t>
            </w:r>
          </w:p>
        </w:tc>
        <w:tc>
          <w:tcPr>
            <w:tcW w:w="0" w:type="dxa"/>
            <w:vAlign w:val="bottom"/>
          </w:tcPr>
          <w:p>
            <w:pPr>
              <w:spacing w:after="0"/>
              <w:rPr>
                <w:sz w:val="1"/>
                <w:szCs w:val="1"/>
                <w:color w:val="auto"/>
              </w:rPr>
            </w:pPr>
          </w:p>
        </w:tc>
      </w:tr>
      <w:tr>
        <w:trPr>
          <w:trHeight w:val="143"/>
        </w:trPr>
        <w:tc>
          <w:tcPr>
            <w:tcW w:w="5040" w:type="dxa"/>
            <w:vAlign w:val="bottom"/>
          </w:tcPr>
          <w:p>
            <w:pPr>
              <w:ind w:left="220"/>
              <w:spacing w:after="0" w:line="143"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188"/>
        </w:trPr>
        <w:tc>
          <w:tcPr>
            <w:tcW w:w="5040" w:type="dxa"/>
            <w:vAlign w:val="bottom"/>
          </w:tcPr>
          <w:p>
            <w:pPr>
              <w:ind w:left="220"/>
              <w:spacing w:after="0"/>
              <w:rPr>
                <w:sz w:val="20"/>
                <w:szCs w:val="20"/>
                <w:color w:val="auto"/>
              </w:rPr>
            </w:pPr>
            <w:r>
              <w:rPr>
                <w:rFonts w:ascii="Arial" w:cs="Arial" w:eastAsia="Arial" w:hAnsi="Arial"/>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(1,080.1)</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unrealized loss on investments - net of tax</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856.0</w:t>
            </w:r>
          </w:p>
        </w:tc>
        <w:tc>
          <w:tcPr>
            <w:tcW w:w="0" w:type="dxa"/>
            <w:vAlign w:val="bottom"/>
          </w:tcPr>
          <w:p>
            <w:pPr>
              <w:spacing w:after="0"/>
              <w:rPr>
                <w:sz w:val="1"/>
                <w:szCs w:val="1"/>
                <w:color w:val="auto"/>
              </w:rPr>
            </w:pPr>
          </w:p>
        </w:tc>
      </w:tr>
      <w:tr>
        <w:trPr>
          <w:trHeight w:val="143"/>
        </w:trPr>
        <w:tc>
          <w:tcPr>
            <w:tcW w:w="5040" w:type="dxa"/>
            <w:vAlign w:val="bottom"/>
          </w:tcPr>
          <w:p>
            <w:pPr>
              <w:ind w:left="220"/>
              <w:spacing w:after="0" w:line="143"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88"/>
        </w:trPr>
        <w:tc>
          <w:tcPr>
            <w:tcW w:w="5040" w:type="dxa"/>
            <w:vAlign w:val="bottom"/>
          </w:tcPr>
          <w:p>
            <w:pPr>
              <w:ind w:left="220"/>
              <w:spacing w:after="0"/>
              <w:rPr>
                <w:sz w:val="20"/>
                <w:szCs w:val="20"/>
                <w:color w:val="auto"/>
              </w:rPr>
            </w:pPr>
            <w:r>
              <w:rPr>
                <w:rFonts w:ascii="Arial" w:cs="Arial" w:eastAsia="Arial" w:hAnsi="Arial"/>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Recognition of non-controlling interests upon business combination</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Net unrealized loss on investments - net of tax</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606.7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43"/>
        </w:trPr>
        <w:tc>
          <w:tcPr>
            <w:tcW w:w="5040" w:type="dxa"/>
            <w:vAlign w:val="bottom"/>
          </w:tcPr>
          <w:p>
            <w:pPr>
              <w:ind w:left="220"/>
              <w:spacing w:after="0" w:line="143" w:lineRule="exact"/>
              <w:rPr>
                <w:sz w:val="20"/>
                <w:szCs w:val="20"/>
                <w:color w:val="auto"/>
              </w:rPr>
            </w:pPr>
            <w:r>
              <w:rPr>
                <w:rFonts w:ascii="Arial" w:cs="Arial" w:eastAsia="Arial" w:hAnsi="Arial"/>
                <w:sz w:val="14"/>
                <w:szCs w:val="14"/>
                <w:color w:val="auto"/>
                <w:w w:val="98"/>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88"/>
        </w:trPr>
        <w:tc>
          <w:tcPr>
            <w:tcW w:w="5040" w:type="dxa"/>
            <w:vAlign w:val="bottom"/>
          </w:tcPr>
          <w:p>
            <w:pPr>
              <w:ind w:left="220"/>
              <w:spacing w:after="0"/>
              <w:rPr>
                <w:sz w:val="20"/>
                <w:szCs w:val="20"/>
                <w:color w:val="auto"/>
              </w:rPr>
            </w:pPr>
            <w:r>
              <w:rPr>
                <w:rFonts w:ascii="Arial" w:cs="Arial" w:eastAsia="Arial" w:hAnsi="Arial"/>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(1,935.8)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(1,991.2)</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Acquisition of the non-controlling interests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Net unrealized loss on investments - net of tax</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2"/>
        </w:trPr>
        <w:tc>
          <w:tcPr>
            <w:tcW w:w="50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857.3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856.6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6"/>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020" w:type="dxa"/>
            <w:vAlign w:val="bottom"/>
          </w:tcPr>
          <w:p>
            <w:pPr>
              <w:jc w:val="center"/>
              <w:ind w:left="3128"/>
              <w:spacing w:after="0"/>
              <w:rPr>
                <w:sz w:val="20"/>
                <w:szCs w:val="20"/>
                <w:color w:val="auto"/>
              </w:rPr>
            </w:pPr>
            <w:r>
              <w:rPr>
                <w:rFonts w:ascii="Arial" w:cs="Arial" w:eastAsia="Arial" w:hAnsi="Arial"/>
                <w:sz w:val="14"/>
                <w:szCs w:val="14"/>
                <w:b w:val="1"/>
                <w:bCs w:val="1"/>
                <w:color w:val="auto"/>
              </w:rPr>
              <w:t>FORTINET, INC.</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20" w:type="dxa"/>
            <w:vAlign w:val="bottom"/>
            <w:gridSpan w:val="2"/>
          </w:tcPr>
          <w:p>
            <w:pPr>
              <w:jc w:val="center"/>
              <w:ind w:left="2728"/>
              <w:spacing w:after="0"/>
              <w:rPr>
                <w:sz w:val="20"/>
                <w:szCs w:val="20"/>
                <w:color w:val="auto"/>
              </w:rPr>
            </w:pPr>
            <w:r>
              <w:rPr>
                <w:rFonts w:ascii="Arial" w:cs="Arial" w:eastAsia="Arial" w:hAnsi="Arial"/>
                <w:sz w:val="14"/>
                <w:szCs w:val="14"/>
                <w:b w:val="1"/>
                <w:bCs w:val="1"/>
                <w:color w:val="auto"/>
              </w:rPr>
              <w:t>CONSOLIDATED STATEMENTS OF CASH FLOWS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20" w:type="dxa"/>
            <w:vAlign w:val="bottom"/>
          </w:tcPr>
          <w:p>
            <w:pPr>
              <w:jc w:val="center"/>
              <w:ind w:left="3128"/>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4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Net income including non-controlling interests</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856.6</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606.7</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Stock-based compensation</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Amortization of deferred contract costs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175.9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Amortization of investment premiums (discounts)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Loss from equity method investment</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860"/>
              <w:spacing w:after="0"/>
              <w:rPr>
                <w:sz w:val="20"/>
                <w:szCs w:val="20"/>
                <w:color w:val="auto"/>
              </w:rPr>
            </w:pPr>
            <w:r>
              <w:rPr>
                <w:rFonts w:ascii="Arial" w:cs="Arial" w:eastAsia="Arial" w:hAnsi="Arial"/>
                <w:sz w:val="14"/>
                <w:szCs w:val="14"/>
                <w:color w:val="auto"/>
              </w:rPr>
              <w:t>Changes in operating assets and liabilities, net of impact of business combinations: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receivable—net</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Inventory</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Deferred contract costs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tax assets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Accrued liabilities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Accrued payroll and compensation</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440"/>
              <w:spacing w:after="0"/>
              <w:rPr>
                <w:sz w:val="20"/>
                <w:szCs w:val="20"/>
                <w:color w:val="auto"/>
              </w:rPr>
            </w:pPr>
            <w:r>
              <w:rPr>
                <w:rFonts w:ascii="Arial" w:cs="Arial" w:eastAsia="Arial" w:hAnsi="Arial"/>
                <w:sz w:val="14"/>
                <w:szCs w:val="14"/>
                <w:color w:val="auto"/>
              </w:rPr>
              <w:t>Other liabilities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revenue</w:t>
            </w: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839.4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84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1,730.6</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1,499.7</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Purchases of investments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(2,308.0)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Sales of investments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Maturities of investments</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1,470.3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Investment in privately held company</w:t>
            </w:r>
          </w:p>
        </w:tc>
        <w:tc>
          <w:tcPr>
            <w:tcW w:w="4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Payments made in connection with business combinations, net of cash acquired</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Purchases of marketable equity securities</w:t>
            </w:r>
          </w:p>
        </w:tc>
        <w:tc>
          <w:tcPr>
            <w:tcW w:w="4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20" w:type="dxa"/>
            <w:vAlign w:val="bottom"/>
          </w:tcPr>
          <w:p>
            <w:pPr>
              <w:ind w:left="840"/>
              <w:spacing w:after="0"/>
              <w:rPr>
                <w:sz w:val="20"/>
                <w:szCs w:val="20"/>
                <w:color w:val="auto"/>
              </w:rPr>
            </w:pPr>
            <w:r>
              <w:rPr>
                <w:rFonts w:ascii="Arial" w:cs="Arial" w:eastAsia="Arial" w:hAnsi="Arial"/>
                <w:sz w:val="14"/>
                <w:szCs w:val="14"/>
                <w:color w:val="auto"/>
              </w:rPr>
              <w:t>Net cash provided by (used in) investing activities</w:t>
            </w: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763.9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(1,325.1)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Proceeds from long-term borrowings, net of discount and underwriting fees</w:t>
            </w:r>
          </w:p>
        </w:tc>
        <w:tc>
          <w:tcPr>
            <w:tcW w:w="4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989.4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Payments for debt issuance costs</w:t>
            </w:r>
          </w:p>
        </w:tc>
        <w:tc>
          <w:tcPr>
            <w:tcW w:w="4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Payments of debt assumed in connection with business combination</w:t>
            </w:r>
          </w:p>
        </w:tc>
        <w:tc>
          <w:tcPr>
            <w:tcW w:w="4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Repurchase and retirement of common stock</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(1,991.2)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(1,080.1)</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Proceeds from issuance of common stock</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Taxes paid related to net share settlement of equity awards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Net cash provided by (used in) financing activities</w:t>
            </w: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(2,130.3)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(1,171.6)</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bottom w:val="single" w:sz="8" w:color="CCEEFF"/>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257.3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color w:val="auto"/>
              </w:rPr>
              <w:t>CASH AND CASH EQUIVALENTS—Beginning of year</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1,061.8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bottom w:val="single" w:sz="8" w:color="CCEEFF"/>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AND CASH EQUIVALENTS—End of year</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1,319.1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70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Cash paid for income taxes—net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Finance lease liabilities arising from obtaining right-of-use assets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NON-CASH INVESTING AND FINANCING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70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000" w:type="dxa"/>
            <w:vAlign w:val="bottom"/>
            <w:gridSpan w:val="2"/>
          </w:tcPr>
          <w:p>
            <w:pPr>
              <w:ind w:left="460"/>
              <w:spacing w:after="0"/>
              <w:rPr>
                <w:sz w:val="20"/>
                <w:szCs w:val="20"/>
                <w:color w:val="auto"/>
              </w:rPr>
            </w:pPr>
            <w:r>
              <w:rPr>
                <w:rFonts w:ascii="Arial" w:cs="Arial" w:eastAsia="Arial" w:hAnsi="Arial"/>
                <w:sz w:val="14"/>
                <w:szCs w:val="14"/>
                <w:color w:val="auto"/>
              </w:rPr>
              <w:t>Liability for purchase of property and equipment</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Liability incurred in connection with business combination</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SUMMARY OF SIGNIFICANT ACCOUNTING POLICIES</w:t>
      </w:r>
    </w:p>
    <w:p>
      <w:pPr>
        <w:spacing w:after="0" w:line="252" w:lineRule="exact"/>
        <w:rPr>
          <w:sz w:val="20"/>
          <w:szCs w:val="20"/>
          <w:color w:val="auto"/>
        </w:rPr>
      </w:pPr>
    </w:p>
    <w:p>
      <w:pPr>
        <w:ind w:right="420" w:firstLine="648"/>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2000 and is a global leader in broad, integrated and automated</w:t>
      </w:r>
      <w:r>
        <w:rPr>
          <w:rFonts w:ascii="Arial" w:cs="Arial" w:eastAsia="Arial" w:hAnsi="Arial"/>
          <w:sz w:val="18"/>
          <w:szCs w:val="18"/>
          <w:b w:val="1"/>
          <w:bCs w:val="1"/>
          <w:color w:val="auto"/>
        </w:rPr>
        <w:t xml:space="preserve"> </w:t>
      </w:r>
      <w:r>
        <w:rPr>
          <w:rFonts w:ascii="Arial" w:cs="Arial" w:eastAsia="Arial" w:hAnsi="Arial"/>
          <w:sz w:val="18"/>
          <w:szCs w:val="18"/>
          <w:color w:val="auto"/>
        </w:rPr>
        <w:t>cybersecurity solutions. Fortinet provides high performance cybersecurity solutions to a wide variety of businesses, such as large enterprises, communication service providers, government organizations and small to medium-sized enterprises. Fortinet’s cybersecurity solutions are designed to provide broad visibility and segmentation of the digital attack surface, through our integrated cybersecurity mesh architecture (the “Fortinet Security Fabric”) with automated protection, detection and responses.</w:t>
      </w:r>
    </w:p>
    <w:p>
      <w:pPr>
        <w:spacing w:after="0" w:line="197" w:lineRule="exact"/>
        <w:rPr>
          <w:sz w:val="20"/>
          <w:szCs w:val="20"/>
          <w:color w:val="auto"/>
        </w:rPr>
      </w:pPr>
    </w:p>
    <w:p>
      <w:pPr>
        <w:jc w:val="both"/>
        <w:ind w:right="40" w:firstLine="648"/>
        <w:spacing w:after="0" w:line="296"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consolidated financial statements of Fortinet and its subsidiaries (collectively, “we,” “us” or “our”)</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prepared in accordance with generally accepted accounting principles in the United States (“GAAP”). We consolidate all legal entities in which we have an absolute controlling financial interest. All intercompany transactions and balances have been eliminated in consolidation.</w:t>
      </w:r>
    </w:p>
    <w:p>
      <w:pPr>
        <w:spacing w:after="0" w:line="174"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On April 14, 2022, our board of directors approved a five-for-one forward stock split of our common stock (the “Forward Stock Split”), which was conditioned upon obtaining stockholder approval for the Forward Stock Split, and to increase the number of our authorized shares of common stock. On June 17, 2022, at our 2022 Annual Meeting of Stockholders, our stockholders approved the Forward Stock Split and the amendment and restatement of our amended and restated certificate of incorporation to increase the number of authorized shares of common stock from 300.0 million to 1.5 billion. The par value of our common stock was not adjusted as a result of the Forward Stock Split. Effective June 22, 2022, we filed our amended and restated certification of incorporation and completed the Forward Stock Split. All share and per share amounts and related stockholders’ equity (deficit) balances presented herein have been retroactively adjusted to reflect the Forward Stock Split.</w:t>
      </w:r>
    </w:p>
    <w:p>
      <w:pPr>
        <w:spacing w:after="0" w:line="22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accordance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Such management estimates include, but are not limited to, the determination of contingent liabilities, the determination of our ability to exercise control or significant influence over our investee, the evaluation of the equity method investments for OTTI, the standalone selling price for our products and services, the period of benefit for deferred contract costs for commissions, stock-based compensation, inventory valuation, the fair value of tangible and intangible assets acquired and liabilities assumed in business combinations, the measurement of liabilities for uncertain tax positions and deferred tax assets and liabilities, the assessment of recoverability of our goodwill and other long-lived assets, measurement of non-marketable equity securities and the determination of sales returns reserves. We base our estimates on historical experience and also on assumptions that we believe are reasonable. Actual results could differ materially from those estimates.</w:t>
      </w:r>
    </w:p>
    <w:p>
      <w:pPr>
        <w:spacing w:after="0" w:line="186" w:lineRule="exact"/>
        <w:rPr>
          <w:sz w:val="20"/>
          <w:szCs w:val="20"/>
          <w:color w:val="auto"/>
        </w:rPr>
      </w:pPr>
    </w:p>
    <w:p>
      <w:pPr>
        <w:jc w:val="both"/>
        <w:ind w:right="60" w:firstLine="648"/>
        <w:spacing w:after="0" w:line="289" w:lineRule="auto"/>
        <w:rPr>
          <w:sz w:val="20"/>
          <w:szCs w:val="20"/>
          <w:color w:val="auto"/>
        </w:rPr>
      </w:pPr>
      <w:r>
        <w:rPr>
          <w:rFonts w:ascii="Arial" w:cs="Arial" w:eastAsia="Arial" w:hAnsi="Arial"/>
          <w:sz w:val="16"/>
          <w:szCs w:val="16"/>
          <w:b w:val="1"/>
          <w:bCs w:val="1"/>
          <w:color w:val="auto"/>
        </w:rPr>
        <w:t>Concentration Risk</w:t>
      </w:r>
      <w:r>
        <w:rPr>
          <w:rFonts w:ascii="Arial" w:cs="Arial" w:eastAsia="Arial" w:hAnsi="Arial"/>
          <w:sz w:val="16"/>
          <w:szCs w:val="16"/>
          <w:color w:val="auto"/>
        </w:rPr>
        <w:t>—Financial instruments that subject us to concentrations of credit risk consist primarily of cash, cash equivalents, short-term</w:t>
      </w:r>
      <w:r>
        <w:rPr>
          <w:rFonts w:ascii="Arial" w:cs="Arial" w:eastAsia="Arial" w:hAnsi="Arial"/>
          <w:sz w:val="16"/>
          <w:szCs w:val="16"/>
          <w:b w:val="1"/>
          <w:bCs w:val="1"/>
          <w:color w:val="auto"/>
        </w:rPr>
        <w:t xml:space="preserve"> </w:t>
      </w:r>
      <w:r>
        <w:rPr>
          <w:rFonts w:ascii="Arial" w:cs="Arial" w:eastAsia="Arial" w:hAnsi="Arial"/>
          <w:sz w:val="16"/>
          <w:szCs w:val="16"/>
          <w:color w:val="auto"/>
        </w:rPr>
        <w:t>and long-term investments, marketable equity securities and accounts receivable. Our cash balances are maintained as deposits with various large financial institutions in the United States and around the world. Balances in the United States typically exceed the amount of insurance provided on such deposits.</w:t>
      </w:r>
    </w:p>
    <w:p>
      <w:pPr>
        <w:spacing w:after="0" w:line="2" w:lineRule="exact"/>
        <w:rPr>
          <w:sz w:val="20"/>
          <w:szCs w:val="20"/>
          <w:color w:val="auto"/>
        </w:rPr>
      </w:pPr>
    </w:p>
    <w:p>
      <w:pPr>
        <w:jc w:val="both"/>
        <w:ind w:right="180"/>
        <w:spacing w:after="0" w:line="323" w:lineRule="auto"/>
        <w:rPr>
          <w:sz w:val="20"/>
          <w:szCs w:val="20"/>
          <w:color w:val="auto"/>
        </w:rPr>
      </w:pPr>
      <w:r>
        <w:rPr>
          <w:rFonts w:ascii="Arial" w:cs="Arial" w:eastAsia="Arial" w:hAnsi="Arial"/>
          <w:sz w:val="16"/>
          <w:szCs w:val="16"/>
          <w:color w:val="auto"/>
        </w:rPr>
        <w:t>We maintain our cash equivalents and investments in money market funds, corporate debt securities, U.S. government and agency securities, commercial paper, certificates of deposit and term deposits and municipal bonds with major financial institutions that our management believes are financially sound.</w:t>
      </w:r>
    </w:p>
    <w:p>
      <w:pPr>
        <w:spacing w:after="0" w:line="16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accounts receivable are derived from our customers in various geographic locations. We perform ongoing credit evaluations of our customers. We generally do not require collateral on accounts receivable, and we maintain reserves for estimated credit losses. See Note 16. Segment Information for distributor customers that accounted for 10% or more of our revenue or net accounts receivable.</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rely on a small number of manufacturing partners, primarily in Taiwan, to manufacture our products, and some of the chips and other components of our products used by the contract manufacturers are available from limited or sole sources of supply. Our proprietary Application-Specific Integrated Circuits are built by contract manufacturers located in Japan and Taiwan; other integrated circuits are provided by other chip manufacturers and are currently in short supply.</w:t>
      </w:r>
    </w:p>
    <w:p>
      <w:pPr>
        <w:spacing w:after="0" w:line="210"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Financial Instruments and Fair Value</w:t>
      </w:r>
      <w:r>
        <w:rPr>
          <w:rFonts w:ascii="Arial" w:cs="Arial" w:eastAsia="Arial" w:hAnsi="Arial"/>
          <w:sz w:val="18"/>
          <w:szCs w:val="18"/>
          <w:color w:val="auto"/>
        </w:rPr>
        <w:t>—We define fair value as the price that would be received from selling an asset, or paid to transfer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all financial assets and liabilities and non-financial assets and liabilities 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188"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Comprehensive Income</w:t>
      </w:r>
      <w:r>
        <w:rPr>
          <w:rFonts w:ascii="Arial" w:cs="Arial" w:eastAsia="Arial" w:hAnsi="Arial"/>
          <w:sz w:val="16"/>
          <w:szCs w:val="16"/>
          <w:color w:val="auto"/>
        </w:rPr>
        <w:t>—Comprehensive income includes certain changes in equity from non-owner sources that are excluded from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cumulative foreign currency translation adjustments, unrealized gains and losses on available-for-sale investments and the related tax impacts.</w:t>
      </w:r>
    </w:p>
    <w:p>
      <w:pPr>
        <w:spacing w:after="0" w:line="14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Foreign Currency and Transaction Gains and Losses</w:t>
      </w:r>
      <w:r>
        <w:rPr>
          <w:rFonts w:ascii="Arial" w:cs="Arial" w:eastAsia="Arial" w:hAnsi="Arial"/>
          <w:sz w:val="18"/>
          <w:szCs w:val="18"/>
          <w:color w:val="auto"/>
        </w:rPr>
        <w:t>—The functional currency for most of our foreign subsidiaries is the U.S. dollar.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subsidiary whose functional currency is the local currency, we translate the financial statements of this subsidiary to U.S. dollars using the exchange rates in effect at the balance sheet dates for assets and liabilities, and average monthly rates of exchange for revenues, costs, and expenses. We record translation gains and losses in accumulated other comprehensive income as a component of equity (deficit). We reflect net foreign exchange transaction gains and losses resulting from the conversion of the transaction currency to functional currency as a component of foreign currency exchange gain (loss) in other expense, net. We recognized a foreign currency loss of $4.6 million, $8.2 million and $5.5 million in other expense, net, for 2022, 2021, and 2020, respectively.</w:t>
      </w:r>
    </w:p>
    <w:p>
      <w:pPr>
        <w:spacing w:after="0" w:line="21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—We consider all highly liquid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Cash and cash equivalents consist of balances with banks and highly liquid investments in commercial paper, corporate debt, U.S. government and agency securities, term deposits and money market funds.</w:t>
      </w:r>
    </w:p>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Available-for-Sale Investments</w:t>
      </w:r>
      <w:r>
        <w:rPr>
          <w:rFonts w:ascii="Arial" w:cs="Arial" w:eastAsia="Arial" w:hAnsi="Arial"/>
          <w:sz w:val="18"/>
          <w:szCs w:val="18"/>
          <w:color w:val="auto"/>
        </w:rPr>
        <w:t>—We hold investment grade securities consisting of commercial paper, corporate debt securities, U.S.</w:t>
      </w:r>
    </w:p>
    <w:p>
      <w:pPr>
        <w:spacing w:after="0" w:line="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government and agency securities, certificates of deposit and term deposits, money market funds and municipal bonds that our management believes are financially sound. We classify our investments as available-for-sale (“AFS”) at the time of purchase, since it is our intent that these investments are available for current operations. Investments with original maturities greater than three months with a remaining maturity of less than one year from the consolidated balance sheet date are classified as short-term investments. Investments with remaining maturities greater than one year from the consolidated balance sheet date are classified as long-term investments.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AFS investments in debt securities are carried at estimated fair value with any unrealized gains and losses, net of taxes, included in accumulated other comprehensive income (loss) in consolidated statements of equity (deficit). AFS debt securities with an amortized cost basis in excess of estimated fair value are assessed to determine what amount of that difference, if any, is caused by expected credit losses. An investment is impaired if the fair value of the investment is less than its cost. If the fair value of an investment is less than its amortized cost basis at the balance sheet date and if we do not intend to sell the investment, we consider available evidence to assess whether it is more likely than not that we will be required to sell the investment before the recovery of its amortized cost basis. We consult with our investment managers and consider available quantitative and qualitative evidence in evaluating, among other factors, general market conditions, the duration and extent to which the fair value is less than cost, and our ability to hold the investment. Once an impairment is determined to be attributable to credit-related factors, allowance for credit losses (i.e., the credit loss component) on AFS debt securities is recognized as credit loss expense, a charge in other expense—net, on our consolidated statements of income, and any remaining unrealized losses (i.e., the non-credit loss component), net of taxes, are included in accumulated other comprehensive income (loss) on our consolidated statements of equity (deficit).</w:t>
      </w:r>
    </w:p>
    <w:p>
      <w:pPr>
        <w:spacing w:after="0" w:line="20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consider whether unrealized losses have resulted from a credit loss or other factors. The unrealized losses on our AFS debt securities as of December 31, 2022, 2021 and 2020 were caused by fluctuations in market value and interest rates as a result of the market conditions. We concluded that an allowance for credit losses was unnecessary as of December 31, 2022, 2021 and 2020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 As a result, we had no credit losses recorded for the year ended December 31, 2022, 2021 and 2020.</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determine realized gains or losses on sale of AFS debt securities using the specific identification method to determine the cost basis of investments sold and record such gains or losses as other expense—net on the consolidated statements of income. We have elected to not record an allowance for credit losses for accrued interest for AFS investments in debt securities and will reverse the accrued interest against interest income in the period in which we determine the accrued interest to be uncollectible.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firstLine="648"/>
        <w:spacing w:after="0" w:line="250" w:lineRule="auto"/>
        <w:rPr>
          <w:sz w:val="20"/>
          <w:szCs w:val="20"/>
          <w:color w:val="auto"/>
        </w:rPr>
      </w:pPr>
      <w:r>
        <w:rPr>
          <w:rFonts w:ascii="Arial" w:cs="Arial" w:eastAsia="Arial" w:hAnsi="Arial"/>
          <w:sz w:val="18"/>
          <w:szCs w:val="18"/>
          <w:b w:val="1"/>
          <w:bCs w:val="1"/>
          <w:color w:val="auto"/>
        </w:rPr>
        <w:t>Marketable Equity Securities</w:t>
      </w:r>
      <w:r>
        <w:rPr>
          <w:rFonts w:ascii="Arial" w:cs="Arial" w:eastAsia="Arial" w:hAnsi="Arial"/>
          <w:sz w:val="18"/>
          <w:szCs w:val="18"/>
          <w:color w:val="auto"/>
        </w:rPr>
        <w:t>—Our marketable equity investments with readily determinable fair values are accounted for at fair value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Realized gains and losses as well as changes in fair value of these securities are recognized and reported in other expense—net, and are determined using the specific identification method.</w:t>
      </w:r>
    </w:p>
    <w:p>
      <w:pPr>
        <w:spacing w:after="0" w:line="2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Investments in privately held companies</w:t>
      </w:r>
      <w:r>
        <w:rPr>
          <w:rFonts w:ascii="Arial" w:cs="Arial" w:eastAsia="Arial" w:hAnsi="Arial"/>
          <w:sz w:val="17"/>
          <w:szCs w:val="17"/>
          <w:color w:val="auto"/>
        </w:rPr>
        <w:t>—Our investments in privately held companies consist of investments in common stock or in-substance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One of these investments provide us with the ability to exercise significant influence over the investee, but not an absolute controlling financial interest. The investment is accounted for under the equity method of accounting and was initially recorded at cost. Subsequently, we recognize our proportionate share of the entity’s net loss, the amortization of any basis differences, as well as any OTTI as gain or loss from this equity method investment in the consolidated statements of income and as an adjustment to the investment balance. We record our proportionate share of the results of this equity method investment on a three-month lag basis. We evaluate if there are material transactions or events that occur during the intervening period that materially affect the financial position or results of operations. As of December 31, 2022 and 2021, our investment in Linksys was our only equity method investment and was recorded in other assets. Our remaining investments in privately held companies are recorded at cost and as of December 31, 2022 and 2021 were not material.</w:t>
      </w:r>
    </w:p>
    <w:p>
      <w:pPr>
        <w:spacing w:after="0" w:line="20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We evaluate our equity method investment at the end of each reporting period to determine whether events or changes in business circumstances indicate that the carrying value of the investment may not be recoverable. Evidence of a loss in value might include, but would not necessarily be limited to, absence of an ability to recover the carrying amount of the investment or inability of the investee to sustain an earnings capacity that would justify the carrying amount of the investment. This evaluation consists of several qualitative and quantitative factors including recent financial results, projected financial results and operating trends of the investee and other publicly available information that may affect the value of our investment.</w:t>
      </w:r>
    </w:p>
    <w:p>
      <w:pPr>
        <w:spacing w:after="0" w:line="184"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—Trade accounts receivable are recorded at the invoiced amount. Our accounts receivable balance is reduced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w:t>
      </w:r>
    </w:p>
    <w:p>
      <w:pPr>
        <w:spacing w:after="0" w:line="20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further consider collectability trends for the allowance for credit losses based on our assessment of various factors, including credit quality of our customers, current economic conditions, reasonable and supportable forecasts of future economic conditions, and other factors that may affect our ability to collect from our customers. Expected credit losses are recorded as general and administrative expenses on our consolidated statements of income. The allowance for credit losses was $3.6 million and $2.4 million as of December 31, 2022 and 2021, respectively. Provisions, write-offs and recoveries were not material during the years ended December 31, 2022, 2021 and 2020.</w:t>
      </w:r>
    </w:p>
    <w:p>
      <w:pPr>
        <w:spacing w:after="0" w:line="21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or net realizable value. Cost is computed using the first-in, first-out method. In assessing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w:t>
      </w:r>
    </w:p>
    <w:p>
      <w:pPr>
        <w:spacing w:after="0" w:line="207" w:lineRule="exact"/>
        <w:rPr>
          <w:sz w:val="20"/>
          <w:szCs w:val="20"/>
          <w:color w:val="auto"/>
        </w:rPr>
      </w:pPr>
    </w:p>
    <w:p>
      <w:pPr>
        <w:ind w:right="200" w:firstLine="648"/>
        <w:spacing w:after="0" w:line="260"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We do not depreciate the allocated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land. Depreciation is computed using the straight-line method over the estimated useful lives of the assets: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4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Estimated Useful Lives</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40 years</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260" w:type="dxa"/>
            <w:vAlign w:val="bottom"/>
          </w:tcPr>
          <w:p>
            <w:pPr>
              <w:jc w:val="right"/>
              <w:spacing w:after="0"/>
              <w:rPr>
                <w:sz w:val="20"/>
                <w:szCs w:val="20"/>
                <w:color w:val="auto"/>
              </w:rPr>
            </w:pPr>
            <w:r>
              <w:rPr>
                <w:rFonts w:ascii="Arial" w:cs="Arial" w:eastAsia="Arial" w:hAnsi="Arial"/>
                <w:sz w:val="18"/>
                <w:szCs w:val="18"/>
                <w:color w:val="auto"/>
              </w:rPr>
              <w:t>1 to 7 years</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60" w:type="dxa"/>
            <w:vAlign w:val="bottom"/>
          </w:tcPr>
          <w:p>
            <w:pPr>
              <w:jc w:val="right"/>
              <w:spacing w:after="0"/>
              <w:rPr>
                <w:sz w:val="20"/>
                <w:szCs w:val="20"/>
                <w:color w:val="auto"/>
              </w:rPr>
            </w:pPr>
            <w:r>
              <w:rPr>
                <w:rFonts w:ascii="Arial" w:cs="Arial" w:eastAsia="Arial" w:hAnsi="Arial"/>
                <w:sz w:val="18"/>
                <w:szCs w:val="18"/>
                <w:color w:val="auto"/>
              </w:rPr>
              <w:t>3 to 8 years</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Business Combinations</w:t>
      </w:r>
      <w:r>
        <w:rPr>
          <w:rFonts w:ascii="Arial" w:cs="Arial" w:eastAsia="Arial" w:hAnsi="Arial"/>
          <w:sz w:val="16"/>
          <w:szCs w:val="16"/>
          <w:color w:val="auto"/>
        </w:rPr>
        <w:t>—We include the results of operations of the businesses that we acquire as of the respective dates of acquisition. We</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Our estimates and assumptions are subject to change and we often continue to gather additional information throughout the measurement period, which is up to 12 months after the acquisition date, and if we make changes to the amounts recorded, such amounts are recorded in the period in which they are identified.</w:t>
      </w:r>
    </w:p>
    <w:p>
      <w:pPr>
        <w:spacing w:after="0" w:line="181"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—We evaluate events and changes in circumstances that could indicate carrying amounts of long-lived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 There were no impairments to long-lived assets in 2022, 2021 and 2020.</w:t>
      </w:r>
    </w:p>
    <w:p>
      <w:pPr>
        <w:spacing w:after="0" w:line="20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represents the excess of purchase consideration over the estimated fair value of net assets of businesses acquired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Then we perform a quantitative impairment test by comparing the fair value of a reporting unit with its carrying amount. Any excess in the carrying value of a reporting unit over its fair value is recognized as an impairment loss in goodwill, limited to the total amount of goodwill allocated to that reporting unit.</w:t>
      </w:r>
    </w:p>
    <w:p>
      <w:pPr>
        <w:spacing w:after="0" w:line="22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performed our annual goodwill impairment analysis and did not identify any impairment indicators as a result of the review. As of December 31, 2022 and 2021, we had one reporting unit.</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7"/>
          <w:szCs w:val="17"/>
          <w:b w:val="1"/>
          <w:bCs w:val="1"/>
          <w:color w:val="auto"/>
        </w:rPr>
        <w:t>Other Intangible Assets</w:t>
      </w:r>
      <w:r>
        <w:rPr>
          <w:rFonts w:ascii="Arial" w:cs="Arial" w:eastAsia="Arial" w:hAnsi="Arial"/>
          <w:sz w:val="17"/>
          <w:szCs w:val="17"/>
          <w:color w:val="auto"/>
        </w:rPr>
        <w:t>—Intangible assets with finite lives are carried at cost, less accumulated amortization. Amortization is computed using</w:t>
      </w:r>
      <w:r>
        <w:rPr>
          <w:rFonts w:ascii="Arial" w:cs="Arial" w:eastAsia="Arial" w:hAnsi="Arial"/>
          <w:sz w:val="17"/>
          <w:szCs w:val="17"/>
          <w:b w:val="1"/>
          <w:bCs w:val="1"/>
          <w:color w:val="auto"/>
        </w:rPr>
        <w:t xml:space="preserve"> </w:t>
      </w:r>
      <w:r>
        <w:rPr>
          <w:rFonts w:ascii="Arial" w:cs="Arial" w:eastAsia="Arial" w:hAnsi="Arial"/>
          <w:sz w:val="17"/>
          <w:szCs w:val="17"/>
          <w:color w:val="auto"/>
        </w:rPr>
        <w:t>the straight-line or accelerated method over the estimated economic lives of the assets, which range from one to ten years.</w:t>
      </w:r>
    </w:p>
    <w:p>
      <w:pPr>
        <w:spacing w:after="0" w:line="167"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—We record income taxes using the asset and liability method, which requires the recognition of deferred tax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8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188"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75" w:lineRule="exact"/>
        <w:rPr>
          <w:sz w:val="20"/>
          <w:szCs w:val="20"/>
          <w:color w:val="auto"/>
        </w:rPr>
      </w:pPr>
    </w:p>
    <w:p>
      <w:pPr>
        <w:jc w:val="both"/>
        <w:ind w:right="40" w:firstLine="648"/>
        <w:spacing w:after="0" w:line="24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fair value of restricted stock units (“RSUs”) is based on the closing market price of our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We have elected to use the Black-Scholes-Merton (“Black-Scholes”) pricing model to determine the fair value of our employee stock options and our equity incentive plans. Stock-based compensation expense is amortized on a straight-line basis over the service period. We account for forfeitures of all stock-based payment awards when they occur.</w:t>
      </w:r>
    </w:p>
    <w:p>
      <w:pPr>
        <w:spacing w:after="0" w:line="221" w:lineRule="exact"/>
        <w:rPr>
          <w:sz w:val="20"/>
          <w:szCs w:val="20"/>
          <w:color w:val="auto"/>
        </w:rPr>
      </w:pPr>
    </w:p>
    <w:p>
      <w:pPr>
        <w:jc w:val="both"/>
        <w:ind w:right="100" w:firstLine="648"/>
        <w:spacing w:after="0" w:line="303"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determine if an arrangement is a lease at inception. We evaluate the classification of leases at commencement and, as necessary, at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The right-of-use (“ROU”) assets and the short and long-term lease liabilities from our operating leases are included in other assets, accrued liabilities and other liabilities in our consolidated balance sheets, respectively. The corresponding assets and, the short- and long-term lease liabilities from our finance leases are included in property and equipment, accrued liabilities and other liabilities in our consolidated balance sheets, respectively.</w:t>
      </w:r>
    </w:p>
    <w:p>
      <w:pPr>
        <w:spacing w:after="0" w:line="18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and initial direct costs,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0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do not recognize lease liabilities or ROU assets for short-term leases (leases that, at the commencement date, have a lease term of 12 months or less and do not include an option to purchase the underlying asset that we are reasonably certain to exercise). We do not allocate the contract consideration for operating lease contracts with lease and non-lease components, and account for the lease and non-lease components as a single lease component.</w:t>
      </w:r>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Payments under our lease arrangements are primarily fixed; however, certain lease agreements contain variable payments, which are expensed as incurred and not included in the operating lease ROU assets and liabilities. Variable lease payments primarily include common area maintenance charges, real estate taxes, certain parking expense and insurance costs. Lease expense for lease payments for our operating leases is recognized on a straight-line basis over the term of the lease. We begin recognizing rent expense on the date that a lessor makes an underlying asset that is subject to the lease available for our use. For our finance leases, we recognize amortization expense from the amortization of the corresponding assets and interest expense on the related lease liabilities.</w:t>
      </w:r>
    </w:p>
    <w:p>
      <w:pPr>
        <w:spacing w:after="0" w:line="21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income. Our advertising expenses were not material for any periods presented.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that is marketed have not been capitalized as we believe our current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process is essentially completed concurrently with the establishment of technological feasibility. Such costs are expensed as incurred and included in research and development in our consolidated statements of income.</w:t>
      </w:r>
    </w:p>
    <w:p>
      <w:pPr>
        <w:spacing w:after="0" w:line="20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costs to develop software for internal use are capitalized based on qualifying criteria. These costs consist of internal compensation related costs and external direct costs incurred during the application development stage. Such costs are amortized over the software’s estimated useful life.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60" w:firstLine="648"/>
        <w:spacing w:after="0" w:line="278" w:lineRule="auto"/>
        <w:rPr>
          <w:sz w:val="20"/>
          <w:szCs w:val="20"/>
          <w:color w:val="auto"/>
        </w:rPr>
      </w:pPr>
      <w:r>
        <w:rPr>
          <w:rFonts w:ascii="Arial" w:cs="Arial" w:eastAsia="Arial" w:hAnsi="Arial"/>
          <w:sz w:val="16"/>
          <w:szCs w:val="16"/>
          <w:b w:val="1"/>
          <w:bCs w:val="1"/>
          <w:color w:val="auto"/>
        </w:rPr>
        <w:t>Deferred Contract Costs and Commission Expense</w:t>
      </w:r>
      <w:r>
        <w:rPr>
          <w:rFonts w:ascii="Arial" w:cs="Arial" w:eastAsia="Arial" w:hAnsi="Arial"/>
          <w:sz w:val="16"/>
          <w:szCs w:val="16"/>
          <w:color w:val="auto"/>
        </w:rPr>
        <w:t>—Sales commissions earned by our sales force are considered incremental and recoverable</w:t>
      </w:r>
      <w:r>
        <w:rPr>
          <w:rFonts w:ascii="Arial" w:cs="Arial" w:eastAsia="Arial" w:hAnsi="Arial"/>
          <w:sz w:val="16"/>
          <w:szCs w:val="16"/>
          <w:b w:val="1"/>
          <w:bCs w:val="1"/>
          <w:color w:val="auto"/>
        </w:rPr>
        <w:t xml:space="preserve"> </w:t>
      </w:r>
      <w:r>
        <w:rPr>
          <w:rFonts w:ascii="Arial" w:cs="Arial" w:eastAsia="Arial" w:hAnsi="Arial"/>
          <w:sz w:val="16"/>
          <w:szCs w:val="16"/>
          <w:color w:val="auto"/>
        </w:rPr>
        <w:t>costs of obtaining a contract with a customer. We recognize sales commissions expenses related to product sales upfront while sales commissions expenses for service contracts are deferred as deferred contract costs in the consolidated balance sheets and amortized over the applicable amortization period.</w:t>
      </w:r>
    </w:p>
    <w:p>
      <w:pPr>
        <w:spacing w:after="0" w:line="2"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Commission costs for initial contracts that are not commensurate with commissions on renewal contracts are amortized on a straight-line basis over the period of benefit, which we have determined to be five years and which is typically longer than the initial contract term. The amortization of deferred contract costs is included in sales and marketing expense in our consolidated statements of income. Amortization of deferred contract costs during 2022, 2021 and 2020 was $223.3 million, $175.9 million and $137.4 million, respectively. No impairment loss was recognized during 2022, 2021 and 2020.</w:t>
      </w:r>
    </w:p>
    <w:p>
      <w:pPr>
        <w:spacing w:after="0" w:line="179" w:lineRule="exact"/>
        <w:rPr>
          <w:sz w:val="20"/>
          <w:szCs w:val="20"/>
          <w:color w:val="auto"/>
        </w:rPr>
      </w:pPr>
    </w:p>
    <w:p>
      <w:pPr>
        <w:jc w:val="both"/>
        <w:ind w:right="260" w:firstLine="648"/>
        <w:spacing w:after="0" w:line="250" w:lineRule="auto"/>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that will be recognized during the succeeding 12-month period is recorded as current deferred revenue and the remaining portion is recorded as non-current deferred revenue. The majority of deferred revenue is comprised of security subscription and technical support services which are invoiced upfront and delivered over 12 months or longer.</w:t>
      </w:r>
    </w:p>
    <w:p>
      <w:pPr>
        <w:spacing w:after="0" w:line="218"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—Our revenue consists of product and service revenue. Revenues are recognized when control of these goods or services is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our customers, in an amount that reflects the consideration we expect to be entitled to in exchange for those goods or services. We determine revenue recognition through the following steps:</w:t>
      </w:r>
    </w:p>
    <w:p>
      <w:pPr>
        <w:spacing w:after="0" w:line="207" w:lineRule="exact"/>
        <w:rPr>
          <w:sz w:val="20"/>
          <w:szCs w:val="20"/>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a contract or contracts with a customer;</w:t>
      </w:r>
    </w:p>
    <w:p>
      <w:pPr>
        <w:spacing w:after="0" w:line="23" w:lineRule="exact"/>
        <w:rPr>
          <w:rFonts w:ascii="Arial" w:cs="Arial" w:eastAsia="Arial" w:hAnsi="Arial"/>
          <w:sz w:val="18"/>
          <w:szCs w:val="18"/>
          <w:color w:val="auto"/>
        </w:rPr>
      </w:pPr>
    </w:p>
    <w:p>
      <w:pPr>
        <w:ind w:left="1300" w:right="280" w:hanging="320"/>
        <w:spacing w:after="0" w:line="250" w:lineRule="auto"/>
        <w:tabs>
          <w:tab w:leader="none" w:pos="1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a contract, including evaluation of performance obligations and evaluating the distinct goods or services in a contract;</w:t>
      </w: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a transaction price;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a transaction price to the performance obligations in a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derive a majority of product sales from our Core Platform (previously referred to as FortiGate) hardware and virtual machine products which include a broad set of built-in security and networking features and functionalities, including firewall, next-generation firewall, secure web gateway, secure sockets layer (“SSL”) inspection, software-defined wide-area network, intrusion prevention, SSL data leak prevention, virtual private network, switch and wireless controller and wide area network edge.</w:t>
      </w:r>
    </w:p>
    <w:p>
      <w:pPr>
        <w:spacing w:after="0" w:line="21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recognize product revenue upon shipment when control of the promised goods is transferred to the customer. Our term software licenses represent multiple performance obligations, which include software licenses and software support services where the term licenses are recognized upfront upon transfer of control, with the associated software support services recognized ratably over the service term as services and software updates are provided.</w:t>
      </w:r>
    </w:p>
    <w:p>
      <w:pPr>
        <w:spacing w:after="0" w:line="200"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Service revenue relates to sales of our FortiGuard security subscription, FortiCare technical support services and other services. Our typical subscription and support term is one to five years. We generally recognize revenue from these services ratably over the service term because of continuous transfer of control to the customer. We also generate a small portion of our revenue from other services consisting of professional services, training and software-as-a-service (“SaaS”) which is either hosted by us or provided through cloud-providers.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207"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 Revenue is reported net of sales tax.</w:t>
      </w:r>
    </w:p>
    <w:p>
      <w:pPr>
        <w:spacing w:after="0" w:line="21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 varying limitations, for a refund within a reasonably short period from the date of purchase. These amounts are accounted for as variable consideration that can decrease the transaction price. We estimate variable consideration using the expected-value method based on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refund liabilities, which include sales returns reserve and customer rebates, was $92.0 million and $49.2 million as of December 31, 2022 and 2021, respectively, and is included in current liabilities in our consolidated balance sheet.</w:t>
      </w:r>
    </w:p>
    <w:p>
      <w:pPr>
        <w:spacing w:after="0" w:line="20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generally invoice at the time of our sale for the total price of the hardware, software licenses, security subscription and technical support and other services. Standard payment terms are generally no more than 60 days, though we continue to offer extended payment terms to certain distributors. We also invoice certain services on a monthly basis. Amounts billed and due from our customers are classified as receivables on the balance sheet and do not bear interest. Our deferred revenue primarily consists of amounts that have been invoiced but have not been recognized as revenue as of period end.</w:t>
      </w:r>
    </w:p>
    <w:p>
      <w:pPr>
        <w:spacing w:after="0" w:line="17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Shipping and handling fees charged to our customers are recognized as revenue in the period shipped and the related costs for providing these services are recorded in cost of revenue. Shipping and handling fees recognized were not material during 2022, 2021 and 2020.</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one-year warranty for most hardware products and a 90-day warranty for software. We also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as incurred. In the event we change our warranty reserve estimates, the resulting charge against future cost of revenue or reversal of previously recorded charges may materially affect our gross margins and operating results. Accrued warranty liability was not material as of December 31, 2022 and 2021.</w:t>
      </w:r>
    </w:p>
    <w:p>
      <w:pPr>
        <w:spacing w:after="0" w:line="21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Contingent Liabilities</w:t>
      </w:r>
      <w:r>
        <w:rPr>
          <w:rFonts w:ascii="Arial" w:cs="Arial" w:eastAsia="Arial" w:hAnsi="Arial"/>
          <w:sz w:val="17"/>
          <w:szCs w:val="17"/>
          <w:color w:val="auto"/>
        </w:rPr>
        <w:t>—From time to time, we are involved in disputes, litigation, and other legal actions. There are many uncertainties</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any disputes, litigation and other legal actions, and these actions or other third-party claims against us may cause us to incur costly litigation fees, costs and substantial settlement charges, and possibly subject us to damages and other penalties, which are inherently difficult to estimate and could adversely affect our results of operations. In addition, the resolution of any IP litigation may require us to make royalty payments, which could adversely affect our gross margins in future periods. We periodically review significant claims and litigation matters for the probability of an adverse outcome. Estimates can change as individual claims develop. The actual liability in any such matters may be materially different from our estimates, which could result in the need to adjust our liability and record additional expenses, which may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Standards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were no recently adopted accounting standards which would have a material effect on our consolidated financial statements and accompanying disclosures, and no recently issued accounting standards that are expected to have a material impact on our consolidated financial statements and accompanying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Service: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r>
      <w:tr>
        <w:trPr>
          <w:trHeight w:val="229"/>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r>
      <w:tr>
        <w:trPr>
          <w:trHeight w:val="223"/>
        </w:trPr>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service revenue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2,636.9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0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4,417.4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2,594.4</w:t>
            </w:r>
          </w:p>
        </w:tc>
      </w:tr>
      <w:tr>
        <w:trPr>
          <w:trHeight w:val="20"/>
        </w:trPr>
        <w:tc>
          <w:tcPr>
            <w:tcW w:w="5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Our deferred revenue consists of amounts that have been invoiced but have not been recognized as revenue as of period end. During 2022 and 2021, we recognized $1.73 billion and $1.37 billion in revenue that was included in the deferred revenue balance as of December 31,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2022, the aggregate amount of the transaction price allocated to remaining performance obligations was $4.65 billion, which was substantially comprised of deferred security subscription and technical support services revenue as well as unbilled contract revenue from non-cancellable contracts that will be recognized in future periods. We expect to recognize approximately $2.36 billion as revenue over the next 12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available-for-sale securities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2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060" w:type="dxa"/>
            <w:vAlign w:val="bottom"/>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w:t>
            </w:r>
          </w:p>
        </w:tc>
      </w:tr>
      <w:tr>
        <w:trPr>
          <w:trHeight w:val="21"/>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50"/>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2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060" w:type="dxa"/>
            <w:vAlign w:val="bottom"/>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w:t>
            </w: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80" w:firstLine="648"/>
        <w:spacing w:after="0" w:line="258" w:lineRule="auto"/>
        <w:rPr>
          <w:sz w:val="20"/>
          <w:szCs w:val="20"/>
          <w:color w:val="auto"/>
        </w:rPr>
      </w:pPr>
      <w:r>
        <w:rPr>
          <w:rFonts w:ascii="Arial" w:cs="Arial" w:eastAsia="Arial" w:hAnsi="Arial"/>
          <w:sz w:val="18"/>
          <w:szCs w:val="18"/>
          <w:color w:val="auto"/>
        </w:rPr>
        <w:t>The following tables show the gross unrealized losses and the related fair values of our available-for-sale securities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3"/>
              <w:spacing w:after="0" w:line="158" w:lineRule="exact"/>
              <w:rPr>
                <w:sz w:val="20"/>
                <w:szCs w:val="20"/>
                <w:color w:val="auto"/>
              </w:rPr>
            </w:pPr>
            <w:r>
              <w:rPr>
                <w:rFonts w:ascii="Arial" w:cs="Arial" w:eastAsia="Arial" w:hAnsi="Arial"/>
                <w:sz w:val="16"/>
                <w:szCs w:val="16"/>
                <w:b w:val="1"/>
                <w:bCs w:val="1"/>
                <w:color w:val="auto"/>
                <w:w w:val="93"/>
              </w:rPr>
              <w:t>Unrealized</w:t>
            </w:r>
          </w:p>
        </w:tc>
      </w:tr>
      <w:tr>
        <w:trPr>
          <w:trHeight w:val="213"/>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60" w:type="dxa"/>
            <w:vAlign w:val="bottom"/>
          </w:tcPr>
          <w:p>
            <w:pPr>
              <w:jc w:val="right"/>
              <w:ind w:right="233"/>
              <w:spacing w:after="0"/>
              <w:rPr>
                <w:sz w:val="20"/>
                <w:szCs w:val="20"/>
                <w:color w:val="auto"/>
              </w:rPr>
            </w:pPr>
            <w:r>
              <w:rPr>
                <w:rFonts w:ascii="Arial" w:cs="Arial" w:eastAsia="Arial" w:hAnsi="Arial"/>
                <w:sz w:val="16"/>
                <w:szCs w:val="16"/>
                <w:b w:val="1"/>
                <w:bCs w:val="1"/>
                <w:color w:val="auto"/>
              </w:rPr>
              <w:t>Losses</w:t>
            </w:r>
          </w:p>
        </w:tc>
      </w:tr>
      <w:tr>
        <w:trPr>
          <w:trHeight w:val="22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41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9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right="48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2"/>
              <w:spacing w:after="0" w:line="158" w:lineRule="exact"/>
              <w:rPr>
                <w:sz w:val="20"/>
                <w:szCs w:val="20"/>
                <w:color w:val="auto"/>
              </w:rPr>
            </w:pPr>
            <w:r>
              <w:rPr>
                <w:rFonts w:ascii="Arial" w:cs="Arial" w:eastAsia="Arial" w:hAnsi="Arial"/>
                <w:sz w:val="16"/>
                <w:szCs w:val="16"/>
                <w:b w:val="1"/>
                <w:bCs w:val="1"/>
                <w:color w:val="auto"/>
                <w:w w:val="93"/>
              </w:rPr>
              <w:t>Unrealized</w:t>
            </w:r>
          </w:p>
        </w:tc>
      </w:tr>
      <w:tr>
        <w:trPr>
          <w:trHeight w:val="213"/>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Losses</w:t>
            </w:r>
          </w:p>
        </w:tc>
      </w:tr>
      <w:tr>
        <w:trPr>
          <w:trHeight w:val="22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ind w:left="4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
        </w:trPr>
        <w:tc>
          <w:tcPr>
            <w:tcW w:w="40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47"/>
        </w:trPr>
        <w:tc>
          <w:tcPr>
            <w:tcW w:w="5420" w:type="dxa"/>
            <w:vAlign w:val="bottom"/>
            <w:gridSpan w:val="5"/>
          </w:tcPr>
          <w:p>
            <w:pPr>
              <w:ind w:left="660"/>
              <w:spacing w:after="0"/>
              <w:rPr>
                <w:sz w:val="20"/>
                <w:szCs w:val="20"/>
                <w:color w:val="auto"/>
              </w:rPr>
            </w:pPr>
            <w:r>
              <w:rPr>
                <w:rFonts w:ascii="Arial" w:cs="Arial" w:eastAsia="Arial" w:hAnsi="Arial"/>
                <w:sz w:val="18"/>
                <w:szCs w:val="18"/>
                <w:color w:val="auto"/>
                <w:w w:val="94"/>
              </w:rPr>
              <w:t>The contractual maturities of our investments were (in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502.6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within one to three years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r>
      <w:tr>
        <w:trPr>
          <w:trHeight w:val="248"/>
        </w:trPr>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548.1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Available-for-sale securities are reported at fair value, with unrealized gains and losses and the related tax impact included as a separate component of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Equity Securities</w:t>
      </w:r>
    </w:p>
    <w:p>
      <w:pPr>
        <w:spacing w:after="0" w:line="239" w:lineRule="exact"/>
        <w:rPr>
          <w:sz w:val="20"/>
          <w:szCs w:val="20"/>
          <w:color w:val="auto"/>
        </w:rPr>
      </w:pPr>
    </w:p>
    <w:p>
      <w:pPr>
        <w:ind w:right="20" w:firstLine="583"/>
        <w:spacing w:after="0" w:line="235" w:lineRule="auto"/>
        <w:rPr>
          <w:sz w:val="20"/>
          <w:szCs w:val="20"/>
          <w:color w:val="auto"/>
        </w:rPr>
      </w:pPr>
      <w:r>
        <w:rPr>
          <w:rFonts w:ascii="Arial" w:cs="Arial" w:eastAsia="Arial" w:hAnsi="Arial"/>
          <w:sz w:val="18"/>
          <w:szCs w:val="18"/>
          <w:color w:val="auto"/>
        </w:rPr>
        <w:t>Our marketable equity securities were $25.5 million and $38.6 million as of December 31, 2022 and December 31, 2021, respectively. The changes in fair value of our marketable equity securities are recorded in other expense, net on the consolidated statements of income. We recognized $13.1 million and $5.1 million of losses in 2022 and 2021,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10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2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84"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reasonable levels of price transparency. Investments are held by custodians who obtain investment prices from a third-party pricing provider that incorporates standard inputs in various asset price models.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27"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27"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1"/>
                <w:szCs w:val="11"/>
                <w:color w:val="auto"/>
              </w:rPr>
            </w:pPr>
          </w:p>
        </w:tc>
        <w:tc>
          <w:tcPr>
            <w:tcW w:w="940" w:type="dxa"/>
            <w:vAlign w:val="bottom"/>
            <w:vMerge w:val="restart"/>
          </w:tcPr>
          <w:p>
            <w:pPr>
              <w:jc w:val="center"/>
              <w:ind w:right="40"/>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4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940" w:type="dxa"/>
            <w:vAlign w:val="bottom"/>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94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4"/>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6"/>
              </w:rPr>
              <w:t>U.S. government and agency</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740" w:type="dxa"/>
            <w:vAlign w:val="bottom"/>
          </w:tcPr>
          <w:p>
            <w:pPr>
              <w:ind w:left="480"/>
              <w:spacing w:after="0" w:line="189" w:lineRule="exact"/>
              <w:rPr>
                <w:sz w:val="20"/>
                <w:szCs w:val="20"/>
                <w:color w:val="auto"/>
              </w:rPr>
            </w:pPr>
            <w:r>
              <w:rPr>
                <w:rFonts w:ascii="Arial" w:cs="Arial" w:eastAsia="Arial" w:hAnsi="Arial"/>
                <w:sz w:val="18"/>
                <w:szCs w:val="18"/>
                <w:color w:val="auto"/>
              </w:rPr>
              <w:t>Certificates of deposit and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term deposits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rPr>
              <w:t>Marketable equity securities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Level 1 and Level 2 of the fair value hierarchy during the years ended December 31, 2022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2021</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2021</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736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899.3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completed construction of a second building at our headquarters campus and it was placed in service on June 30, 2021. In conjunction with the completion of the building, we evaluated the range of useful lives of our property and equipment. The range of useful lives for buildings and improvements is now two to forty years, an increase from two to thirty years, and for furniture and fixtures the range is now three to eight years, an increase from three to five years.</w:t>
      </w:r>
    </w:p>
    <w:p>
      <w:pPr>
        <w:spacing w:after="0" w:line="218" w:lineRule="exact"/>
        <w:rPr>
          <w:sz w:val="20"/>
          <w:szCs w:val="20"/>
          <w:color w:val="auto"/>
        </w:rPr>
      </w:pPr>
    </w:p>
    <w:p>
      <w:pPr>
        <w:jc w:val="both"/>
        <w:ind w:right="160" w:firstLine="648"/>
        <w:spacing w:after="0" w:line="294" w:lineRule="auto"/>
        <w:rPr>
          <w:sz w:val="20"/>
          <w:szCs w:val="20"/>
          <w:color w:val="auto"/>
        </w:rPr>
      </w:pPr>
      <w:r>
        <w:rPr>
          <w:rFonts w:ascii="Arial" w:cs="Arial" w:eastAsia="Arial" w:hAnsi="Arial"/>
          <w:sz w:val="16"/>
          <w:szCs w:val="16"/>
          <w:color w:val="auto"/>
        </w:rPr>
        <w:t>During 2022, we purchased certain real estate in the United States and Canada totaling $174.0 million. The purchases were accounted for under the asset acquisition method. The cost of the assets acquired was allocated to land, buildings, and furniture and fixtures based on their relative fair values. The amounts allocated to land, buildings, and furniture and fixtures were $105.5 million, $67.7 million, and $0.8 million,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$81.0 million, $65.9 million and $55.5 million in 2022, 2021 and 2020, respectively.</w:t>
      </w:r>
    </w:p>
    <w:p>
      <w:pPr>
        <w:spacing w:after="0" w:line="248"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Linksys Holdings, Inc.</w:t>
      </w:r>
    </w:p>
    <w:p>
      <w:pPr>
        <w:spacing w:after="0" w:line="239"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On March 19, 2021, we invested $75.0 million in cash for shares of the Series A Preferred Stock of Linksys for a 32.6% ownership interest in this privately held company. On September 24, 2021, we invested an additional $85.0 million in cash for shares of Series A Preferred Stock of Linksys, and as of December 31, 2022 and December 31, 2021, we held 50.8% of the outstanding common stock (on an as-converted basis) of Linksys. Linksys provides router connectivity solutions to the consumer and small business markets.</w:t>
      </w:r>
    </w:p>
    <w:p>
      <w:pPr>
        <w:spacing w:after="0" w:line="215"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with the exception of material transactions or events that occur during the intervening period that materially affect the financial position or results of operations. We determined that there was a basis difference between the cost of our investment in Linksys and the amount of underlying equity in net assets of Linksys.</w:t>
      </w:r>
    </w:p>
    <w:p>
      <w:pPr>
        <w:spacing w:after="0" w:line="194"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Due to the presence of impairment indicators, such as a series of operating losses, current expected performance relative to expected performance when we initially invested, performance relative to peers, and the results of a discounted cash flows analysis, we evaluated our equity method investment for an OTTI during 2022. We considered various factors in determining whether an OTTI has occurred, including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After the evaluation, we noted that certain factors were present that indicate that the equity method investment’s decline in value is other-than-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temporary, primarily driven by Linksys’ continuous losses, decrease in revenue and operating results, current forecasted results for the foreseeable future as compared to the expected performance at the time of the investments, and the results of a discounted cash flows analysis. To determine the fair value of our investment in Linksys, we utilized a market approach referencing revenue multiples from publicly traded peer companies and concluded that the estimated fair value of the investment was lower than its carrying value. During the three months ended December 31, 2022, we recorded a non-cash charge of $22.2 million related to impairment recognized on our equity method investment in Linksys.</w:t>
      </w:r>
    </w:p>
    <w:p>
      <w:pPr>
        <w:spacing w:after="0" w:line="20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Our loss related to Linksys in fiscal 2022 totaled $68.1 million, which comprised of our proportionate share of Linksys’ financial results as well as the amortization of the basis differences of $45.9 million, which included a $17.5 million charge in connection with a valuation allowance established on deferred tax assets at Linksys, and the OTTI charge of $22.2 million recorded during the three months ended December 31,2022. This amount has been recorded in loss from equity method investment on the consolidated statements of income. Our share of loss of Linksys’ financial results as well as our share of the amortization of the basis differences in total was $7.6 million in 2021, recorded in the same financial statement line item.</w:t>
      </w:r>
    </w:p>
    <w:p>
      <w:pPr>
        <w:spacing w:after="0" w:line="192"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As of December 31, 2022 and 2021, our investment in Linksys was our only equity method investment and was recorded in other assets on our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Our investments in the equity securities of privately held companies without readily determinable fair values totaled $1.0 million as of December 31, 2022 and 2021.</w:t>
      </w:r>
    </w:p>
    <w:p>
      <w:pPr>
        <w:spacing w:after="0" w:line="207"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2022 Acquisitions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Detection and Response Business</w:t>
      </w:r>
    </w:p>
    <w:p>
      <w:pPr>
        <w:spacing w:after="0" w:line="27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On December 22, 2022, we closed an acquisition of certain assets and liabilities of a business specializing in network detection and response for $18.0 million in cash. This acquisition was accounted for as a business combination using the acquisition method of accounting. Of the purchase price, $5.8 million was allocated to goodwill, $10.5 million was allocated to developed technology intangible asset, $10.0 million was allocated to customer relationships intangible asset and $8.3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expected to be deductible for tax purposes. Acquisition-related costs related to this acquisition were not material and were recorded as general and administrative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Alaxala Networks Corporation</w:t>
      </w:r>
    </w:p>
    <w:p>
      <w:pPr>
        <w:spacing w:after="0" w:line="239"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On October 3, 2022, we acquired the remaining 25% of equity interests in Alaxala for $13.5 million in cash, and Alaxala became our wholly owned subsidiary.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Alaxala Networks Corporation</w:t>
      </w:r>
    </w:p>
    <w:p>
      <w:pPr>
        <w:spacing w:after="0" w:line="279" w:lineRule="exact"/>
        <w:rPr>
          <w:sz w:val="20"/>
          <w:szCs w:val="20"/>
          <w:color w:val="auto"/>
        </w:rPr>
      </w:pPr>
    </w:p>
    <w:p>
      <w:pPr>
        <w:ind w:right="220" w:firstLine="648"/>
        <w:spacing w:after="0" w:line="262" w:lineRule="auto"/>
        <w:rPr>
          <w:sz w:val="20"/>
          <w:szCs w:val="20"/>
          <w:color w:val="auto"/>
        </w:rPr>
      </w:pPr>
      <w:r>
        <w:rPr>
          <w:rFonts w:ascii="Arial" w:cs="Arial" w:eastAsia="Arial" w:hAnsi="Arial"/>
          <w:sz w:val="17"/>
          <w:szCs w:val="17"/>
          <w:color w:val="auto"/>
        </w:rPr>
        <w:t>On August 31, 2021, we closed an acquisition of 75% of equity interests as controlling interests in Alaxala, a privately held network hardware equipment company in Japan, for $64.2 million in cash. We acquired the equity interests in Alaxala to broaden our offering of secure switches integrated with our Core Platform and Enhanced Platform Technology (previously referred to as Platform Extension) functionality, and, over time, to innovate and rebrand certain of Alaxala’s switches to offer a broader suite of secure switches globally.</w:t>
      </w:r>
    </w:p>
    <w:p>
      <w:pPr>
        <w:spacing w:after="0" w:line="213"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Under the acquisition method of accounting in accordance with ASC 805, the total purchase price was allocated to Alaxala’s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ind w:left="4940"/>
              <w:spacing w:after="0"/>
              <w:rPr>
                <w:sz w:val="20"/>
                <w:szCs w:val="20"/>
                <w:color w:val="auto"/>
              </w:rPr>
            </w:pPr>
            <w:r>
              <w:rPr>
                <w:rFonts w:ascii="Arial" w:cs="Arial" w:eastAsia="Arial" w:hAnsi="Arial"/>
                <w:sz w:val="18"/>
                <w:szCs w:val="18"/>
                <w:b w:val="1"/>
                <w:bCs w:val="1"/>
                <w:color w:val="auto"/>
              </w:rPr>
              <w:t>FORTINET, INC.</w:t>
            </w: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Estimated Fair Value</w:t>
            </w:r>
          </w:p>
        </w:tc>
        <w:tc>
          <w:tcPr>
            <w:tcW w:w="0" w:type="dxa"/>
            <w:vAlign w:val="bottom"/>
          </w:tcPr>
          <w:p>
            <w:pPr>
              <w:spacing w:after="0"/>
              <w:rPr>
                <w:sz w:val="1"/>
                <w:szCs w:val="1"/>
                <w:color w:val="auto"/>
              </w:rPr>
            </w:pPr>
          </w:p>
        </w:tc>
      </w:tr>
      <w:tr>
        <w:trPr>
          <w:trHeight w:val="21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The excess of the purchase consideration and the fair value of non-controlling interests over the fair value of net tangible and identified intangible assets acquired was recorded as goodwill, which is not deductible for tax purposes. Goodwill is primarily attributable to the assembled workforce of Alaxala and the anticipated operational synergies.</w:t>
      </w:r>
    </w:p>
    <w:p>
      <w:pPr>
        <w:spacing w:after="0" w:line="19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fair value of the non-controlling interests of $17.8 million was estimated based on the non-controlling interests’ respective share of the fair value of Alaxala.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acquired and their estimated useful lives as of August 31, 2021, were (in millions, except years):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Fair Value</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Estimated Useful Life (in years)</w:t>
            </w:r>
          </w:p>
        </w:tc>
      </w:tr>
      <w:tr>
        <w:trPr>
          <w:trHeight w:val="226"/>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80" w:type="dxa"/>
            <w:vAlign w:val="bottom"/>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30"/>
        </w:trPr>
        <w:tc>
          <w:tcPr>
            <w:tcW w:w="66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79"/>
              </w:rPr>
              <w:t>1</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Developed technology relates to Alaxala’s network equipment. We valued the developed technology using the relief-from-royalty method under the income approach. This method reflects the present value of the projected cost savings that are expected to be realized by avoiding the royalty that otherwise would be granted in exchange for the use of the asset. The economic useful life was determined based on the technology cycle related to each developed technology, as well as the cash flows over the forecast period.</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Customer relationships represent the fair value of future projected revenue that will be derived from sales to existing customers of Alaxala. Customer contracts and related relationships were valued using the multi-period excess earnings method. This method reflects the present value of the projected cash flows that are expected to be generated by the customer contracts and relationships less charges representing the contribution of other assets to those cash flows. The economic useful life was determined based on historical customer turnover rates.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right="200" w:firstLine="648"/>
        <w:spacing w:after="0" w:line="248" w:lineRule="auto"/>
        <w:rPr>
          <w:sz w:val="20"/>
          <w:szCs w:val="20"/>
          <w:color w:val="auto"/>
        </w:rPr>
      </w:pPr>
      <w:r>
        <w:rPr>
          <w:rFonts w:ascii="Arial" w:cs="Arial" w:eastAsia="Arial" w:hAnsi="Arial"/>
          <w:sz w:val="18"/>
          <w:szCs w:val="18"/>
          <w:color w:val="auto"/>
        </w:rPr>
        <w:t>Trade name relates to the “Alaxala”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209" w:lineRule="exact"/>
        <w:rPr>
          <w:sz w:val="20"/>
          <w:szCs w:val="20"/>
          <w:color w:val="auto"/>
        </w:rPr>
      </w:pPr>
    </w:p>
    <w:p>
      <w:pPr>
        <w:ind w:left="80" w:right="100" w:firstLine="648"/>
        <w:spacing w:after="0" w:line="243" w:lineRule="auto"/>
        <w:rPr>
          <w:sz w:val="20"/>
          <w:szCs w:val="20"/>
          <w:color w:val="auto"/>
        </w:rPr>
      </w:pPr>
      <w:r>
        <w:rPr>
          <w:rFonts w:ascii="Arial" w:cs="Arial" w:eastAsia="Arial" w:hAnsi="Arial"/>
          <w:sz w:val="18"/>
          <w:szCs w:val="18"/>
          <w:color w:val="auto"/>
        </w:rPr>
        <w:t>Customer backlog relates to the unfulfilled customer contract orders. Backlog was valued using the multi-period excess earnings method. This method reflects the present value of the projected cash flows that are expected to be generated by the execution of the unfulfilled customer contract orders less charges representing the contribution of other assets to those cash flows. The economic useful life was determined based on the anticipated contract orders’ execution timeframe.</w:t>
      </w:r>
    </w:p>
    <w:p>
      <w:pPr>
        <w:spacing w:after="0" w:line="201" w:lineRule="exact"/>
        <w:rPr>
          <w:sz w:val="20"/>
          <w:szCs w:val="20"/>
          <w:color w:val="auto"/>
        </w:rPr>
      </w:pPr>
    </w:p>
    <w:p>
      <w:pPr>
        <w:ind w:left="80" w:firstLine="648"/>
        <w:spacing w:after="0" w:line="294" w:lineRule="auto"/>
        <w:rPr>
          <w:sz w:val="20"/>
          <w:szCs w:val="20"/>
          <w:color w:val="auto"/>
        </w:rPr>
      </w:pPr>
      <w:r>
        <w:rPr>
          <w:rFonts w:ascii="Arial" w:cs="Arial" w:eastAsia="Arial" w:hAnsi="Arial"/>
          <w:sz w:val="16"/>
          <w:szCs w:val="16"/>
          <w:color w:val="auto"/>
        </w:rPr>
        <w:t>In connection with our acquisition of Alaxala, we assumed certain current debt liabilities of $20.2 million as of August 31, 2021. We concluded that the fair value of this debt approximated its book value as of the acquisition date. We repaid this debt in full in September and October 2021. During the post-acquisition period from September 1, 2021 through the repayment dates, interest expense related to Alaxala debt was not material.</w:t>
      </w:r>
    </w:p>
    <w:p>
      <w:pPr>
        <w:spacing w:after="0" w:line="174" w:lineRule="exact"/>
        <w:rPr>
          <w:sz w:val="20"/>
          <w:szCs w:val="20"/>
          <w:color w:val="auto"/>
        </w:rPr>
      </w:pPr>
    </w:p>
    <w:p>
      <w:pPr>
        <w:ind w:left="80" w:right="200" w:firstLine="648"/>
        <w:spacing w:after="0" w:line="239"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of Fortinet, Inc. and Alaxala, as if Alaxala had been acquired as of the beginning of business on January 1, 2020. The unaudited pro forma financial information is presented for informational purposes only and is not necessarily indicative of our consolidated results of operations of the combined business that would have been achieved if the acquisition had taken place at the beginning of business on January 1, 2020, or of the results of our future operations of the combined business. The following unaudited pro forma financial information for all periods presented includes purchase accounting adjustments for amortization of acquired intangible assets, depreciation of acquired property and equipment, the purchase accounting effect on inventory acquired and related tax effects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r>
      <w:tr>
        <w:trPr>
          <w:trHeight w:val="210"/>
        </w:trPr>
        <w:tc>
          <w:tcPr>
            <w:tcW w:w="7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r>
      <w:tr>
        <w:trPr>
          <w:trHeight w:val="23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3,424.3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2,714.7</w:t>
            </w:r>
          </w:p>
        </w:tc>
      </w:tr>
      <w:tr>
        <w:trPr>
          <w:trHeight w:val="256"/>
        </w:trPr>
        <w:tc>
          <w:tcPr>
            <w:tcW w:w="7840" w:type="dxa"/>
            <w:vAlign w:val="bottom"/>
          </w:tcPr>
          <w:p>
            <w:pPr>
              <w:ind w:left="20"/>
              <w:spacing w:after="0"/>
              <w:rPr>
                <w:sz w:val="20"/>
                <w:szCs w:val="20"/>
                <w:color w:val="auto"/>
              </w:rPr>
            </w:pPr>
            <w:r>
              <w:rPr>
                <w:rFonts w:ascii="Arial" w:cs="Arial" w:eastAsia="Arial" w:hAnsi="Arial"/>
                <w:sz w:val="18"/>
                <w:szCs w:val="18"/>
                <w:color w:val="auto"/>
              </w:rPr>
              <w:t>Pro forma net income attributable to Fortinet, Inc.</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22"/>
                <w:szCs w:val="22"/>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480.0</w:t>
            </w:r>
          </w:p>
        </w:tc>
      </w:tr>
    </w:tbl>
    <w:p>
      <w:pPr>
        <w:spacing w:after="0" w:line="29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2020 Acquisitions</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Panopta Holdings LLC</w:t>
      </w:r>
    </w:p>
    <w:p>
      <w:pPr>
        <w:spacing w:after="0" w:line="252" w:lineRule="exact"/>
        <w:rPr>
          <w:sz w:val="20"/>
          <w:szCs w:val="20"/>
          <w:color w:val="auto"/>
        </w:rPr>
      </w:pPr>
    </w:p>
    <w:p>
      <w:pPr>
        <w:ind w:left="80" w:right="20" w:firstLine="648"/>
        <w:spacing w:after="0" w:line="257" w:lineRule="auto"/>
        <w:rPr>
          <w:sz w:val="20"/>
          <w:szCs w:val="20"/>
          <w:color w:val="auto"/>
        </w:rPr>
      </w:pPr>
      <w:r>
        <w:rPr>
          <w:rFonts w:ascii="Arial" w:cs="Arial" w:eastAsia="Arial" w:hAnsi="Arial"/>
          <w:sz w:val="18"/>
          <w:szCs w:val="18"/>
          <w:color w:val="auto"/>
        </w:rPr>
        <w:t>On December 9, 2020, we acquired all outstanding shares of Panopta Holdings LLC (“Panopta”), a privately held SaaS platform innovator that provides visibility, automated management and alerting, and remediation for enterprise networks and infrastructure. The purchase price for Panopta was $31.9 million in cash, of which $24.8 million was allocated to goodwill and $9.0 million was allocated to identifiable intangible assets, the majority of which was developed technology, offset by $1.9 million of net liabilities assumed, which predominantly included cash and accounts payable. $15.8 million of goodwill is expected to be deductible for tax purposes.</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Additional Acquisition-Related Information</w:t>
      </w:r>
    </w:p>
    <w:p>
      <w:pPr>
        <w:spacing w:after="0" w:line="256" w:lineRule="exact"/>
        <w:rPr>
          <w:sz w:val="20"/>
          <w:szCs w:val="20"/>
          <w:color w:val="auto"/>
        </w:rPr>
      </w:pPr>
    </w:p>
    <w:p>
      <w:pPr>
        <w:ind w:left="80" w:right="240" w:firstLine="648"/>
        <w:spacing w:after="0" w:line="311" w:lineRule="auto"/>
        <w:rPr>
          <w:sz w:val="20"/>
          <w:szCs w:val="20"/>
          <w:color w:val="auto"/>
        </w:rPr>
      </w:pPr>
      <w:r>
        <w:rPr>
          <w:rFonts w:ascii="Arial" w:cs="Arial" w:eastAsia="Arial" w:hAnsi="Arial"/>
          <w:sz w:val="16"/>
          <w:szCs w:val="16"/>
          <w:color w:val="auto"/>
        </w:rPr>
        <w:t>The operating results of the acquired companies are included in our consolidated statements of income from the respective dates of acquisition. Acquisition-related costs related to each acquisition were not material. Pro forma information has not been presented, except for Alaxala as disclosed above, as the impact of these acquisitions, individually and in the aggregate, in each year were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p>
      <w:pPr>
        <w:jc w:val="right"/>
        <w:ind w:right="84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Balance—December 31,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due to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 adjustments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Balance—December 31, 2022</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impairments to goodwill during 2022, 2021 and 2020, or any previous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r>
      <w:tr>
        <w:trPr>
          <w:trHeight w:val="230"/>
        </w:trPr>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89" w:lineRule="exact"/>
        <w:rPr>
          <w:sz w:val="20"/>
          <w:szCs w:val="20"/>
          <w:color w:val="auto"/>
        </w:rPr>
      </w:pPr>
    </w:p>
    <w:p>
      <w:pPr>
        <w:sectPr>
          <w:pgSz w:w="11900" w:h="16838" w:orient="portrait"/>
          <w:cols w:equalWidth="0" w:num="2">
            <w:col w:w="8300" w:space="720"/>
            <w:col w:w="2220"/>
          </w:cols>
          <w:pgMar w:left="320" w:top="125" w:right="3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556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Backlog</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5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556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Backlog</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of finite-lived intangible assets was $23.3 million, $18.5 million and $13.3 million in 2022, 2021, and 2020, respectively.</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Amount</w:t>
            </w:r>
          </w:p>
        </w:tc>
      </w:tr>
      <w:tr>
        <w:trPr>
          <w:trHeight w:val="223"/>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43"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32"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attributable to Fortinet, Inc. is (in millions, except per share amounts):</w:t>
      </w: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856.6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non-controlling interests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8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857.3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791.4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791.4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880"/>
              <w:spacing w:after="0"/>
              <w:rPr>
                <w:sz w:val="20"/>
                <w:szCs w:val="20"/>
                <w:color w:val="auto"/>
              </w:rPr>
            </w:pPr>
            <w:r>
              <w:rPr>
                <w:rFonts w:ascii="Arial" w:cs="Arial" w:eastAsia="Arial" w:hAnsi="Arial"/>
                <w:sz w:val="18"/>
                <w:szCs w:val="18"/>
                <w:color w:val="auto"/>
              </w:rPr>
              <w:t>RSUs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68"/>
        </w:trPr>
        <w:tc>
          <w:tcPr>
            <w:tcW w:w="6940" w:type="dxa"/>
            <w:vAlign w:val="bottom"/>
          </w:tcPr>
          <w:p>
            <w:pPr>
              <w:ind w:left="20"/>
              <w:spacing w:after="0" w:line="168" w:lineRule="exact"/>
              <w:rPr>
                <w:sz w:val="20"/>
                <w:szCs w:val="20"/>
                <w:color w:val="auto"/>
              </w:rPr>
            </w:pPr>
            <w:r>
              <w:rPr>
                <w:rFonts w:ascii="Arial" w:cs="Arial" w:eastAsia="Arial" w:hAnsi="Arial"/>
                <w:sz w:val="18"/>
                <w:szCs w:val="18"/>
                <w:color w:val="auto"/>
                <w:w w:val="90"/>
              </w:rPr>
              <w:t>Weighted-average shares used to compute diluted net income per share attributable to Fortinet,</w:t>
            </w:r>
          </w:p>
        </w:tc>
        <w:tc>
          <w:tcPr>
            <w:tcW w:w="8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8"/>
              </w:rPr>
              <w:t>805.3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835.3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Arial" w:cs="Arial" w:eastAsia="Arial" w:hAnsi="Arial"/>
                <w:sz w:val="18"/>
                <w:szCs w:val="18"/>
                <w:color w:val="auto"/>
              </w:rPr>
              <w:t>Inc.</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weighted-average shares of common stock were excluded from the computation of diluted net income per share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Fortinet, Inc. for the periods presented, as their effect would have been antidilutive (in millions):</w:t>
      </w:r>
    </w:p>
    <w:p>
      <w:pPr>
        <w:spacing w:after="0" w:line="3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seven years. Unless and until we are reasonably certain we will exercise these renewal options, we do not include renewal options in our lease terms for calculating our lease liability, as the renewal options allow us to maintain operational flexibility. Our finance leases were not material to our consolidated financial statements.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6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lease expense</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 w:right="500" w:firstLine="6"/>
        <w:spacing w:after="0" w:line="277" w:lineRule="auto"/>
        <w:tabs>
          <w:tab w:leader="none" w:pos="169" w:val="left"/>
        </w:tabs>
        <w:numPr>
          <w:ilvl w:val="0"/>
          <w:numId w:val="56"/>
        </w:numPr>
        <w:rPr>
          <w:rFonts w:ascii="Arial" w:cs="Arial" w:eastAsia="Arial" w:hAnsi="Arial"/>
          <w:sz w:val="17"/>
          <w:szCs w:val="17"/>
          <w:color w:val="auto"/>
          <w:vertAlign w:val="superscript"/>
        </w:rPr>
      </w:pPr>
      <w:r>
        <w:rPr>
          <w:rFonts w:ascii="Arial" w:cs="Arial" w:eastAsia="Arial" w:hAnsi="Arial"/>
          <w:sz w:val="13"/>
          <w:szCs w:val="13"/>
          <w:color w:val="auto"/>
        </w:rPr>
        <w:t>Variable lease expense for the year ended December 31, 2022, 2021 and 2020 predominantly included common area maintenance charges, real estate taxes, certain parking expense and insurance costs.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our operating leases was (in millions, except lease term and discount rate):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Classification</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6"/>
                <w:szCs w:val="16"/>
                <w:color w:val="auto"/>
              </w:rPr>
            </w:pPr>
          </w:p>
        </w:tc>
        <w:tc>
          <w:tcPr>
            <w:tcW w:w="1420" w:type="dxa"/>
            <w:vAlign w:val="bottom"/>
          </w:tcPr>
          <w:p>
            <w:pPr>
              <w:jc w:val="center"/>
              <w:ind w:right="156"/>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ROU assets – non-current</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 current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 – non-current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26.3</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40.5</w:t>
            </w:r>
          </w:p>
        </w:tc>
      </w:tr>
      <w:tr>
        <w:trPr>
          <w:trHeight w:val="223"/>
        </w:trPr>
        <w:tc>
          <w:tcPr>
            <w:tcW w:w="17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w:t>
            </w:r>
          </w:p>
        </w:tc>
      </w:tr>
      <w:tr>
        <w:trPr>
          <w:trHeight w:val="21"/>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-479425</wp:posOffset>
            </wp:positionV>
            <wp:extent cx="708914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-187960</wp:posOffset>
            </wp:positionV>
            <wp:extent cx="708914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200"/>
          </w:cols>
          <w:pgMar w:left="320" w:top="125"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 operating leases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2.1 %</w:t>
            </w:r>
          </w:p>
        </w:tc>
        <w:tc>
          <w:tcPr>
            <w:tcW w:w="60" w:type="dxa"/>
            <w:vAlign w:val="bottom"/>
          </w:tcPr>
          <w:p>
            <w:pPr>
              <w:spacing w:after="0"/>
              <w:rPr>
                <w:sz w:val="20"/>
                <w:szCs w:val="20"/>
                <w:color w:val="auto"/>
              </w:rPr>
            </w:pPr>
          </w:p>
        </w:tc>
      </w:tr>
      <w:tr>
        <w:trPr>
          <w:trHeight w:val="539"/>
        </w:trPr>
        <w:tc>
          <w:tcPr>
            <w:tcW w:w="6840" w:type="dxa"/>
            <w:vAlign w:val="bottom"/>
          </w:tcPr>
          <w:p>
            <w:pPr>
              <w:ind w:left="660"/>
              <w:spacing w:after="0"/>
              <w:rPr>
                <w:sz w:val="20"/>
                <w:szCs w:val="20"/>
                <w:color w:val="auto"/>
              </w:rPr>
            </w:pPr>
            <w:r>
              <w:rPr>
                <w:rFonts w:ascii="Arial" w:cs="Arial" w:eastAsia="Arial" w:hAnsi="Arial"/>
                <w:sz w:val="18"/>
                <w:szCs w:val="18"/>
                <w:color w:val="auto"/>
              </w:rPr>
              <w:t>Supplemental cash flow information related to leases was (in millions):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3"/>
        </w:trPr>
        <w:tc>
          <w:tcPr>
            <w:tcW w:w="68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auto"/>
            </w:tcBorders>
          </w:tcPr>
          <w:p>
            <w:pPr>
              <w:spacing w:after="0"/>
              <w:rPr>
                <w:sz w:val="18"/>
                <w:szCs w:val="18"/>
                <w:color w:val="auto"/>
              </w:rPr>
            </w:pPr>
          </w:p>
        </w:tc>
      </w:tr>
      <w:tr>
        <w:trPr>
          <w:trHeight w:val="21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tcPr>
          <w:p>
            <w:pPr>
              <w:ind w:left="4940"/>
              <w:spacing w:after="0"/>
              <w:rPr>
                <w:sz w:val="20"/>
                <w:szCs w:val="20"/>
                <w:color w:val="auto"/>
              </w:rPr>
            </w:pPr>
            <w:r>
              <w:rPr>
                <w:rFonts w:ascii="Arial" w:cs="Arial" w:eastAsia="Arial" w:hAnsi="Arial"/>
                <w:sz w:val="18"/>
                <w:szCs w:val="18"/>
                <w:b w:val="1"/>
                <w:bCs w:val="1"/>
                <w:color w:val="auto"/>
              </w:rPr>
              <w:t>FORTINET, INC.</w:t>
            </w: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4"/>
        </w:trPr>
        <w:tc>
          <w:tcPr>
            <w:tcW w:w="9000" w:type="dxa"/>
            <w:vAlign w:val="bottom"/>
          </w:tcPr>
          <w:p>
            <w:pPr>
              <w:ind w:left="272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64"/>
        </w:trPr>
        <w:tc>
          <w:tcPr>
            <w:tcW w:w="9000" w:type="dxa"/>
            <w:vAlign w:val="bottom"/>
          </w:tcPr>
          <w:p>
            <w:pPr>
              <w:ind w:left="660"/>
              <w:spacing w:after="0"/>
              <w:rPr>
                <w:sz w:val="20"/>
                <w:szCs w:val="20"/>
                <w:color w:val="auto"/>
              </w:rPr>
            </w:pPr>
            <w:r>
              <w:rPr>
                <w:rFonts w:ascii="Arial" w:cs="Arial" w:eastAsia="Arial" w:hAnsi="Arial"/>
                <w:sz w:val="18"/>
                <w:szCs w:val="18"/>
                <w:color w:val="auto"/>
              </w:rPr>
              <w:t>Maturities of operating lease liabilities as of December 31, 2022 were (in millions):</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6"/>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2022, we had additional minimum lease payments of $2.1 million relating to operating leases that had been signed but had not yet commenced. These leases will commence during 2023 and will have lease terms of approximately two to six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7"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and 2031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December 31, 2022,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Maturity</w:t>
            </w:r>
          </w:p>
        </w:tc>
        <w:tc>
          <w:tcPr>
            <w:tcW w:w="15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Coupon Rate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Effective Interest</w:t>
            </w:r>
          </w:p>
        </w:tc>
        <w:tc>
          <w:tcPr>
            <w:tcW w:w="16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60" w:type="dxa"/>
            <w:vAlign w:val="bottom"/>
          </w:tcPr>
          <w:p>
            <w:pPr>
              <w:spacing w:after="0"/>
              <w:rPr>
                <w:sz w:val="18"/>
                <w:szCs w:val="18"/>
                <w:color w:val="auto"/>
              </w:rPr>
            </w:pPr>
          </w:p>
        </w:tc>
        <w:tc>
          <w:tcPr>
            <w:tcW w:w="1180" w:type="dxa"/>
            <w:vAlign w:val="bottom"/>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20" w:type="dxa"/>
            <w:vAlign w:val="bottom"/>
            <w:gridSpan w:val="2"/>
          </w:tcPr>
          <w:p>
            <w:pPr>
              <w:spacing w:after="0"/>
              <w:rPr>
                <w:sz w:val="20"/>
                <w:szCs w:val="20"/>
                <w:color w:val="auto"/>
              </w:rPr>
            </w:pPr>
            <w:r>
              <w:rPr>
                <w:rFonts w:ascii="Arial" w:cs="Arial" w:eastAsia="Arial" w:hAnsi="Arial"/>
                <w:sz w:val="18"/>
                <w:szCs w:val="18"/>
                <w:color w:val="auto"/>
              </w:rPr>
              <w:t>March 2026</w:t>
            </w: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2031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2022 and 2021, we accrued interest payable of $4.7 million, and there are no financial covenants with which we must comply. In 2022 and 2021, we recorded $17.9 million and $14.7 million of total interest expense in relation to these Senior Notes and repaid $16.0 million and $8.4 million of interest in cash, respectively. No interest costs were capitalized in 2022 and 2021, as the costs that qualified for capitalization were not material.</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$829.5 million, including accrued and unpaid interest, as of December 31, 2022.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December 31, 2022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1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bl>
    <w:p>
      <w:pPr>
        <w:spacing w:after="0" w:line="30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and certain component suppliers procure components and build</w:t>
      </w:r>
      <w:r>
        <w:rPr>
          <w:rFonts w:ascii="Arial" w:cs="Arial" w:eastAsia="Arial" w:hAnsi="Arial"/>
          <w:sz w:val="17"/>
          <w:szCs w:val="17"/>
          <w:b w:val="1"/>
          <w:bCs w:val="1"/>
          <w:color w:val="auto"/>
        </w:rPr>
        <w:t xml:space="preserve"> </w:t>
      </w:r>
      <w:r>
        <w:rPr>
          <w:rFonts w:ascii="Arial" w:cs="Arial" w:eastAsia="Arial" w:hAnsi="Arial"/>
          <w:sz w:val="17"/>
          <w:szCs w:val="17"/>
          <w:color w:val="auto"/>
        </w:rPr>
        <w:t>our products based on our forecasts, the availability of various components and their capacity. These forecasts are based on estimates of future demand for our products, which are in turn based on historical trends and an analysis from our sales and marketing organizations, adjusted for extended lead times, changes in supplier delivery commitments and other supply chain matters and other market conditions. In order to manage manufacturing lead times, plan for adequate component supply and incentivize suppliers to deliver, we may issue purchase orders to some of our independent contract manufacturers which are non-cancelable. As of December 31, 2022, we had $1.34 billion of open purchase orders with our independent contract manufacturers that consisted of non-cancelable commitments. In certain instances, these agreements allow us the option to reschedule and adjust our requirements based on our business needs prior to firm orders being placed.</w:t>
      </w:r>
    </w:p>
    <w:p>
      <w:pPr>
        <w:spacing w:after="0" w:line="21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Other Contractual Commitments and Open Purchase Orders</w:t>
      </w:r>
      <w:r>
        <w:rPr>
          <w:rFonts w:ascii="Arial" w:cs="Arial" w:eastAsia="Arial" w:hAnsi="Arial"/>
          <w:sz w:val="16"/>
          <w:szCs w:val="16"/>
          <w:color w:val="auto"/>
        </w:rPr>
        <w:t>—In addition to commitments with contract manufacturers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 suppliers, we have open purchase orders and contractual obligations in the ordinary course of business for which we have not received goods or services. A significant portion of our reported purchase commitments consist of firm and non-cancelable commitments. In certain instances, contractual commitments allow us the option to cancel, reschedule, and adjust our requirements based on our business needs prior to firm orders being placed. As of December 31, 2022, we had $108.1 million in other contractual commitments having a remaining term in excess of one year that are non-cancelable.</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Litigation loss contingency accruals associated with outstanding cases were not material as of December 31, 2022 and 2021.</w:t>
      </w:r>
    </w:p>
    <w:p>
      <w:pPr>
        <w:spacing w:after="0" w:line="23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any existing claims or proceedings related to these types of matters, including any that we believe are likely to have a material adverse effect on our financial position.</w:t>
      </w:r>
    </w:p>
    <w:p>
      <w:pPr>
        <w:spacing w:after="0" w:line="20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EQUITY PLANS AND SHARE REPURCHASE PROGRAM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primary stock incentive plan, the 2009 EIP, under which we have granted RSUs and stock options.</w:t>
      </w:r>
    </w:p>
    <w:p>
      <w:pPr>
        <w:spacing w:after="0" w:line="25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board of directors approved the 2009 EIP in 2009 and amended the plan in 2019. The maximum aggregate number of shares that may be issued under the 2009 EIP is 239,367,655 shares; provided, however, that only 67,500,000 shares may be issued or transferred pursuant to new awards granted on or following the effective date of the 2009 EIP.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no more than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no more than ten years and options generally vest over four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there were a total of 57.2 million shares of common stock available for grant under the 2009 EIP.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50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ind w:right="12"/>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660" w:type="dxa"/>
            <w:vAlign w:val="bottom"/>
          </w:tcPr>
          <w:p>
            <w:pPr>
              <w:jc w:val="center"/>
              <w:ind w:right="12"/>
              <w:spacing w:after="0" w:line="162" w:lineRule="exact"/>
              <w:rPr>
                <w:sz w:val="20"/>
                <w:szCs w:val="20"/>
                <w:color w:val="auto"/>
              </w:rPr>
            </w:pPr>
            <w:r>
              <w:rPr>
                <w:rFonts w:ascii="Arial" w:cs="Arial" w:eastAsia="Arial" w:hAnsi="Arial"/>
                <w:sz w:val="16"/>
                <w:szCs w:val="16"/>
                <w:b w:val="1"/>
                <w:bCs w:val="1"/>
                <w:color w:val="auto"/>
                <w:w w:val="95"/>
              </w:rPr>
              <w:t>Grant Date Fair Value</w:t>
            </w:r>
          </w:p>
        </w:tc>
        <w:tc>
          <w:tcPr>
            <w:tcW w:w="0" w:type="dxa"/>
            <w:vAlign w:val="bottom"/>
          </w:tcPr>
          <w:p>
            <w:pPr>
              <w:spacing w:after="0"/>
              <w:rPr>
                <w:sz w:val="1"/>
                <w:szCs w:val="1"/>
                <w:color w:val="auto"/>
              </w:rPr>
            </w:pPr>
          </w:p>
        </w:tc>
      </w:tr>
      <w:tr>
        <w:trPr>
          <w:trHeight w:val="213"/>
        </w:trPr>
        <w:tc>
          <w:tcPr>
            <w:tcW w:w="76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2"/>
              <w:spacing w:after="0"/>
              <w:rPr>
                <w:sz w:val="20"/>
                <w:szCs w:val="20"/>
                <w:color w:val="auto"/>
              </w:rPr>
            </w:pPr>
            <w:r>
              <w:rPr>
                <w:rFonts w:ascii="Arial" w:cs="Arial" w:eastAsia="Arial" w:hAnsi="Arial"/>
                <w:sz w:val="16"/>
                <w:szCs w:val="16"/>
                <w:b w:val="1"/>
                <w:bCs w:val="1"/>
                <w:color w:val="auto"/>
                <w:w w:val="92"/>
              </w:rPr>
              <w:t>per Share</w:t>
            </w:r>
          </w:p>
        </w:tc>
        <w:tc>
          <w:tcPr>
            <w:tcW w:w="0" w:type="dxa"/>
            <w:vAlign w:val="bottom"/>
          </w:tcPr>
          <w:p>
            <w:pPr>
              <w:spacing w:after="0"/>
              <w:rPr>
                <w:sz w:val="1"/>
                <w:szCs w:val="1"/>
                <w:color w:val="auto"/>
              </w:rPr>
            </w:pP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December 31, 2022, total compensation expense related to unvested RSUs granted to employees and non-employees under the 2009 EIP, but not yet recognized, was $374.4 million, with a weighted-average remaining vesting period of 2.6 years.</w:t>
      </w:r>
    </w:p>
    <w:p>
      <w:pPr>
        <w:spacing w:after="0" w:line="222"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consolidated statements of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160.4</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108.2</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determining the fair value of our employee stock options, we use the Black-Scholes model, which employs the following assumptions.</w:t>
      </w:r>
    </w:p>
    <w:p>
      <w:pPr>
        <w:spacing w:after="0" w:line="26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We believe that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of our common stock is based on our weighted-average implied and historical volatility.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—The fair value of our common stock is the closing sales price of the common stock effective on the date of grant.</w:t>
      </w:r>
    </w:p>
    <w:p>
      <w:pPr>
        <w:spacing w:after="0" w:line="27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implied yield available on U.S. Treasury zero-coupon issues with an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zero.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50"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41.6 %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34.8 %</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Dividend rate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Weighted-</w:t>
            </w:r>
          </w:p>
        </w:tc>
        <w:tc>
          <w:tcPr>
            <w:tcW w:w="13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Weighted-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4"/>
                <w:szCs w:val="14"/>
                <w:color w:val="auto"/>
              </w:rPr>
            </w:pPr>
          </w:p>
        </w:tc>
        <w:tc>
          <w:tcPr>
            <w:tcW w:w="96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Average</w:t>
            </w: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Remaining</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140" w:type="dxa"/>
            <w:vAlign w:val="bottom"/>
          </w:tcPr>
          <w:p>
            <w:pPr>
              <w:spacing w:after="0"/>
              <w:rPr>
                <w:sz w:val="14"/>
                <w:szCs w:val="14"/>
                <w:color w:val="auto"/>
              </w:rPr>
            </w:pPr>
          </w:p>
        </w:tc>
        <w:tc>
          <w:tcPr>
            <w:tcW w:w="96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9"/>
        </w:trPr>
        <w:tc>
          <w:tcPr>
            <w:tcW w:w="628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9"/>
        </w:trPr>
        <w:tc>
          <w:tcPr>
            <w:tcW w:w="628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628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line="20" w:lineRule="exact"/>
              <w:rPr>
                <w:sz w:val="1"/>
                <w:szCs w:val="1"/>
                <w:color w:val="auto"/>
              </w:rPr>
            </w:pPr>
          </w:p>
        </w:tc>
      </w:tr>
      <w:tr>
        <w:trPr>
          <w:trHeight w:val="203"/>
        </w:trPr>
        <w:tc>
          <w:tcPr>
            <w:tcW w:w="628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vest—December 31, 2022</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exercisable—December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40" w:firstLine="648"/>
        <w:spacing w:after="0" w:line="268" w:lineRule="auto"/>
        <w:rPr>
          <w:sz w:val="20"/>
          <w:szCs w:val="20"/>
          <w:color w:val="auto"/>
        </w:rPr>
      </w:pPr>
      <w:r>
        <w:rPr>
          <w:rFonts w:ascii="Arial" w:cs="Arial" w:eastAsia="Arial" w:hAnsi="Arial"/>
          <w:sz w:val="17"/>
          <w:szCs w:val="17"/>
          <w:color w:val="auto"/>
        </w:rPr>
        <w:t>The aggregate intrinsic value represents the difference between the exercise price of stock options and the quoted market price of our common stock at the date of balance sheet for all in-the-money stock options. Stock compensation expense is recognized on a straight-line basis over the vesting period of each stock option. As of December 31, 2022, total compensation expense related to unvested stock options granted to employees but not yet recognized was $53.7 million, with a weighted-average remaining vesting period of 2.6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70"/>
        </w:trPr>
        <w:tc>
          <w:tcPr>
            <w:tcW w:w="6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Fair value of options vested</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2022, (in millions, except exercise prices and contractual life):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Options Outstanding</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Weighted-</w:t>
            </w:r>
          </w:p>
        </w:tc>
        <w:tc>
          <w:tcPr>
            <w:tcW w:w="320" w:type="dxa"/>
            <w:vAlign w:val="bottom"/>
          </w:tcPr>
          <w:p>
            <w:pPr>
              <w:spacing w:after="0"/>
              <w:rPr>
                <w:sz w:val="13"/>
                <w:szCs w:val="13"/>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93"/>
              </w:rPr>
              <w:t>Weighted-</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center"/>
              <w:ind w:right="215"/>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3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320" w:type="dxa"/>
            <w:vAlign w:val="bottom"/>
          </w:tcPr>
          <w:p>
            <w:pPr>
              <w:spacing w:after="0"/>
              <w:rPr>
                <w:sz w:val="14"/>
                <w:szCs w:val="14"/>
                <w:color w:val="auto"/>
              </w:rPr>
            </w:pPr>
          </w:p>
        </w:tc>
        <w:tc>
          <w:tcPr>
            <w:tcW w:w="15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88"/>
              </w:rPr>
              <w:t>Average</w:t>
            </w:r>
          </w:p>
        </w:tc>
        <w:tc>
          <w:tcPr>
            <w:tcW w:w="178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15"/>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19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6"/>
              </w:rPr>
              <w:t>Range of Exercise Prices</w:t>
            </w:r>
          </w:p>
        </w:tc>
        <w:tc>
          <w:tcPr>
            <w:tcW w:w="1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320" w:type="dxa"/>
            <w:vAlign w:val="bottom"/>
          </w:tcPr>
          <w:p>
            <w:pPr>
              <w:spacing w:after="0"/>
              <w:rPr>
                <w:sz w:val="14"/>
                <w:szCs w:val="14"/>
                <w:color w:val="auto"/>
              </w:rPr>
            </w:pPr>
          </w:p>
        </w:tc>
        <w:tc>
          <w:tcPr>
            <w:tcW w:w="1580" w:type="dxa"/>
            <w:vAlign w:val="bottom"/>
            <w:gridSpan w:val="2"/>
          </w:tcPr>
          <w:p>
            <w:pPr>
              <w:jc w:val="center"/>
              <w:ind w:right="440"/>
              <w:spacing w:after="0" w:line="162" w:lineRule="exact"/>
              <w:rPr>
                <w:sz w:val="20"/>
                <w:szCs w:val="20"/>
                <w:color w:val="auto"/>
              </w:rPr>
            </w:pPr>
            <w:r>
              <w:rPr>
                <w:rFonts w:ascii="Arial" w:cs="Arial" w:eastAsia="Arial" w:hAnsi="Arial"/>
                <w:sz w:val="16"/>
                <w:szCs w:val="16"/>
                <w:b w:val="1"/>
                <w:bCs w:val="1"/>
                <w:color w:val="auto"/>
                <w:w w:val="88"/>
              </w:rPr>
              <w:t>Exercise</w:t>
            </w:r>
          </w:p>
        </w:tc>
        <w:tc>
          <w:tcPr>
            <w:tcW w:w="1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5"/>
              <w:spacing w:after="0" w:line="162" w:lineRule="exact"/>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3"/>
        </w:trPr>
        <w:tc>
          <w:tcPr>
            <w:tcW w:w="1920" w:type="dxa"/>
            <w:vAlign w:val="bottom"/>
            <w:gridSpan w:val="2"/>
            <w:vMerge w:val="continue"/>
          </w:tcPr>
          <w:p>
            <w:pPr>
              <w:spacing w:after="0"/>
              <w:rPr>
                <w:sz w:val="18"/>
                <w:szCs w:val="18"/>
                <w:color w:val="auto"/>
              </w:rPr>
            </w:pPr>
          </w:p>
        </w:tc>
        <w:tc>
          <w:tcPr>
            <w:tcW w:w="1780" w:type="dxa"/>
            <w:vAlign w:val="bottom"/>
          </w:tcPr>
          <w:p>
            <w:pPr>
              <w:jc w:val="right"/>
              <w:ind w:right="373"/>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Price</w:t>
            </w:r>
          </w:p>
        </w:tc>
        <w:tc>
          <w:tcPr>
            <w:tcW w:w="1780" w:type="dxa"/>
            <w:vAlign w:val="bottom"/>
          </w:tcPr>
          <w:p>
            <w:pPr>
              <w:jc w:val="right"/>
              <w:ind w:right="393"/>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center"/>
              <w:ind w:right="215"/>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26"/>
        </w:trPr>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$4.77-$9.81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1820" w:type="dxa"/>
            <w:vAlign w:val="bottom"/>
          </w:tcPr>
          <w:p>
            <w:pPr>
              <w:jc w:val="right"/>
              <w:spacing w:after="0"/>
              <w:rPr>
                <w:sz w:val="20"/>
                <w:szCs w:val="20"/>
                <w:color w:val="auto"/>
              </w:rPr>
            </w:pPr>
            <w:r>
              <w:rPr>
                <w:rFonts w:ascii="Arial" w:cs="Arial" w:eastAsia="Arial" w:hAnsi="Arial"/>
                <w:sz w:val="18"/>
                <w:szCs w:val="18"/>
                <w:color w:val="auto"/>
              </w:rPr>
              <w:t>$11.66-$22.72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$22.90-$34.89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$39.68-$68.70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millions):</w:t>
      </w:r>
    </w:p>
    <w:p>
      <w:pPr>
        <w:spacing w:after="0" w:line="46" w:lineRule="exact"/>
        <w:rPr>
          <w:sz w:val="20"/>
          <w:szCs w:val="20"/>
          <w:color w:val="auto"/>
        </w:rPr>
      </w:pPr>
    </w:p>
    <w:p>
      <w:pPr>
        <w:jc w:val="center"/>
        <w:ind w:left="9000"/>
        <w:spacing w:after="0"/>
        <w:rPr>
          <w:sz w:val="20"/>
          <w:szCs w:val="20"/>
          <w:color w:val="auto"/>
        </w:rPr>
      </w:pPr>
      <w:r>
        <w:rPr>
          <w:rFonts w:ascii="Arial" w:cs="Arial" w:eastAsia="Arial" w:hAnsi="Arial"/>
          <w:sz w:val="16"/>
          <w:szCs w:val="16"/>
          <w:b w:val="1"/>
          <w:bCs w:val="1"/>
          <w:color w:val="auto"/>
        </w:rPr>
        <w:t>December 31,</w:t>
      </w:r>
    </w:p>
    <w:p>
      <w:pPr>
        <w:jc w:val="center"/>
        <w:ind w:left="9000"/>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Reserved for future equity award grants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jc w:val="right"/>
        <w:ind w:right="6100"/>
        <w:spacing w:after="0"/>
        <w:rPr>
          <w:sz w:val="20"/>
          <w:szCs w:val="20"/>
          <w:color w:val="auto"/>
        </w:rPr>
      </w:pPr>
      <w:r>
        <w:rPr>
          <w:rFonts w:ascii="Arial" w:cs="Arial" w:eastAsia="Arial" w:hAnsi="Arial"/>
          <w:sz w:val="18"/>
          <w:szCs w:val="18"/>
          <w:color w:val="auto"/>
        </w:rPr>
        <w:t>Total common stock reserved for future issuances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57.2</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23.7</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62230</wp:posOffset>
            </wp:positionV>
            <wp:extent cx="14147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828" w:lineRule="exact"/>
        <w:rPr>
          <w:sz w:val="20"/>
          <w:szCs w:val="20"/>
          <w:color w:val="auto"/>
        </w:rPr>
      </w:pPr>
    </w:p>
    <w:p>
      <w:pPr>
        <w:sectPr>
          <w:pgSz w:w="11900" w:h="16838" w:orient="portrait"/>
          <w:cols w:equalWidth="0" w:num="2">
            <w:col w:w="10140" w:space="720"/>
            <w:col w:w="38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(in millions):</w:t>
      </w: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219.8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r>
      <w:tr>
        <w:trPr>
          <w:trHeight w:val="20"/>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2"/>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48"/>
        </w:trPr>
        <w:tc>
          <w:tcPr>
            <w:tcW w:w="6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219.8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income tax benefit associated with stock-based compensation that is recognized in the consolidated statements of income is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January 2016, our board of directors approved the Repurchase Program, which authorized the repurchase of up to $200.0 million of our outstanding common stock through December 31, 2017. From 2016 through 2021, our board of directors approved increases to our Repurchase Program by various amounts and extended the term to February 28, 2023, bringing the aggregated amount authorized to $4.25 billion. In July 2022, our board of directors approved a $1.0 billion increase, bringing the aggregate amount authorized to be repurchased to $5.25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In 2022, we repurchased 36.0 million shares of common stock under the Repurchase Program in open market transactions for an aggregate purchase price of $1.99 billion. As of December 31, 2022, $529.6 million remained available for future share repurchases under the Repurchase Program. In February 2023, our board of directors approved an extension of the Repurchase Program to February 29, 2024.</w:t>
      </w:r>
    </w:p>
    <w:p>
      <w:pPr>
        <w:spacing w:after="0" w:line="22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and loss from equity method investment consisted of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 and loss from equity method investment</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provision for (benefit from) income taxes consisted of (in millions):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4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64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218.5</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(208.3)</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deferred</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foreign tax provision included the tax impacts from U.S. GAAP to local tax return book to tax differences that create a permanent addback including but not limited to stock compensation, meals and entertainment, and settlement of prior year tax audits with foreign jurisdiction adjustments.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income tax rate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0"/>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federal statutory tax rate</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withholding taxes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State taxes—net of federal benefit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the 2017 Tax Cuts and Jobs Act: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480"/>
              <w:spacing w:after="0"/>
              <w:rPr>
                <w:sz w:val="20"/>
                <w:szCs w:val="20"/>
                <w:color w:val="auto"/>
              </w:rPr>
            </w:pPr>
            <w:r>
              <w:rPr>
                <w:rFonts w:ascii="Arial" w:cs="Arial" w:eastAsia="Arial" w:hAnsi="Arial"/>
                <w:sz w:val="18"/>
                <w:szCs w:val="18"/>
                <w:color w:val="auto"/>
              </w:rPr>
              <w:t>One-time transition tax</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Foreign-Derived Intangible Income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74" w:lineRule="auto"/>
        <w:rPr>
          <w:sz w:val="20"/>
          <w:szCs w:val="20"/>
          <w:color w:val="auto"/>
        </w:rPr>
      </w:pPr>
      <w:r>
        <w:rPr>
          <w:rFonts w:ascii="Arial" w:cs="Arial" w:eastAsia="Arial" w:hAnsi="Arial"/>
          <w:sz w:val="16"/>
          <w:szCs w:val="16"/>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These final regulations adversely impact our ability to claim foreign tax credits in the United States for certain taxes imposed by certain foreign jurisdictions. These final regulations increased our tax expense by approximately $27.5 million on our consolidated financial statements as of December 31, 2022.</w:t>
      </w:r>
    </w:p>
    <w:p>
      <w:pPr>
        <w:spacing w:after="0" w:line="20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August 16, 2022, the United States enacted the IRA that, among other changes, provides for changes to the U.S. corporate income tax system, including a 15% minimum tax based on financial statement income for companies with three-year average annual adjusted financial statement income exceeding $1 billion, and a 1% excise tax on net repurchases of stock after December 31, 2022, if any. We considered the applicable tax law changes, and there is no impact to our tax provision for the year ended December 31, 2022. We will continue to evaluate the impact of these tax law changes on future periods.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020" w:type="dxa"/>
            <w:vAlign w:val="bottom"/>
          </w:tcPr>
          <w:p>
            <w:pPr>
              <w:ind w:left="480"/>
              <w:spacing w:after="0"/>
              <w:rPr>
                <w:sz w:val="20"/>
                <w:szCs w:val="20"/>
                <w:color w:val="auto"/>
              </w:rPr>
            </w:pPr>
            <w:r>
              <w:rPr>
                <w:rFonts w:ascii="Arial" w:cs="Arial" w:eastAsia="Arial" w:hAnsi="Arial"/>
                <w:sz w:val="18"/>
                <w:szCs w:val="18"/>
                <w:color w:val="auto"/>
              </w:rPr>
              <w:t>General business credit carryforward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30"/>
        </w:trPr>
        <w:tc>
          <w:tcPr>
            <w:tcW w:w="8020" w:type="dxa"/>
            <w:vAlign w:val="bottom"/>
          </w:tcPr>
          <w:p>
            <w:pPr>
              <w:ind w:left="480"/>
              <w:spacing w:after="0"/>
              <w:rPr>
                <w:sz w:val="20"/>
                <w:szCs w:val="20"/>
                <w:color w:val="auto"/>
              </w:rPr>
            </w:pPr>
            <w:r>
              <w:rPr>
                <w:rFonts w:ascii="Arial" w:cs="Arial" w:eastAsia="Arial" w:hAnsi="Arial"/>
                <w:sz w:val="18"/>
                <w:szCs w:val="18"/>
                <w:color w:val="auto"/>
              </w:rPr>
              <w:t>Reserves and accruals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operating loss carryforward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8020" w:type="dxa"/>
            <w:vAlign w:val="bottom"/>
          </w:tcPr>
          <w:p>
            <w:pPr>
              <w:ind w:left="4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8020" w:type="dxa"/>
            <w:vAlign w:val="bottom"/>
          </w:tcPr>
          <w:p>
            <w:pPr>
              <w:ind w:left="480"/>
              <w:spacing w:after="0"/>
              <w:rPr>
                <w:sz w:val="20"/>
                <w:szCs w:val="20"/>
                <w:color w:val="auto"/>
              </w:rPr>
            </w:pPr>
            <w:r>
              <w:rPr>
                <w:rFonts w:ascii="Arial" w:cs="Arial" w:eastAsia="Arial" w:hAnsi="Arial"/>
                <w:sz w:val="18"/>
                <w:szCs w:val="18"/>
                <w:color w:val="auto"/>
              </w:rPr>
              <w:t>Capitalized research expenditures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20" w:type="dxa"/>
            <w:vAlign w:val="bottom"/>
          </w:tcPr>
          <w:p>
            <w:pPr>
              <w:ind w:left="480"/>
              <w:spacing w:after="0"/>
              <w:rPr>
                <w:sz w:val="20"/>
                <w:szCs w:val="20"/>
                <w:color w:val="auto"/>
              </w:rPr>
            </w:pPr>
            <w:r>
              <w:rPr>
                <w:rFonts w:ascii="Arial" w:cs="Arial" w:eastAsia="Arial" w:hAnsi="Arial"/>
                <w:sz w:val="18"/>
                <w:szCs w:val="18"/>
                <w:color w:val="auto"/>
              </w:rPr>
              <w:t>Deferred contract costs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ROU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80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Acquired intangibles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will be able to realize the benefits of our deferred tax assets in the future except for our California research and development credits carryforward, certain impairment losses in business investments, certain foreign tax credits from foreign disregarded entities and certain tax attributes from business acquisitions. As of December 31, 2022, we had a valuation allowance of $100.8 million against those items.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2022, our federal and California net operating loss carryforwards for income tax purposes were $70.4 million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$20.8 million, respectively. All the net operating loss carryforwards were from acquisitions which were limited by Section 382 of the Internal Revenue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Code. If not utilized, the federal net operating loss carryforwards will begin to expire in 2023, and California net operating loss carryforwards will begin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expire in 2034.</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we had state tax credit carryforwards of $46.4 million. The state credits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of year</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6740" w:type="dxa"/>
            <w:vAlign w:val="bottom"/>
          </w:tcPr>
          <w:p>
            <w:pPr>
              <w:ind w:left="480"/>
              <w:spacing w:after="0"/>
              <w:rPr>
                <w:sz w:val="20"/>
                <w:szCs w:val="20"/>
                <w:color w:val="auto"/>
              </w:rPr>
            </w:pPr>
            <w:r>
              <w:rPr>
                <w:rFonts w:ascii="Arial" w:cs="Arial" w:eastAsia="Arial" w:hAnsi="Arial"/>
                <w:sz w:val="18"/>
                <w:szCs w:val="18"/>
                <w:color w:val="auto"/>
              </w:rPr>
              <w:t>Gross increases for tax positions related to the current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decreases for tax positions related to the current year</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480"/>
              <w:spacing w:after="0"/>
              <w:rPr>
                <w:sz w:val="20"/>
                <w:szCs w:val="20"/>
                <w:color w:val="auto"/>
              </w:rPr>
            </w:pPr>
            <w:r>
              <w:rPr>
                <w:rFonts w:ascii="Arial" w:cs="Arial" w:eastAsia="Arial" w:hAnsi="Arial"/>
                <w:sz w:val="18"/>
                <w:szCs w:val="18"/>
                <w:color w:val="auto"/>
              </w:rPr>
              <w:t>Gross increases for tax positions related to the prior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decreases for tax positions related to prior year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40" w:type="dxa"/>
            <w:vAlign w:val="bottom"/>
          </w:tcPr>
          <w:p>
            <w:pPr>
              <w:ind w:left="480"/>
              <w:spacing w:after="0"/>
              <w:rPr>
                <w:sz w:val="20"/>
                <w:szCs w:val="20"/>
                <w:color w:val="auto"/>
              </w:rPr>
            </w:pPr>
            <w:r>
              <w:rPr>
                <w:rFonts w:ascii="Arial" w:cs="Arial" w:eastAsia="Arial" w:hAnsi="Arial"/>
                <w:sz w:val="18"/>
                <w:szCs w:val="18"/>
                <w:color w:val="auto"/>
              </w:rPr>
              <w:t>Gross decreases for tax positions related to prior year audit settlements</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decreases for tax positions related to expiration of statute of limitations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Unrecognized tax benefits, end of year</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1"/>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2022, we had $67.4 million of unrecognized tax benefits, of which, if recognized, $58.5 million would favorably affect our effective tax rate. Our gross unrecognized tax benefits decreased by approximately $5.9 million during the year ended December 31, 2022. The net decrease was primarily due to the reversal of gross unrecognized tax benefits in connection with the lapse of statutes of limitations. Our policy is to include accrued interest and penalties related to uncertain tax benefits in income tax expense. As of December 31, 2022, 2021 and 2020, accrued interest and penalties were $9.3 million, $13.3 million and $14.5 million, respectively.</w:t>
      </w:r>
    </w:p>
    <w:p>
      <w:pPr>
        <w:spacing w:after="0" w:line="21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It is reasonably possible that our gross unrecognized tax benefits will decrease by up to $15.1 million in the next 12 months, primarily due to the lapse of the statute of limitations. These adjustments, if recognized, would favorably impact our effective tax rate, and would be recognized as additional tax benefits.</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examination by U.S. federal income tax authorities for tax years prior to 2016.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spacing w:after="0" w:line="21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2022, 2021 and 2020 were $12.6 million, $10.0 million and $8.3 million, respectively.</w:t>
      </w:r>
    </w:p>
    <w:p>
      <w:pPr>
        <w:spacing w:after="0" w:line="18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6"/>
                <w:szCs w:val="16"/>
                <w:b w:val="1"/>
                <w:bCs w:val="1"/>
                <w:color w:val="auto"/>
                <w:w w:val="91"/>
              </w:rPr>
              <w:t>Year Ended December 31,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5"/>
                <w:szCs w:val="15"/>
                <w:color w:val="auto"/>
              </w:rPr>
            </w:pPr>
          </w:p>
        </w:tc>
        <w:tc>
          <w:tcPr>
            <w:tcW w:w="114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3"/>
              <w:spacing w:after="0" w:line="175"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1,325.0</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 Americas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20" w:type="dxa"/>
            <w:vAlign w:val="bottom"/>
            <w:gridSpan w:val="2"/>
          </w:tcPr>
          <w:p>
            <w:pPr>
              <w:ind w:left="260"/>
              <w:spacing w:after="0"/>
              <w:rPr>
                <w:sz w:val="20"/>
                <w:szCs w:val="20"/>
                <w:color w:val="auto"/>
              </w:rPr>
            </w:pPr>
            <w:r>
              <w:rPr>
                <w:rFonts w:ascii="Arial" w:cs="Arial" w:eastAsia="Arial" w:hAnsi="Arial"/>
                <w:sz w:val="18"/>
                <w:szCs w:val="18"/>
                <w:color w:val="auto"/>
              </w:rPr>
              <w:t>Total Americas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Asia Pacific (“APAC”)</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64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w:t>
            </w:r>
            <w:r>
              <w:rPr>
                <w:rFonts w:ascii="Arial" w:cs="Arial" w:eastAsia="Arial" w:hAnsi="Arial"/>
                <w:sz w:val="16"/>
                <w:szCs w:val="16"/>
                <w:b w:val="1"/>
                <w:bCs w:val="1"/>
                <w:color w:val="auto"/>
              </w:rPr>
              <w:t>net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Americas: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Americas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APAC</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property and equipment—net</w:t>
      </w:r>
    </w:p>
    <w:p>
      <w:pPr>
        <w:spacing w:after="0" w:line="374" w:lineRule="exact"/>
        <w:rPr>
          <w:sz w:val="20"/>
          <w:szCs w:val="20"/>
          <w:color w:val="auto"/>
        </w:rPr>
      </w:pPr>
    </w:p>
    <w:p>
      <w:pPr>
        <w:jc w:val="right"/>
        <w:ind w:right="1679"/>
        <w:spacing w:after="0"/>
        <w:rPr>
          <w:sz w:val="20"/>
          <w:szCs w:val="20"/>
          <w:color w:val="auto"/>
        </w:rPr>
      </w:pPr>
      <w:r>
        <w:rPr>
          <w:rFonts w:ascii="Arial" w:cs="Arial" w:eastAsia="Arial" w:hAnsi="Arial"/>
          <w:sz w:val="18"/>
          <w:szCs w:val="18"/>
          <w:color w:val="auto"/>
        </w:rPr>
        <w:t>The following distributors accounted for 10% or more of our revenue: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021" w:hanging="1021"/>
        <w:spacing w:after="0"/>
        <w:tabs>
          <w:tab w:leader="none" w:pos="1021" w:val="left"/>
        </w:tabs>
        <w:numPr>
          <w:ilvl w:val="0"/>
          <w:numId w:val="63"/>
        </w:numPr>
        <w:rPr>
          <w:rFonts w:ascii="Arial" w:cs="Arial" w:eastAsia="Arial" w:hAnsi="Arial"/>
          <w:sz w:val="16"/>
          <w:szCs w:val="16"/>
          <w:color w:val="auto"/>
        </w:rPr>
      </w:pPr>
      <w:r>
        <w:rPr>
          <w:rFonts w:ascii="Arial" w:cs="Arial" w:eastAsia="Arial" w:hAnsi="Arial"/>
          <w:sz w:val="16"/>
          <w:szCs w:val="16"/>
          <w:color w:val="auto"/>
        </w:rPr>
        <w:t>638.1</w:t>
      </w:r>
    </w:p>
    <w:p>
      <w:pPr>
        <w:spacing w:after="0" w:line="46" w:lineRule="exact"/>
        <w:rPr>
          <w:rFonts w:ascii="Arial" w:cs="Arial" w:eastAsia="Arial" w:hAnsi="Arial"/>
          <w:sz w:val="16"/>
          <w:szCs w:val="16"/>
          <w:color w:val="auto"/>
        </w:rPr>
      </w:pPr>
    </w:p>
    <w:p>
      <w:pPr>
        <w:ind w:left="1021"/>
        <w:spacing w:after="0"/>
        <w:rPr>
          <w:rFonts w:ascii="Arial" w:cs="Arial" w:eastAsia="Arial" w:hAnsi="Arial"/>
          <w:sz w:val="16"/>
          <w:szCs w:val="16"/>
          <w:color w:val="auto"/>
        </w:rPr>
      </w:pPr>
      <w:r>
        <w:rPr>
          <w:rFonts w:ascii="Arial" w:cs="Arial" w:eastAsia="Arial" w:hAnsi="Arial"/>
          <w:sz w:val="16"/>
          <w:szCs w:val="16"/>
          <w:color w:val="auto"/>
        </w:rPr>
        <w:t>204.4</w:t>
      </w:r>
    </w:p>
    <w:p>
      <w:pPr>
        <w:spacing w:after="0" w:line="45" w:lineRule="exact"/>
        <w:rPr>
          <w:rFonts w:ascii="Arial" w:cs="Arial" w:eastAsia="Arial" w:hAnsi="Arial"/>
          <w:sz w:val="16"/>
          <w:szCs w:val="16"/>
          <w:color w:val="auto"/>
        </w:rPr>
      </w:pPr>
    </w:p>
    <w:p>
      <w:pPr>
        <w:ind w:left="1201"/>
        <w:spacing w:after="0"/>
        <w:rPr>
          <w:rFonts w:ascii="Arial" w:cs="Arial" w:eastAsia="Arial" w:hAnsi="Arial"/>
          <w:sz w:val="16"/>
          <w:szCs w:val="16"/>
          <w:color w:val="auto"/>
        </w:rPr>
      </w:pPr>
      <w:r>
        <w:rPr>
          <w:rFonts w:ascii="Arial" w:cs="Arial" w:eastAsia="Arial" w:hAnsi="Arial"/>
          <w:sz w:val="17"/>
          <w:szCs w:val="17"/>
          <w:color w:val="auto"/>
        </w:rPr>
        <w:t>1.1</w:t>
      </w:r>
    </w:p>
    <w:p>
      <w:pPr>
        <w:spacing w:after="0" w:line="46" w:lineRule="exact"/>
        <w:rPr>
          <w:rFonts w:ascii="Arial" w:cs="Arial" w:eastAsia="Arial" w:hAnsi="Arial"/>
          <w:sz w:val="16"/>
          <w:szCs w:val="16"/>
          <w:color w:val="auto"/>
        </w:rPr>
      </w:pPr>
    </w:p>
    <w:p>
      <w:pPr>
        <w:ind w:left="1021"/>
        <w:spacing w:after="0"/>
        <w:rPr>
          <w:rFonts w:ascii="Arial" w:cs="Arial" w:eastAsia="Arial" w:hAnsi="Arial"/>
          <w:sz w:val="16"/>
          <w:szCs w:val="16"/>
          <w:color w:val="auto"/>
        </w:rPr>
      </w:pPr>
      <w:r>
        <w:rPr>
          <w:rFonts w:ascii="Arial" w:cs="Arial" w:eastAsia="Arial" w:hAnsi="Arial"/>
          <w:sz w:val="16"/>
          <w:szCs w:val="16"/>
          <w:color w:val="auto"/>
        </w:rPr>
        <w:t>843.6</w:t>
      </w:r>
    </w:p>
    <w:p>
      <w:pPr>
        <w:spacing w:after="0" w:line="46" w:lineRule="exact"/>
        <w:rPr>
          <w:rFonts w:ascii="Arial" w:cs="Arial" w:eastAsia="Arial" w:hAnsi="Arial"/>
          <w:sz w:val="16"/>
          <w:szCs w:val="16"/>
          <w:color w:val="auto"/>
        </w:rPr>
      </w:pPr>
    </w:p>
    <w:p>
      <w:pPr>
        <w:ind w:left="1121"/>
        <w:spacing w:after="0"/>
        <w:rPr>
          <w:rFonts w:ascii="Arial" w:cs="Arial" w:eastAsia="Arial" w:hAnsi="Arial"/>
          <w:sz w:val="16"/>
          <w:szCs w:val="16"/>
          <w:color w:val="auto"/>
        </w:rPr>
      </w:pPr>
      <w:r>
        <w:rPr>
          <w:rFonts w:ascii="Arial" w:cs="Arial" w:eastAsia="Arial" w:hAnsi="Arial"/>
          <w:sz w:val="16"/>
          <w:szCs w:val="16"/>
          <w:color w:val="auto"/>
        </w:rPr>
        <w:t>35.9</w:t>
      </w:r>
    </w:p>
    <w:p>
      <w:pPr>
        <w:spacing w:after="0" w:line="45" w:lineRule="exact"/>
        <w:rPr>
          <w:rFonts w:ascii="Arial" w:cs="Arial" w:eastAsia="Arial" w:hAnsi="Arial"/>
          <w:sz w:val="16"/>
          <w:szCs w:val="16"/>
          <w:color w:val="auto"/>
        </w:rPr>
      </w:pPr>
    </w:p>
    <w:p>
      <w:pPr>
        <w:ind w:left="1121"/>
        <w:spacing w:after="0"/>
        <w:rPr>
          <w:rFonts w:ascii="Arial" w:cs="Arial" w:eastAsia="Arial" w:hAnsi="Arial"/>
          <w:sz w:val="16"/>
          <w:szCs w:val="16"/>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68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8" w:lineRule="exact"/>
        <w:rPr>
          <w:sz w:val="20"/>
          <w:szCs w:val="20"/>
          <w:color w:val="auto"/>
        </w:rPr>
      </w:pPr>
    </w:p>
    <w:p>
      <w:pPr>
        <w:ind w:left="1021" w:hanging="1021"/>
        <w:spacing w:after="0"/>
        <w:tabs>
          <w:tab w:leader="none" w:pos="1021" w:val="left"/>
        </w:tabs>
        <w:numPr>
          <w:ilvl w:val="0"/>
          <w:numId w:val="64"/>
        </w:numPr>
        <w:rPr>
          <w:rFonts w:ascii="Arial" w:cs="Arial" w:eastAsia="Arial" w:hAnsi="Arial"/>
          <w:sz w:val="16"/>
          <w:szCs w:val="16"/>
          <w:color w:val="auto"/>
        </w:rPr>
      </w:pPr>
      <w:r>
        <w:rPr>
          <w:rFonts w:ascii="Arial" w:cs="Arial" w:eastAsia="Arial" w:hAnsi="Arial"/>
          <w:sz w:val="16"/>
          <w:szCs w:val="16"/>
          <w:color w:val="auto"/>
        </w:rPr>
        <w:t>898.5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68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968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028" w:hanging="1028"/>
        <w:spacing w:after="0"/>
        <w:tabs>
          <w:tab w:leader="none" w:pos="1028" w:val="left"/>
        </w:tabs>
        <w:numPr>
          <w:ilvl w:val="0"/>
          <w:numId w:val="65"/>
        </w:numPr>
        <w:rPr>
          <w:rFonts w:ascii="Arial" w:cs="Arial" w:eastAsia="Arial" w:hAnsi="Arial"/>
          <w:sz w:val="15"/>
          <w:szCs w:val="15"/>
          <w:color w:val="auto"/>
        </w:rPr>
      </w:pPr>
      <w:r>
        <w:rPr>
          <w:rFonts w:ascii="Arial" w:cs="Arial" w:eastAsia="Arial" w:hAnsi="Arial"/>
          <w:sz w:val="15"/>
          <w:szCs w:val="15"/>
          <w:color w:val="auto"/>
        </w:rPr>
        <w:t>472.4</w:t>
      </w:r>
    </w:p>
    <w:p>
      <w:pPr>
        <w:spacing w:after="0" w:line="57" w:lineRule="exact"/>
        <w:rPr>
          <w:rFonts w:ascii="Arial" w:cs="Arial" w:eastAsia="Arial" w:hAnsi="Arial"/>
          <w:sz w:val="15"/>
          <w:szCs w:val="15"/>
          <w:color w:val="auto"/>
        </w:rPr>
      </w:pPr>
    </w:p>
    <w:p>
      <w:pPr>
        <w:ind w:left="1028"/>
        <w:spacing w:after="0"/>
        <w:rPr>
          <w:rFonts w:ascii="Arial" w:cs="Arial" w:eastAsia="Arial" w:hAnsi="Arial"/>
          <w:sz w:val="15"/>
          <w:szCs w:val="15"/>
          <w:color w:val="auto"/>
        </w:rPr>
      </w:pPr>
      <w:r>
        <w:rPr>
          <w:rFonts w:ascii="Arial" w:cs="Arial" w:eastAsia="Arial" w:hAnsi="Arial"/>
          <w:sz w:val="15"/>
          <w:szCs w:val="15"/>
          <w:color w:val="auto"/>
        </w:rPr>
        <w:t>170.9</w:t>
      </w:r>
    </w:p>
    <w:p>
      <w:pPr>
        <w:spacing w:after="0" w:line="57" w:lineRule="exact"/>
        <w:rPr>
          <w:rFonts w:ascii="Arial" w:cs="Arial" w:eastAsia="Arial" w:hAnsi="Arial"/>
          <w:sz w:val="15"/>
          <w:szCs w:val="15"/>
          <w:color w:val="auto"/>
        </w:rPr>
      </w:pPr>
    </w:p>
    <w:p>
      <w:pPr>
        <w:ind w:left="1208"/>
        <w:spacing w:after="0"/>
        <w:rPr>
          <w:rFonts w:ascii="Arial" w:cs="Arial" w:eastAsia="Arial" w:hAnsi="Arial"/>
          <w:sz w:val="15"/>
          <w:szCs w:val="15"/>
          <w:color w:val="auto"/>
        </w:rPr>
      </w:pPr>
      <w:r>
        <w:rPr>
          <w:rFonts w:ascii="Arial" w:cs="Arial" w:eastAsia="Arial" w:hAnsi="Arial"/>
          <w:sz w:val="15"/>
          <w:szCs w:val="15"/>
          <w:color w:val="auto"/>
        </w:rPr>
        <w:t>1.6</w:t>
      </w:r>
    </w:p>
    <w:p>
      <w:pPr>
        <w:spacing w:after="0" w:line="69" w:lineRule="exact"/>
        <w:rPr>
          <w:rFonts w:ascii="Arial" w:cs="Arial" w:eastAsia="Arial" w:hAnsi="Arial"/>
          <w:sz w:val="15"/>
          <w:szCs w:val="15"/>
          <w:color w:val="auto"/>
        </w:rPr>
      </w:pPr>
    </w:p>
    <w:p>
      <w:pPr>
        <w:ind w:left="1028"/>
        <w:spacing w:after="0"/>
        <w:rPr>
          <w:rFonts w:ascii="Arial" w:cs="Arial" w:eastAsia="Arial" w:hAnsi="Arial"/>
          <w:sz w:val="15"/>
          <w:szCs w:val="15"/>
          <w:color w:val="auto"/>
        </w:rPr>
      </w:pPr>
      <w:r>
        <w:rPr>
          <w:rFonts w:ascii="Arial" w:cs="Arial" w:eastAsia="Arial" w:hAnsi="Arial"/>
          <w:sz w:val="15"/>
          <w:szCs w:val="15"/>
          <w:color w:val="auto"/>
        </w:rPr>
        <w:t>644.9</w:t>
      </w:r>
    </w:p>
    <w:p>
      <w:pPr>
        <w:spacing w:after="0" w:line="57" w:lineRule="exact"/>
        <w:rPr>
          <w:rFonts w:ascii="Arial" w:cs="Arial" w:eastAsia="Arial" w:hAnsi="Arial"/>
          <w:sz w:val="15"/>
          <w:szCs w:val="15"/>
          <w:color w:val="auto"/>
        </w:rPr>
      </w:pPr>
    </w:p>
    <w:p>
      <w:pPr>
        <w:ind w:left="1128"/>
        <w:spacing w:after="0"/>
        <w:rPr>
          <w:rFonts w:ascii="Arial" w:cs="Arial" w:eastAsia="Arial" w:hAnsi="Arial"/>
          <w:sz w:val="15"/>
          <w:szCs w:val="15"/>
          <w:color w:val="auto"/>
        </w:rPr>
      </w:pPr>
      <w:r>
        <w:rPr>
          <w:rFonts w:ascii="Arial" w:cs="Arial" w:eastAsia="Arial" w:hAnsi="Arial"/>
          <w:sz w:val="15"/>
          <w:szCs w:val="15"/>
          <w:color w:val="auto"/>
        </w:rPr>
        <w:t>31.0</w:t>
      </w:r>
    </w:p>
    <w:p>
      <w:pPr>
        <w:spacing w:after="0" w:line="57" w:lineRule="exact"/>
        <w:rPr>
          <w:rFonts w:ascii="Arial" w:cs="Arial" w:eastAsia="Arial" w:hAnsi="Arial"/>
          <w:sz w:val="15"/>
          <w:szCs w:val="15"/>
          <w:color w:val="auto"/>
        </w:rPr>
      </w:pPr>
    </w:p>
    <w:p>
      <w:pPr>
        <w:ind w:left="1128"/>
        <w:spacing w:after="0"/>
        <w:rPr>
          <w:rFonts w:ascii="Arial" w:cs="Arial" w:eastAsia="Arial" w:hAnsi="Arial"/>
          <w:sz w:val="15"/>
          <w:szCs w:val="15"/>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9683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0" w:lineRule="exact"/>
        <w:rPr>
          <w:sz w:val="20"/>
          <w:szCs w:val="20"/>
          <w:color w:val="auto"/>
        </w:rPr>
      </w:pPr>
    </w:p>
    <w:p>
      <w:pPr>
        <w:ind w:left="1028" w:hanging="1028"/>
        <w:spacing w:after="0"/>
        <w:tabs>
          <w:tab w:leader="none" w:pos="1028" w:val="left"/>
        </w:tabs>
        <w:numPr>
          <w:ilvl w:val="0"/>
          <w:numId w:val="66"/>
        </w:numPr>
        <w:rPr>
          <w:rFonts w:ascii="Arial" w:cs="Arial" w:eastAsia="Arial" w:hAnsi="Arial"/>
          <w:sz w:val="15"/>
          <w:szCs w:val="15"/>
          <w:color w:val="auto"/>
        </w:rPr>
      </w:pPr>
      <w:r>
        <w:rPr>
          <w:rFonts w:ascii="Arial" w:cs="Arial" w:eastAsia="Arial" w:hAnsi="Arial"/>
          <w:sz w:val="15"/>
          <w:szCs w:val="15"/>
          <w:color w:val="auto"/>
        </w:rPr>
        <w:t>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9683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968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3">
            <w:col w:w="7379" w:space="720"/>
            <w:col w:w="1441" w:space="192"/>
            <w:col w:w="1508"/>
          </w:cols>
          <w:pgMar w:left="320" w:top="125" w:right="339" w:bottom="1440" w:gutter="0" w:footer="0" w:header="0"/>
          <w:type w:val="continuous"/>
        </w:sectPr>
      </w:pPr>
    </w:p>
    <w:p>
      <w:pPr>
        <w:jc w:val="center"/>
        <w:ind w:left="62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20320</wp:posOffset>
            </wp:positionV>
            <wp:extent cx="31718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6" w:lineRule="exact"/>
        <w:rPr>
          <w:sz w:val="20"/>
          <w:szCs w:val="20"/>
          <w:color w:val="auto"/>
        </w:rPr>
      </w:pPr>
    </w:p>
    <w:p>
      <w:pPr>
        <w:ind w:left="6900"/>
        <w:spacing w:after="0"/>
        <w:tabs>
          <w:tab w:leader="none" w:pos="8600" w:val="left"/>
          <w:tab w:leader="none" w:pos="102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7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Distributor B</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r>
      <w:tr>
        <w:trPr>
          <w:trHeight w:val="278"/>
        </w:trPr>
        <w:tc>
          <w:tcPr>
            <w:tcW w:w="7000" w:type="dxa"/>
            <w:vAlign w:val="bottom"/>
            <w:gridSpan w:val="2"/>
          </w:tcPr>
          <w:p>
            <w:pPr>
              <w:spacing w:after="0"/>
              <w:rPr>
                <w:sz w:val="20"/>
                <w:szCs w:val="20"/>
                <w:color w:val="auto"/>
              </w:rPr>
            </w:pPr>
            <w:r>
              <w:rPr>
                <w:rFonts w:ascii="Arial" w:cs="Arial" w:eastAsia="Arial" w:hAnsi="Arial"/>
                <w:sz w:val="16"/>
                <w:szCs w:val="16"/>
                <w:color w:val="auto"/>
              </w:rPr>
              <w:t>* Represents less than 10%</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5"/>
        </w:trPr>
        <w:tc>
          <w:tcPr>
            <w:tcW w:w="7000" w:type="dxa"/>
            <w:vAlign w:val="bottom"/>
            <w:gridSpan w:val="2"/>
          </w:tcPr>
          <w:p>
            <w:pPr>
              <w:ind w:left="660"/>
              <w:spacing w:after="0"/>
              <w:rPr>
                <w:sz w:val="20"/>
                <w:szCs w:val="20"/>
                <w:color w:val="auto"/>
              </w:rPr>
            </w:pPr>
            <w:r>
              <w:rPr>
                <w:rFonts w:ascii="Arial" w:cs="Arial" w:eastAsia="Arial" w:hAnsi="Arial"/>
                <w:sz w:val="18"/>
                <w:szCs w:val="18"/>
                <w:color w:val="auto"/>
                <w:w w:val="98"/>
              </w:rPr>
              <w:t>The following distributors accounted for 10% or more of net accounts receivable:</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6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2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20"/>
                <w:szCs w:val="20"/>
                <w:color w:val="auto"/>
              </w:rPr>
            </w:pPr>
          </w:p>
        </w:tc>
      </w:tr>
      <w:tr>
        <w:trPr>
          <w:trHeight w:val="226"/>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8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40" w:type="dxa"/>
            <w:vAlign w:val="bottom"/>
          </w:tcPr>
          <w:p>
            <w:pPr>
              <w:spacing w:after="0"/>
              <w:rPr>
                <w:sz w:val="19"/>
                <w:szCs w:val="19"/>
                <w:color w:val="auto"/>
              </w:rPr>
            </w:pP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Distributor B</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13 %</w:t>
            </w:r>
          </w:p>
        </w:tc>
        <w:tc>
          <w:tcPr>
            <w:tcW w:w="40" w:type="dxa"/>
            <w:vAlign w:val="bottom"/>
          </w:tcPr>
          <w:p>
            <w:pPr>
              <w:spacing w:after="0"/>
              <w:rPr>
                <w:sz w:val="19"/>
                <w:szCs w:val="19"/>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right="8460" w:hanging="652"/>
        <w:spacing w:after="0" w:line="557" w:lineRule="auto"/>
        <w:tabs>
          <w:tab w:leader="none" w:pos="462"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 Share Repurchase Program</w:t>
      </w:r>
    </w:p>
    <w:p>
      <w:pPr>
        <w:spacing w:after="0" w:line="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February 2023, our board of directors approved an extension of the Repurchase Program to February 29, 2024. As of February 23, 2023, approximately $529.6 million remained available for future share repurchases.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2022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set forth by the Committee of Sponsoring Organizations of the Treadway Commission.</w:t>
      </w:r>
    </w:p>
    <w:p>
      <w:pPr>
        <w:spacing w:after="0" w:line="1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2022. Management reviewed the results of its assessment with our Audit Committee. The effectiveness of our internal control over financial reporting as of December 31, 2022 has been audited by Deloitte &amp; Touche LLP, an independent registered public accounting firm, as stated in its report, which appears in this Item under the heading “Report of Independent Registered Public Accounting Firm.”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There were no changes in our internal controls over financial reporting (as defined in Rules 13a-15(f) or 15d-15(f) under the Exchange Act) during 2022 that have materially affected, or are reasonably likely to materially affect, our internal controls over financial reporting.</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Fortinet, Inc. and subsidiaries (the “Company”)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3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Prevents Inspections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which are required to be disclosed by the rules of the SEC or the Nasdaq Stock Market.</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16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5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52" w:lineRule="exact"/>
        <w:rPr>
          <w:sz w:val="20"/>
          <w:szCs w:val="20"/>
          <w:color w:val="auto"/>
        </w:rPr>
      </w:pPr>
    </w:p>
    <w:p>
      <w:pPr>
        <w:ind w:left="1300" w:right="60" w:hanging="644"/>
        <w:spacing w:after="0" w:line="263"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21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6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Financial statement schedules have been omitted because they are not applicable or are not required or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set forth therein is included in the consolidated financial statements or notes thereto.</w:t>
      </w:r>
    </w:p>
    <w:p>
      <w:pPr>
        <w:spacing w:after="0" w:line="173" w:lineRule="exact"/>
        <w:rPr>
          <w:rFonts w:ascii="Arial" w:cs="Arial" w:eastAsia="Arial" w:hAnsi="Arial"/>
          <w:sz w:val="17"/>
          <w:szCs w:val="17"/>
          <w:i w:val="1"/>
          <w:iCs w:val="1"/>
          <w:color w:val="auto"/>
        </w:rPr>
      </w:pPr>
    </w:p>
    <w:p>
      <w:pPr>
        <w:ind w:left="1300" w:hanging="644"/>
        <w:spacing w:after="0" w:line="308" w:lineRule="auto"/>
        <w:tabs>
          <w:tab w:leader="none" w:pos="1345"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See Item 15(b) below. We have filed, or incorporated into this Annual Report on Form 10-K by reference, the exhibits listed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Exhibit Index immediately preceding the signature page of this Annual Report on Form 10-K.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exhibits listed on the Exhibit Index immediately preceding the signature page of this Annual Report on Form 10-K is incorporated herein by reference as the list of exhibits required by this Item 15(b).</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gridSpan w:val="4"/>
          </w:tcPr>
          <w:p>
            <w:pPr>
              <w:ind w:left="120"/>
              <w:spacing w:after="0"/>
              <w:rPr>
                <w:sz w:val="20"/>
                <w:szCs w:val="20"/>
                <w:color w:val="auto"/>
              </w:rPr>
            </w:pPr>
            <w:r>
              <w:rPr>
                <w:rFonts w:ascii="Arial" w:cs="Arial" w:eastAsia="Arial" w:hAnsi="Arial"/>
                <w:sz w:val="14"/>
                <w:szCs w:val="14"/>
                <w:b w:val="1"/>
                <w:bCs w:val="1"/>
                <w:color w:val="auto"/>
              </w:rPr>
              <w:t>Exhibit</w:t>
            </w:r>
          </w:p>
        </w:tc>
        <w:tc>
          <w:tcPr>
            <w:tcW w:w="378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22"/>
                <w:szCs w:val="22"/>
                <w:color w:val="auto"/>
              </w:rPr>
            </w:pPr>
          </w:p>
        </w:tc>
        <w:tc>
          <w:tcPr>
            <w:tcW w:w="37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Form Incorporated by reference herein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37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51">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Certificate of Incorporation</w:t>
            </w:r>
          </w:p>
        </w:tc>
        <w:tc>
          <w:tcPr>
            <w:tcW w:w="374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52">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Bylaws</w:t>
            </w:r>
          </w:p>
        </w:tc>
        <w:tc>
          <w:tcPr>
            <w:tcW w:w="3740" w:type="dxa"/>
            <w:vAlign w:val="bottom"/>
          </w:tcPr>
          <w:p>
            <w:pPr>
              <w:ind w:left="20"/>
              <w:spacing w:after="0"/>
              <w:rPr>
                <w:sz w:val="20"/>
                <w:szCs w:val="20"/>
                <w:color w:val="auto"/>
              </w:rPr>
            </w:pPr>
            <w:r>
              <w:rPr>
                <w:rFonts w:ascii="Arial" w:cs="Arial" w:eastAsia="Arial" w:hAnsi="Arial"/>
                <w:sz w:val="14"/>
                <w:szCs w:val="14"/>
                <w:color w:val="auto"/>
              </w:rPr>
              <w:t>Current Report on Form 8-K (File No. 001-34511)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53">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Specimen common stock certificate of the Company</w:t>
            </w:r>
          </w:p>
        </w:tc>
        <w:tc>
          <w:tcPr>
            <w:tcW w:w="3740" w:type="dxa"/>
            <w:vAlign w:val="bottom"/>
          </w:tcPr>
          <w:p>
            <w:pPr>
              <w:ind w:left="20"/>
              <w:spacing w:after="0"/>
              <w:rPr>
                <w:sz w:val="20"/>
                <w:szCs w:val="20"/>
                <w:color w:val="auto"/>
              </w:rPr>
            </w:pPr>
            <w:r>
              <w:rPr>
                <w:rFonts w:ascii="Arial" w:cs="Arial" w:eastAsia="Arial" w:hAnsi="Arial"/>
                <w:sz w:val="14"/>
                <w:szCs w:val="14"/>
                <w:color w:val="auto"/>
                <w:w w:val="94"/>
              </w:rPr>
              <w:t>Registration Statement on Form S-l, as amended (File No. 333-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60" w:type="dxa"/>
            <w:vAlign w:val="bottom"/>
            <w:gridSpan w:val="2"/>
            <w:vMerge w:val="restart"/>
          </w:tcPr>
          <w:p>
            <w:pPr>
              <w:spacing w:after="0"/>
              <w:rPr>
                <w:sz w:val="20"/>
                <w:szCs w:val="20"/>
                <w:color w:val="auto"/>
              </w:rPr>
            </w:pPr>
            <w:r>
              <w:rPr>
                <w:rFonts w:ascii="Arial" w:cs="Arial" w:eastAsia="Arial" w:hAnsi="Arial"/>
                <w:sz w:val="14"/>
                <w:szCs w:val="14"/>
                <w:color w:val="0000FF"/>
                <w:w w:val="90"/>
              </w:rPr>
              <w:t>4.</w:t>
            </w:r>
            <w:r>
              <w:rPr>
                <w:rFonts w:ascii="Arial" w:cs="Arial" w:eastAsia="Arial" w:hAnsi="Arial"/>
                <w:sz w:val="14"/>
                <w:szCs w:val="14"/>
                <w:u w:val="single" w:color="auto"/>
                <w:color w:val="0000FF"/>
                <w:w w:val="90"/>
              </w:rPr>
              <w:t>2</w:t>
            </w:r>
            <w:r>
              <w:rPr>
                <w:rFonts w:ascii="Arial" w:cs="Arial" w:eastAsia="Arial" w:hAnsi="Arial"/>
                <w:sz w:val="18"/>
                <w:szCs w:val="18"/>
                <w:color w:val="000000"/>
                <w:w w:val="90"/>
                <w:vertAlign w:val="superscript"/>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Description of Securities Registered Pursuant to Section 12 of</w:t>
            </w:r>
          </w:p>
        </w:tc>
        <w:tc>
          <w:tcPr>
            <w:tcW w:w="3740" w:type="dxa"/>
            <w:vAlign w:val="bottom"/>
          </w:tcPr>
          <w:p>
            <w:pPr>
              <w:ind w:left="20"/>
              <w:spacing w:after="0" w:line="155" w:lineRule="exact"/>
              <w:rPr>
                <w:sz w:val="20"/>
                <w:szCs w:val="20"/>
                <w:color w:val="auto"/>
              </w:rPr>
            </w:pPr>
            <w:r>
              <w:rPr>
                <w:rFonts w:ascii="Arial" w:cs="Arial" w:eastAsia="Arial" w:hAnsi="Arial"/>
                <w:sz w:val="14"/>
                <w:szCs w:val="14"/>
                <w:color w:val="auto"/>
              </w:rPr>
              <w:t>161190)</w:t>
            </w: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gridSpan w:val="2"/>
            <w:vMerge w:val="continue"/>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the Exchange Act</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54">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7"/>
              </w:rPr>
              <w:t>Forms of Indemnification Agreement between the Company and</w:t>
            </w:r>
          </w:p>
        </w:tc>
        <w:tc>
          <w:tcPr>
            <w:tcW w:w="3740" w:type="dxa"/>
            <w:vAlign w:val="bottom"/>
          </w:tcPr>
          <w:p>
            <w:pPr>
              <w:ind w:left="20"/>
              <w:spacing w:after="0"/>
              <w:rPr>
                <w:sz w:val="20"/>
                <w:szCs w:val="20"/>
                <w:color w:val="auto"/>
              </w:rPr>
            </w:pPr>
            <w:r>
              <w:rPr>
                <w:rFonts w:ascii="Arial" w:cs="Arial" w:eastAsia="Arial" w:hAnsi="Arial"/>
                <w:sz w:val="14"/>
                <w:szCs w:val="14"/>
                <w:color w:val="auto"/>
              </w:rPr>
              <w:t>Registration Statement on Form S-l (File No. 333-161190)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its directors and officers</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55">
              <w:r>
                <w:rPr>
                  <w:rFonts w:ascii="Arial" w:cs="Arial" w:eastAsia="Arial" w:hAnsi="Arial"/>
                  <w:sz w:val="14"/>
                  <w:szCs w:val="14"/>
                  <w:color w:val="0000FF"/>
                </w:rPr>
                <w:t>10.</w:t>
              </w:r>
              <w:r>
                <w:rPr>
                  <w:rFonts w:ascii="Arial" w:cs="Arial" w:eastAsia="Arial" w:hAnsi="Arial"/>
                  <w:sz w:val="14"/>
                  <w:szCs w:val="14"/>
                  <w:u w:val="single" w:color="auto"/>
                  <w:color w:val="0000FF"/>
                </w:rPr>
                <w:t>2</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2009 Equity Incentive Plan</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gridSpan w:val="4"/>
          </w:tcPr>
          <w:p>
            <w:pPr>
              <w:spacing w:after="0"/>
              <w:rPr>
                <w:rFonts w:ascii="Arial" w:cs="Arial" w:eastAsia="Arial" w:hAnsi="Arial"/>
                <w:sz w:val="14"/>
                <w:szCs w:val="14"/>
                <w:color w:val="0000FF"/>
              </w:rPr>
            </w:pPr>
            <w:hyperlink r:id="rId156">
              <w:r>
                <w:rPr>
                  <w:rFonts w:ascii="Arial" w:cs="Arial" w:eastAsia="Arial" w:hAnsi="Arial"/>
                  <w:sz w:val="14"/>
                  <w:szCs w:val="14"/>
                  <w:color w:val="0000FF"/>
                </w:rPr>
                <w:t>10.</w:t>
              </w:r>
              <w:r>
                <w:rPr>
                  <w:rFonts w:ascii="Arial" w:cs="Arial" w:eastAsia="Arial" w:hAnsi="Arial"/>
                  <w:sz w:val="14"/>
                  <w:szCs w:val="14"/>
                  <w:u w:val="single" w:color="auto"/>
                  <w:color w:val="0000FF"/>
                </w:rPr>
                <w:t>3</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7"/>
              </w:rPr>
              <w:t>Forms of stock option agreement under Amended and Restated</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2009 Equity Incentive Plan</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57">
              <w:r>
                <w:rPr>
                  <w:rFonts w:ascii="Arial" w:cs="Arial" w:eastAsia="Arial" w:hAnsi="Arial"/>
                  <w:sz w:val="14"/>
                  <w:szCs w:val="14"/>
                  <w:color w:val="0000FF"/>
                </w:rPr>
                <w:t>10.</w:t>
              </w:r>
              <w:r>
                <w:rPr>
                  <w:rFonts w:ascii="Arial" w:cs="Arial" w:eastAsia="Arial" w:hAnsi="Arial"/>
                  <w:sz w:val="14"/>
                  <w:szCs w:val="14"/>
                  <w:u w:val="single" w:color="auto"/>
                  <w:color w:val="0000FF"/>
                </w:rPr>
                <w:t>4</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Form of performance stock unit award agreement under</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Amended and Restated 2009 Equity Incentive Plan</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58">
              <w:r>
                <w:rPr>
                  <w:rFonts w:ascii="Arial" w:cs="Arial" w:eastAsia="Arial" w:hAnsi="Arial"/>
                  <w:sz w:val="14"/>
                  <w:szCs w:val="14"/>
                  <w:color w:val="0000FF"/>
                </w:rPr>
                <w:t>10.</w:t>
              </w:r>
              <w:r>
                <w:rPr>
                  <w:rFonts w:ascii="Arial" w:cs="Arial" w:eastAsia="Arial" w:hAnsi="Arial"/>
                  <w:sz w:val="14"/>
                  <w:szCs w:val="14"/>
                  <w:u w:val="single" w:color="auto"/>
                  <w:color w:val="0000FF"/>
                </w:rPr>
                <w:t>5</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7"/>
              </w:rPr>
              <w:t>Forms of restricted stock unit award and performance stock unit</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00" w:type="dxa"/>
            <w:vAlign w:val="bottom"/>
            <w:gridSpan w:val="2"/>
          </w:tcPr>
          <w:p>
            <w:pPr>
              <w:ind w:left="20"/>
              <w:spacing w:after="0" w:line="116" w:lineRule="exact"/>
              <w:rPr>
                <w:sz w:val="20"/>
                <w:szCs w:val="20"/>
                <w:color w:val="auto"/>
              </w:rPr>
            </w:pPr>
            <w:r>
              <w:rPr>
                <w:rFonts w:ascii="Arial" w:cs="Arial" w:eastAsia="Arial" w:hAnsi="Arial"/>
                <w:sz w:val="13"/>
                <w:szCs w:val="13"/>
                <w:color w:val="auto"/>
              </w:rPr>
              <w:t>award agreement under Amended and Restated 2009 Equity</w:t>
            </w: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Incentive Plan (Additional Forms)</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gridSpan w:val="4"/>
          </w:tcPr>
          <w:p>
            <w:pPr>
              <w:spacing w:after="0"/>
              <w:rPr>
                <w:rFonts w:ascii="Arial" w:cs="Arial" w:eastAsia="Arial" w:hAnsi="Arial"/>
                <w:sz w:val="14"/>
                <w:szCs w:val="14"/>
                <w:color w:val="0000FF"/>
              </w:rPr>
            </w:pPr>
            <w:hyperlink r:id="rId159">
              <w:r>
                <w:rPr>
                  <w:rFonts w:ascii="Arial" w:cs="Arial" w:eastAsia="Arial" w:hAnsi="Arial"/>
                  <w:sz w:val="14"/>
                  <w:szCs w:val="14"/>
                  <w:color w:val="0000FF"/>
                </w:rPr>
                <w:t>10.</w:t>
              </w:r>
              <w:r>
                <w:rPr>
                  <w:rFonts w:ascii="Arial" w:cs="Arial" w:eastAsia="Arial" w:hAnsi="Arial"/>
                  <w:sz w:val="14"/>
                  <w:szCs w:val="14"/>
                  <w:u w:val="single" w:color="auto"/>
                  <w:color w:val="0000FF"/>
                </w:rPr>
                <w:t>6</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9"/>
              </w:rPr>
              <w:t>Form of restricted stock unit award agreement under Amended</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and Restated 2009 Equity Incentive Plan (Additional Form)</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60">
              <w:r>
                <w:rPr>
                  <w:rFonts w:ascii="Arial" w:cs="Arial" w:eastAsia="Arial" w:hAnsi="Arial"/>
                  <w:sz w:val="14"/>
                  <w:szCs w:val="14"/>
                  <w:color w:val="0000FF"/>
                </w:rPr>
                <w:t>10.</w:t>
              </w:r>
              <w:r>
                <w:rPr>
                  <w:rFonts w:ascii="Arial" w:cs="Arial" w:eastAsia="Arial" w:hAnsi="Arial"/>
                  <w:sz w:val="14"/>
                  <w:szCs w:val="14"/>
                  <w:u w:val="single" w:color="auto"/>
                  <w:color w:val="0000FF"/>
                </w:rPr>
                <w:t>7</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Form of stock option award agreement under Amended and</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Restated 2009 Equity Incentive Plan (Additional Form)</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61">
              <w:r>
                <w:rPr>
                  <w:rFonts w:ascii="Arial" w:cs="Arial" w:eastAsia="Arial" w:hAnsi="Arial"/>
                  <w:sz w:val="14"/>
                  <w:szCs w:val="14"/>
                  <w:color w:val="0000FF"/>
                </w:rPr>
                <w:t>10.</w:t>
              </w:r>
              <w:r>
                <w:rPr>
                  <w:rFonts w:ascii="Arial" w:cs="Arial" w:eastAsia="Arial" w:hAnsi="Arial"/>
                  <w:sz w:val="14"/>
                  <w:szCs w:val="14"/>
                  <w:u w:val="single" w:color="auto"/>
                  <w:color w:val="0000FF"/>
                </w:rPr>
                <w:t>8</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Fortinet, Inc. Amended Bonus Plan</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gridSpan w:val="4"/>
          </w:tcPr>
          <w:p>
            <w:pPr>
              <w:spacing w:after="0"/>
              <w:rPr>
                <w:rFonts w:ascii="Arial" w:cs="Arial" w:eastAsia="Arial" w:hAnsi="Arial"/>
                <w:sz w:val="14"/>
                <w:szCs w:val="14"/>
                <w:color w:val="0000FF"/>
              </w:rPr>
            </w:pPr>
            <w:hyperlink r:id="rId162">
              <w:r>
                <w:rPr>
                  <w:rFonts w:ascii="Arial" w:cs="Arial" w:eastAsia="Arial" w:hAnsi="Arial"/>
                  <w:sz w:val="14"/>
                  <w:szCs w:val="14"/>
                  <w:color w:val="0000FF"/>
                </w:rPr>
                <w:t>10.</w:t>
              </w:r>
              <w:r>
                <w:rPr>
                  <w:rFonts w:ascii="Arial" w:cs="Arial" w:eastAsia="Arial" w:hAnsi="Arial"/>
                  <w:sz w:val="14"/>
                  <w:szCs w:val="14"/>
                  <w:u w:val="single" w:color="auto"/>
                  <w:color w:val="0000FF"/>
                </w:rPr>
                <w:t>9</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Fortinet, Inc. Cash and Equity Incentive Plan</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gridSpan w:val="4"/>
          </w:tcPr>
          <w:p>
            <w:pPr>
              <w:spacing w:after="0"/>
              <w:rPr>
                <w:rFonts w:ascii="Arial" w:cs="Arial" w:eastAsia="Arial" w:hAnsi="Arial"/>
                <w:sz w:val="14"/>
                <w:szCs w:val="14"/>
                <w:color w:val="0000FF"/>
              </w:rPr>
            </w:pPr>
            <w:hyperlink r:id="rId163">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Form of Change of Control Agreement between the Company</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and its directors</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64">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00" w:type="dxa"/>
            <w:vAlign w:val="bottom"/>
            <w:gridSpan w:val="2"/>
          </w:tcPr>
          <w:p>
            <w:pPr>
              <w:ind w:left="20"/>
              <w:spacing w:after="0" w:line="116" w:lineRule="exact"/>
              <w:rPr>
                <w:sz w:val="20"/>
                <w:szCs w:val="20"/>
                <w:color w:val="auto"/>
              </w:rPr>
            </w:pPr>
            <w:r>
              <w:rPr>
                <w:rFonts w:ascii="Arial" w:cs="Arial" w:eastAsia="Arial" w:hAnsi="Arial"/>
                <w:sz w:val="13"/>
                <w:szCs w:val="13"/>
                <w:color w:val="auto"/>
              </w:rPr>
              <w:t>Agreement, effective as of August 7, 2019, between the</w:t>
            </w: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Ken Xie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4"/>
          </w:tcPr>
          <w:p>
            <w:pPr>
              <w:spacing w:after="0"/>
              <w:rPr>
                <w:rFonts w:ascii="Arial" w:cs="Arial" w:eastAsia="Arial" w:hAnsi="Arial"/>
                <w:sz w:val="14"/>
                <w:szCs w:val="14"/>
                <w:color w:val="0000FF"/>
              </w:rPr>
            </w:pPr>
            <w:hyperlink r:id="rId165">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00" w:type="dxa"/>
            <w:vAlign w:val="bottom"/>
            <w:gridSpan w:val="2"/>
          </w:tcPr>
          <w:p>
            <w:pPr>
              <w:ind w:left="20"/>
              <w:spacing w:after="0" w:line="116" w:lineRule="exact"/>
              <w:rPr>
                <w:sz w:val="20"/>
                <w:szCs w:val="20"/>
                <w:color w:val="auto"/>
              </w:rPr>
            </w:pPr>
            <w:r>
              <w:rPr>
                <w:rFonts w:ascii="Arial" w:cs="Arial" w:eastAsia="Arial" w:hAnsi="Arial"/>
                <w:sz w:val="13"/>
                <w:szCs w:val="13"/>
                <w:color w:val="auto"/>
              </w:rPr>
              <w:t>Agreement, effective as of August 7, 2019, between the</w:t>
            </w: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Michael Xie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4"/>
          </w:tcPr>
          <w:p>
            <w:pPr>
              <w:spacing w:after="0"/>
              <w:rPr>
                <w:rFonts w:ascii="Arial" w:cs="Arial" w:eastAsia="Arial" w:hAnsi="Arial"/>
                <w:sz w:val="14"/>
                <w:szCs w:val="14"/>
                <w:color w:val="0000FF"/>
              </w:rPr>
            </w:pPr>
            <w:hyperlink r:id="rId166">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00" w:type="dxa"/>
            <w:vAlign w:val="bottom"/>
            <w:gridSpan w:val="2"/>
          </w:tcPr>
          <w:p>
            <w:pPr>
              <w:ind w:left="20"/>
              <w:spacing w:after="0" w:line="116" w:lineRule="exact"/>
              <w:rPr>
                <w:sz w:val="20"/>
                <w:szCs w:val="20"/>
                <w:color w:val="auto"/>
              </w:rPr>
            </w:pPr>
            <w:r>
              <w:rPr>
                <w:rFonts w:ascii="Arial" w:cs="Arial" w:eastAsia="Arial" w:hAnsi="Arial"/>
                <w:sz w:val="13"/>
                <w:szCs w:val="13"/>
                <w:color w:val="auto"/>
              </w:rPr>
              <w:t>Agreement, effective as of August 7, 2019, between the</w:t>
            </w: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John Whittle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gridSpan w:val="4"/>
          </w:tcPr>
          <w:p>
            <w:pPr>
              <w:spacing w:after="0"/>
              <w:rPr>
                <w:rFonts w:ascii="Arial" w:cs="Arial" w:eastAsia="Arial" w:hAnsi="Arial"/>
                <w:sz w:val="14"/>
                <w:szCs w:val="14"/>
                <w:color w:val="0000FF"/>
              </w:rPr>
            </w:pPr>
            <w:hyperlink r:id="rId167">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r>
              <w:rPr>
                <w:rFonts w:ascii="Arial" w:cs="Arial" w:eastAsia="Arial" w:hAnsi="Arial"/>
                <w:sz w:val="18"/>
                <w:szCs w:val="18"/>
                <w:color w:val="000000"/>
                <w:vertAlign w:val="superscript"/>
              </w:rPr>
              <w:t>†</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8"/>
              </w:rPr>
              <w:t>Offer Letter, dated as of October 23, 2006, by and between the</w:t>
            </w:r>
          </w:p>
        </w:tc>
        <w:tc>
          <w:tcPr>
            <w:tcW w:w="3740" w:type="dxa"/>
            <w:vAlign w:val="bottom"/>
          </w:tcPr>
          <w:p>
            <w:pPr>
              <w:ind w:left="20"/>
              <w:spacing w:after="0"/>
              <w:rPr>
                <w:sz w:val="20"/>
                <w:szCs w:val="20"/>
                <w:color w:val="auto"/>
              </w:rPr>
            </w:pPr>
            <w:r>
              <w:rPr>
                <w:rFonts w:ascii="Arial" w:cs="Arial" w:eastAsia="Arial" w:hAnsi="Arial"/>
                <w:sz w:val="14"/>
                <w:szCs w:val="14"/>
                <w:color w:val="auto"/>
                <w:w w:val="94"/>
              </w:rPr>
              <w:t>Registration Statement on Form S-l, as amended (File No. 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Company and John Whittle</w:t>
            </w:r>
          </w:p>
        </w:tc>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161190)</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68">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Offer Letter, dated as of April 3, 2014, by and between the</w:t>
            </w:r>
          </w:p>
        </w:tc>
        <w:tc>
          <w:tcPr>
            <w:tcW w:w="3740" w:type="dxa"/>
            <w:vAlign w:val="bottom"/>
          </w:tcPr>
          <w:p>
            <w:pPr>
              <w:ind w:left="20"/>
              <w:spacing w:after="0"/>
              <w:rPr>
                <w:sz w:val="20"/>
                <w:szCs w:val="20"/>
                <w:color w:val="auto"/>
              </w:rPr>
            </w:pPr>
            <w:r>
              <w:rPr>
                <w:rFonts w:ascii="Arial" w:cs="Arial" w:eastAsia="Arial" w:hAnsi="Arial"/>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Company and Keith Jensen</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gridSpan w:val="4"/>
            <w:vMerge w:val="restart"/>
          </w:tcPr>
          <w:p>
            <w:pPr>
              <w:spacing w:after="0"/>
              <w:rPr>
                <w:rFonts w:ascii="Arial" w:cs="Arial" w:eastAsia="Arial" w:hAnsi="Arial"/>
                <w:sz w:val="14"/>
                <w:szCs w:val="14"/>
                <w:color w:val="0000FF"/>
              </w:rPr>
            </w:pPr>
            <w:hyperlink r:id="rId169">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r>
              <w:rPr>
                <w:rFonts w:ascii="Arial" w:cs="Arial" w:eastAsia="Arial" w:hAnsi="Arial"/>
                <w:sz w:val="18"/>
                <w:szCs w:val="18"/>
                <w:color w:val="000000"/>
                <w:vertAlign w:val="superscript"/>
              </w:rPr>
              <w:t>†</w:t>
            </w: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Amended and Restated Change of Control Severance</w:t>
            </w:r>
          </w:p>
        </w:tc>
        <w:tc>
          <w:tcPr>
            <w:tcW w:w="374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001-34511)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00" w:type="dxa"/>
            <w:vAlign w:val="bottom"/>
            <w:gridSpan w:val="2"/>
          </w:tcPr>
          <w:p>
            <w:pPr>
              <w:ind w:left="20"/>
              <w:spacing w:after="0" w:line="116" w:lineRule="exact"/>
              <w:rPr>
                <w:sz w:val="20"/>
                <w:szCs w:val="20"/>
                <w:color w:val="auto"/>
              </w:rPr>
            </w:pPr>
            <w:r>
              <w:rPr>
                <w:rFonts w:ascii="Arial" w:cs="Arial" w:eastAsia="Arial" w:hAnsi="Arial"/>
                <w:sz w:val="13"/>
                <w:szCs w:val="13"/>
                <w:color w:val="auto"/>
              </w:rPr>
              <w:t>Agreement, effective as of August 7, 2019, between the</w:t>
            </w: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Company and Keith Jensen</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17</w:t>
            </w:r>
            <w:r>
              <w:rPr>
                <w:rFonts w:ascii="Arial" w:cs="Arial" w:eastAsia="Arial" w:hAnsi="Arial"/>
                <w:sz w:val="18"/>
                <w:szCs w:val="18"/>
                <w:color w:val="000000"/>
                <w:vertAlign w:val="superscript"/>
              </w:rPr>
              <w:t>*</w:t>
            </w:r>
          </w:p>
        </w:tc>
        <w:tc>
          <w:tcPr>
            <w:tcW w:w="10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w w:val="96"/>
              </w:rPr>
              <w:t>Employment Agreement, dated as of January 24, 2018, between</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color w:val="auto"/>
              </w:rPr>
              <w:t>Fortinet UK Limited and Patrice Perche</w:t>
            </w: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18</w:t>
            </w:r>
            <w:r>
              <w:rPr>
                <w:rFonts w:ascii="Arial" w:cs="Arial" w:eastAsia="Arial" w:hAnsi="Arial"/>
                <w:sz w:val="18"/>
                <w:szCs w:val="18"/>
                <w:color w:val="000000"/>
                <w:vertAlign w:val="superscript"/>
              </w:rPr>
              <w:t>*</w:t>
            </w:r>
          </w:p>
        </w:tc>
        <w:tc>
          <w:tcPr>
            <w:tcW w:w="100" w:type="dxa"/>
            <w:vAlign w:val="bottom"/>
          </w:tcPr>
          <w:p>
            <w:pPr>
              <w:spacing w:after="0"/>
              <w:rPr>
                <w:sz w:val="13"/>
                <w:szCs w:val="13"/>
                <w:color w:val="auto"/>
              </w:rPr>
            </w:pPr>
          </w:p>
        </w:tc>
        <w:tc>
          <w:tcPr>
            <w:tcW w:w="3900" w:type="dxa"/>
            <w:vAlign w:val="bottom"/>
            <w:gridSpan w:val="2"/>
            <w:vMerge w:val="continue"/>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Change of Control Severance Agreement, effective as of</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60" w:type="dxa"/>
            <w:vAlign w:val="bottom"/>
            <w:tcBorders>
              <w:top w:val="single" w:sz="8" w:color="0000FF"/>
            </w:tcBorders>
            <w:gridSpan w:val="2"/>
            <w:vMerge w:val="restart"/>
          </w:tcPr>
          <w:p>
            <w:pPr>
              <w:spacing w:after="0"/>
              <w:rPr>
                <w:sz w:val="20"/>
                <w:szCs w:val="20"/>
                <w:color w:val="auto"/>
              </w:rPr>
            </w:pPr>
            <w:r>
              <w:rPr>
                <w:rFonts w:ascii="Arial" w:cs="Arial" w:eastAsia="Arial" w:hAnsi="Arial"/>
                <w:sz w:val="13"/>
                <w:szCs w:val="13"/>
                <w:color w:val="0000FF"/>
                <w:w w:val="74"/>
              </w:rPr>
              <w:t>21.</w:t>
            </w:r>
            <w:r>
              <w:rPr>
                <w:rFonts w:ascii="Arial" w:cs="Arial" w:eastAsia="Arial" w:hAnsi="Arial"/>
                <w:sz w:val="13"/>
                <w:szCs w:val="13"/>
                <w:u w:val="single" w:color="auto"/>
                <w:color w:val="0000FF"/>
                <w:w w:val="74"/>
              </w:rPr>
              <w:t>1</w:t>
            </w:r>
            <w:r>
              <w:rPr>
                <w:rFonts w:ascii="Arial" w:cs="Arial" w:eastAsia="Arial" w:hAnsi="Arial"/>
                <w:sz w:val="16"/>
                <w:szCs w:val="16"/>
                <w:color w:val="000000"/>
                <w:w w:val="74"/>
                <w:vertAlign w:val="superscript"/>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February 21, 2023, between the Company and Patrice Perche</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List of subsidiaries</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0000FF"/>
                <w:w w:val="74"/>
              </w:rPr>
              <w:t>23.</w:t>
            </w:r>
            <w:r>
              <w:rPr>
                <w:rFonts w:ascii="Arial" w:cs="Arial" w:eastAsia="Arial" w:hAnsi="Arial"/>
                <w:sz w:val="13"/>
                <w:szCs w:val="13"/>
                <w:u w:val="single" w:color="auto"/>
                <w:color w:val="0000FF"/>
                <w:w w:val="74"/>
              </w:rPr>
              <w:t>1</w:t>
            </w:r>
            <w:r>
              <w:rPr>
                <w:rFonts w:ascii="Arial" w:cs="Arial" w:eastAsia="Arial" w:hAnsi="Arial"/>
                <w:sz w:val="16"/>
                <w:szCs w:val="16"/>
                <w:color w:val="000000"/>
                <w:w w:val="74"/>
                <w:vertAlign w:val="superscript"/>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Consent of Independent Registered Public Accounting Firm</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0000FF"/>
                <w:w w:val="74"/>
              </w:rPr>
              <w:t>24.</w:t>
            </w:r>
            <w:r>
              <w:rPr>
                <w:rFonts w:ascii="Arial" w:cs="Arial" w:eastAsia="Arial" w:hAnsi="Arial"/>
                <w:sz w:val="13"/>
                <w:szCs w:val="13"/>
                <w:u w:val="single" w:color="auto"/>
                <w:color w:val="0000FF"/>
                <w:w w:val="74"/>
              </w:rPr>
              <w:t>1</w:t>
            </w:r>
            <w:r>
              <w:rPr>
                <w:rFonts w:ascii="Arial" w:cs="Arial" w:eastAsia="Arial" w:hAnsi="Arial"/>
                <w:sz w:val="16"/>
                <w:szCs w:val="16"/>
                <w:color w:val="000000"/>
                <w:w w:val="74"/>
                <w:vertAlign w:val="superscript"/>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40" w:type="dxa"/>
            <w:vAlign w:val="bottom"/>
            <w:gridSpan w:val="3"/>
          </w:tcPr>
          <w:p>
            <w:pPr>
              <w:ind w:left="20"/>
              <w:spacing w:after="0"/>
              <w:rPr>
                <w:sz w:val="20"/>
                <w:szCs w:val="20"/>
                <w:color w:val="auto"/>
              </w:rPr>
            </w:pPr>
            <w:r>
              <w:rPr>
                <w:rFonts w:ascii="Arial" w:cs="Arial" w:eastAsia="Arial" w:hAnsi="Arial"/>
                <w:sz w:val="14"/>
                <w:szCs w:val="14"/>
                <w:color w:val="auto"/>
              </w:rPr>
              <w:t>Power of Attorney (incorporated by reference to the signature page of this Annual Report on Form 10-K)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100" w:type="dxa"/>
            <w:vAlign w:val="bottom"/>
            <w:vMerge w:val="restart"/>
          </w:tcPr>
          <w:p>
            <w:pPr>
              <w:spacing w:after="0"/>
              <w:rPr>
                <w:sz w:val="14"/>
                <w:szCs w:val="14"/>
                <w:color w:val="auto"/>
              </w:rPr>
            </w:pP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17"/>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June 22, 2022</w:t>
            </w:r>
          </w:p>
        </w:tc>
        <w:tc>
          <w:tcPr>
            <w:tcW w:w="1100" w:type="dxa"/>
            <w:vAlign w:val="bottom"/>
          </w:tcPr>
          <w:p>
            <w:pPr>
              <w:ind w:lef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7"/>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8, 2023</w:t>
            </w:r>
          </w:p>
        </w:tc>
        <w:tc>
          <w:tcPr>
            <w:tcW w:w="1100" w:type="dxa"/>
            <w:vAlign w:val="bottom"/>
          </w:tcPr>
          <w:p>
            <w:pPr>
              <w:ind w:lef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7"/>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November 2, 2009</w:t>
            </w:r>
          </w:p>
        </w:tc>
        <w:tc>
          <w:tcPr>
            <w:tcW w:w="1100" w:type="dxa"/>
            <w:vAlign w:val="bottom"/>
          </w:tcPr>
          <w:p>
            <w:pPr>
              <w:ind w:lef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83"/>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10, 2009</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9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7"/>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28, 2012</w:t>
            </w:r>
          </w:p>
        </w:tc>
        <w:tc>
          <w:tcPr>
            <w:tcW w:w="1100" w:type="dxa"/>
            <w:vAlign w:val="bottom"/>
          </w:tcPr>
          <w:p>
            <w:pPr>
              <w:ind w:lef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391"/>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6, 2013</w:t>
            </w:r>
          </w:p>
        </w:tc>
        <w:tc>
          <w:tcPr>
            <w:tcW w:w="1100" w:type="dxa"/>
            <w:vAlign w:val="bottom"/>
          </w:tcPr>
          <w:p>
            <w:pPr>
              <w:ind w:left="2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39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March 2, 2015</w:t>
            </w:r>
          </w:p>
        </w:tc>
        <w:tc>
          <w:tcPr>
            <w:tcW w:w="1100" w:type="dxa"/>
            <w:vAlign w:val="bottom"/>
          </w:tcPr>
          <w:p>
            <w:pPr>
              <w:ind w:lef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540"/>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26, 2020</w:t>
            </w:r>
          </w:p>
        </w:tc>
        <w:tc>
          <w:tcPr>
            <w:tcW w:w="1100" w:type="dxa"/>
            <w:vAlign w:val="bottom"/>
          </w:tcPr>
          <w:p>
            <w:pPr>
              <w:ind w:left="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9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26, 2020</w:t>
            </w:r>
          </w:p>
        </w:tc>
        <w:tc>
          <w:tcPr>
            <w:tcW w:w="1100" w:type="dxa"/>
            <w:vAlign w:val="bottom"/>
          </w:tcPr>
          <w:p>
            <w:pPr>
              <w:ind w:lef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39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19, 2021</w:t>
            </w:r>
          </w:p>
        </w:tc>
        <w:tc>
          <w:tcPr>
            <w:tcW w:w="1100" w:type="dxa"/>
            <w:vAlign w:val="bottom"/>
          </w:tcPr>
          <w:p>
            <w:pPr>
              <w:ind w:left="2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56"/>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November 5, 2013</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7"/>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4, 2015</w:t>
            </w:r>
          </w:p>
        </w:tc>
        <w:tc>
          <w:tcPr>
            <w:tcW w:w="1100" w:type="dxa"/>
            <w:vAlign w:val="bottom"/>
          </w:tcPr>
          <w:p>
            <w:pPr>
              <w:ind w:lef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9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540"/>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540"/>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40"/>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10, 2009</w:t>
            </w:r>
          </w:p>
        </w:tc>
        <w:tc>
          <w:tcPr>
            <w:tcW w:w="1100" w:type="dxa"/>
            <w:vAlign w:val="bottom"/>
          </w:tcPr>
          <w:p>
            <w:pPr>
              <w:ind w:left="20"/>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391"/>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February 26, 2018</w:t>
            </w:r>
          </w:p>
        </w:tc>
        <w:tc>
          <w:tcPr>
            <w:tcW w:w="1100" w:type="dxa"/>
            <w:vAlign w:val="bottom"/>
          </w:tcPr>
          <w:p>
            <w:pPr>
              <w:ind w:left="2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392"/>
        </w:trPr>
        <w:tc>
          <w:tcPr>
            <w:tcW w:w="156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100" w:type="dxa"/>
            <w:vAlign w:val="bottom"/>
          </w:tcPr>
          <w:p>
            <w:pPr>
              <w:ind w:lef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bl>
    <w:p>
      <w:pPr>
        <w:spacing w:after="0" w:line="2020" w:lineRule="exact"/>
        <w:rPr>
          <w:sz w:val="20"/>
          <w:szCs w:val="20"/>
          <w:color w:val="auto"/>
        </w:rPr>
      </w:pPr>
    </w:p>
    <w:p>
      <w:pPr>
        <w:sectPr>
          <w:pgSz w:w="11900" w:h="16838" w:orient="portrait"/>
          <w:cols w:equalWidth="0" w:num="2">
            <w:col w:w="8480" w:space="100"/>
            <w:col w:w="266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0" w:type="dxa"/>
            <w:vAlign w:val="bottom"/>
            <w:gridSpan w:val="2"/>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w:t>
            </w:r>
            <w:r>
              <w:rPr>
                <w:rFonts w:ascii="Arial" w:cs="Arial" w:eastAsia="Arial" w:hAnsi="Arial"/>
                <w:sz w:val="18"/>
                <w:szCs w:val="18"/>
                <w:color w:val="000000"/>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237"/>
        </w:trPr>
        <w:tc>
          <w:tcPr>
            <w:tcW w:w="780" w:type="dxa"/>
            <w:vAlign w:val="bottom"/>
            <w:gridSpan w:val="2"/>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2</w:t>
            </w:r>
            <w:r>
              <w:rPr>
                <w:rFonts w:ascii="Arial" w:cs="Arial" w:eastAsia="Arial" w:hAnsi="Arial"/>
                <w:sz w:val="18"/>
                <w:szCs w:val="18"/>
                <w:color w:val="000000"/>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237"/>
        </w:trPr>
        <w:tc>
          <w:tcPr>
            <w:tcW w:w="780" w:type="dxa"/>
            <w:vAlign w:val="bottom"/>
            <w:gridSpan w:val="2"/>
          </w:tcPr>
          <w:p>
            <w:pPr>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1</w:t>
            </w:r>
            <w:r>
              <w:rPr>
                <w:rFonts w:ascii="Arial" w:cs="Arial" w:eastAsia="Arial" w:hAnsi="Arial"/>
                <w:sz w:val="18"/>
                <w:szCs w:val="18"/>
                <w:color w:val="000000"/>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r>
      <w:tr>
        <w:trPr>
          <w:trHeight w:val="322"/>
        </w:trPr>
        <w:tc>
          <w:tcPr>
            <w:tcW w:w="780" w:type="dxa"/>
            <w:vAlign w:val="bottom"/>
            <w:gridSpan w:val="2"/>
          </w:tcPr>
          <w:p>
            <w:pPr>
              <w:spacing w:after="0"/>
              <w:rPr>
                <w:sz w:val="20"/>
                <w:szCs w:val="20"/>
                <w:color w:val="auto"/>
              </w:rPr>
            </w:pPr>
            <w:r>
              <w:rPr>
                <w:rFonts w:ascii="Arial" w:cs="Arial" w:eastAsia="Arial" w:hAnsi="Arial"/>
                <w:sz w:val="14"/>
                <w:szCs w:val="14"/>
                <w:color w:val="auto"/>
              </w:rPr>
              <w:t>101.INS</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5"/>
              </w:rPr>
              <w:t>Inline XBRL Instance Document - the instance document does not appear in the interactive data file because its XBRL tags are embedded within the inline XBRL document.</w:t>
            </w:r>
          </w:p>
        </w:tc>
      </w:tr>
      <w:tr>
        <w:trPr>
          <w:trHeight w:val="257"/>
        </w:trPr>
        <w:tc>
          <w:tcPr>
            <w:tcW w:w="780" w:type="dxa"/>
            <w:vAlign w:val="bottom"/>
            <w:gridSpan w:val="2"/>
          </w:tcPr>
          <w:p>
            <w:pPr>
              <w:spacing w:after="0"/>
              <w:rPr>
                <w:sz w:val="20"/>
                <w:szCs w:val="20"/>
                <w:color w:val="auto"/>
              </w:rPr>
            </w:pPr>
            <w:r>
              <w:rPr>
                <w:rFonts w:ascii="Arial" w:cs="Arial" w:eastAsia="Arial" w:hAnsi="Arial"/>
                <w:sz w:val="14"/>
                <w:szCs w:val="14"/>
                <w:color w:val="auto"/>
              </w:rPr>
              <w:t>101.SCH</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Schema Document</w:t>
            </w:r>
          </w:p>
        </w:tc>
      </w:tr>
      <w:tr>
        <w:trPr>
          <w:trHeight w:val="257"/>
        </w:trPr>
        <w:tc>
          <w:tcPr>
            <w:tcW w:w="780" w:type="dxa"/>
            <w:vAlign w:val="bottom"/>
            <w:gridSpan w:val="2"/>
          </w:tcPr>
          <w:p>
            <w:pPr>
              <w:spacing w:after="0"/>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56"/>
        </w:trPr>
        <w:tc>
          <w:tcPr>
            <w:tcW w:w="780" w:type="dxa"/>
            <w:vAlign w:val="bottom"/>
            <w:gridSpan w:val="2"/>
          </w:tcPr>
          <w:p>
            <w:pPr>
              <w:spacing w:after="0"/>
              <w:rPr>
                <w:sz w:val="20"/>
                <w:szCs w:val="20"/>
                <w:color w:val="auto"/>
              </w:rPr>
            </w:pPr>
            <w:r>
              <w:rPr>
                <w:rFonts w:ascii="Arial" w:cs="Arial" w:eastAsia="Arial" w:hAnsi="Arial"/>
                <w:sz w:val="14"/>
                <w:szCs w:val="14"/>
                <w:color w:val="auto"/>
              </w:rPr>
              <w:t>101.DEF</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56"/>
        </w:trPr>
        <w:tc>
          <w:tcPr>
            <w:tcW w:w="780" w:type="dxa"/>
            <w:vAlign w:val="bottom"/>
            <w:gridSpan w:val="2"/>
          </w:tcPr>
          <w:p>
            <w:pPr>
              <w:spacing w:after="0"/>
              <w:rPr>
                <w:sz w:val="20"/>
                <w:szCs w:val="20"/>
                <w:color w:val="auto"/>
              </w:rPr>
            </w:pPr>
            <w:r>
              <w:rPr>
                <w:rFonts w:ascii="Arial" w:cs="Arial" w:eastAsia="Arial" w:hAnsi="Arial"/>
                <w:sz w:val="14"/>
                <w:szCs w:val="14"/>
                <w:color w:val="auto"/>
              </w:rPr>
              <w:t>101.LAB</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57"/>
        </w:trPr>
        <w:tc>
          <w:tcPr>
            <w:tcW w:w="780" w:type="dxa"/>
            <w:vAlign w:val="bottom"/>
            <w:gridSpan w:val="2"/>
          </w:tcPr>
          <w:p>
            <w:pPr>
              <w:spacing w:after="0"/>
              <w:rPr>
                <w:sz w:val="20"/>
                <w:szCs w:val="20"/>
                <w:color w:val="auto"/>
              </w:rPr>
            </w:pPr>
            <w:r>
              <w:rPr>
                <w:rFonts w:ascii="Arial" w:cs="Arial" w:eastAsia="Arial" w:hAnsi="Arial"/>
                <w:sz w:val="14"/>
                <w:szCs w:val="14"/>
                <w:color w:val="auto"/>
              </w:rPr>
              <w:t>101.PRE</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57"/>
        </w:trPr>
        <w:tc>
          <w:tcPr>
            <w:tcW w:w="780" w:type="dxa"/>
            <w:vAlign w:val="bottom"/>
            <w:gridSpan w:val="2"/>
          </w:tcPr>
          <w:p>
            <w:pPr>
              <w:spacing w:after="0"/>
              <w:rPr>
                <w:sz w:val="20"/>
                <w:szCs w:val="20"/>
                <w:color w:val="auto"/>
              </w:rPr>
            </w:pPr>
            <w:r>
              <w:rPr>
                <w:rFonts w:ascii="Arial" w:cs="Arial" w:eastAsia="Arial" w:hAnsi="Arial"/>
                <w:sz w:val="14"/>
                <w:szCs w:val="14"/>
                <w:color w:val="auto"/>
              </w:rPr>
              <w:t>104</w:t>
            </w:r>
            <w:r>
              <w:rPr>
                <w:rFonts w:ascii="Arial" w:cs="Arial" w:eastAsia="Arial" w:hAnsi="Arial"/>
                <w:sz w:val="18"/>
                <w:szCs w:val="18"/>
                <w:color w:val="auto"/>
                <w:vertAlign w:val="superscript"/>
              </w:rPr>
              <w:t>*</w:t>
            </w:r>
          </w:p>
        </w:tc>
        <w:tc>
          <w:tcPr>
            <w:tcW w:w="10360" w:type="dxa"/>
            <w:vAlign w:val="bottom"/>
          </w:tcPr>
          <w:p>
            <w:pPr>
              <w:ind w:left="200"/>
              <w:spacing w:after="0"/>
              <w:rPr>
                <w:sz w:val="20"/>
                <w:szCs w:val="20"/>
                <w:color w:val="auto"/>
              </w:rPr>
            </w:pPr>
            <w:r>
              <w:rPr>
                <w:rFonts w:ascii="Arial" w:cs="Arial" w:eastAsia="Arial" w:hAnsi="Arial"/>
                <w:sz w:val="14"/>
                <w:szCs w:val="14"/>
                <w:color w:val="auto"/>
                <w:w w:val="97"/>
              </w:rPr>
              <w:t>Cover Page Interactive Data File - the cover page from the Company’s Annual Report on Form 10-K for the year ended December 31, 2022 is formatted in inline XBRL.</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44" w:lineRule="exact"/>
        <w:rPr>
          <w:sz w:val="20"/>
          <w:szCs w:val="20"/>
          <w:color w:val="auto"/>
        </w:rPr>
      </w:pPr>
    </w:p>
    <w:p>
      <w:pPr>
        <w:ind w:right="7180" w:firstLine="8"/>
        <w:spacing w:after="0" w:line="219" w:lineRule="auto"/>
        <w:tabs>
          <w:tab w:leader="none" w:pos="88" w:val="left"/>
        </w:tabs>
        <w:numPr>
          <w:ilvl w:val="0"/>
          <w:numId w:val="69"/>
        </w:numPr>
        <w:rPr>
          <w:rFonts w:ascii="Arial" w:cs="Arial" w:eastAsia="Arial" w:hAnsi="Arial"/>
          <w:sz w:val="21"/>
          <w:szCs w:val="21"/>
          <w:color w:val="auto"/>
          <w:vertAlign w:val="superscript"/>
        </w:rPr>
      </w:pPr>
      <w:r>
        <w:rPr>
          <w:rFonts w:ascii="Arial" w:cs="Arial" w:eastAsia="Arial" w:hAnsi="Arial"/>
          <w:sz w:val="13"/>
          <w:szCs w:val="13"/>
          <w:color w:val="auto"/>
        </w:rPr>
        <w:t>Indicates management compensatory plan, contract or arrangement. * Filed herewith.</w:t>
      </w:r>
    </w:p>
    <w:p>
      <w:pPr>
        <w:ind w:left="420" w:right="640" w:hanging="405"/>
        <w:spacing w:after="0" w:line="283" w:lineRule="auto"/>
        <w:rPr>
          <w:rFonts w:ascii="Arial" w:cs="Arial" w:eastAsia="Arial" w:hAnsi="Arial"/>
          <w:sz w:val="21"/>
          <w:szCs w:val="21"/>
          <w:color w:val="auto"/>
          <w:vertAlign w:val="superscript"/>
        </w:rPr>
      </w:pPr>
      <w:r>
        <w:rPr>
          <w:rFonts w:ascii="Arial" w:cs="Arial" w:eastAsia="Arial" w:hAnsi="Arial"/>
          <w:sz w:val="14"/>
          <w:szCs w:val="14"/>
          <w:color w:val="auto"/>
        </w:rPr>
        <w:t>** Furnished herewith.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2023</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184"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2023</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184"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820" w:type="dxa"/>
            <w:vAlign w:val="bottom"/>
            <w:gridSpan w:val="3"/>
          </w:tcPr>
          <w:p>
            <w:pPr>
              <w:ind w:left="740"/>
              <w:spacing w:after="0"/>
              <w:rPr>
                <w:sz w:val="20"/>
                <w:szCs w:val="20"/>
                <w:color w:val="auto"/>
              </w:rPr>
            </w:pPr>
            <w:r>
              <w:rPr>
                <w:rFonts w:ascii="Arial" w:cs="Arial" w:eastAsia="Arial" w:hAnsi="Arial"/>
                <w:sz w:val="18"/>
                <w:szCs w:val="18"/>
                <w:b w:val="1"/>
                <w:bCs w:val="1"/>
                <w:color w:val="auto"/>
              </w:rPr>
              <w:t>Date</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20"/>
        </w:trPr>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Ken Xie</w:t>
            </w:r>
          </w:p>
        </w:tc>
        <w:tc>
          <w:tcPr>
            <w:tcW w:w="1580" w:type="dxa"/>
            <w:vAlign w:val="bottom"/>
            <w:tcBorders>
              <w:bottom w:val="single" w:sz="8" w:color="auto"/>
            </w:tcBorders>
          </w:tcPr>
          <w:p>
            <w:pPr>
              <w:spacing w:after="0"/>
              <w:rPr>
                <w:sz w:val="24"/>
                <w:szCs w:val="24"/>
                <w:color w:val="auto"/>
              </w:rPr>
            </w:pP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3"/>
              </w:rPr>
              <w:t>Ken Xie</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50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w w:val="88"/>
              </w:rPr>
              <w:t>Keith Jensen</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1240" w:type="dxa"/>
            <w:vAlign w:val="bottom"/>
          </w:tcPr>
          <w:p>
            <w:pPr>
              <w:spacing w:after="0"/>
              <w:rPr>
                <w:sz w:val="19"/>
                <w:szCs w:val="19"/>
                <w:color w:val="auto"/>
              </w:rPr>
            </w:pPr>
          </w:p>
        </w:tc>
        <w:tc>
          <w:tcPr>
            <w:tcW w:w="268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w w:val="89"/>
              </w:rPr>
              <w:t>Keith Jensen</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 and Principal Accounting Officer)</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50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8"/>
                <w:szCs w:val="18"/>
                <w:color w:val="auto"/>
                <w:w w:val="94"/>
              </w:rPr>
              <w:t>Michael Xie</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President, Chief Technology Officer and 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3"/>
              </w:rPr>
              <w:t>Michael Xie</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68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3"/>
              </w:rPr>
              <w:t>Kenneth A. Goldman</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3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Kenneth A. Goldman</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Ming Hsieh</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3"/>
          </w:tcPr>
          <w:p>
            <w:pPr>
              <w:jc w:val="center"/>
              <w:ind w:right="1480"/>
              <w:spacing w:after="0"/>
              <w:rPr>
                <w:sz w:val="20"/>
                <w:szCs w:val="20"/>
                <w:color w:val="auto"/>
              </w:rPr>
            </w:pPr>
            <w:r>
              <w:rPr>
                <w:rFonts w:ascii="Arial" w:cs="Arial" w:eastAsia="Arial" w:hAnsi="Arial"/>
                <w:sz w:val="18"/>
                <w:szCs w:val="18"/>
                <w:b w:val="1"/>
                <w:bCs w:val="1"/>
                <w:color w:val="auto"/>
                <w:w w:val="93"/>
              </w:rPr>
              <w:t>Ming Hsieh</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1600"/>
              <w:spacing w:after="0"/>
              <w:rPr>
                <w:sz w:val="20"/>
                <w:szCs w:val="20"/>
                <w:color w:val="auto"/>
              </w:rPr>
            </w:pPr>
            <w:r>
              <w:rPr>
                <w:rFonts w:ascii="Arial" w:cs="Arial" w:eastAsia="Arial" w:hAnsi="Arial"/>
                <w:sz w:val="18"/>
                <w:szCs w:val="18"/>
                <w:color w:val="auto"/>
                <w:w w:val="89"/>
              </w:rPr>
              <w:t>Jean Hu</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1"/>
              </w:rPr>
              <w:t>Jean Hu</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83"/>
              </w:rPr>
              <w:t>/s/</w:t>
            </w:r>
          </w:p>
        </w:tc>
        <w:tc>
          <w:tcPr>
            <w:tcW w:w="268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6"/>
              </w:rPr>
              <w:t>William H. Neukom</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3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William H. Neukom</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95"/>
        </w:trPr>
        <w:tc>
          <w:tcPr>
            <w:tcW w:w="1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w w:val="90"/>
              </w:rPr>
              <w:t>/s/ Judith Sim</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91"/>
              </w:rPr>
              <w:t>Judith Sim</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1"/>
        </w:trPr>
        <w:tc>
          <w:tcPr>
            <w:tcW w:w="3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/s/ Admiral James Stavridis</w:t>
            </w:r>
          </w:p>
        </w:tc>
        <w:tc>
          <w:tcPr>
            <w:tcW w:w="5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500"/>
              <w:spacing w:after="0"/>
              <w:rPr>
                <w:sz w:val="20"/>
                <w:szCs w:val="20"/>
                <w:color w:val="auto"/>
              </w:rPr>
            </w:pPr>
            <w:r>
              <w:rPr>
                <w:rFonts w:ascii="Arial" w:cs="Arial" w:eastAsia="Arial" w:hAnsi="Arial"/>
                <w:sz w:val="18"/>
                <w:szCs w:val="18"/>
                <w:color w:val="auto"/>
                <w:w w:val="88"/>
              </w:rPr>
              <w:t>February 23, 2023</w:t>
            </w:r>
          </w:p>
        </w:tc>
      </w:tr>
      <w:tr>
        <w:trPr>
          <w:trHeight w:val="228"/>
        </w:trPr>
        <w:tc>
          <w:tcPr>
            <w:tcW w:w="3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Admiral James Stavridis</w:t>
            </w: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121" w:right="4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FORTINET’S SECURITIES REGISTERED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 SECURITIES EXCHANGE ACT OF 1934</w:t>
      </w:r>
    </w:p>
    <w:p>
      <w:pPr>
        <w:spacing w:after="0" w:line="297" w:lineRule="exact"/>
        <w:rPr>
          <w:sz w:val="20"/>
          <w:szCs w:val="20"/>
          <w:color w:val="auto"/>
        </w:rPr>
      </w:pPr>
    </w:p>
    <w:p>
      <w:pPr>
        <w:ind w:right="220" w:firstLine="648"/>
        <w:spacing w:after="0" w:line="340" w:lineRule="auto"/>
        <w:rPr>
          <w:sz w:val="20"/>
          <w:szCs w:val="20"/>
          <w:color w:val="auto"/>
        </w:rPr>
      </w:pPr>
      <w:r>
        <w:rPr>
          <w:rFonts w:ascii="Arial" w:cs="Arial" w:eastAsia="Arial" w:hAnsi="Arial"/>
          <w:sz w:val="18"/>
          <w:szCs w:val="18"/>
          <w:color w:val="auto"/>
        </w:rPr>
        <w:t>As of December 31, 2022, Fortinet, Inc. (“we,” “us” or “our”) had one class of securities registered under Section 12 of the Securities Exchange Act of 1934, as amended: our common stock.</w:t>
      </w:r>
    </w:p>
    <w:p>
      <w:pPr>
        <w:spacing w:after="0" w:line="210" w:lineRule="exact"/>
        <w:rPr>
          <w:sz w:val="20"/>
          <w:szCs w:val="20"/>
          <w:color w:val="auto"/>
        </w:rPr>
      </w:pPr>
    </w:p>
    <w:p>
      <w:pPr>
        <w:ind w:right="40" w:firstLine="648"/>
        <w:spacing w:after="0" w:line="409" w:lineRule="auto"/>
        <w:rPr>
          <w:sz w:val="20"/>
          <w:szCs w:val="20"/>
          <w:color w:val="auto"/>
        </w:rPr>
      </w:pPr>
      <w:r>
        <w:rPr>
          <w:rFonts w:ascii="Arial" w:cs="Arial" w:eastAsia="Arial" w:hAnsi="Arial"/>
          <w:sz w:val="16"/>
          <w:szCs w:val="16"/>
          <w:color w:val="auto"/>
        </w:rPr>
        <w:t>The following summary of the terms of our common stock is based upon our amended and restated certificate of incorporation and our amended and restated bylaws and applicable provisions of law. The summary is not complete, and is qualified by reference to our amended and restated certificate of incorporation and our amended and restated bylaws, which are filed as exhibits to this Annual Report on Form 10-K and are incorporated by reference herein. We encourage you to read our amended and restated certificate of incorporation, our amended and restated bylaws and the applicable provisions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Delaware General Corporation Law (the “DGCL”) for additional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93" w:lineRule="exact"/>
        <w:rPr>
          <w:sz w:val="20"/>
          <w:szCs w:val="20"/>
          <w:color w:val="auto"/>
        </w:rPr>
      </w:pPr>
    </w:p>
    <w:p>
      <w:pPr>
        <w:ind w:right="220" w:firstLine="324"/>
        <w:spacing w:after="0" w:line="324" w:lineRule="auto"/>
        <w:rPr>
          <w:sz w:val="20"/>
          <w:szCs w:val="20"/>
          <w:color w:val="auto"/>
        </w:rPr>
      </w:pPr>
      <w:r>
        <w:rPr>
          <w:rFonts w:ascii="Arial" w:cs="Arial" w:eastAsia="Arial" w:hAnsi="Arial"/>
          <w:sz w:val="18"/>
          <w:szCs w:val="18"/>
          <w:color w:val="auto"/>
        </w:rPr>
        <w:t>Our authorized capital stock consists of 1,510,000,000 shares of capital stock, including 1,500,000,000 shares of common stock, par value of $0.001 per share, and 10,000,000 shares of undesignated preferred stock, par value of $0.001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306" w:lineRule="exact"/>
        <w:rPr>
          <w:sz w:val="20"/>
          <w:szCs w:val="20"/>
          <w:color w:val="auto"/>
        </w:rPr>
      </w:pPr>
    </w:p>
    <w:p>
      <w:pPr>
        <w:ind w:right="260" w:firstLine="648"/>
        <w:spacing w:after="0" w:line="310"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93" w:lineRule="exact"/>
        <w:rPr>
          <w:sz w:val="20"/>
          <w:szCs w:val="20"/>
          <w:color w:val="auto"/>
        </w:rPr>
      </w:pPr>
    </w:p>
    <w:p>
      <w:pPr>
        <w:ind w:right="80" w:firstLine="648"/>
        <w:spacing w:after="0" w:line="311"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provides for all members of our board of directors to stand for election annually for one-year terms. Our amended and restated bylaws provide for a majority voting standard for uncontested elections of directors.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279" w:lineRule="exact"/>
        <w:rPr>
          <w:sz w:val="20"/>
          <w:szCs w:val="20"/>
          <w:color w:val="auto"/>
        </w:rPr>
      </w:pPr>
    </w:p>
    <w:p>
      <w:pPr>
        <w:ind w:right="360" w:firstLine="648"/>
        <w:spacing w:after="0" w:line="324"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w:t>
      </w:r>
    </w:p>
    <w:p>
      <w:pPr>
        <w:sectPr>
          <w:pgSz w:w="11900" w:h="16838" w:orient="portrait"/>
          <w:cols w:equalWidth="0" w:num="1">
            <w:col w:w="11240"/>
          </w:cols>
          <w:pgMar w:left="320" w:top="1417" w:right="339" w:bottom="1440" w:gutter="0" w:footer="0" w:header="0"/>
        </w:sectPr>
      </w:pPr>
    </w:p>
    <w:bookmarkStart w:id="124" w:name="page125"/>
    <w:bookmarkEnd w:id="124"/>
    <w:p>
      <w:pPr>
        <w:spacing w:after="0" w:line="9"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stock outstanding at that time, subject to prior satisfaction of all outstanding debt and liabilities and the preferential rights of and the payment of liquidation preferences, if any, on any outstanding shares of preferred stock.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Rights and Preferences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93" w:lineRule="exact"/>
        <w:rPr>
          <w:sz w:val="20"/>
          <w:szCs w:val="20"/>
          <w:color w:val="auto"/>
        </w:rPr>
      </w:pPr>
    </w:p>
    <w:p>
      <w:pPr>
        <w:ind w:firstLine="648"/>
        <w:spacing w:after="0" w:line="345"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306" w:lineRule="exact"/>
        <w:rPr>
          <w:sz w:val="20"/>
          <w:szCs w:val="20"/>
          <w:color w:val="auto"/>
        </w:rPr>
      </w:pPr>
    </w:p>
    <w:p>
      <w:pPr>
        <w:ind w:right="40" w:firstLine="648"/>
        <w:spacing w:after="0" w:line="310"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Delaware Law</w:t>
      </w:r>
    </w:p>
    <w:p>
      <w:pPr>
        <w:spacing w:after="0" w:line="293" w:lineRule="exact"/>
        <w:rPr>
          <w:sz w:val="20"/>
          <w:szCs w:val="20"/>
          <w:color w:val="auto"/>
        </w:rPr>
      </w:pPr>
    </w:p>
    <w:p>
      <w:pPr>
        <w:ind w:right="180" w:firstLine="648"/>
        <w:spacing w:after="0" w:line="318"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203" w:lineRule="exact"/>
        <w:rPr>
          <w:sz w:val="20"/>
          <w:szCs w:val="20"/>
          <w:color w:val="auto"/>
        </w:rPr>
      </w:pPr>
    </w:p>
    <w:p>
      <w:pPr>
        <w:ind w:left="1300" w:right="160" w:hanging="644"/>
        <w:spacing w:after="0" w:line="324" w:lineRule="auto"/>
        <w:tabs>
          <w:tab w:leader="none" w:pos="12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w:t>
      </w:r>
    </w:p>
    <w:p>
      <w:pPr>
        <w:spacing w:after="0" w:line="86" w:lineRule="exact"/>
        <w:rPr>
          <w:rFonts w:ascii="Arial" w:cs="Arial" w:eastAsia="Arial" w:hAnsi="Arial"/>
          <w:sz w:val="16"/>
          <w:szCs w:val="16"/>
          <w:color w:val="auto"/>
        </w:rPr>
      </w:pPr>
    </w:p>
    <w:p>
      <w:pPr>
        <w:ind w:left="1300" w:right="620"/>
        <w:spacing w:after="0" w:line="395" w:lineRule="auto"/>
        <w:rPr>
          <w:rFonts w:ascii="Arial" w:cs="Arial" w:eastAsia="Arial" w:hAnsi="Arial"/>
          <w:sz w:val="16"/>
          <w:szCs w:val="16"/>
          <w:color w:val="auto"/>
        </w:rPr>
      </w:pPr>
      <w:r>
        <w:rPr>
          <w:rFonts w:ascii="Arial" w:cs="Arial" w:eastAsia="Arial" w:hAnsi="Arial"/>
          <w:sz w:val="16"/>
          <w:szCs w:val="16"/>
          <w:color w:val="auto"/>
        </w:rPr>
        <w:t>excluding for purposes of determining the voting stock outstanding, but not the outstanding voting stock owned by the interested stockholder, (i) shares owned by persons who are directors and also officers and (ii) shares owned by employee stock</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9" w:lineRule="exact"/>
        <w:rPr>
          <w:sz w:val="20"/>
          <w:szCs w:val="20"/>
          <w:color w:val="auto"/>
        </w:rPr>
      </w:pPr>
    </w:p>
    <w:p>
      <w:pPr>
        <w:ind w:left="1300" w:right="360"/>
        <w:spacing w:after="0" w:line="324" w:lineRule="auto"/>
        <w:rPr>
          <w:sz w:val="20"/>
          <w:szCs w:val="20"/>
          <w:color w:val="auto"/>
        </w:rPr>
      </w:pPr>
      <w:r>
        <w:rPr>
          <w:rFonts w:ascii="Arial" w:cs="Arial" w:eastAsia="Arial" w:hAnsi="Arial"/>
          <w:sz w:val="18"/>
          <w:szCs w:val="18"/>
          <w:color w:val="auto"/>
        </w:rPr>
        <w:t>plans in which employee participants do not have the right to determine confidentially whether shares held subject to the plan will be tendered in a tender or exchange offer; or</w:t>
      </w:r>
    </w:p>
    <w:p>
      <w:pPr>
        <w:spacing w:after="0" w:line="197"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or subsequent to the date of the transaction, the business combination is approved by the board of directors of the corporation and</w:t>
      </w:r>
    </w:p>
    <w:p>
      <w:pPr>
        <w:spacing w:after="0" w:line="86" w:lineRule="exact"/>
        <w:rPr>
          <w:rFonts w:ascii="Arial" w:cs="Arial" w:eastAsia="Arial" w:hAnsi="Arial"/>
          <w:sz w:val="16"/>
          <w:szCs w:val="16"/>
          <w:color w:val="auto"/>
        </w:rPr>
      </w:pPr>
    </w:p>
    <w:p>
      <w:pPr>
        <w:ind w:left="1300" w:right="160"/>
        <w:spacing w:after="0" w:line="324" w:lineRule="auto"/>
        <w:rPr>
          <w:rFonts w:ascii="Arial" w:cs="Arial" w:eastAsia="Arial" w:hAnsi="Arial"/>
          <w:sz w:val="16"/>
          <w:szCs w:val="16"/>
          <w:color w:val="auto"/>
        </w:rPr>
      </w:pPr>
      <w:r>
        <w:rPr>
          <w:rFonts w:ascii="Arial" w:cs="Arial" w:eastAsia="Arial" w:hAnsi="Arial"/>
          <w:sz w:val="18"/>
          <w:szCs w:val="18"/>
          <w:color w:val="auto"/>
        </w:rPr>
        <w:t>authorized at an annual or special meeting of stockholders, and not by written consent, by the affirmative vote of at least 66 2/3% of the outstanding voting stock that is not owned by the interested stockholder.</w:t>
      </w:r>
    </w:p>
    <w:p>
      <w:pPr>
        <w:spacing w:after="0" w:line="197" w:lineRule="exact"/>
        <w:rPr>
          <w:sz w:val="20"/>
          <w:szCs w:val="20"/>
          <w:color w:val="auto"/>
        </w:rPr>
      </w:pPr>
    </w:p>
    <w:p>
      <w:pPr>
        <w:ind w:firstLine="648"/>
        <w:spacing w:after="0" w:line="354"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Amended and Restated Certificate of Incorporation and Amended and Restated Bylaw Provisions</w:t>
      </w:r>
    </w:p>
    <w:p>
      <w:pPr>
        <w:spacing w:after="0" w:line="293"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company, including the following:</w:t>
      </w:r>
    </w:p>
    <w:p>
      <w:pPr>
        <w:spacing w:after="0" w:line="197"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Board of Directors Vacancies</w:t>
      </w:r>
      <w:r>
        <w:rPr>
          <w:rFonts w:ascii="Arial" w:cs="Arial" w:eastAsia="Arial" w:hAnsi="Arial"/>
          <w:sz w:val="16"/>
          <w:szCs w:val="16"/>
          <w:color w:val="auto"/>
        </w:rPr>
        <w:t>. Our amended and restated certificate of incorporation and our amended and restated bylaws authorize only</w:t>
      </w:r>
    </w:p>
    <w:p>
      <w:pPr>
        <w:spacing w:after="0" w:line="86" w:lineRule="exact"/>
        <w:rPr>
          <w:rFonts w:ascii="Arial" w:cs="Arial" w:eastAsia="Arial" w:hAnsi="Arial"/>
          <w:sz w:val="16"/>
          <w:szCs w:val="16"/>
          <w:color w:val="auto"/>
        </w:rPr>
      </w:pPr>
    </w:p>
    <w:p>
      <w:pPr>
        <w:ind w:left="1300" w:right="60"/>
        <w:spacing w:after="0" w:line="304" w:lineRule="auto"/>
        <w:rPr>
          <w:rFonts w:ascii="Arial" w:cs="Arial" w:eastAsia="Arial" w:hAnsi="Arial"/>
          <w:sz w:val="16"/>
          <w:szCs w:val="16"/>
          <w:color w:val="auto"/>
        </w:rPr>
      </w:pPr>
      <w:r>
        <w:rPr>
          <w:rFonts w:ascii="Arial" w:cs="Arial" w:eastAsia="Arial" w:hAnsi="Arial"/>
          <w:sz w:val="18"/>
          <w:szCs w:val="18"/>
          <w:color w:val="auto"/>
        </w:rPr>
        <w:t>our board of directors to fill vacant directorships, including newly created seats.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28" w:lineRule="exact"/>
        <w:rPr>
          <w:rFonts w:ascii="Arial" w:cs="Arial" w:eastAsia="Arial" w:hAnsi="Arial"/>
          <w:sz w:val="16"/>
          <w:szCs w:val="16"/>
          <w:color w:val="auto"/>
        </w:rPr>
      </w:pPr>
    </w:p>
    <w:p>
      <w:pPr>
        <w:ind w:left="1300" w:right="20" w:hanging="644"/>
        <w:spacing w:after="0" w:line="338" w:lineRule="auto"/>
        <w:tabs>
          <w:tab w:leader="none" w:pos="1295"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Stockholder Action; Special Meetings of Stockholders</w:t>
      </w:r>
      <w:r>
        <w:rPr>
          <w:rFonts w:ascii="Arial" w:cs="Arial" w:eastAsia="Arial" w:hAnsi="Arial"/>
          <w:sz w:val="16"/>
          <w:szCs w:val="16"/>
          <w:color w:val="auto"/>
        </w:rPr>
        <w:t>. Our amended and restated certificate of incorporation provides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may not take action by written consent, and may only take action at an annual or special meeting of our stockholders. Our amended and restated bylaws further provide that special meetings of our stockholders may be called only by stockholders holding not less than 25% of the outstanding shares entitled to vote on the matters to be brought before the proposed special meeting, a majority of our board of directors, the chairperson of our board of directors, our chief executive officer or our president, thus prohibiting stockholders</w:t>
      </w:r>
    </w:p>
    <w:p>
      <w:pPr>
        <w:ind w:left="1300" w:right="140"/>
        <w:spacing w:after="0" w:line="324" w:lineRule="auto"/>
        <w:rPr>
          <w:rFonts w:ascii="Arial" w:cs="Arial" w:eastAsia="Arial" w:hAnsi="Arial"/>
          <w:sz w:val="16"/>
          <w:szCs w:val="16"/>
          <w:color w:val="auto"/>
        </w:rPr>
      </w:pPr>
      <w:r>
        <w:rPr>
          <w:rFonts w:ascii="Arial" w:cs="Arial" w:eastAsia="Arial" w:hAnsi="Arial"/>
          <w:sz w:val="18"/>
          <w:szCs w:val="18"/>
          <w:color w:val="auto"/>
        </w:rPr>
        <w:t>who do not meet the ownership threshold from calling a special meeting. These provisions might delay the ability of our stockholders to force consideration of a proposal or for stockholders to take any action, including the removal of directors.</w:t>
      </w:r>
    </w:p>
    <w:p>
      <w:pPr>
        <w:spacing w:after="0" w:line="197" w:lineRule="exact"/>
        <w:rPr>
          <w:rFonts w:ascii="Arial" w:cs="Arial" w:eastAsia="Arial" w:hAnsi="Arial"/>
          <w:sz w:val="16"/>
          <w:szCs w:val="16"/>
          <w:color w:val="auto"/>
        </w:rPr>
      </w:pPr>
    </w:p>
    <w:p>
      <w:pPr>
        <w:ind w:left="1300" w:right="160" w:hanging="644"/>
        <w:spacing w:after="0" w:line="310"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for stockholders seeking to bring business before our annual meeting of stockholders or to nominate candidates for election as directors at</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9" w:lineRule="exact"/>
        <w:rPr>
          <w:sz w:val="20"/>
          <w:szCs w:val="20"/>
          <w:color w:val="auto"/>
        </w:rPr>
      </w:pPr>
    </w:p>
    <w:p>
      <w:pPr>
        <w:ind w:left="644" w:right="180"/>
        <w:spacing w:after="0" w:line="329" w:lineRule="auto"/>
        <w:rPr>
          <w:sz w:val="20"/>
          <w:szCs w:val="20"/>
          <w:color w:val="auto"/>
        </w:rPr>
      </w:pPr>
      <w:r>
        <w:rPr>
          <w:rFonts w:ascii="Arial" w:cs="Arial" w:eastAsia="Arial" w:hAnsi="Arial"/>
          <w:sz w:val="17"/>
          <w:szCs w:val="17"/>
          <w:color w:val="auto"/>
        </w:rPr>
        <w:t>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99" w:lineRule="exact"/>
        <w:rPr>
          <w:sz w:val="20"/>
          <w:szCs w:val="20"/>
          <w:color w:val="auto"/>
        </w:rPr>
      </w:pPr>
    </w:p>
    <w:p>
      <w:pPr>
        <w:ind w:left="644" w:right="140" w:hanging="644"/>
        <w:spacing w:after="0" w:line="340" w:lineRule="auto"/>
        <w:tabs>
          <w:tab w:leader="none" w:pos="639"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Proxy Access</w:t>
      </w:r>
      <w:r>
        <w:rPr>
          <w:rFonts w:ascii="Arial" w:cs="Arial" w:eastAsia="Arial" w:hAnsi="Arial"/>
          <w:sz w:val="16"/>
          <w:szCs w:val="16"/>
          <w:color w:val="auto"/>
        </w:rPr>
        <w:t>. Our amended and restated bylaws provide that, in certain circumstances, a stockholder or group of up to 20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director candidates that they have nominated in our annual meeting proxy materials. Such stockholder or group of stockholders need to own 3% or more of our outstanding common stock continuously for at least three years (i) preceding and including</w:t>
      </w:r>
    </w:p>
    <w:p>
      <w:pPr>
        <w:spacing w:after="0" w:line="1" w:lineRule="exact"/>
        <w:rPr>
          <w:rFonts w:ascii="Arial" w:cs="Arial" w:eastAsia="Arial" w:hAnsi="Arial"/>
          <w:sz w:val="16"/>
          <w:szCs w:val="16"/>
          <w:color w:val="auto"/>
        </w:rPr>
      </w:pPr>
    </w:p>
    <w:p>
      <w:pPr>
        <w:ind w:left="644" w:right="40"/>
        <w:spacing w:after="0" w:line="304" w:lineRule="auto"/>
        <w:rPr>
          <w:rFonts w:ascii="Arial" w:cs="Arial" w:eastAsia="Arial" w:hAnsi="Arial"/>
          <w:sz w:val="16"/>
          <w:szCs w:val="16"/>
          <w:color w:val="auto"/>
        </w:rPr>
      </w:pPr>
      <w:r>
        <w:rPr>
          <w:rFonts w:ascii="Arial" w:cs="Arial" w:eastAsia="Arial" w:hAnsi="Arial"/>
          <w:sz w:val="18"/>
          <w:szCs w:val="18"/>
          <w:color w:val="auto"/>
        </w:rPr>
        <w:t>the date of submission of the nomination notice and (ii) following the date we implemented proxy access in the amended and restated Bylaws, whichever is later. The number of stockholder-nominated candidates appearing in any of our annual meeting proxy materials cannot exceed the greater of two individuals or 20% of our board of directors. The nominating stockholder or group of stockholders is also required to deliver certain information, and each nominee is required to meet certain qualifications, as described in more detail in the amended and restated bylaws.</w:t>
      </w:r>
    </w:p>
    <w:p>
      <w:pPr>
        <w:spacing w:after="0" w:line="214" w:lineRule="exact"/>
        <w:rPr>
          <w:rFonts w:ascii="Arial" w:cs="Arial" w:eastAsia="Arial" w:hAnsi="Arial"/>
          <w:sz w:val="16"/>
          <w:szCs w:val="16"/>
          <w:color w:val="auto"/>
        </w:rPr>
      </w:pPr>
    </w:p>
    <w:p>
      <w:pPr>
        <w:ind w:left="644" w:hanging="644"/>
        <w:spacing w:after="0"/>
        <w:tabs>
          <w:tab w:leader="none" w:pos="644"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No Cumulative Voting</w:t>
      </w:r>
      <w:r>
        <w:rPr>
          <w:rFonts w:ascii="Arial" w:cs="Arial" w:eastAsia="Arial" w:hAnsi="Arial"/>
          <w:sz w:val="16"/>
          <w:szCs w:val="16"/>
          <w:color w:val="auto"/>
        </w:rPr>
        <w:t>. The DGCL provides that stockholders are not entitled to the right to cumulate votes in the election of directors</w:t>
      </w:r>
    </w:p>
    <w:p>
      <w:pPr>
        <w:spacing w:after="0" w:line="86" w:lineRule="exact"/>
        <w:rPr>
          <w:rFonts w:ascii="Arial" w:cs="Arial" w:eastAsia="Arial" w:hAnsi="Arial"/>
          <w:sz w:val="16"/>
          <w:szCs w:val="16"/>
          <w:color w:val="auto"/>
        </w:rPr>
      </w:pPr>
    </w:p>
    <w:p>
      <w:pPr>
        <w:ind w:left="644" w:right="40"/>
        <w:spacing w:after="0" w:line="324" w:lineRule="auto"/>
        <w:rPr>
          <w:rFonts w:ascii="Arial" w:cs="Arial" w:eastAsia="Arial" w:hAnsi="Arial"/>
          <w:sz w:val="16"/>
          <w:szCs w:val="16"/>
          <w:color w:val="auto"/>
        </w:rPr>
      </w:pPr>
      <w:r>
        <w:rPr>
          <w:rFonts w:ascii="Arial" w:cs="Arial" w:eastAsia="Arial" w:hAnsi="Arial"/>
          <w:sz w:val="18"/>
          <w:szCs w:val="18"/>
          <w:color w:val="auto"/>
        </w:rPr>
        <w:t>unless a corporation’s certificate of incorporation provides otherwise. Our amended and restated certificate of incorporation and amended and restated bylaws do not provide for cumulative voting.</w:t>
      </w:r>
    </w:p>
    <w:p>
      <w:pPr>
        <w:spacing w:after="0" w:line="197" w:lineRule="exact"/>
        <w:rPr>
          <w:rFonts w:ascii="Arial" w:cs="Arial" w:eastAsia="Arial" w:hAnsi="Arial"/>
          <w:sz w:val="16"/>
          <w:szCs w:val="16"/>
          <w:color w:val="auto"/>
        </w:rPr>
      </w:pPr>
    </w:p>
    <w:p>
      <w:pPr>
        <w:ind w:left="644" w:right="60" w:hanging="644"/>
        <w:spacing w:after="0" w:line="340" w:lineRule="auto"/>
        <w:tabs>
          <w:tab w:leader="none" w:pos="639"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Supermajority Requirements for Amendments of Our Amended and Restated Certificate of Incorporation and Our Amended and Restated Bylaws</w:t>
      </w:r>
      <w:r>
        <w:rPr>
          <w:rFonts w:ascii="Arial" w:cs="Arial" w:eastAsia="Arial" w:hAnsi="Arial"/>
          <w:sz w:val="16"/>
          <w:szCs w:val="16"/>
          <w:color w:val="auto"/>
        </w:rPr>
        <w:t>. Our amended and restated certificate of incorporation provides that the affirmative vote of holders of at least 66 2/3% of the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all of the then outstanding shares of voting stock is required to amend, alter or repeal, or adopt any provision as part of</w:t>
      </w:r>
    </w:p>
    <w:p>
      <w:pPr>
        <w:spacing w:after="0" w:line="1" w:lineRule="exact"/>
        <w:rPr>
          <w:rFonts w:ascii="Arial" w:cs="Arial" w:eastAsia="Arial" w:hAnsi="Arial"/>
          <w:sz w:val="16"/>
          <w:szCs w:val="16"/>
          <w:color w:val="auto"/>
        </w:rPr>
      </w:pPr>
    </w:p>
    <w:p>
      <w:pPr>
        <w:ind w:left="644" w:right="160"/>
        <w:spacing w:after="0" w:line="306" w:lineRule="auto"/>
        <w:rPr>
          <w:rFonts w:ascii="Arial" w:cs="Arial" w:eastAsia="Arial" w:hAnsi="Arial"/>
          <w:sz w:val="16"/>
          <w:szCs w:val="16"/>
          <w:color w:val="auto"/>
        </w:rPr>
      </w:pPr>
      <w:r>
        <w:rPr>
          <w:rFonts w:ascii="Arial" w:cs="Arial" w:eastAsia="Arial" w:hAnsi="Arial"/>
          <w:sz w:val="18"/>
          <w:szCs w:val="18"/>
          <w:color w:val="auto"/>
        </w:rPr>
        <w:t>our amended and restated certificate of incorporation inconsistent with the purpose and intent of, certain provisions of our amended and restated certificate of incorporation. Further, the affirmative vote of holders of at least 66 2/3% of the voting power of all of the then outstanding shares of voting stock is required to amend or repeal our amended and restated bylaws, although our amended and restated bylaws may be amended by a simple majority vote of our board of directors.</w:t>
      </w:r>
    </w:p>
    <w:p>
      <w:pPr>
        <w:spacing w:after="0" w:line="213" w:lineRule="exact"/>
        <w:rPr>
          <w:rFonts w:ascii="Arial" w:cs="Arial" w:eastAsia="Arial" w:hAnsi="Arial"/>
          <w:sz w:val="16"/>
          <w:szCs w:val="16"/>
          <w:color w:val="auto"/>
        </w:rPr>
      </w:pPr>
    </w:p>
    <w:p>
      <w:pPr>
        <w:ind w:left="644" w:hanging="644"/>
        <w:spacing w:after="0"/>
        <w:tabs>
          <w:tab w:leader="none" w:pos="644"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has the authority, without further action by the stockholders, to issue up</w:t>
      </w:r>
    </w:p>
    <w:p>
      <w:pPr>
        <w:spacing w:after="0" w:line="86" w:lineRule="exact"/>
        <w:rPr>
          <w:rFonts w:ascii="Arial" w:cs="Arial" w:eastAsia="Arial" w:hAnsi="Arial"/>
          <w:sz w:val="16"/>
          <w:szCs w:val="16"/>
          <w:color w:val="auto"/>
        </w:rPr>
      </w:pPr>
    </w:p>
    <w:p>
      <w:pPr>
        <w:ind w:left="644"/>
        <w:spacing w:after="0" w:line="364" w:lineRule="auto"/>
        <w:rPr>
          <w:rFonts w:ascii="Arial" w:cs="Arial" w:eastAsia="Arial" w:hAnsi="Arial"/>
          <w:sz w:val="16"/>
          <w:szCs w:val="16"/>
          <w:color w:val="auto"/>
        </w:rPr>
      </w:pPr>
      <w:r>
        <w:rPr>
          <w:rFonts w:ascii="Arial" w:cs="Arial" w:eastAsia="Arial" w:hAnsi="Arial"/>
          <w:sz w:val="16"/>
          <w:szCs w:val="16"/>
          <w:color w:val="auto"/>
        </w:rPr>
        <w:t>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75" w:lineRule="exact"/>
        <w:rPr>
          <w:rFonts w:ascii="Arial" w:cs="Arial" w:eastAsia="Arial" w:hAnsi="Arial"/>
          <w:sz w:val="16"/>
          <w:szCs w:val="16"/>
          <w:color w:val="auto"/>
        </w:rPr>
      </w:pPr>
    </w:p>
    <w:p>
      <w:pPr>
        <w:ind w:left="644" w:right="340" w:hanging="644"/>
        <w:spacing w:after="0" w:line="324" w:lineRule="auto"/>
        <w:tabs>
          <w:tab w:leader="none" w:pos="639"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amended and restated bylaws provide that, unless we consent in writing to the selection of alternate forum,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Chancery of the State of Delaware (or, if the Court of</w:t>
      </w:r>
    </w:p>
    <w:p>
      <w:pPr>
        <w:sectPr>
          <w:pgSz w:w="11900" w:h="16838" w:orient="portrait"/>
          <w:cols w:equalWidth="0" w:num="1">
            <w:col w:w="10584"/>
          </w:cols>
          <w:pgMar w:left="976" w:top="1440" w:right="339" w:bottom="1440" w:gutter="0" w:footer="0" w:header="0"/>
        </w:sectPr>
      </w:pPr>
    </w:p>
    <w:bookmarkStart w:id="127" w:name="page128"/>
    <w:bookmarkEnd w:id="127"/>
    <w:p>
      <w:pPr>
        <w:spacing w:after="0" w:line="9" w:lineRule="exact"/>
        <w:rPr>
          <w:sz w:val="20"/>
          <w:szCs w:val="20"/>
          <w:color w:val="auto"/>
        </w:rPr>
      </w:pPr>
    </w:p>
    <w:p>
      <w:pPr>
        <w:ind w:left="1300"/>
        <w:spacing w:after="0" w:line="320" w:lineRule="auto"/>
        <w:rPr>
          <w:sz w:val="20"/>
          <w:szCs w:val="20"/>
          <w:color w:val="auto"/>
        </w:rPr>
      </w:pPr>
      <w:r>
        <w:rPr>
          <w:rFonts w:ascii="Arial" w:cs="Arial" w:eastAsia="Arial" w:hAnsi="Arial"/>
          <w:sz w:val="17"/>
          <w:szCs w:val="17"/>
          <w:color w:val="auto"/>
        </w:rPr>
        <w:t>Chancery does not have jurisdiction, the United States District Court for the District of Delaware) are the exclusive forum for: (i) any derivative action or proceeding brought on our behalf; (ii) any action asserting a breach of a fiduciary duty owed by, or other wrongdoing by, any of our directors, officers, employees or agents to the corporation or the corporation’s stockholders; (iii) any action asserting a claim arising pursuant to any provision of the DGCL, our amended and restated certificate of incorporation or our amended and restated bylaws; (iv) any action to interpret, apply, enforce or determine the validity of our amended and restated certificate of incorporation or our amended and restated bylaws; or (v) any action asserting a claim governed by the internal affairs doctrine. Our amended and restated bylaws also provide that the federal district courts of the United States would be the exclusive forum for resolving any complaint asserting a cause of action arising under the Securities Act of 1933, as amended (the “Federal Forum Provision”). In December 2018, the Delaware Court of Chancery found that provisions such as the Federal Forum Provision are not valid under Delaware law. In light of this decision of the Delaware Court of Chancery, we do not intend to enforce the Federal Forum Provision in our amended and restated bylaws unless and until 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“FTNT.”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between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FORTINET UK LIMITED, READING (UK), DIETLIKON BRANCH, RIEDMÜHLESTRASSE 8, 8305 DIETLIKON,</w:t>
      </w:r>
    </w:p>
    <w:p>
      <w:pPr>
        <w:jc w:val="center"/>
        <w:ind w:right="-119"/>
        <w:spacing w:after="0" w:line="204" w:lineRule="auto"/>
        <w:rPr>
          <w:sz w:val="20"/>
          <w:szCs w:val="20"/>
          <w:color w:val="auto"/>
        </w:rPr>
      </w:pPr>
      <w:r>
        <w:rPr>
          <w:rFonts w:ascii="Arial" w:cs="Arial" w:eastAsia="Arial" w:hAnsi="Arial"/>
          <w:sz w:val="22"/>
          <w:szCs w:val="22"/>
          <w:b w:val="1"/>
          <w:bCs w:val="1"/>
          <w:color w:val="auto"/>
        </w:rPr>
        <w:t>SWITZERLAND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(“Employer”)</w:t>
      </w:r>
    </w:p>
    <w:p>
      <w:pPr>
        <w:spacing w:after="0" w:line="161"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MR. PATRICE PERCHE</w:t>
      </w:r>
    </w:p>
    <w:p>
      <w:pPr>
        <w:jc w:val="center"/>
        <w:ind w:right="-119"/>
        <w:spacing w:after="0"/>
        <w:rPr>
          <w:sz w:val="20"/>
          <w:szCs w:val="20"/>
          <w:color w:val="auto"/>
        </w:rPr>
      </w:pPr>
      <w:r>
        <w:rPr>
          <w:rFonts w:ascii="Arial" w:cs="Arial" w:eastAsia="Arial" w:hAnsi="Arial"/>
          <w:sz w:val="22"/>
          <w:szCs w:val="22"/>
          <w:color w:val="auto"/>
        </w:rPr>
        <w:t>(“Employee”)</w:t>
      </w:r>
    </w:p>
    <w:p>
      <w:pPr>
        <w:spacing w:after="0" w:line="263"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Function and tasks</w:t>
      </w:r>
    </w:p>
    <w:p>
      <w:pPr>
        <w:spacing w:after="0" w:line="185" w:lineRule="exact"/>
        <w:rPr>
          <w:sz w:val="20"/>
          <w:szCs w:val="20"/>
          <w:color w:val="auto"/>
        </w:rPr>
      </w:pPr>
    </w:p>
    <w:p>
      <w:pPr>
        <w:ind w:left="500" w:right="140" w:hanging="647"/>
        <w:spacing w:after="0" w:line="232" w:lineRule="auto"/>
        <w:tabs>
          <w:tab w:leader="none" w:pos="480" w:val="left"/>
        </w:tabs>
        <w:rPr>
          <w:sz w:val="20"/>
          <w:szCs w:val="20"/>
          <w:color w:val="auto"/>
        </w:rPr>
      </w:pPr>
      <w:r>
        <w:rPr>
          <w:rFonts w:ascii="Arial" w:cs="Arial" w:eastAsia="Arial" w:hAnsi="Arial"/>
          <w:sz w:val="22"/>
          <w:szCs w:val="22"/>
          <w:color w:val="auto"/>
        </w:rPr>
        <w:t>1.1</w:t>
        <w:tab/>
        <w:t>The Employer hereby employs the Employee and the Employee accepts employment as Senior Executive Vice President, Worldwide Sales &amp; Support.</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Employee shall report to the CEO, currently Ken Xie, or to another person designated by the Employer.</w:t>
      </w:r>
    </w:p>
    <w:p>
      <w:pPr>
        <w:spacing w:after="0" w:line="179" w:lineRule="exact"/>
        <w:rPr>
          <w:sz w:val="20"/>
          <w:szCs w:val="20"/>
          <w:color w:val="auto"/>
        </w:rPr>
      </w:pPr>
    </w:p>
    <w:p>
      <w:pPr>
        <w:ind w:left="500" w:right="320" w:hanging="647"/>
        <w:spacing w:after="0" w:line="216" w:lineRule="auto"/>
        <w:tabs>
          <w:tab w:leader="none" w:pos="480" w:val="left"/>
        </w:tabs>
        <w:rPr>
          <w:sz w:val="20"/>
          <w:szCs w:val="20"/>
          <w:color w:val="auto"/>
        </w:rPr>
      </w:pPr>
      <w:r>
        <w:rPr>
          <w:rFonts w:ascii="Arial" w:cs="Arial" w:eastAsia="Arial" w:hAnsi="Arial"/>
          <w:sz w:val="22"/>
          <w:szCs w:val="22"/>
          <w:color w:val="auto"/>
        </w:rPr>
        <w:t>1.3</w:t>
        <w:tab/>
        <w:t>The Employee is authorized to use occasionally an office at his home in the Canton Vaud, Switzerland. It is however understood that the above mentioned position of the Employee includes a high level of travel activities and customer visits. The Employer is not providing the Employee with any relocation allowance. Fortinet may consider opening an office in the Canton Vaud at some point in the future in which case the Employer reserves the right to relocate the Employee to such location.</w:t>
      </w:r>
    </w:p>
    <w:p>
      <w:pPr>
        <w:spacing w:after="0" w:line="158" w:lineRule="exact"/>
        <w:rPr>
          <w:sz w:val="20"/>
          <w:szCs w:val="20"/>
          <w:color w:val="auto"/>
        </w:rPr>
      </w:pPr>
    </w:p>
    <w:p>
      <w:pPr>
        <w:ind w:left="500" w:right="60" w:hanging="647"/>
        <w:spacing w:after="0" w:line="216" w:lineRule="auto"/>
        <w:tabs>
          <w:tab w:leader="none" w:pos="480" w:val="left"/>
        </w:tabs>
        <w:rPr>
          <w:sz w:val="20"/>
          <w:szCs w:val="20"/>
          <w:color w:val="auto"/>
        </w:rPr>
      </w:pPr>
      <w:r>
        <w:rPr>
          <w:rFonts w:ascii="Arial" w:cs="Arial" w:eastAsia="Arial" w:hAnsi="Arial"/>
          <w:sz w:val="22"/>
          <w:szCs w:val="22"/>
          <w:color w:val="auto"/>
        </w:rPr>
        <w:t>1.4</w:t>
        <w:tab/>
        <w:t>This Agreement is contingent upon the issuance of the legally required work and residence permits authorizing the Employee to work for the Employer in Switzerland. This Agreement automatically lapses if the Employee no longer has the right to work for the Employer in Switzerland. The Employee shall provide the Employer with a copy of his Swiss work and residence permit immediately upon signing of this Agreement as well as upon receipt of any new work and residence permit.</w:t>
      </w:r>
    </w:p>
    <w:p>
      <w:pPr>
        <w:spacing w:after="0" w:line="152"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Salary</w:t>
      </w:r>
    </w:p>
    <w:p>
      <w:pPr>
        <w:spacing w:after="0" w:line="185" w:lineRule="exact"/>
        <w:rPr>
          <w:sz w:val="20"/>
          <w:szCs w:val="20"/>
          <w:color w:val="auto"/>
        </w:rPr>
      </w:pPr>
    </w:p>
    <w:p>
      <w:pPr>
        <w:ind w:left="660" w:right="220"/>
        <w:spacing w:after="0" w:line="268" w:lineRule="auto"/>
        <w:rPr>
          <w:sz w:val="20"/>
          <w:szCs w:val="20"/>
          <w:color w:val="auto"/>
        </w:rPr>
      </w:pPr>
      <w:r>
        <w:rPr>
          <w:rFonts w:ascii="Arial" w:cs="Arial" w:eastAsia="Arial" w:hAnsi="Arial"/>
          <w:sz w:val="19"/>
          <w:szCs w:val="19"/>
          <w:color w:val="auto"/>
        </w:rPr>
        <w:t>Effective 1 January, 2018, the Employee shall receive an annual gross base salary of CHF 495,268 payable in 12 equal installments each of which shall be paid at the latest on the last day of a calendar month to a Swiss bank account designated by the Employee. Any and all overtime shall be compensated by this remuneration (cf. Section 6.2 below).</w:t>
      </w:r>
    </w:p>
    <w:p>
      <w:pPr>
        <w:spacing w:after="0" w:line="1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Variable Pay</w:t>
      </w:r>
    </w:p>
    <w:p>
      <w:pPr>
        <w:spacing w:after="0" w:line="185" w:lineRule="exact"/>
        <w:rPr>
          <w:sz w:val="20"/>
          <w:szCs w:val="20"/>
          <w:color w:val="auto"/>
        </w:rPr>
      </w:pPr>
    </w:p>
    <w:p>
      <w:pPr>
        <w:ind w:left="660" w:right="220"/>
        <w:spacing w:after="0" w:line="232" w:lineRule="auto"/>
        <w:rPr>
          <w:sz w:val="20"/>
          <w:szCs w:val="20"/>
          <w:color w:val="auto"/>
        </w:rPr>
      </w:pPr>
      <w:r>
        <w:rPr>
          <w:rFonts w:ascii="Arial" w:cs="Arial" w:eastAsia="Arial" w:hAnsi="Arial"/>
          <w:sz w:val="22"/>
          <w:szCs w:val="22"/>
          <w:color w:val="auto"/>
        </w:rPr>
        <w:t>In addition to the fixed regular salary in accordance with paragraph 2.1 above and if the conditions for the granting arc fulfilled, the Employee shall be entitled to variable pay</w:t>
      </w:r>
    </w:p>
    <w:p>
      <w:pPr>
        <w:sectPr>
          <w:pgSz w:w="11900" w:h="16838" w:orient="portrait"/>
          <w:cols w:equalWidth="0" w:num="1">
            <w:col w:w="11120"/>
          </w:cols>
          <w:pgMar w:left="320" w:top="1440" w:right="459" w:bottom="1440" w:gutter="0" w:footer="0" w:header="0"/>
        </w:sectPr>
      </w:pPr>
    </w:p>
    <w:bookmarkStart w:id="129" w:name="page130"/>
    <w:bookmarkEnd w:id="129"/>
    <w:p>
      <w:pPr>
        <w:ind w:left="660" w:right="20"/>
        <w:spacing w:after="0" w:line="244" w:lineRule="auto"/>
        <w:rPr>
          <w:sz w:val="20"/>
          <w:szCs w:val="20"/>
          <w:color w:val="auto"/>
        </w:rPr>
      </w:pPr>
      <w:r>
        <w:rPr>
          <w:rFonts w:ascii="Arial" w:cs="Arial" w:eastAsia="Arial" w:hAnsi="Arial"/>
          <w:sz w:val="19"/>
          <w:szCs w:val="19"/>
          <w:color w:val="auto"/>
        </w:rPr>
        <w:t>targeted at CHF 495,268 annually, with the amount and issuance of such variable pay to be based on the structure generally applicable to executives, currently expected to be a target quarterly payout of 20% for quarters 1-3 and 40% for quarter 4, paid monthly in the form of a draw in an amount equal to 6.66% of the annual variable target for months 1-9 and 13.33% of the annual variable target for months 10-12, with a quarterly true up following the end of each quarter after the Employer’s quarterly target attainment has been determined. Additional details of the quarterly target attainment payout thresholds are set forth in the Senior Management Incentive Bonus Program document which has been provided to the Employee, which may be adjusted by the Board of Directors from time to time. To the extent permitted by law, the Employer shall be free at any time to change the Employee’s compensation, whether salary, variable pay, or otherwise, and benefits in the sole and absolute discretion of the Employer.</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8"/>
          <w:szCs w:val="18"/>
          <w:b w:val="1"/>
          <w:bCs w:val="1"/>
          <w:color w:val="auto"/>
        </w:rPr>
        <w:t>Deductions; Stock Vesting</w:t>
      </w:r>
    </w:p>
    <w:p>
      <w:pPr>
        <w:spacing w:after="0" w:line="185" w:lineRule="exact"/>
        <w:rPr>
          <w:sz w:val="20"/>
          <w:szCs w:val="20"/>
          <w:color w:val="auto"/>
        </w:rPr>
      </w:pPr>
    </w:p>
    <w:p>
      <w:pPr>
        <w:ind w:left="660"/>
        <w:spacing w:after="0" w:line="218" w:lineRule="auto"/>
        <w:rPr>
          <w:sz w:val="20"/>
          <w:szCs w:val="20"/>
          <w:color w:val="auto"/>
        </w:rPr>
      </w:pPr>
      <w:r>
        <w:rPr>
          <w:rFonts w:ascii="Arial" w:cs="Arial" w:eastAsia="Arial" w:hAnsi="Arial"/>
          <w:sz w:val="22"/>
          <w:szCs w:val="22"/>
          <w:color w:val="auto"/>
        </w:rPr>
        <w:t>The salary and variable payments are gross payments. The Employee’s contributions for social security insurances such as ‘‘AHV”, “JV”, “EO”, “ALV” and/or for non-occupational accident insurance and/or for the pension plan maintained by the Employer as well as applicable source taxes, if any, shall be deducted from the payments made to the Employee, in accordance with applicable laws and/or regulations.</w:t>
      </w:r>
    </w:p>
    <w:p>
      <w:pPr>
        <w:spacing w:after="0" w:line="161" w:lineRule="exact"/>
        <w:rPr>
          <w:sz w:val="20"/>
          <w:szCs w:val="20"/>
          <w:color w:val="auto"/>
        </w:rPr>
      </w:pPr>
    </w:p>
    <w:p>
      <w:pPr>
        <w:ind w:left="660" w:right="40"/>
        <w:spacing w:after="0" w:line="218" w:lineRule="auto"/>
        <w:rPr>
          <w:sz w:val="20"/>
          <w:szCs w:val="20"/>
          <w:color w:val="auto"/>
        </w:rPr>
      </w:pPr>
      <w:r>
        <w:rPr>
          <w:rFonts w:ascii="Arial" w:cs="Arial" w:eastAsia="Arial" w:hAnsi="Arial"/>
          <w:sz w:val="22"/>
          <w:szCs w:val="22"/>
          <w:color w:val="auto"/>
        </w:rPr>
        <w:t>The Employee will continue to vest, in accordance with the Company’s standard vesting schedule, the stock which has been granted to him during his employment with the Company as long as he remains an active employee of the Company, subject in full to the terms of Fortinet’s stock plan and the relevant stock agreement and to the terms in the Release Agreement entered into concurrently with this Agreement.</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Further payments</w:t>
      </w:r>
    </w:p>
    <w:p>
      <w:pPr>
        <w:spacing w:after="0" w:line="185" w:lineRule="exact"/>
        <w:rPr>
          <w:sz w:val="20"/>
          <w:szCs w:val="20"/>
          <w:color w:val="auto"/>
        </w:rPr>
      </w:pPr>
    </w:p>
    <w:p>
      <w:pPr>
        <w:ind w:left="660" w:right="60"/>
        <w:spacing w:after="0" w:line="249" w:lineRule="auto"/>
        <w:rPr>
          <w:sz w:val="20"/>
          <w:szCs w:val="20"/>
          <w:color w:val="auto"/>
        </w:rPr>
      </w:pPr>
      <w:r>
        <w:rPr>
          <w:rFonts w:ascii="Arial" w:cs="Arial" w:eastAsia="Arial" w:hAnsi="Arial"/>
          <w:sz w:val="19"/>
          <w:szCs w:val="19"/>
          <w:color w:val="auto"/>
        </w:rPr>
        <w:t>In addition to the on-target earnings as described in Sections 2.1 and 2.2 above, the Employer shall pay to the Employee a monthly health allowance in the amount of CHF 1,816.25 gross. Unless otherwise expressly agreed upon in writing, the payment of any other gratuities, profit shares, premiums or other extra payments shall be on a voluntary basis, it being understood that even repeated payments without the reservation of their voluntary nature shall not create any legal claim for the Employee, either in respect to their cause or their amount, either for the past or for the future. The Employer shall not owe or pay to the Employee any education or housing allowance whatsoever.</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Repayment obligation</w:t>
      </w:r>
    </w:p>
    <w:p>
      <w:pPr>
        <w:spacing w:after="0" w:line="185" w:lineRule="exact"/>
        <w:rPr>
          <w:sz w:val="20"/>
          <w:szCs w:val="20"/>
          <w:color w:val="auto"/>
        </w:rPr>
      </w:pPr>
    </w:p>
    <w:p>
      <w:pPr>
        <w:ind w:left="660" w:right="80"/>
        <w:spacing w:after="0" w:line="234" w:lineRule="auto"/>
        <w:rPr>
          <w:sz w:val="20"/>
          <w:szCs w:val="20"/>
          <w:color w:val="auto"/>
        </w:rPr>
      </w:pPr>
      <w:r>
        <w:rPr>
          <w:rFonts w:ascii="Arial" w:cs="Arial" w:eastAsia="Arial" w:hAnsi="Arial"/>
          <w:sz w:val="21"/>
          <w:szCs w:val="21"/>
          <w:color w:val="auto"/>
        </w:rPr>
        <w:t>Should the Employee have received any payment in excess of his actual entitlement, the Employee shall, upon the Employer’s first request, pay back such excessive amount to the Employer. Payments that the Employer, without being in any error, declares as voluntary, shall not be covered by this repayment obligation.</w:t>
      </w:r>
    </w:p>
    <w:p>
      <w:pPr>
        <w:spacing w:after="0" w:line="152"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Expenses/Employer Car</w:t>
      </w:r>
    </w:p>
    <w:p>
      <w:pPr>
        <w:spacing w:after="0" w:line="185" w:lineRule="exact"/>
        <w:rPr>
          <w:sz w:val="20"/>
          <w:szCs w:val="20"/>
          <w:color w:val="auto"/>
        </w:rPr>
      </w:pPr>
    </w:p>
    <w:p>
      <w:pPr>
        <w:jc w:val="both"/>
        <w:ind w:left="500" w:right="660" w:hanging="647"/>
        <w:spacing w:after="0" w:line="223" w:lineRule="auto"/>
        <w:tabs>
          <w:tab w:leader="none" w:pos="480" w:val="left"/>
        </w:tabs>
        <w:rPr>
          <w:sz w:val="20"/>
          <w:szCs w:val="20"/>
          <w:color w:val="auto"/>
        </w:rPr>
      </w:pPr>
      <w:r>
        <w:rPr>
          <w:rFonts w:ascii="Arial" w:cs="Arial" w:eastAsia="Arial" w:hAnsi="Arial"/>
          <w:sz w:val="22"/>
          <w:szCs w:val="22"/>
          <w:color w:val="auto"/>
        </w:rPr>
        <w:t>3.1</w:t>
        <w:tab/>
        <w:t>The Employer shall reimburse the Employee upon submission of appropriate vouchers for reasonable and customary business travel expenses in accordance with the applicable Employer guidelines as in force from time to time. The Employee shall submit such expense vouchers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30" w:name="page131"/>
    <w:bookmarkEnd w:id="130"/>
    <w:p>
      <w:pPr>
        <w:ind w:left="500" w:right="140" w:hanging="647"/>
        <w:spacing w:after="0" w:line="223" w:lineRule="auto"/>
        <w:tabs>
          <w:tab w:leader="none" w:pos="480" w:val="left"/>
        </w:tabs>
        <w:rPr>
          <w:sz w:val="20"/>
          <w:szCs w:val="20"/>
          <w:color w:val="auto"/>
        </w:rPr>
      </w:pPr>
      <w:r>
        <w:rPr>
          <w:rFonts w:ascii="Arial" w:cs="Arial" w:eastAsia="Arial" w:hAnsi="Arial"/>
          <w:sz w:val="22"/>
          <w:szCs w:val="22"/>
          <w:color w:val="auto"/>
        </w:rPr>
        <w:t>3.2</w:t>
        <w:tab/>
        <w:t>The Employer shall pay a monthly car allowance in the amount of CHF 1,537.50 gross on the condition that the Employee maintains and uses his private car for company purposes in compliance with the Employer’s car rules as in force from time to time.</w:t>
      </w:r>
    </w:p>
    <w:p>
      <w:pPr>
        <w:spacing w:after="0" w:line="159" w:lineRule="exact"/>
        <w:rPr>
          <w:sz w:val="20"/>
          <w:szCs w:val="20"/>
          <w:color w:val="auto"/>
        </w:rPr>
      </w:pPr>
    </w:p>
    <w:p>
      <w:pPr>
        <w:ind w:left="500" w:right="60" w:hanging="647"/>
        <w:spacing w:after="0" w:line="232" w:lineRule="auto"/>
        <w:tabs>
          <w:tab w:leader="none" w:pos="480" w:val="left"/>
        </w:tabs>
        <w:rPr>
          <w:sz w:val="20"/>
          <w:szCs w:val="20"/>
          <w:color w:val="auto"/>
        </w:rPr>
      </w:pPr>
      <w:r>
        <w:rPr>
          <w:rFonts w:ascii="Arial" w:cs="Arial" w:eastAsia="Arial" w:hAnsi="Arial"/>
          <w:sz w:val="22"/>
          <w:szCs w:val="22"/>
          <w:color w:val="auto"/>
        </w:rPr>
        <w:t>3.3</w:t>
        <w:tab/>
        <w:t>Employer’s guidelines and Employer’s car rules are not at parties’ disposal. Should these rules not respect the guidelines of the tax authorities regarding the salary, part of the amount.</w:t>
      </w:r>
    </w:p>
    <w:p>
      <w:pPr>
        <w:spacing w:after="0" w:line="153" w:lineRule="exact"/>
        <w:rPr>
          <w:sz w:val="20"/>
          <w:szCs w:val="20"/>
          <w:color w:val="auto"/>
        </w:rPr>
      </w:pPr>
    </w:p>
    <w:p>
      <w:pPr>
        <w:ind w:left="380" w:hanging="372"/>
        <w:spacing w:after="0"/>
        <w:tabs>
          <w:tab w:leader="none" w:pos="38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Pension Fund</w:t>
      </w:r>
    </w:p>
    <w:p>
      <w:pPr>
        <w:spacing w:after="0" w:line="185" w:lineRule="exact"/>
        <w:rPr>
          <w:sz w:val="20"/>
          <w:szCs w:val="20"/>
          <w:color w:val="auto"/>
        </w:rPr>
      </w:pPr>
    </w:p>
    <w:p>
      <w:pPr>
        <w:ind w:left="660" w:right="180"/>
        <w:spacing w:after="0" w:line="247" w:lineRule="auto"/>
        <w:rPr>
          <w:sz w:val="20"/>
          <w:szCs w:val="20"/>
          <w:color w:val="auto"/>
        </w:rPr>
      </w:pPr>
      <w:r>
        <w:rPr>
          <w:rFonts w:ascii="Arial" w:cs="Arial" w:eastAsia="Arial" w:hAnsi="Arial"/>
          <w:sz w:val="21"/>
          <w:szCs w:val="21"/>
          <w:color w:val="auto"/>
        </w:rPr>
        <w:t>The Employee shall be covered by the Employer’s pension fund under the regulations as in force from time to lime. The Employer and the Employee shall pay the contributions in accordance with the applicable regulations.</w:t>
      </w:r>
    </w:p>
    <w:p>
      <w:pPr>
        <w:spacing w:after="0" w:line="145"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Sickness</w:t>
      </w:r>
    </w:p>
    <w:p>
      <w:pPr>
        <w:spacing w:after="0" w:line="185" w:lineRule="exact"/>
        <w:rPr>
          <w:sz w:val="20"/>
          <w:szCs w:val="20"/>
          <w:color w:val="auto"/>
        </w:rPr>
      </w:pPr>
    </w:p>
    <w:p>
      <w:pPr>
        <w:ind w:left="500" w:right="140" w:hanging="647"/>
        <w:spacing w:after="0" w:line="218" w:lineRule="auto"/>
        <w:tabs>
          <w:tab w:leader="none" w:pos="480" w:val="left"/>
        </w:tabs>
        <w:rPr>
          <w:sz w:val="20"/>
          <w:szCs w:val="20"/>
          <w:color w:val="auto"/>
        </w:rPr>
      </w:pPr>
      <w:r>
        <w:rPr>
          <w:rFonts w:ascii="Arial" w:cs="Arial" w:eastAsia="Arial" w:hAnsi="Arial"/>
          <w:sz w:val="22"/>
          <w:szCs w:val="22"/>
          <w:color w:val="auto"/>
        </w:rPr>
        <w:t>5.1</w:t>
        <w:tab/>
        <w:t>If the Employee is prevented from work due 10 sickness or accident, he shall inform the Employer without delay and shall submit a medical certificate within three work days. In case the Employee is prevented from work for a longer period of time than stated in the medical certificate, the Employee shall so inform the Employer and shall, at the Employer’s request, submit another medical certificate.</w:t>
      </w:r>
    </w:p>
    <w:p>
      <w:pPr>
        <w:spacing w:after="0" w:line="161" w:lineRule="exact"/>
        <w:rPr>
          <w:sz w:val="20"/>
          <w:szCs w:val="20"/>
          <w:color w:val="auto"/>
        </w:rPr>
      </w:pPr>
    </w:p>
    <w:p>
      <w:pPr>
        <w:ind w:left="500" w:right="20" w:hanging="647"/>
        <w:spacing w:after="0" w:line="223" w:lineRule="auto"/>
        <w:tabs>
          <w:tab w:leader="none" w:pos="480" w:val="left"/>
        </w:tabs>
        <w:rPr>
          <w:sz w:val="20"/>
          <w:szCs w:val="20"/>
          <w:color w:val="auto"/>
        </w:rPr>
      </w:pPr>
      <w:r>
        <w:rPr>
          <w:rFonts w:ascii="Arial" w:cs="Arial" w:eastAsia="Arial" w:hAnsi="Arial"/>
          <w:sz w:val="22"/>
          <w:szCs w:val="22"/>
          <w:color w:val="auto"/>
        </w:rPr>
        <w:t>5.2</w:t>
        <w:tab/>
        <w:t>The Employer shall, at any time, be entitled to demand a physical exam by a doctor appointed by the Employer. The Employee releases such doctor a well as his own doctor from their secrecy obligations to the extent this is required for the assessment of the Employer’s rights and obligations.</w:t>
      </w:r>
    </w:p>
    <w:p>
      <w:pPr>
        <w:spacing w:after="0" w:line="15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Working Hours/Vacations</w:t>
      </w:r>
    </w:p>
    <w:p>
      <w:pPr>
        <w:spacing w:after="0" w:line="185" w:lineRule="exact"/>
        <w:rPr>
          <w:sz w:val="20"/>
          <w:szCs w:val="20"/>
          <w:color w:val="auto"/>
        </w:rPr>
      </w:pPr>
    </w:p>
    <w:p>
      <w:pPr>
        <w:ind w:left="500" w:right="160" w:hanging="647"/>
        <w:spacing w:after="0" w:line="234" w:lineRule="auto"/>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The Employee agrees to exercise his best efforts to successfully and carefully accomplish the duties assigned to him and further agrees that he shall devote at least 40 hours per week to service on behalf of the Employer. The Employee agrees to perform overtime work if necessary to properly fulfill his employment duties.</w:t>
      </w:r>
    </w:p>
    <w:p>
      <w:pPr>
        <w:spacing w:after="0" w:line="158" w:lineRule="exact"/>
        <w:rPr>
          <w:sz w:val="20"/>
          <w:szCs w:val="20"/>
          <w:color w:val="auto"/>
        </w:rPr>
      </w:pPr>
    </w:p>
    <w:p>
      <w:pPr>
        <w:ind w:left="480" w:right="200" w:hanging="647"/>
        <w:spacing w:after="0" w:line="232" w:lineRule="auto"/>
        <w:tabs>
          <w:tab w:leader="none" w:pos="460" w:val="left"/>
        </w:tabs>
        <w:rPr>
          <w:sz w:val="20"/>
          <w:szCs w:val="20"/>
          <w:color w:val="auto"/>
        </w:rPr>
      </w:pPr>
      <w:r>
        <w:rPr>
          <w:rFonts w:ascii="Arial" w:cs="Arial" w:eastAsia="Arial" w:hAnsi="Arial"/>
          <w:sz w:val="22"/>
          <w:szCs w:val="22"/>
          <w:color w:val="auto"/>
        </w:rPr>
        <w:t>6.2</w:t>
        <w:tab/>
        <w:t>Any overtime work is compensated by the remuneration envisaged in this Agreement. There shall be neither an additional financial compensation nor compensation by free time.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The Employee shall be entitled to 25 days of paid vacations per calendar year.</w:t>
      </w:r>
    </w:p>
    <w:p>
      <w:pPr>
        <w:spacing w:after="0" w:line="173"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Duties of Loyalty and Confidentiality</w:t>
      </w:r>
    </w:p>
    <w:p>
      <w:pPr>
        <w:spacing w:after="0" w:line="185" w:lineRule="exact"/>
        <w:rPr>
          <w:sz w:val="20"/>
          <w:szCs w:val="20"/>
          <w:color w:val="auto"/>
        </w:rPr>
      </w:pPr>
    </w:p>
    <w:p>
      <w:pPr>
        <w:ind w:left="500" w:hanging="647"/>
        <w:spacing w:after="0" w:line="246" w:lineRule="auto"/>
        <w:tabs>
          <w:tab w:leader="none" w:pos="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The Employee shall devote his efforts exclusively to the Employer in furtherance of the Employer’s interests. Any engagement in additional occupations for remuneration or any participation in any kind of enterprise requires the written consent of the Employer. This shall not apply to the usual acquisition of shares or other stocks up to 5% of equity capital or 5% of voting rights exclusively for investment purposes, 10 the extent those investments do not create any conflict of interest such as may be the case with investments in competitors’ equity. The acquisition of shares or other stocks in listed or non-listed companies that maintain business relationships with the Employer or that compete with the Employer must in any case be approved in advance and in writing by the Chief Executive Officer of the Employer, with a copy of such approval promptly provided by the Employee to the Senior Vice President of Human Resources to include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01" w:right="359" w:bottom="1440" w:gutter="0" w:footer="0" w:header="0"/>
        </w:sectPr>
      </w:pPr>
    </w:p>
    <w:bookmarkStart w:id="131" w:name="page132"/>
    <w:bookmarkEnd w:id="131"/>
    <w:p>
      <w:pPr>
        <w:ind w:left="652" w:right="280"/>
        <w:spacing w:after="0" w:line="232" w:lineRule="auto"/>
        <w:rPr>
          <w:sz w:val="20"/>
          <w:szCs w:val="20"/>
          <w:color w:val="auto"/>
        </w:rPr>
      </w:pPr>
      <w:r>
        <w:rPr>
          <w:rFonts w:ascii="Arial" w:cs="Arial" w:eastAsia="Arial" w:hAnsi="Arial"/>
          <w:sz w:val="22"/>
          <w:szCs w:val="22"/>
          <w:color w:val="auto"/>
        </w:rPr>
        <w:t>the Employee’s personnel file. The Membership in the board of directors or supervisory board of other companies shall also require the prior written approval of the Employer.</w:t>
      </w:r>
    </w:p>
    <w:p>
      <w:pPr>
        <w:spacing w:after="0" w:line="159" w:lineRule="exact"/>
        <w:rPr>
          <w:sz w:val="20"/>
          <w:szCs w:val="20"/>
          <w:color w:val="auto"/>
        </w:rPr>
      </w:pPr>
    </w:p>
    <w:p>
      <w:pPr>
        <w:ind w:left="492" w:right="120" w:hanging="647"/>
        <w:spacing w:after="0" w:line="222" w:lineRule="auto"/>
        <w:tabs>
          <w:tab w:leader="none" w:pos="472"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The Employee shall during the period of employment with the Employer and at all times thereafter, strictly keep secret and only use for the benefit of the Employer any and all confidential information, in particular information concerning contractual arrangements, customers, distributors, resellers, pricing, strategies, employee qualifications and skillsets, products, product strategies, deals, transactions or any other affairs of the Employer or its affiliates as well as their respective employees, business partners and officers and will not use any such information for his own benefit or the benefit of others. This obligation shall also exist with respect to any protected data and confidential information of third parties that the Employee gets to know as an employee of the Employer.</w:t>
      </w:r>
    </w:p>
    <w:p>
      <w:pPr>
        <w:spacing w:after="0" w:line="164" w:lineRule="exact"/>
        <w:rPr>
          <w:sz w:val="20"/>
          <w:szCs w:val="20"/>
          <w:color w:val="auto"/>
        </w:rPr>
      </w:pPr>
    </w:p>
    <w:p>
      <w:pPr>
        <w:ind w:left="492" w:right="340" w:hanging="647"/>
        <w:spacing w:after="0" w:line="257" w:lineRule="auto"/>
        <w:tabs>
          <w:tab w:leader="none" w:pos="472"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Upon termination of this Agreement, the Employee shall return to the Employer all files and any company documents concerning the business of the Employer and its affiliates in his possession or open to his access, including all designs, customer and price lists, printed material, documents, sketches, notes, drafts as well as copies thereof, as well as any objects belonging to the Employer or to an affiliate of the Employer. Any retention right is excluded.</w:t>
      </w:r>
    </w:p>
    <w:p>
      <w:pPr>
        <w:spacing w:after="0" w:line="144" w:lineRule="exact"/>
        <w:rPr>
          <w:sz w:val="20"/>
          <w:szCs w:val="20"/>
          <w:color w:val="auto"/>
        </w:rPr>
      </w:pPr>
    </w:p>
    <w:p>
      <w:pPr>
        <w:ind w:left="492" w:right="140" w:hanging="647"/>
        <w:spacing w:after="0" w:line="222" w:lineRule="auto"/>
        <w:tabs>
          <w:tab w:leader="none" w:pos="472"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color w:val="auto"/>
        </w:rPr>
        <w:t>During the term of this Agreement as well as for a period of 1 (one) year after the termination of his employment relationship, the Employee shall not, directly or indirectly, entice away or solicit any employees of the Employer or offer them a job or have them offered a job or to try to do any of these activities. Upon each violation of his obligations under this Section 7.4, the Employee shall pay to the Employer a contractual penalty in the amount equal to the remuneration received by the Employee during the last six months of the existence of this Agreement. Payment of the contractual penalty does not relieve the Employee from his obligations under this Section 7.4, and the Employer shall be free to pursue other additional available remedies.</w:t>
      </w:r>
    </w:p>
    <w:p>
      <w:pPr>
        <w:spacing w:after="0" w:line="164" w:lineRule="exact"/>
        <w:rPr>
          <w:sz w:val="20"/>
          <w:szCs w:val="20"/>
          <w:color w:val="auto"/>
        </w:rPr>
      </w:pPr>
    </w:p>
    <w:p>
      <w:pPr>
        <w:ind w:left="492" w:hanging="647"/>
        <w:spacing w:after="0" w:line="218" w:lineRule="auto"/>
        <w:tabs>
          <w:tab w:leader="none" w:pos="472"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color w:val="auto"/>
        </w:rPr>
        <w:t>During the term of this Agreement as well as for a period of 12 (twelve) months after the termination of his employment relationship, the Employee shall neither, directly or indirectly, entice away nor solicit nor try to entice away, interfere with, sell into on behalf of a competitor, or to solicit any customers, distributor, reseller, other partner (or representatives of such organizations) of the Employer for whom the Employee was active or with whom the Employee was in contact at any time and in any way during the last 24 (twenty four) months prior to the effective termination of his activity for the Employer (hereinafter, all such customers, distributors, resellers, or other partners (or representative of such organizations) shall be referred to as the “Customer”). During the tern, of this Agreement as well as for a period of 12 (twelve) months after the termination of his employment relationship, the Employee shall neither directly nor indirectly act on behalf of a Customer, for example as an employee, consultant, agent, corporate body or employee of a third party, nor submit an offer for such an activity. Upon each violation of his obligations under this Section 7.5 the Employee shall pay to the Employer a contractual penalty in an amount equal to the remuneration received by the Employee during the last six months of the existence of this Agreement. Payment of the contractual penalty does not relieve the Employee from observing his obligations under this Section 7.5, and the Employer shall be free to pursue other additional available remedies.</w:t>
      </w:r>
    </w:p>
    <w:p>
      <w:pPr>
        <w:spacing w:after="0" w:line="163" w:lineRule="exact"/>
        <w:rPr>
          <w:sz w:val="20"/>
          <w:szCs w:val="20"/>
          <w:color w:val="auto"/>
        </w:rPr>
      </w:pPr>
    </w:p>
    <w:p>
      <w:pPr>
        <w:ind w:left="372" w:hanging="372"/>
        <w:spacing w:after="0"/>
        <w:tabs>
          <w:tab w:leader="none" w:pos="372"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 Rights</w:t>
      </w:r>
    </w:p>
    <w:p>
      <w:pPr>
        <w:spacing w:after="0" w:line="185" w:lineRule="exact"/>
        <w:rPr>
          <w:sz w:val="20"/>
          <w:szCs w:val="20"/>
          <w:color w:val="auto"/>
        </w:rPr>
      </w:pPr>
    </w:p>
    <w:p>
      <w:pPr>
        <w:ind w:left="472" w:right="740" w:hanging="647"/>
        <w:spacing w:after="0" w:line="232" w:lineRule="auto"/>
        <w:tabs>
          <w:tab w:leader="none" w:pos="452" w:val="left"/>
        </w:tabs>
        <w:rPr>
          <w:sz w:val="20"/>
          <w:szCs w:val="20"/>
          <w:color w:val="auto"/>
        </w:rPr>
      </w:pPr>
      <w:r>
        <w:rPr>
          <w:rFonts w:ascii="Arial" w:cs="Arial" w:eastAsia="Arial" w:hAnsi="Arial"/>
          <w:sz w:val="22"/>
          <w:szCs w:val="22"/>
          <w:color w:val="auto"/>
        </w:rPr>
        <w:t>8.1</w:t>
        <w:tab/>
        <w:t>All intellectual property rights including but not limited to patent rights, design rights, copyrights and related rights, database rights, trademark rights, trade secret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32"/>
          </w:cols>
          <w:pgMar w:left="328" w:top="1401" w:right="339" w:bottom="1440" w:gutter="0" w:footer="0" w:header="0"/>
        </w:sectPr>
      </w:pPr>
    </w:p>
    <w:bookmarkStart w:id="132" w:name="page133"/>
    <w:bookmarkEnd w:id="132"/>
    <w:p>
      <w:pPr>
        <w:ind w:left="660" w:right="220"/>
        <w:spacing w:after="0" w:line="257" w:lineRule="auto"/>
        <w:rPr>
          <w:sz w:val="20"/>
          <w:szCs w:val="20"/>
          <w:color w:val="auto"/>
        </w:rPr>
      </w:pPr>
      <w:r>
        <w:rPr>
          <w:rFonts w:ascii="Arial" w:cs="Arial" w:eastAsia="Arial" w:hAnsi="Arial"/>
          <w:sz w:val="19"/>
          <w:szCs w:val="19"/>
          <w:color w:val="auto"/>
        </w:rPr>
        <w:t>chip rights as well as any rights in know how ensuing from any work performed by the Employee during the term of his employment (hereinafter the “Intellectual Property Rights”), shall exclusively vest in the Employer. The Employee may not, without the Employer’s written consent, disclose, multiply, use, manufacture, bring on the market or sell, lease, deliver or otherwise trade, offer on behalf of a third party, or register the results of his work.</w:t>
      </w:r>
    </w:p>
    <w:p>
      <w:pPr>
        <w:spacing w:after="0" w:line="144" w:lineRule="exact"/>
        <w:rPr>
          <w:sz w:val="20"/>
          <w:szCs w:val="20"/>
          <w:color w:val="auto"/>
        </w:rPr>
      </w:pPr>
    </w:p>
    <w:p>
      <w:pPr>
        <w:ind w:left="500" w:hanging="647"/>
        <w:spacing w:after="0" w:line="214" w:lineRule="auto"/>
        <w:tabs>
          <w:tab w:leader="none" w:pos="480" w:val="left"/>
        </w:tabs>
        <w:rPr>
          <w:sz w:val="20"/>
          <w:szCs w:val="20"/>
          <w:color w:val="auto"/>
        </w:rPr>
      </w:pPr>
      <w:r>
        <w:rPr>
          <w:rFonts w:ascii="Arial" w:cs="Arial" w:eastAsia="Arial" w:hAnsi="Arial"/>
          <w:sz w:val="22"/>
          <w:szCs w:val="22"/>
          <w:color w:val="auto"/>
        </w:rPr>
        <w:t>8.2</w:t>
        <w:tab/>
        <w:t>Insofar as any Intellectual Property Rights should not vest in the Employer by operation of law or based on Section 8.1 above, the Employee covenants that he will transfer and, insofar as possible, hereby transfers 10 the Employer such rights. The Employer may however renounce such transfer or transfer back to the Employee any Intellectual Property Rights at any time. If a transfer should not be possible under the applicable law, then the Employee shall grant to the Employer a perpetual, transferable, royalty-free license to use and exploit the Intellectual Property Rights in any way the Employer sees fit.</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The Employee acknowledges that his salary includes reasonable compensation for the loss of Intellectual Property Rights.</w:t>
      </w:r>
    </w:p>
    <w:p>
      <w:pPr>
        <w:spacing w:after="0" w:line="179" w:lineRule="exact"/>
        <w:rPr>
          <w:sz w:val="20"/>
          <w:szCs w:val="20"/>
          <w:color w:val="auto"/>
        </w:rPr>
      </w:pPr>
    </w:p>
    <w:p>
      <w:pPr>
        <w:ind w:left="500" w:right="60" w:hanging="647"/>
        <w:spacing w:after="0" w:line="218" w:lineRule="auto"/>
        <w:tabs>
          <w:tab w:leader="none" w:pos="480" w:val="left"/>
        </w:tabs>
        <w:rPr>
          <w:sz w:val="20"/>
          <w:szCs w:val="20"/>
          <w:color w:val="auto"/>
        </w:rPr>
      </w:pPr>
      <w:r>
        <w:rPr>
          <w:rFonts w:ascii="Arial" w:cs="Arial" w:eastAsia="Arial" w:hAnsi="Arial"/>
          <w:sz w:val="22"/>
          <w:szCs w:val="22"/>
          <w:color w:val="auto"/>
        </w:rPr>
        <w:t>8.4</w:t>
        <w:tab/>
        <w:t>The Employer is entitled to transfer the Intellectual Property Rights in full or in part to any third party. The Employer and such third parties are not obliged to mention the Employee as the author if they publish any computer programs or other works. They are free to make any modifications, translations and/or other adaptations and/or can refrain from making any publications.</w:t>
      </w:r>
    </w:p>
    <w:p>
      <w:pPr>
        <w:spacing w:after="0" w:line="155"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w:t>
      </w:r>
    </w:p>
    <w:p>
      <w:pPr>
        <w:spacing w:after="0" w:line="185" w:lineRule="exact"/>
        <w:rPr>
          <w:sz w:val="20"/>
          <w:szCs w:val="20"/>
          <w:color w:val="auto"/>
        </w:rPr>
      </w:pPr>
    </w:p>
    <w:p>
      <w:pPr>
        <w:ind w:left="660" w:right="60"/>
        <w:spacing w:after="0" w:line="249" w:lineRule="auto"/>
        <w:rPr>
          <w:sz w:val="20"/>
          <w:szCs w:val="20"/>
          <w:color w:val="auto"/>
        </w:rPr>
      </w:pPr>
      <w:r>
        <w:rPr>
          <w:rFonts w:ascii="Arial" w:cs="Arial" w:eastAsia="Arial" w:hAnsi="Arial"/>
          <w:sz w:val="19"/>
          <w:szCs w:val="19"/>
          <w:color w:val="auto"/>
        </w:rPr>
        <w:t>In view of the fact that the Employee in the course of his employment as a senior executive will acquire knowledge of the Employer’s trade secrets, business secrets, sales, product, and manufacturing secrets and/or will have insight into the Employer’s partner and customer base, and except with the express prior written consent of the CEO of Fortinet, Inc. the Employee undertakes not to, directly or indirectly, perform any activity competing with the Employer during the term of this Agreement as well as for a period of 12 (twelve) months after the term of this Agreement. After the termination of this Agreement the non-compete covenant shall be limited to apply to all of Europe, Middle East and Africa (EMEA).</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particular, the Employee agrees:</w:t>
      </w:r>
    </w:p>
    <w:p>
      <w:pPr>
        <w:spacing w:after="0" w:line="179" w:lineRule="exact"/>
        <w:rPr>
          <w:sz w:val="20"/>
          <w:szCs w:val="20"/>
          <w:color w:val="auto"/>
        </w:rPr>
      </w:pPr>
    </w:p>
    <w:p>
      <w:pPr>
        <w:ind w:left="1300" w:right="460" w:hanging="644"/>
        <w:spacing w:after="0" w:line="268" w:lineRule="auto"/>
        <w:tabs>
          <w:tab w:leader="none" w:pos="1295"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not to have, directly or indirectly, any financial or other interest in a business or company which develops, produces, markets or distributes products substantially similar to the products of the Employer or its affiliated companies or renders services similar to those rendered by the Employer or its affiliated companies;</w:t>
      </w:r>
    </w:p>
    <w:p>
      <w:pPr>
        <w:spacing w:after="0" w:line="132" w:lineRule="exact"/>
        <w:rPr>
          <w:rFonts w:ascii="Arial" w:cs="Arial" w:eastAsia="Arial" w:hAnsi="Arial"/>
          <w:sz w:val="19"/>
          <w:szCs w:val="19"/>
          <w:color w:val="auto"/>
        </w:rPr>
      </w:pPr>
    </w:p>
    <w:p>
      <w:pPr>
        <w:ind w:left="1300" w:right="220" w:hanging="644"/>
        <w:spacing w:after="0" w:line="232" w:lineRule="auto"/>
        <w:tabs>
          <w:tab w:leader="none" w:pos="1295"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not to accept any part or full time employment in such a company or to act as a consultant or representative or in any other form for such a company;</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not to directly or indirectly establish or operate such a company.</w:t>
      </w:r>
    </w:p>
    <w:p>
      <w:pPr>
        <w:spacing w:after="0" w:line="220" w:lineRule="exact"/>
        <w:rPr>
          <w:sz w:val="20"/>
          <w:szCs w:val="20"/>
          <w:color w:val="auto"/>
        </w:rPr>
      </w:pPr>
    </w:p>
    <w:p>
      <w:pPr>
        <w:ind w:left="660" w:right="300"/>
        <w:spacing w:after="0" w:line="257" w:lineRule="auto"/>
        <w:rPr>
          <w:sz w:val="20"/>
          <w:szCs w:val="20"/>
          <w:color w:val="auto"/>
        </w:rPr>
      </w:pPr>
      <w:r>
        <w:rPr>
          <w:rFonts w:ascii="Arial" w:cs="Arial" w:eastAsia="Arial" w:hAnsi="Arial"/>
          <w:sz w:val="19"/>
          <w:szCs w:val="19"/>
          <w:color w:val="auto"/>
        </w:rPr>
        <w:t>The Employee understands that a violation of the obligations under this Section 9 might cause serious damage to the Employer. Upon any breach of his obligations under this Section 9, the Employee shall pay to the Employer an amount equal to the remuneration received by the Employee during the last six months of the existence of this Agreement. The payment of the contractual penalty does not relieve the Employee from his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0" w:right="339" w:bottom="1440" w:gutter="0" w:footer="0" w:header="0"/>
        </w:sectPr>
      </w:pPr>
    </w:p>
    <w:bookmarkStart w:id="133" w:name="page134"/>
    <w:bookmarkEnd w:id="133"/>
    <w:p>
      <w:pPr>
        <w:ind w:left="652" w:right="60"/>
        <w:spacing w:after="0" w:line="223" w:lineRule="auto"/>
        <w:rPr>
          <w:sz w:val="20"/>
          <w:szCs w:val="20"/>
          <w:color w:val="auto"/>
        </w:rPr>
      </w:pPr>
      <w:r>
        <w:rPr>
          <w:rFonts w:ascii="Arial" w:cs="Arial" w:eastAsia="Arial" w:hAnsi="Arial"/>
          <w:sz w:val="22"/>
          <w:szCs w:val="22"/>
          <w:color w:val="auto"/>
        </w:rPr>
        <w:t>compete obligations, and the Employer shall be free to pursue other additional available remedies. The Employer’s right to claim damages exceeding the amount of contractual penalty is expressly reserved. In any event the Employer shall also be entitled to seek judicial enforcement of the Employee’s obligations.</w:t>
      </w:r>
    </w:p>
    <w:p>
      <w:pPr>
        <w:spacing w:after="0" w:line="153" w:lineRule="exact"/>
        <w:rPr>
          <w:sz w:val="20"/>
          <w:szCs w:val="20"/>
          <w:color w:val="auto"/>
        </w:rPr>
      </w:pPr>
    </w:p>
    <w:p>
      <w:pPr>
        <w:ind w:left="492" w:hanging="492"/>
        <w:spacing w:after="0"/>
        <w:tabs>
          <w:tab w:leader="none" w:pos="492"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18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The Employee acknowledges that his activity under this Agreement could trigger tax consequences for him and the Employer (e.g. personal income taxes or social security contributions). The Employee acknowledges and affirms that he is a sophisticated individual who understands the obligations to which he is agreeing to in this Agreement and he confirms that he has been advised by his own legal counsel in this matter. The Employee acknowledges and agrees that he is responsible to ensure he meets the requirements for full compliance with all tax and social security laws, and the Employee releases the Employer and its affiliates from, any such requirements and obligations and any and all costs and damages related thereto. The Employee further agrees to refrain from any and all activities which would create a permanent establishment of the Employer, Fortinet, Inc. or any of its affiliated entities in any jurisdiction of the world without Fortinet, Inc.’s prior written approval. For the avoidance of doubt, this shall not apply to permanent establishments that already exists prior to the Employee’s activities such as, in particular, the Employer’s branch office in Dietlikon. The Employee agrees to indemnify, defend and hold harmless in full the Employer, Fortinet, Inc. and its affiliated entities from any liabilities, damages, penalties, attorneys’ fees, costs or other expenses that may arise from the Employee’s breach of any of the obligations in this paragraph or from any tax consequences adverse to the Employer, Fortinet, Inc. or any of its affiliated entities arising from this Agreement and/or the employment relationship contemplated thereby and/or any previous employment relationship with the Employer or any of its affiliates. This Agreement does not release the Employee from any of the tax indemnification provisions in the employment agreement with his former employer, FORTINET Middle East, which is organized under the laws of TELCOM Free Zone Authority as a Dubai branch of Fortinet International, Inc. (a Cayman company) (“FORTINET Middle East, Dubai”), which indemnification shall survive indefinitely the termination of the employment agreement with his former employer, FORTINET Middle East, Dubai.</w:t>
      </w:r>
    </w:p>
    <w:p>
      <w:pPr>
        <w:spacing w:after="0" w:line="379" w:lineRule="exact"/>
        <w:rPr>
          <w:sz w:val="20"/>
          <w:szCs w:val="20"/>
          <w:color w:val="auto"/>
        </w:rPr>
      </w:pPr>
    </w:p>
    <w:p>
      <w:pPr>
        <w:ind w:left="472" w:hanging="472"/>
        <w:spacing w:after="0"/>
        <w:tabs>
          <w:tab w:leader="none" w:pos="472"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185" w:lineRule="exact"/>
        <w:rPr>
          <w:sz w:val="20"/>
          <w:szCs w:val="20"/>
          <w:color w:val="auto"/>
        </w:rPr>
      </w:pPr>
    </w:p>
    <w:p>
      <w:pPr>
        <w:ind w:left="652" w:right="240"/>
        <w:spacing w:after="0" w:line="218" w:lineRule="auto"/>
        <w:rPr>
          <w:sz w:val="20"/>
          <w:szCs w:val="20"/>
          <w:color w:val="auto"/>
        </w:rPr>
      </w:pPr>
      <w:r>
        <w:rPr>
          <w:rFonts w:ascii="Arial" w:cs="Arial" w:eastAsia="Arial" w:hAnsi="Arial"/>
          <w:sz w:val="22"/>
          <w:szCs w:val="22"/>
          <w:color w:val="auto"/>
        </w:rPr>
        <w:t>The Employee agrees that the Employer may process personal data concerning him to the extent such data relates to his suitability for the employment or is necessary to perform the employment relationship. The Employee agrees that the Employer can transfer personal data to affiliated companies outside of Switzerland, in particular to Fortinet, Inc. in the United States of America.</w:t>
      </w:r>
    </w:p>
    <w:p>
      <w:pPr>
        <w:spacing w:after="0" w:line="155" w:lineRule="exact"/>
        <w:rPr>
          <w:sz w:val="20"/>
          <w:szCs w:val="20"/>
          <w:color w:val="auto"/>
        </w:rPr>
      </w:pPr>
    </w:p>
    <w:p>
      <w:pPr>
        <w:ind w:left="492" w:hanging="492"/>
        <w:spacing w:after="0"/>
        <w:tabs>
          <w:tab w:leader="none" w:pos="492"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Duration and Termination</w:t>
      </w:r>
    </w:p>
    <w:p>
      <w:pPr>
        <w:spacing w:after="0" w:line="185" w:lineRule="exact"/>
        <w:rPr>
          <w:sz w:val="20"/>
          <w:szCs w:val="20"/>
          <w:color w:val="auto"/>
        </w:rPr>
      </w:pPr>
    </w:p>
    <w:p>
      <w:pPr>
        <w:ind w:left="592" w:right="580" w:hanging="647"/>
        <w:spacing w:after="0" w:line="298" w:lineRule="auto"/>
        <w:tabs>
          <w:tab w:leader="none" w:pos="572"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This Agreement shall be retroactively effective as of January 1, 2016 and last for an indefinite period of lime. The Employee’s start date with the group of July 1, 2005 shall be the relevant date to calculate the Employee’s seniority.</w:t>
      </w:r>
    </w:p>
    <w:p>
      <w:pPr>
        <w:spacing w:after="0" w:line="105" w:lineRule="exact"/>
        <w:rPr>
          <w:sz w:val="20"/>
          <w:szCs w:val="20"/>
          <w:color w:val="auto"/>
        </w:rPr>
      </w:pPr>
    </w:p>
    <w:p>
      <w:pPr>
        <w:ind w:left="592" w:right="40" w:hanging="647"/>
        <w:spacing w:after="0" w:line="232" w:lineRule="auto"/>
        <w:tabs>
          <w:tab w:leader="none" w:pos="572" w:val="left"/>
        </w:tabs>
        <w:rPr>
          <w:sz w:val="20"/>
          <w:szCs w:val="20"/>
          <w:color w:val="auto"/>
        </w:rPr>
      </w:pPr>
      <w:r>
        <w:rPr>
          <w:rFonts w:ascii="Arial" w:cs="Arial" w:eastAsia="Arial" w:hAnsi="Arial"/>
          <w:sz w:val="22"/>
          <w:szCs w:val="22"/>
          <w:color w:val="auto"/>
        </w:rPr>
        <w:t>12.2</w:t>
        <w:tab/>
        <w:t>This Agreement may be terminated by either party by respecting a notice period of three months with effect to the end of a calendar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32"/>
          </w:cols>
          <w:pgMar w:left="328" w:top="1400" w:right="339" w:bottom="1440" w:gutter="0" w:footer="0" w:header="0"/>
        </w:sectPr>
      </w:pPr>
    </w:p>
    <w:bookmarkStart w:id="134" w:name="page135"/>
    <w:bookmarkEnd w:id="134"/>
    <w:p>
      <w:pPr>
        <w:ind w:left="600" w:right="100" w:hanging="647"/>
        <w:spacing w:after="0" w:line="232" w:lineRule="auto"/>
        <w:tabs>
          <w:tab w:leader="none" w:pos="580" w:val="left"/>
        </w:tabs>
        <w:rPr>
          <w:sz w:val="20"/>
          <w:szCs w:val="20"/>
          <w:color w:val="auto"/>
        </w:rPr>
      </w:pPr>
      <w:r>
        <w:rPr>
          <w:rFonts w:ascii="Arial" w:cs="Arial" w:eastAsia="Arial" w:hAnsi="Arial"/>
          <w:sz w:val="22"/>
          <w:szCs w:val="22"/>
          <w:color w:val="auto"/>
        </w:rPr>
        <w:t>12.3</w:t>
        <w:tab/>
        <w:t>This Agreement terminates without notice at the end of the month on which the Employee reaches the ordinary retirement age under Swiss social security law (AHV/AVS).</w:t>
      </w:r>
    </w:p>
    <w:p>
      <w:pPr>
        <w:spacing w:after="0" w:line="159" w:lineRule="exact"/>
        <w:rPr>
          <w:sz w:val="20"/>
          <w:szCs w:val="20"/>
          <w:color w:val="auto"/>
        </w:rPr>
      </w:pPr>
    </w:p>
    <w:p>
      <w:pPr>
        <w:ind w:left="600" w:right="180" w:hanging="647"/>
        <w:spacing w:after="0" w:line="268" w:lineRule="auto"/>
        <w:tabs>
          <w:tab w:leader="none" w:pos="5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The Employer has at any time the right to relieve the Employee from his obligation to work. Any income that the Employee receives from any activity during such release period shall be deducted from his salary and other entitlement. The Employee shall compensate any vacation during such release period and shall not engage in any competing activity.</w:t>
      </w:r>
    </w:p>
    <w:p>
      <w:pPr>
        <w:spacing w:after="0" w:line="126"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185" w:lineRule="exact"/>
        <w:rPr>
          <w:sz w:val="20"/>
          <w:szCs w:val="20"/>
          <w:color w:val="auto"/>
        </w:rPr>
      </w:pPr>
    </w:p>
    <w:p>
      <w:pPr>
        <w:ind w:left="600" w:right="240" w:hanging="647"/>
        <w:spacing w:after="0" w:line="216" w:lineRule="auto"/>
        <w:tabs>
          <w:tab w:leader="none" w:pos="580" w:val="left"/>
        </w:tabs>
        <w:rPr>
          <w:sz w:val="20"/>
          <w:szCs w:val="20"/>
          <w:color w:val="auto"/>
        </w:rPr>
      </w:pPr>
      <w:r>
        <w:rPr>
          <w:rFonts w:ascii="Arial" w:cs="Arial" w:eastAsia="Arial" w:hAnsi="Arial"/>
          <w:sz w:val="22"/>
          <w:szCs w:val="22"/>
          <w:color w:val="auto"/>
        </w:rPr>
        <w:t>13.1</w:t>
        <w:tab/>
        <w:t>Unless explicitly stated differently herein, this Agreement replaces all prior understandings and/or contracts between the parties. For the avoidance of doubt, the Proprietary Information and Inventions Agreement between the Employee and Fortinet, Inc. shall, however, remain in full force and effect and the Employee agrees to comply with its terms. The Employee acknowledges and agrees (also in favor of other Fortinet entities) that any previous employment relationship with any other Fortinet entity has been terminated.</w:t>
      </w:r>
    </w:p>
    <w:p>
      <w:pPr>
        <w:spacing w:after="0" w:line="158" w:lineRule="exact"/>
        <w:rPr>
          <w:sz w:val="20"/>
          <w:szCs w:val="20"/>
          <w:color w:val="auto"/>
        </w:rPr>
      </w:pPr>
    </w:p>
    <w:p>
      <w:pPr>
        <w:ind w:left="600" w:right="980" w:hanging="647"/>
        <w:spacing w:after="0" w:line="298" w:lineRule="auto"/>
        <w:tabs>
          <w:tab w:leader="none" w:pos="5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Amendments and additions to this Agreement including this clause must be in writing to be effective. This form requirement does not apply to the notice of termination which does not require a particular form.</w:t>
      </w:r>
    </w:p>
    <w:p>
      <w:pPr>
        <w:spacing w:after="0" w:line="105" w:lineRule="exact"/>
        <w:rPr>
          <w:sz w:val="20"/>
          <w:szCs w:val="20"/>
          <w:color w:val="auto"/>
        </w:rPr>
      </w:pPr>
    </w:p>
    <w:p>
      <w:pPr>
        <w:ind w:left="600" w:right="240" w:hanging="647"/>
        <w:spacing w:after="0" w:line="234" w:lineRule="auto"/>
        <w:tabs>
          <w:tab w:leader="none" w:pos="5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Should one or several provisions of this Agreement prove invalid, in part or in whole, such invalid provision(s) shall not affect the validity of the other provisions in this Agreement. The invalid provision(s) shall be replaced by such valid provision(s) that best meet(s) the parties’ intention when agreeing on the invalid provision(s),</w:t>
      </w:r>
    </w:p>
    <w:p>
      <w:pPr>
        <w:spacing w:after="0" w:line="15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Acknowledgment</w:t>
      </w:r>
    </w:p>
    <w:p>
      <w:pPr>
        <w:spacing w:after="0" w:line="185" w:lineRule="exact"/>
        <w:rPr>
          <w:sz w:val="20"/>
          <w:szCs w:val="20"/>
          <w:color w:val="auto"/>
        </w:rPr>
      </w:pPr>
    </w:p>
    <w:p>
      <w:pPr>
        <w:jc w:val="both"/>
        <w:ind w:left="600" w:hanging="647"/>
        <w:spacing w:after="0" w:line="223" w:lineRule="auto"/>
        <w:tabs>
          <w:tab w:leader="none" w:pos="580" w:val="left"/>
        </w:tabs>
        <w:rPr>
          <w:sz w:val="20"/>
          <w:szCs w:val="20"/>
          <w:color w:val="auto"/>
        </w:rPr>
      </w:pPr>
      <w:r>
        <w:rPr>
          <w:rFonts w:ascii="Arial" w:cs="Arial" w:eastAsia="Arial" w:hAnsi="Arial"/>
          <w:sz w:val="22"/>
          <w:szCs w:val="22"/>
          <w:color w:val="auto"/>
        </w:rPr>
        <w:t>14.1</w:t>
        <w:tab/>
        <w:t>The Employee hereby acknowledges and agrees that (1) at all times he shall conduct himself in an ethical manner and shall lead to set, and be responsible to ensure, the proper “tone at the top” around the importance of ethical practices and (2) he has been informed and understands the following policies:</w:t>
      </w:r>
    </w:p>
    <w:p>
      <w:pPr>
        <w:spacing w:after="0" w:line="159" w:lineRule="exact"/>
        <w:rPr>
          <w:sz w:val="20"/>
          <w:szCs w:val="20"/>
          <w:color w:val="auto"/>
        </w:rPr>
      </w:pPr>
    </w:p>
    <w:p>
      <w:pPr>
        <w:ind w:left="1120" w:hanging="464"/>
        <w:spacing w:after="0"/>
        <w:tabs>
          <w:tab w:leader="none" w:pos="11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Code of Business Conduct and Ethics;</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Financial Information Integrity Policy;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Insider Trading Policy;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Gifts, Entertainment and Travel Policy; and</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International Handbook</w:t>
      </w:r>
    </w:p>
    <w:p>
      <w:pPr>
        <w:spacing w:after="0" w:line="179" w:lineRule="exact"/>
        <w:rPr>
          <w:sz w:val="20"/>
          <w:szCs w:val="20"/>
          <w:color w:val="auto"/>
        </w:rPr>
      </w:pPr>
    </w:p>
    <w:p>
      <w:pPr>
        <w:ind w:left="660" w:right="60"/>
        <w:spacing w:after="0" w:line="214" w:lineRule="auto"/>
        <w:rPr>
          <w:sz w:val="20"/>
          <w:szCs w:val="20"/>
          <w:color w:val="auto"/>
        </w:rPr>
      </w:pPr>
      <w:r>
        <w:rPr>
          <w:rFonts w:ascii="Arial" w:cs="Arial" w:eastAsia="Arial" w:hAnsi="Arial"/>
          <w:sz w:val="22"/>
          <w:szCs w:val="22"/>
          <w:color w:val="auto"/>
        </w:rPr>
        <w:t>and Employee undertakes and agrees to comply strictly to the terms and conditions of these policies and any and all other policies of the Employer, as they will be in force at the relevant time throughout the term of this Agreement. The Employee understands that the Employer will rely on the Employee’s quarterly sales certification, and the Employee agrees to take seriously his quarterly sales certification and to ensure that, at all times, such certifications, as submitted by the Employee on a quarterly basis, are entirely accurate, complete and not misleading. In addition, the Employee understands and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0" w:right="339" w:bottom="1440" w:gutter="0" w:footer="0" w:header="0"/>
        </w:sectPr>
      </w:pPr>
    </w:p>
    <w:bookmarkStart w:id="135" w:name="page136"/>
    <w:bookmarkEnd w:id="135"/>
    <w:p>
      <w:pPr>
        <w:ind w:left="660"/>
        <w:spacing w:after="0" w:line="232" w:lineRule="auto"/>
        <w:rPr>
          <w:sz w:val="20"/>
          <w:szCs w:val="20"/>
          <w:color w:val="auto"/>
        </w:rPr>
      </w:pPr>
      <w:r>
        <w:rPr>
          <w:rFonts w:ascii="Arial" w:cs="Arial" w:eastAsia="Arial" w:hAnsi="Arial"/>
          <w:sz w:val="22"/>
          <w:szCs w:val="22"/>
          <w:color w:val="auto"/>
        </w:rPr>
        <w:t>it is essential that he take proper steps and takes ownership to ensure his full team complies at all times with all of the policies of Fortinet, Inc.</w:t>
      </w:r>
    </w:p>
    <w:p>
      <w:pPr>
        <w:spacing w:after="0" w:line="15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Applicable Law</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shall be governed by Swiss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The Employee</w:t>
      </w:r>
    </w:p>
    <w:p>
      <w:pPr>
        <w:spacing w:after="0" w:line="274" w:lineRule="exact"/>
        <w:rPr>
          <w:sz w:val="20"/>
          <w:szCs w:val="20"/>
          <w:color w:val="auto"/>
        </w:rPr>
      </w:pPr>
    </w:p>
    <w:p>
      <w:pPr>
        <w:ind w:left="80"/>
        <w:spacing w:after="0"/>
        <w:tabs>
          <w:tab w:leader="none" w:pos="1140" w:val="left"/>
          <w:tab w:leader="none" w:pos="54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January 24, 2018</w:t>
      </w:r>
      <w:r>
        <w:rPr>
          <w:sz w:val="20"/>
          <w:szCs w:val="20"/>
          <w:color w:val="auto"/>
        </w:rPr>
        <w:tab/>
      </w:r>
      <w:r>
        <w:rPr>
          <w:rFonts w:ascii="Arial" w:cs="Arial" w:eastAsia="Arial" w:hAnsi="Arial"/>
          <w:sz w:val="19"/>
          <w:szCs w:val="19"/>
          <w:color w:val="auto"/>
        </w:rPr>
        <w:t>/s/ Patrice Perche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15875</wp:posOffset>
            </wp:positionV>
            <wp:extent cx="55289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5528945" cy="8890"/>
                    </a:xfrm>
                    <a:prstGeom prst="rect">
                      <a:avLst/>
                    </a:prstGeom>
                    <a:noFill/>
                  </pic:spPr>
                </pic:pic>
              </a:graphicData>
            </a:graphic>
          </wp:anchor>
        </w:drawing>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Patrice Perche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The Employer</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FORTINET UK LIMITED, READING (UK),</w:t>
      </w:r>
    </w:p>
    <w:p>
      <w:pPr>
        <w:ind w:left="5280"/>
        <w:spacing w:after="0"/>
        <w:rPr>
          <w:sz w:val="20"/>
          <w:szCs w:val="20"/>
          <w:color w:val="auto"/>
        </w:rPr>
      </w:pPr>
      <w:r>
        <w:rPr>
          <w:rFonts w:ascii="Arial" w:cs="Arial" w:eastAsia="Arial" w:hAnsi="Arial"/>
          <w:sz w:val="22"/>
          <w:szCs w:val="22"/>
          <w:color w:val="auto"/>
        </w:rPr>
        <w:t>Dietlikon Branch</w:t>
      </w:r>
    </w:p>
    <w:p>
      <w:pPr>
        <w:spacing w:after="0" w:line="256" w:lineRule="exact"/>
        <w:rPr>
          <w:sz w:val="20"/>
          <w:szCs w:val="20"/>
          <w:color w:val="auto"/>
        </w:rPr>
      </w:pPr>
    </w:p>
    <w:p>
      <w:pPr>
        <w:ind w:left="80"/>
        <w:spacing w:after="0"/>
        <w:tabs>
          <w:tab w:leader="none" w:pos="1120" w:val="left"/>
          <w:tab w:leader="none" w:pos="52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January 24, 2018</w:t>
      </w:r>
      <w:r>
        <w:rPr>
          <w:sz w:val="20"/>
          <w:szCs w:val="20"/>
          <w:color w:val="auto"/>
        </w:rPr>
        <w:tab/>
      </w:r>
      <w:r>
        <w:rPr>
          <w:rFonts w:ascii="Arial" w:cs="Arial" w:eastAsia="Arial" w:hAnsi="Arial"/>
          <w:sz w:val="19"/>
          <w:szCs w:val="19"/>
          <w:color w:val="auto"/>
        </w:rPr>
        <w:t>/s/ John Whittle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15875</wp:posOffset>
            </wp:positionV>
            <wp:extent cx="64293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Authorized Signatory as per the Commercial Register</w:t>
      </w:r>
    </w:p>
    <w:p>
      <w:pPr>
        <w:sectPr>
          <w:pgSz w:w="11900" w:h="16838" w:orient="portrait"/>
          <w:cols w:equalWidth="0" w:num="1">
            <w:col w:w="10820"/>
          </w:cols>
          <w:pgMar w:left="320" w:top="1400" w:right="759" w:bottom="1440" w:gutter="0" w:footer="0" w:header="0"/>
        </w:sectPr>
      </w:pPr>
    </w:p>
    <w:p>
      <w:pPr>
        <w:spacing w:after="0" w:line="274"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John Whittle</w:t>
      </w:r>
    </w:p>
    <w:p>
      <w:pPr>
        <w:spacing w:after="0" w:line="56" w:lineRule="exact"/>
        <w:rPr>
          <w:sz w:val="20"/>
          <w:szCs w:val="20"/>
          <w:color w:val="auto"/>
        </w:rPr>
      </w:pPr>
    </w:p>
    <w:p>
      <w:pPr>
        <w:sectPr>
          <w:pgSz w:w="11900" w:h="16838" w:orient="portrait"/>
          <w:cols w:equalWidth="0" w:num="2">
            <w:col w:w="5860" w:space="500"/>
            <w:col w:w="4460"/>
          </w:cols>
          <w:pgMar w:left="320" w:top="1400" w:right="759" w:bottom="1440" w:gutter="0" w:footer="0" w:header="0"/>
          <w:type w:val="continuous"/>
        </w:sectPr>
      </w:pPr>
    </w:p>
    <w:p>
      <w:pPr>
        <w:ind w:left="528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 General Counsel</w:t>
      </w:r>
    </w:p>
    <w:p>
      <w:pPr>
        <w:spacing w:after="0" w:line="222" w:lineRule="exact"/>
        <w:rPr>
          <w:sz w:val="20"/>
          <w:szCs w:val="20"/>
          <w:color w:val="auto"/>
        </w:rPr>
      </w:pPr>
    </w:p>
    <w:p>
      <w:pPr>
        <w:sectPr>
          <w:pgSz w:w="11900" w:h="16838" w:orient="portrait"/>
          <w:cols w:equalWidth="0" w:num="2">
            <w:col w:w="5740" w:space="620"/>
            <w:col w:w="4460"/>
          </w:cols>
          <w:pgMar w:left="320" w:top="1400"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820"/>
          </w:cols>
          <w:pgMar w:left="320" w:top="1400" w:right="75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FORTINET,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185"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This Change of Control Severance Agreement (the “Agreement”) is made and entered into by and between Patrice Perche (“Executive”) and Fortinet, Inc. (the “Company”), effective as of February 21, 2023 (the “Effective Date”).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85" w:lineRule="exact"/>
        <w:rPr>
          <w:sz w:val="20"/>
          <w:szCs w:val="20"/>
          <w:color w:val="auto"/>
        </w:rPr>
      </w:pPr>
    </w:p>
    <w:p>
      <w:pPr>
        <w:jc w:val="both"/>
        <w:ind w:firstLine="656"/>
        <w:spacing w:after="0" w:line="214" w:lineRule="auto"/>
        <w:tabs>
          <w:tab w:leader="none" w:pos="1047" w:val="left"/>
        </w:tabs>
        <w:numPr>
          <w:ilvl w:val="0"/>
          <w:numId w:val="88"/>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072"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065"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NOW, THEREFORE, in consideration of the mutual covenants contained herein, the parties hereto agree as follows:</w:t>
      </w:r>
    </w:p>
    <w:p>
      <w:pPr>
        <w:spacing w:after="0" w:line="191" w:lineRule="exact"/>
        <w:rPr>
          <w:sz w:val="20"/>
          <w:szCs w:val="20"/>
          <w:color w:val="auto"/>
        </w:rPr>
      </w:pPr>
    </w:p>
    <w:p>
      <w:pPr>
        <w:jc w:val="both"/>
        <w:ind w:firstLine="656"/>
        <w:spacing w:after="0" w:line="223" w:lineRule="auto"/>
        <w:tabs>
          <w:tab w:leader="none" w:pos="1296" w:val="left"/>
        </w:tabs>
        <w:numPr>
          <w:ilvl w:val="1"/>
          <w:numId w:val="89"/>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58" w:lineRule="exact"/>
        <w:rPr>
          <w:rFonts w:ascii="Arial" w:cs="Arial" w:eastAsia="Arial" w:hAnsi="Arial"/>
          <w:sz w:val="22"/>
          <w:szCs w:val="22"/>
          <w:color w:val="010000"/>
        </w:rPr>
      </w:pPr>
    </w:p>
    <w:p>
      <w:pPr>
        <w:jc w:val="both"/>
        <w:ind w:firstLine="656"/>
        <w:spacing w:after="0" w:line="216" w:lineRule="auto"/>
        <w:tabs>
          <w:tab w:leader="none" w:pos="1296" w:val="left"/>
        </w:tabs>
        <w:numPr>
          <w:ilvl w:val="1"/>
          <w:numId w:val="89"/>
        </w:numPr>
        <w:rPr>
          <w:rFonts w:ascii="Arial" w:cs="Arial" w:eastAsia="Arial" w:hAnsi="Arial"/>
          <w:sz w:val="22"/>
          <w:szCs w:val="22"/>
          <w:color w:val="010000"/>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 entitled to any acceleration of any Award (as defined herein) vesting or severance pay based on termination of employment other than as provided by this Agreement.</w:t>
      </w:r>
    </w:p>
    <w:p>
      <w:pPr>
        <w:spacing w:after="0" w:line="157" w:lineRule="exact"/>
        <w:rPr>
          <w:rFonts w:ascii="Arial" w:cs="Arial" w:eastAsia="Arial" w:hAnsi="Arial"/>
          <w:sz w:val="22"/>
          <w:szCs w:val="22"/>
          <w:color w:val="010000"/>
        </w:rPr>
      </w:pPr>
    </w:p>
    <w:p>
      <w:pPr>
        <w:ind w:left="1300" w:hanging="644"/>
        <w:spacing w:after="0"/>
        <w:tabs>
          <w:tab w:leader="none" w:pos="1300" w:val="left"/>
        </w:tabs>
        <w:numPr>
          <w:ilvl w:val="1"/>
          <w:numId w:val="89"/>
        </w:numPr>
        <w:rPr>
          <w:rFonts w:ascii="Arial" w:cs="Arial" w:eastAsia="Arial" w:hAnsi="Arial"/>
          <w:sz w:val="22"/>
          <w:szCs w:val="22"/>
          <w:color w:val="010000"/>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jc w:val="both"/>
        <w:ind w:firstLine="1304"/>
        <w:spacing w:after="0" w:line="243" w:lineRule="auto"/>
        <w:tabs>
          <w:tab w:leader="none" w:pos="1941" w:val="left"/>
        </w:tabs>
        <w:numPr>
          <w:ilvl w:val="2"/>
          <w:numId w:val="89"/>
        </w:numPr>
        <w:rPr>
          <w:rFonts w:ascii="Arial" w:cs="Arial" w:eastAsia="Arial" w:hAnsi="Arial"/>
          <w:sz w:val="19"/>
          <w:szCs w:val="19"/>
          <w:color w:val="010000"/>
        </w:rPr>
      </w:pPr>
      <w:r>
        <w:rPr>
          <w:rFonts w:ascii="Arial" w:cs="Arial" w:eastAsia="Arial" w:hAnsi="Arial"/>
          <w:sz w:val="19"/>
          <w:szCs w:val="19"/>
          <w:u w:val="single" w:color="auto"/>
          <w:color w:val="auto"/>
        </w:rPr>
        <w:t>Involuntary Termination Prior to, or Absent, a Change of Control or After 12 Months Following a Change of Control</w:t>
      </w:r>
      <w:r>
        <w:rPr>
          <w:rFonts w:ascii="Arial" w:cs="Arial" w:eastAsia="Arial" w:hAnsi="Arial"/>
          <w:sz w:val="19"/>
          <w:szCs w:val="19"/>
          <w:color w:val="auto"/>
        </w:rPr>
        <w:t>. If prior to, or absent, a Change of Control or after twelve (12) months following a Change of Control, (i) the Company (or any parent or subsidiary of the Company) terminates Executive’s employment without Cause (as defined herein) or</w:t>
      </w:r>
    </w:p>
    <w:p>
      <w:pPr>
        <w:spacing w:after="0" w:line="2" w:lineRule="exact"/>
        <w:rPr>
          <w:rFonts w:ascii="Arial" w:cs="Arial" w:eastAsia="Arial" w:hAnsi="Arial"/>
          <w:sz w:val="19"/>
          <w:szCs w:val="19"/>
          <w:color w:val="010000"/>
        </w:rPr>
      </w:pPr>
    </w:p>
    <w:p>
      <w:pPr>
        <w:jc w:val="both"/>
        <w:ind w:firstLine="8"/>
        <w:spacing w:after="0" w:line="217" w:lineRule="auto"/>
        <w:tabs>
          <w:tab w:leader="none" w:pos="3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terminates Executive’s employment with the Company (or any parent or subsidiary of the Company) for Good Reason (as defined herein), then, subject to Sections 3(c) and (d) below, Executive will receive the following severance from the Company:</w:t>
      </w:r>
    </w:p>
    <w:p>
      <w:pPr>
        <w:sectPr>
          <w:pgSz w:w="11900" w:h="16838" w:orient="portrait"/>
          <w:cols w:equalWidth="0" w:num="1">
            <w:col w:w="11240"/>
          </w:cols>
          <w:pgMar w:left="320" w:top="1394" w:right="339" w:bottom="1440" w:gutter="0" w:footer="0" w:header="0"/>
        </w:sectPr>
      </w:pPr>
    </w:p>
    <w:bookmarkStart w:id="137" w:name="page138"/>
    <w:bookmarkEnd w:id="137"/>
    <w:p>
      <w:pPr>
        <w:jc w:val="both"/>
        <w:ind w:left="-220" w:firstLine="1952"/>
        <w:spacing w:after="0" w:line="223" w:lineRule="auto"/>
        <w:tabs>
          <w:tab w:leader="none" w:pos="2360" w:val="left"/>
        </w:tabs>
        <w:numPr>
          <w:ilvl w:val="1"/>
          <w:numId w:val="91"/>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twelve (12) months from the date of such termination equal to Executive’s base salary rate as in effect immediately prior to Executive’s termination.</w:t>
      </w:r>
    </w:p>
    <w:p>
      <w:pPr>
        <w:spacing w:after="0" w:line="158" w:lineRule="exact"/>
        <w:rPr>
          <w:rFonts w:ascii="Arial" w:cs="Arial" w:eastAsia="Arial" w:hAnsi="Arial"/>
          <w:sz w:val="22"/>
          <w:szCs w:val="22"/>
          <w:color w:val="010000"/>
        </w:rPr>
      </w:pPr>
    </w:p>
    <w:p>
      <w:pPr>
        <w:jc w:val="both"/>
        <w:ind w:left="-220" w:firstLine="1952"/>
        <w:spacing w:after="0" w:line="216" w:lineRule="auto"/>
        <w:tabs>
          <w:tab w:leader="none" w:pos="2366" w:val="left"/>
        </w:tabs>
        <w:numPr>
          <w:ilvl w:val="1"/>
          <w:numId w:val="91"/>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equity awards (“Awards”) at the time of Executive’s termination, then the unvested portion of such Awards that would have otherwise vested over a twelve (12) month period following such termination pursuant to the vesting schedule set forth in the award agreement will immediately vest as of Executive’s termination date. The Awards will remain exercisable following the termination for the period prescribed in the respective stock plan and agreement for each award.</w:t>
      </w:r>
    </w:p>
    <w:p>
      <w:pPr>
        <w:spacing w:after="0" w:line="157" w:lineRule="exact"/>
        <w:rPr>
          <w:rFonts w:ascii="Arial" w:cs="Arial" w:eastAsia="Arial" w:hAnsi="Arial"/>
          <w:sz w:val="22"/>
          <w:szCs w:val="22"/>
          <w:color w:val="010000"/>
        </w:rPr>
      </w:pPr>
    </w:p>
    <w:p>
      <w:pPr>
        <w:ind w:left="-220" w:firstLine="1952"/>
        <w:spacing w:after="0" w:line="298" w:lineRule="auto"/>
        <w:tabs>
          <w:tab w:leader="none" w:pos="2372" w:val="left"/>
        </w:tabs>
        <w:numPr>
          <w:ilvl w:val="1"/>
          <w:numId w:val="91"/>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 (12) months for Executive and Executive’s eligible dependents under the Company’s Benefit Plans (as defined herein).</w:t>
      </w:r>
    </w:p>
    <w:p>
      <w:pPr>
        <w:spacing w:after="0" w:line="105" w:lineRule="exact"/>
        <w:rPr>
          <w:rFonts w:ascii="Arial" w:cs="Arial" w:eastAsia="Arial" w:hAnsi="Arial"/>
          <w:sz w:val="19"/>
          <w:szCs w:val="19"/>
          <w:color w:val="010000"/>
        </w:rPr>
      </w:pPr>
    </w:p>
    <w:p>
      <w:pPr>
        <w:jc w:val="both"/>
        <w:ind w:left="-220" w:firstLine="1304"/>
        <w:spacing w:after="0" w:line="216" w:lineRule="auto"/>
        <w:tabs>
          <w:tab w:leader="none" w:pos="1719" w:val="left"/>
        </w:tabs>
        <w:numPr>
          <w:ilvl w:val="0"/>
          <w:numId w:val="92"/>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57" w:lineRule="exact"/>
        <w:rPr>
          <w:rFonts w:ascii="Arial" w:cs="Arial" w:eastAsia="Arial" w:hAnsi="Arial"/>
          <w:sz w:val="22"/>
          <w:szCs w:val="22"/>
          <w:color w:val="010000"/>
        </w:rPr>
      </w:pPr>
    </w:p>
    <w:p>
      <w:pPr>
        <w:jc w:val="both"/>
        <w:ind w:left="-220" w:right="20" w:firstLine="1952"/>
        <w:spacing w:after="0" w:line="223" w:lineRule="auto"/>
        <w:tabs>
          <w:tab w:leader="none" w:pos="2360" w:val="left"/>
        </w:tabs>
        <w:numPr>
          <w:ilvl w:val="1"/>
          <w:numId w:val="92"/>
        </w:numPr>
        <w:rPr>
          <w:rFonts w:ascii="Arial" w:cs="Arial" w:eastAsia="Arial" w:hAnsi="Arial"/>
          <w:sz w:val="22"/>
          <w:szCs w:val="22"/>
          <w:color w:val="010000"/>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continuing payments of severance pay for a period of twelve (12) months from the date of such termination equal to Executive’s base salary rate as in effect immediately prior to (A) the Change of Control, or (B) Executive’s termination, whichever is greater.</w:t>
      </w:r>
    </w:p>
    <w:p>
      <w:pPr>
        <w:spacing w:after="0" w:line="158" w:lineRule="exact"/>
        <w:rPr>
          <w:rFonts w:ascii="Arial" w:cs="Arial" w:eastAsia="Arial" w:hAnsi="Arial"/>
          <w:sz w:val="22"/>
          <w:szCs w:val="22"/>
          <w:color w:val="010000"/>
        </w:rPr>
      </w:pPr>
    </w:p>
    <w:p>
      <w:pPr>
        <w:jc w:val="both"/>
        <w:ind w:left="-220" w:firstLine="1952"/>
        <w:spacing w:after="0" w:line="246" w:lineRule="auto"/>
        <w:tabs>
          <w:tab w:leader="none" w:pos="2366" w:val="left"/>
        </w:tabs>
        <w:numPr>
          <w:ilvl w:val="1"/>
          <w:numId w:val="92"/>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If Executive holds Awards at the time of Executive’s termination, then one hundred percent (100%) of the then- unvested shares subject to such Awards will immediately vest as of Executive’s termination date. For the sake of clarity,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 The Awards will remain exercisable, to the extent applicable, following the termination for the period prescribed in the respective stock plan and agreement for each Award.</w:t>
      </w:r>
    </w:p>
    <w:p>
      <w:pPr>
        <w:spacing w:after="0" w:line="152" w:lineRule="exact"/>
        <w:rPr>
          <w:rFonts w:ascii="Arial" w:cs="Arial" w:eastAsia="Arial" w:hAnsi="Arial"/>
          <w:sz w:val="19"/>
          <w:szCs w:val="19"/>
          <w:color w:val="010000"/>
        </w:rPr>
      </w:pPr>
    </w:p>
    <w:p>
      <w:pPr>
        <w:ind w:left="-220" w:firstLine="1952"/>
        <w:spacing w:after="0" w:line="232" w:lineRule="auto"/>
        <w:tabs>
          <w:tab w:leader="none" w:pos="2372" w:val="left"/>
        </w:tabs>
        <w:numPr>
          <w:ilvl w:val="1"/>
          <w:numId w:val="92"/>
        </w:numPr>
        <w:rPr>
          <w:rFonts w:ascii="Arial" w:cs="Arial" w:eastAsia="Arial" w:hAnsi="Arial"/>
          <w:sz w:val="22"/>
          <w:szCs w:val="22"/>
          <w:color w:val="010000"/>
        </w:rPr>
      </w:pPr>
      <w:r>
        <w:rPr>
          <w:rFonts w:ascii="Arial" w:cs="Arial" w:eastAsia="Arial" w:hAnsi="Arial"/>
          <w:sz w:val="22"/>
          <w:szCs w:val="22"/>
          <w:u w:val="single" w:color="auto"/>
          <w:color w:val="auto"/>
        </w:rPr>
        <w:t>Continued Employee Benefits</w:t>
      </w:r>
      <w:r>
        <w:rPr>
          <w:rFonts w:ascii="Arial" w:cs="Arial" w:eastAsia="Arial" w:hAnsi="Arial"/>
          <w:sz w:val="22"/>
          <w:szCs w:val="22"/>
          <w:color w:val="auto"/>
        </w:rPr>
        <w:t>. Executive will receive Company-paid coverage for a period of twelve (12) months for Executive and Executive’s eligible dependents under the Company’s Benefit Plans.</w:t>
      </w:r>
    </w:p>
    <w:p>
      <w:pPr>
        <w:spacing w:after="0" w:line="158" w:lineRule="exact"/>
        <w:rPr>
          <w:rFonts w:ascii="Arial" w:cs="Arial" w:eastAsia="Arial" w:hAnsi="Arial"/>
          <w:sz w:val="22"/>
          <w:szCs w:val="22"/>
          <w:color w:val="010000"/>
        </w:rPr>
      </w:pPr>
    </w:p>
    <w:p>
      <w:pPr>
        <w:jc w:val="both"/>
        <w:ind w:left="-220" w:firstLine="1304"/>
        <w:spacing w:after="0" w:line="221" w:lineRule="auto"/>
        <w:tabs>
          <w:tab w:leader="none" w:pos="1721" w:val="left"/>
        </w:tabs>
        <w:numPr>
          <w:ilvl w:val="0"/>
          <w:numId w:val="92"/>
        </w:numPr>
        <w:rPr>
          <w:rFonts w:ascii="Arial" w:cs="Arial" w:eastAsia="Arial" w:hAnsi="Arial"/>
          <w:sz w:val="21"/>
          <w:szCs w:val="21"/>
          <w:color w:val="010000"/>
        </w:rPr>
      </w:pPr>
      <w:r>
        <w:rPr>
          <w:rFonts w:ascii="Arial" w:cs="Arial" w:eastAsia="Arial" w:hAnsi="Arial"/>
          <w:sz w:val="21"/>
          <w:szCs w:val="21"/>
          <w:u w:val="single" w:color="auto"/>
          <w:color w:val="auto"/>
        </w:rPr>
        <w:t>Release of Claims Agreement</w:t>
      </w:r>
      <w:r>
        <w:rPr>
          <w:rFonts w:ascii="Arial" w:cs="Arial" w:eastAsia="Arial" w:hAnsi="Arial"/>
          <w:sz w:val="21"/>
          <w:szCs w:val="21"/>
          <w:color w:val="auto"/>
        </w:rPr>
        <w:t>. The receipt of any severance pay or other benefits pursuant to Sections 3(a) and (b)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0"/>
          </w:cols>
          <w:pgMar w:left="540" w:top="1400" w:right="339" w:bottom="1440" w:gutter="0" w:footer="0" w:header="0"/>
        </w:sectPr>
      </w:pPr>
    </w:p>
    <w:bookmarkStart w:id="138" w:name="page139"/>
    <w:bookmarkEnd w:id="138"/>
    <w:p>
      <w:pPr>
        <w:jc w:val="both"/>
        <w:ind w:firstLine="1304"/>
        <w:spacing w:after="0" w:line="242" w:lineRule="auto"/>
        <w:tabs>
          <w:tab w:leader="none" w:pos="1939" w:val="left"/>
        </w:tabs>
        <w:numPr>
          <w:ilvl w:val="0"/>
          <w:numId w:val="93"/>
        </w:numPr>
        <w:rPr>
          <w:rFonts w:ascii="Arial" w:cs="Arial" w:eastAsia="Arial" w:hAnsi="Arial"/>
          <w:sz w:val="19"/>
          <w:szCs w:val="19"/>
          <w:color w:val="010000"/>
        </w:rPr>
      </w:pPr>
      <w:r>
        <w:rPr>
          <w:rFonts w:ascii="Arial" w:cs="Arial" w:eastAsia="Arial" w:hAnsi="Arial"/>
          <w:sz w:val="19"/>
          <w:szCs w:val="19"/>
          <w:u w:val="single" w:color="auto"/>
          <w:color w:val="auto"/>
        </w:rPr>
        <w:t>Non-solicitation and Non-competition</w:t>
      </w:r>
      <w:r>
        <w:rPr>
          <w:rFonts w:ascii="Arial" w:cs="Arial" w:eastAsia="Arial" w:hAnsi="Arial"/>
          <w:sz w:val="19"/>
          <w:szCs w:val="19"/>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3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 applicable law, then such provisions shall be reformed to the maximum time, geographic or scope limitations, as the case may be, permitted by applicable law.</w:t>
      </w:r>
    </w:p>
    <w:p>
      <w:pPr>
        <w:spacing w:after="0" w:line="159" w:lineRule="exact"/>
        <w:rPr>
          <w:sz w:val="20"/>
          <w:szCs w:val="20"/>
          <w:color w:val="auto"/>
        </w:rPr>
      </w:pPr>
    </w:p>
    <w:p>
      <w:pPr>
        <w:jc w:val="both"/>
        <w:ind w:firstLine="1304"/>
        <w:spacing w:after="0" w:line="216" w:lineRule="auto"/>
        <w:tabs>
          <w:tab w:leader="none" w:pos="1941" w:val="left"/>
        </w:tabs>
        <w:numPr>
          <w:ilvl w:val="1"/>
          <w:numId w:val="94"/>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57" w:lineRule="exact"/>
        <w:rPr>
          <w:rFonts w:ascii="Arial" w:cs="Arial" w:eastAsia="Arial" w:hAnsi="Arial"/>
          <w:sz w:val="22"/>
          <w:szCs w:val="22"/>
          <w:color w:val="010000"/>
        </w:rPr>
      </w:pPr>
    </w:p>
    <w:p>
      <w:pPr>
        <w:ind w:left="1960" w:hanging="656"/>
        <w:spacing w:after="0"/>
        <w:tabs>
          <w:tab w:leader="none" w:pos="1960" w:val="left"/>
        </w:tabs>
        <w:numPr>
          <w:ilvl w:val="1"/>
          <w:numId w:val="94"/>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w:t>
      </w:r>
    </w:p>
    <w:p>
      <w:pPr>
        <w:spacing w:after="0" w:line="15" w:lineRule="exact"/>
        <w:rPr>
          <w:rFonts w:ascii="Arial" w:cs="Arial" w:eastAsia="Arial" w:hAnsi="Arial"/>
          <w:sz w:val="19"/>
          <w:szCs w:val="19"/>
          <w:color w:val="010000"/>
        </w:rPr>
      </w:pPr>
    </w:p>
    <w:p>
      <w:pPr>
        <w:jc w:val="both"/>
        <w:ind w:firstLine="8"/>
        <w:spacing w:after="0" w:line="251" w:lineRule="auto"/>
        <w:tabs>
          <w:tab w:leader="none" w:pos="291" w:val="left"/>
        </w:tabs>
        <w:numPr>
          <w:ilvl w:val="0"/>
          <w:numId w:val="95"/>
        </w:numPr>
        <w:rPr>
          <w:rFonts w:ascii="Arial" w:cs="Arial" w:eastAsia="Arial" w:hAnsi="Arial"/>
          <w:sz w:val="19"/>
          <w:szCs w:val="19"/>
          <w:color w:val="auto"/>
        </w:rPr>
      </w:pPr>
      <w:r>
        <w:rPr>
          <w:rFonts w:ascii="Arial" w:cs="Arial" w:eastAsia="Arial" w:hAnsi="Arial"/>
          <w:sz w:val="19"/>
          <w:szCs w:val="19"/>
          <w:color w:val="auto"/>
        </w:rPr>
        <w:t>voluntarily by Executive (except upon a termination for Good Reason within twelve (12) months following a Change of Control) or (ii) 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7" w:lineRule="exact"/>
        <w:rPr>
          <w:rFonts w:ascii="Arial" w:cs="Arial" w:eastAsia="Arial" w:hAnsi="Arial"/>
          <w:sz w:val="19"/>
          <w:szCs w:val="19"/>
          <w:color w:val="auto"/>
        </w:rPr>
      </w:pPr>
    </w:p>
    <w:p>
      <w:pPr>
        <w:jc w:val="both"/>
        <w:ind w:firstLine="1304"/>
        <w:spacing w:after="0" w:line="257" w:lineRule="auto"/>
        <w:tabs>
          <w:tab w:leader="none" w:pos="1939" w:val="left"/>
        </w:tabs>
        <w:numPr>
          <w:ilvl w:val="1"/>
          <w:numId w:val="95"/>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4" w:lineRule="exact"/>
        <w:rPr>
          <w:rFonts w:ascii="Arial" w:cs="Arial" w:eastAsia="Arial" w:hAnsi="Arial"/>
          <w:sz w:val="19"/>
          <w:szCs w:val="19"/>
          <w:color w:val="010000"/>
        </w:rPr>
      </w:pPr>
    </w:p>
    <w:p>
      <w:pPr>
        <w:jc w:val="both"/>
        <w:ind w:firstLine="1304"/>
        <w:spacing w:after="0" w:line="223" w:lineRule="auto"/>
        <w:tabs>
          <w:tab w:leader="none" w:pos="1939" w:val="left"/>
        </w:tabs>
        <w:numPr>
          <w:ilvl w:val="1"/>
          <w:numId w:val="95"/>
        </w:numPr>
        <w:rPr>
          <w:rFonts w:ascii="Arial" w:cs="Arial" w:eastAsia="Arial" w:hAnsi="Arial"/>
          <w:sz w:val="22"/>
          <w:szCs w:val="22"/>
          <w:color w:val="010000"/>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In the event of a termination of Executive’s employment with the Company (or any parent or subsidiary of the Company), the provisions of this Section 3 are intended to be and are exclusive and in lieu of any other rights or remedies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0" w:right="339" w:bottom="1440" w:gutter="0" w:footer="0" w:header="0"/>
        </w:sectPr>
      </w:pPr>
    </w:p>
    <w:bookmarkStart w:id="139" w:name="page140"/>
    <w:bookmarkEnd w:id="139"/>
    <w:p>
      <w:pPr>
        <w:jc w:val="both"/>
        <w:spacing w:after="0" w:line="234" w:lineRule="auto"/>
        <w:rPr>
          <w:sz w:val="20"/>
          <w:szCs w:val="20"/>
          <w:color w:val="auto"/>
        </w:rPr>
      </w:pPr>
      <w:r>
        <w:rPr>
          <w:rFonts w:ascii="Arial" w:cs="Arial" w:eastAsia="Arial" w:hAnsi="Arial"/>
          <w:sz w:val="21"/>
          <w:szCs w:val="21"/>
          <w:color w:val="auto"/>
        </w:rPr>
        <w:t>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58" w:lineRule="exact"/>
        <w:rPr>
          <w:sz w:val="20"/>
          <w:szCs w:val="20"/>
          <w:color w:val="auto"/>
        </w:rPr>
      </w:pPr>
    </w:p>
    <w:p>
      <w:pPr>
        <w:jc w:val="both"/>
        <w:ind w:firstLine="1304"/>
        <w:spacing w:after="0"/>
        <w:tabs>
          <w:tab w:leader="none" w:pos="1932" w:val="left"/>
        </w:tabs>
        <w:numPr>
          <w:ilvl w:val="1"/>
          <w:numId w:val="96"/>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For any Deferred Compensation Separation Benefits, the release of claim agreement under Section 3(c) hereof must become irrevocable within sixty (60) days of the date of termination and benefits shall commence upon the date provided in Section 3(e) hereof, provided, that if the sixtieth (60</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termination of Executive’s employment with the Company falls in the calendar year following the calendar year containing the date of termination, the benefits will be made no earlier than the first business day of that following calendar year.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as provided herein.</w:t>
      </w:r>
    </w:p>
    <w:p>
      <w:pPr>
        <w:spacing w:after="0" w:line="283" w:lineRule="exact"/>
        <w:rPr>
          <w:rFonts w:ascii="Arial" w:cs="Arial" w:eastAsia="Arial" w:hAnsi="Arial"/>
          <w:sz w:val="19"/>
          <w:szCs w:val="19"/>
          <w:color w:val="010000"/>
        </w:rPr>
      </w:pPr>
    </w:p>
    <w:p>
      <w:pPr>
        <w:jc w:val="both"/>
        <w:ind w:firstLine="656"/>
        <w:spacing w:after="0" w:line="223" w:lineRule="auto"/>
        <w:tabs>
          <w:tab w:leader="none" w:pos="1296"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0" w:right="339" w:bottom="1440" w:gutter="0" w:footer="0" w:header="0"/>
        </w:sectPr>
      </w:pPr>
    </w:p>
    <w:bookmarkStart w:id="140" w:name="page141"/>
    <w:bookmarkEnd w:id="140"/>
    <w:p>
      <w:pPr>
        <w:spacing w:after="0" w:line="232" w:lineRule="auto"/>
        <w:rPr>
          <w:sz w:val="20"/>
          <w:szCs w:val="20"/>
          <w:color w:val="auto"/>
        </w:rPr>
      </w:pPr>
      <w:r>
        <w:rPr>
          <w:rFonts w:ascii="Arial" w:cs="Arial" w:eastAsia="Arial" w:hAnsi="Arial"/>
          <w:sz w:val="22"/>
          <w:szCs w:val="22"/>
          <w:color w:val="auto"/>
        </w:rPr>
        <w:t>be subject to the excise tax imposed by Section 4999 of the Code, then Executive’s severance benefits under Section 4(a)(i) will be either:</w:t>
      </w:r>
    </w:p>
    <w:p>
      <w:pPr>
        <w:spacing w:after="0" w:line="159" w:lineRule="exact"/>
        <w:rPr>
          <w:sz w:val="20"/>
          <w:szCs w:val="20"/>
          <w:color w:val="auto"/>
        </w:rPr>
      </w:pPr>
    </w:p>
    <w:p>
      <w:pPr>
        <w:ind w:left="1940" w:hanging="636"/>
        <w:spacing w:after="0"/>
        <w:tabs>
          <w:tab w:leader="none" w:pos="1940"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179" w:lineRule="exact"/>
        <w:rPr>
          <w:rFonts w:ascii="Arial" w:cs="Arial" w:eastAsia="Arial" w:hAnsi="Arial"/>
          <w:sz w:val="22"/>
          <w:szCs w:val="22"/>
          <w:color w:val="010000"/>
        </w:rPr>
      </w:pPr>
    </w:p>
    <w:p>
      <w:pPr>
        <w:ind w:firstLine="1304"/>
        <w:spacing w:after="0" w:line="232" w:lineRule="auto"/>
        <w:tabs>
          <w:tab w:leader="none" w:pos="1939"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delivered as to such lesser extent which would result in no portion of such severance benefits being subject to excise tax under Section 4999 of the Code,</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71"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21"/>
          <w:szCs w:val="21"/>
          <w:color w:val="010000"/>
        </w:rPr>
      </w:pPr>
      <w:r>
        <w:rPr>
          <w:rFonts w:ascii="Arial" w:cs="Arial" w:eastAsia="Arial" w:hAnsi="Arial"/>
          <w:sz w:val="21"/>
          <w:szCs w:val="21"/>
          <w:u w:val="single" w:color="auto"/>
          <w:color w:val="auto"/>
        </w:rPr>
        <w:t>Definition of Terms</w:t>
      </w:r>
      <w:r>
        <w:rPr>
          <w:rFonts w:ascii="Arial" w:cs="Arial" w:eastAsia="Arial" w:hAnsi="Arial"/>
          <w:sz w:val="21"/>
          <w:szCs w:val="21"/>
          <w:color w:val="auto"/>
        </w:rPr>
        <w:t>. The following terms referred to in this Agreement will have the following meanings:</w:t>
      </w:r>
    </w:p>
    <w:p>
      <w:pPr>
        <w:spacing w:after="0" w:line="190" w:lineRule="exact"/>
        <w:rPr>
          <w:rFonts w:ascii="Arial" w:cs="Arial" w:eastAsia="Arial" w:hAnsi="Arial"/>
          <w:sz w:val="21"/>
          <w:szCs w:val="21"/>
          <w:color w:val="010000"/>
        </w:rPr>
      </w:pPr>
    </w:p>
    <w:p>
      <w:pPr>
        <w:jc w:val="both"/>
        <w:ind w:firstLine="1304"/>
        <w:spacing w:after="0" w:line="242" w:lineRule="auto"/>
        <w:tabs>
          <w:tab w:leader="none" w:pos="1941" w:val="left"/>
        </w:tabs>
        <w:numPr>
          <w:ilvl w:val="1"/>
          <w:numId w:val="99"/>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0" w:right="339" w:bottom="1440" w:gutter="0" w:footer="0" w:header="0"/>
        </w:sectPr>
      </w:pPr>
    </w:p>
    <w:bookmarkStart w:id="141" w:name="page142"/>
    <w:bookmarkEnd w:id="141"/>
    <w:p>
      <w:pPr>
        <w:spacing w:after="0" w:line="232" w:lineRule="auto"/>
        <w:rPr>
          <w:sz w:val="20"/>
          <w:szCs w:val="20"/>
          <w:color w:val="auto"/>
        </w:rPr>
      </w:pPr>
      <w:r>
        <w:rPr>
          <w:rFonts w:ascii="Arial" w:cs="Arial" w:eastAsia="Arial" w:hAnsi="Arial"/>
          <w:sz w:val="22"/>
          <w:szCs w:val="22"/>
          <w:color w:val="auto"/>
        </w:rPr>
        <w:t>and Executive’s eligible dependents with equivalent coverage under a third party plan that is reasonably available to Executive and Executive’s eligible dependents.</w:t>
      </w:r>
    </w:p>
    <w:p>
      <w:pPr>
        <w:spacing w:after="0" w:line="159" w:lineRule="exact"/>
        <w:rPr>
          <w:sz w:val="20"/>
          <w:szCs w:val="20"/>
          <w:color w:val="auto"/>
        </w:rPr>
      </w:pPr>
    </w:p>
    <w:p>
      <w:pPr>
        <w:jc w:val="both"/>
        <w:ind w:firstLine="1304"/>
        <w:spacing w:after="0" w:line="246" w:lineRule="auto"/>
        <w:tabs>
          <w:tab w:leader="none" w:pos="1939" w:val="left"/>
        </w:tabs>
        <w:numPr>
          <w:ilvl w:val="1"/>
          <w:numId w:val="100"/>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“Cause”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52" w:lineRule="exact"/>
        <w:rPr>
          <w:rFonts w:ascii="Arial" w:cs="Arial" w:eastAsia="Arial" w:hAnsi="Arial"/>
          <w:sz w:val="19"/>
          <w:szCs w:val="19"/>
          <w:color w:val="010000"/>
        </w:rPr>
      </w:pPr>
    </w:p>
    <w:p>
      <w:pPr>
        <w:ind w:left="1940" w:hanging="636"/>
        <w:spacing w:after="0"/>
        <w:tabs>
          <w:tab w:leader="none" w:pos="1940" w:val="left"/>
        </w:tabs>
        <w:numPr>
          <w:ilvl w:val="1"/>
          <w:numId w:val="100"/>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179" w:lineRule="exact"/>
        <w:rPr>
          <w:rFonts w:ascii="Arial" w:cs="Arial" w:eastAsia="Arial" w:hAnsi="Arial"/>
          <w:sz w:val="22"/>
          <w:szCs w:val="22"/>
          <w:color w:val="010000"/>
        </w:rPr>
      </w:pPr>
    </w:p>
    <w:p>
      <w:pPr>
        <w:jc w:val="both"/>
        <w:ind w:firstLine="1952"/>
        <w:spacing w:after="0" w:line="247" w:lineRule="auto"/>
        <w:tabs>
          <w:tab w:leader="none" w:pos="2580" w:val="left"/>
        </w:tabs>
        <w:numPr>
          <w:ilvl w:val="2"/>
          <w:numId w:val="100"/>
        </w:numPr>
        <w:rPr>
          <w:rFonts w:ascii="Arial" w:cs="Arial" w:eastAsia="Arial" w:hAnsi="Arial"/>
          <w:sz w:val="19"/>
          <w:szCs w:val="19"/>
          <w:color w:val="010000"/>
        </w:rPr>
      </w:pPr>
      <w:r>
        <w:rPr>
          <w:rFonts w:ascii="Arial" w:cs="Arial" w:eastAsia="Arial" w:hAnsi="Arial"/>
          <w:sz w:val="19"/>
          <w:szCs w:val="19"/>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53" w:lineRule="exact"/>
        <w:rPr>
          <w:rFonts w:ascii="Arial" w:cs="Arial" w:eastAsia="Arial" w:hAnsi="Arial"/>
          <w:sz w:val="19"/>
          <w:szCs w:val="19"/>
          <w:color w:val="010000"/>
        </w:rPr>
      </w:pPr>
    </w:p>
    <w:p>
      <w:pPr>
        <w:jc w:val="both"/>
        <w:ind w:firstLine="1952"/>
        <w:spacing w:after="0" w:line="247" w:lineRule="auto"/>
        <w:tabs>
          <w:tab w:leader="none" w:pos="2586" w:val="left"/>
        </w:tabs>
        <w:numPr>
          <w:ilvl w:val="2"/>
          <w:numId w:val="100"/>
        </w:numPr>
        <w:rPr>
          <w:rFonts w:ascii="Arial" w:cs="Arial" w:eastAsia="Arial" w:hAnsi="Arial"/>
          <w:sz w:val="19"/>
          <w:szCs w:val="19"/>
          <w:color w:val="010000"/>
        </w:rPr>
      </w:pPr>
      <w:r>
        <w:rPr>
          <w:rFonts w:ascii="Arial" w:cs="Arial" w:eastAsia="Arial" w:hAnsi="Arial"/>
          <w:sz w:val="19"/>
          <w:szCs w:val="19"/>
          <w:color w:val="auto"/>
        </w:rPr>
        <w:t>a change in the composition of the Board occurring within a twelve (12)-month period, as a result of which fewer than a majority of the directors are Incumbent Directors. “Incumbent Directors” will mean directors who either</w:t>
      </w:r>
    </w:p>
    <w:p>
      <w:pPr>
        <w:jc w:val="both"/>
        <w:ind w:firstLine="8"/>
        <w:spacing w:after="0" w:line="214" w:lineRule="auto"/>
        <w:tabs>
          <w:tab w:leader="none" w:pos="3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59" w:lineRule="exact"/>
        <w:rPr>
          <w:rFonts w:ascii="Arial" w:cs="Arial" w:eastAsia="Arial" w:hAnsi="Arial"/>
          <w:sz w:val="22"/>
          <w:szCs w:val="22"/>
          <w:color w:val="auto"/>
        </w:rPr>
      </w:pPr>
    </w:p>
    <w:p>
      <w:pPr>
        <w:jc w:val="both"/>
        <w:ind w:firstLine="1952"/>
        <w:spacing w:after="0" w:line="249" w:lineRule="auto"/>
        <w:tabs>
          <w:tab w:leader="none" w:pos="2592" w:val="left"/>
        </w:tabs>
        <w:numPr>
          <w:ilvl w:val="2"/>
          <w:numId w:val="101"/>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51" w:lineRule="exact"/>
        <w:rPr>
          <w:rFonts w:ascii="Arial" w:cs="Arial" w:eastAsia="Arial" w:hAnsi="Arial"/>
          <w:sz w:val="19"/>
          <w:szCs w:val="19"/>
          <w:color w:val="010000"/>
        </w:rPr>
      </w:pPr>
    </w:p>
    <w:p>
      <w:pPr>
        <w:jc w:val="both"/>
        <w:ind w:firstLine="1952"/>
        <w:spacing w:after="0" w:line="221" w:lineRule="auto"/>
        <w:tabs>
          <w:tab w:leader="none" w:pos="2580" w:val="left"/>
        </w:tabs>
        <w:numPr>
          <w:ilvl w:val="2"/>
          <w:numId w:val="101"/>
        </w:numPr>
        <w:rPr>
          <w:rFonts w:ascii="Arial" w:cs="Arial" w:eastAsia="Arial" w:hAnsi="Arial"/>
          <w:sz w:val="21"/>
          <w:szCs w:val="21"/>
          <w:color w:val="010000"/>
        </w:rPr>
      </w:pPr>
      <w:r>
        <w:rPr>
          <w:rFonts w:ascii="Arial" w:cs="Arial" w:eastAsia="Arial" w:hAnsi="Arial"/>
          <w:sz w:val="21"/>
          <w:szCs w:val="21"/>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 to an entity that is controlled by the Company’s stockholders immediately after the transfer; or (2) a transfer of assets by the Company to: (A) a stockholder of the Company (immediately before the asset transfer) in exchange for or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0" w:right="339" w:bottom="1440" w:gutter="0" w:footer="0" w:header="0"/>
        </w:sectPr>
      </w:pPr>
    </w:p>
    <w:bookmarkStart w:id="142" w:name="page143"/>
    <w:bookmarkEnd w:id="142"/>
    <w:p>
      <w:pPr>
        <w:jc w:val="both"/>
        <w:spacing w:after="0" w:line="214" w:lineRule="auto"/>
        <w:rPr>
          <w:sz w:val="20"/>
          <w:szCs w:val="20"/>
          <w:color w:val="auto"/>
        </w:rPr>
      </w:pPr>
      <w:r>
        <w:rPr>
          <w:rFonts w:ascii="Arial" w:cs="Arial" w:eastAsia="Arial" w:hAnsi="Arial"/>
          <w:sz w:val="22"/>
          <w:szCs w:val="22"/>
          <w:color w:val="auto"/>
        </w:rPr>
        <w:t>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Notwithstanding the foregoing, a Company transaction that does not constitute a change in control event under Treasury Regulation 1.409A-3(i)(5)(v) or (vii) shall be not be considered a Change of Control.</w:t>
      </w:r>
    </w:p>
    <w:p>
      <w:pPr>
        <w:spacing w:after="0" w:line="159" w:lineRule="exact"/>
        <w:rPr>
          <w:sz w:val="20"/>
          <w:szCs w:val="20"/>
          <w:color w:val="auto"/>
        </w:rPr>
      </w:pPr>
    </w:p>
    <w:p>
      <w:pPr>
        <w:jc w:val="both"/>
        <w:ind w:firstLine="1304"/>
        <w:spacing w:after="0" w:line="211" w:lineRule="auto"/>
        <w:tabs>
          <w:tab w:leader="none" w:pos="1939" w:val="left"/>
        </w:tabs>
        <w:numPr>
          <w:ilvl w:val="1"/>
          <w:numId w:val="102"/>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64" w:lineRule="exact"/>
        <w:rPr>
          <w:rFonts w:ascii="Arial" w:cs="Arial" w:eastAsia="Arial" w:hAnsi="Arial"/>
          <w:sz w:val="22"/>
          <w:szCs w:val="22"/>
          <w:color w:val="010000"/>
        </w:rPr>
      </w:pPr>
    </w:p>
    <w:p>
      <w:pPr>
        <w:jc w:val="both"/>
        <w:ind w:firstLine="1304"/>
        <w:spacing w:after="0"/>
        <w:tabs>
          <w:tab w:leader="none" w:pos="1941" w:val="left"/>
        </w:tabs>
        <w:numPr>
          <w:ilvl w:val="1"/>
          <w:numId w:val="102"/>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387" w:lineRule="exact"/>
        <w:rPr>
          <w:rFonts w:ascii="Arial" w:cs="Arial" w:eastAsia="Arial" w:hAnsi="Arial"/>
          <w:sz w:val="19"/>
          <w:szCs w:val="19"/>
          <w:color w:val="010000"/>
        </w:rPr>
      </w:pPr>
    </w:p>
    <w:p>
      <w:pPr>
        <w:ind w:left="1300" w:hanging="644"/>
        <w:spacing w:after="0"/>
        <w:tabs>
          <w:tab w:leader="none" w:pos="1300" w:val="left"/>
        </w:tabs>
        <w:numPr>
          <w:ilvl w:val="0"/>
          <w:numId w:val="103"/>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ind w:firstLine="1304"/>
        <w:spacing w:after="0" w:line="232" w:lineRule="auto"/>
        <w:tabs>
          <w:tab w:leader="none" w:pos="1941" w:val="left"/>
        </w:tabs>
        <w:numPr>
          <w:ilvl w:val="1"/>
          <w:numId w:val="103"/>
        </w:numPr>
        <w:rPr>
          <w:rFonts w:ascii="Arial" w:cs="Arial" w:eastAsia="Arial" w:hAnsi="Arial"/>
          <w:sz w:val="22"/>
          <w:szCs w:val="22"/>
          <w:color w:val="010000"/>
        </w:rPr>
      </w:pPr>
      <w:r>
        <w:rPr>
          <w:rFonts w:ascii="Arial" w:cs="Arial" w:eastAsia="Arial" w:hAnsi="Arial"/>
          <w:sz w:val="22"/>
          <w:szCs w:val="22"/>
          <w:u w:val="single" w:color="auto"/>
          <w:color w:val="auto"/>
        </w:rPr>
        <w:t>The Company’s Successors</w:t>
      </w:r>
      <w:r>
        <w:rPr>
          <w:rFonts w:ascii="Arial" w:cs="Arial" w:eastAsia="Arial" w:hAnsi="Arial"/>
          <w:sz w:val="22"/>
          <w:szCs w:val="22"/>
          <w:color w:val="auto"/>
        </w:rPr>
        <w:t>. Any successor to the Company (whether direct or indirect and whether by purchase, merger, consolidation, liquidation or otherwise)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0" w:right="339" w:bottom="1440" w:gutter="0" w:footer="0" w:header="0"/>
        </w:sectPr>
      </w:pPr>
    </w:p>
    <w:bookmarkStart w:id="143" w:name="page144"/>
    <w:bookmarkEnd w:id="143"/>
    <w:p>
      <w:pPr>
        <w:jc w:val="both"/>
        <w:spacing w:after="0" w:line="252" w:lineRule="auto"/>
        <w:rPr>
          <w:sz w:val="20"/>
          <w:szCs w:val="20"/>
          <w:color w:val="auto"/>
        </w:rPr>
      </w:pPr>
      <w:r>
        <w:rPr>
          <w:rFonts w:ascii="Arial" w:cs="Arial" w:eastAsia="Arial" w:hAnsi="Arial"/>
          <w:sz w:val="19"/>
          <w:szCs w:val="19"/>
          <w:color w:val="auto"/>
        </w:rPr>
        <w:t>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49" w:lineRule="exact"/>
        <w:rPr>
          <w:sz w:val="20"/>
          <w:szCs w:val="20"/>
          <w:color w:val="auto"/>
        </w:rPr>
      </w:pPr>
    </w:p>
    <w:p>
      <w:pPr>
        <w:jc w:val="both"/>
        <w:ind w:firstLine="1304"/>
        <w:spacing w:after="0" w:line="223" w:lineRule="auto"/>
        <w:tabs>
          <w:tab w:leader="none" w:pos="1939" w:val="left"/>
        </w:tabs>
        <w:numPr>
          <w:ilvl w:val="1"/>
          <w:numId w:val="104"/>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58" w:lineRule="exact"/>
        <w:rPr>
          <w:rFonts w:ascii="Arial" w:cs="Arial" w:eastAsia="Arial" w:hAnsi="Arial"/>
          <w:sz w:val="22"/>
          <w:szCs w:val="22"/>
          <w:color w:val="010000"/>
        </w:rPr>
      </w:pPr>
    </w:p>
    <w:p>
      <w:pPr>
        <w:ind w:left="1300" w:hanging="644"/>
        <w:spacing w:after="0"/>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jc w:val="both"/>
        <w:ind w:firstLine="1304"/>
        <w:spacing w:after="0" w:line="252" w:lineRule="auto"/>
        <w:tabs>
          <w:tab w:leader="none" w:pos="1941" w:val="left"/>
        </w:tabs>
        <w:numPr>
          <w:ilvl w:val="1"/>
          <w:numId w:val="105"/>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8" w:lineRule="exact"/>
        <w:rPr>
          <w:rFonts w:ascii="Arial" w:cs="Arial" w:eastAsia="Arial" w:hAnsi="Arial"/>
          <w:sz w:val="19"/>
          <w:szCs w:val="19"/>
          <w:color w:val="010000"/>
        </w:rPr>
      </w:pPr>
    </w:p>
    <w:p>
      <w:pPr>
        <w:jc w:val="both"/>
        <w:ind w:firstLine="1304"/>
        <w:spacing w:after="0" w:line="221" w:lineRule="auto"/>
        <w:tabs>
          <w:tab w:leader="none" w:pos="1939" w:val="left"/>
        </w:tabs>
        <w:numPr>
          <w:ilvl w:val="1"/>
          <w:numId w:val="105"/>
        </w:numPr>
        <w:rPr>
          <w:rFonts w:ascii="Arial" w:cs="Arial" w:eastAsia="Arial" w:hAnsi="Arial"/>
          <w:sz w:val="21"/>
          <w:szCs w:val="21"/>
          <w:color w:val="010000"/>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65" w:lineRule="exact"/>
        <w:rPr>
          <w:rFonts w:ascii="Arial" w:cs="Arial" w:eastAsia="Arial" w:hAnsi="Arial"/>
          <w:sz w:val="21"/>
          <w:szCs w:val="21"/>
          <w:color w:val="010000"/>
        </w:rPr>
      </w:pPr>
    </w:p>
    <w:p>
      <w:pPr>
        <w:jc w:val="both"/>
        <w:ind w:firstLine="656"/>
        <w:spacing w:after="0" w:line="223" w:lineRule="auto"/>
        <w:tabs>
          <w:tab w:leader="none" w:pos="1296" w:val="left"/>
        </w:tabs>
        <w:numPr>
          <w:ilvl w:val="0"/>
          <w:numId w:val="105"/>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commencing on the Effective Date and ending on August 7, 2024, which shall not be subject to renewal, unless a Change of Control occurs during such term, in which case this Agreement will continue until all payments and benefits, if any, have been made to Executive.</w:t>
      </w:r>
    </w:p>
    <w:p>
      <w:pPr>
        <w:spacing w:after="0" w:line="158" w:lineRule="exact"/>
        <w:rPr>
          <w:rFonts w:ascii="Arial" w:cs="Arial" w:eastAsia="Arial" w:hAnsi="Arial"/>
          <w:sz w:val="22"/>
          <w:szCs w:val="22"/>
          <w:color w:val="010000"/>
        </w:rPr>
      </w:pPr>
    </w:p>
    <w:p>
      <w:pPr>
        <w:ind w:left="1300" w:hanging="644"/>
        <w:spacing w:after="0"/>
        <w:tabs>
          <w:tab w:leader="none" w:pos="1300" w:val="left"/>
        </w:tabs>
        <w:numPr>
          <w:ilvl w:val="0"/>
          <w:numId w:val="105"/>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jc w:val="both"/>
        <w:ind w:firstLine="1304"/>
        <w:spacing w:after="0" w:line="246" w:lineRule="auto"/>
        <w:tabs>
          <w:tab w:leader="none" w:pos="1941" w:val="left"/>
        </w:tabs>
        <w:numPr>
          <w:ilvl w:val="1"/>
          <w:numId w:val="105"/>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0" w:right="339" w:bottom="1440" w:gutter="0" w:footer="0" w:header="0"/>
        </w:sectPr>
      </w:pPr>
    </w:p>
    <w:bookmarkStart w:id="144" w:name="page145"/>
    <w:bookmarkEnd w:id="144"/>
    <w:p>
      <w:pPr>
        <w:jc w:val="both"/>
        <w:ind w:left="-220" w:firstLine="1304"/>
        <w:spacing w:after="0" w:line="216" w:lineRule="auto"/>
        <w:tabs>
          <w:tab w:leader="none" w:pos="1719"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57" w:lineRule="exact"/>
        <w:rPr>
          <w:rFonts w:ascii="Arial" w:cs="Arial" w:eastAsia="Arial" w:hAnsi="Arial"/>
          <w:sz w:val="22"/>
          <w:szCs w:val="22"/>
          <w:color w:val="010000"/>
        </w:rPr>
      </w:pPr>
    </w:p>
    <w:p>
      <w:pPr>
        <w:jc w:val="both"/>
        <w:ind w:left="-220" w:firstLine="1304"/>
        <w:spacing w:after="0" w:line="221" w:lineRule="auto"/>
        <w:tabs>
          <w:tab w:leader="none" w:pos="1721" w:val="left"/>
        </w:tabs>
        <w:numPr>
          <w:ilvl w:val="0"/>
          <w:numId w:val="106"/>
        </w:numPr>
        <w:rPr>
          <w:rFonts w:ascii="Arial" w:cs="Arial" w:eastAsia="Arial" w:hAnsi="Arial"/>
          <w:sz w:val="21"/>
          <w:szCs w:val="21"/>
          <w:color w:val="010000"/>
        </w:rPr>
      </w:pPr>
      <w:r>
        <w:rPr>
          <w:rFonts w:ascii="Arial" w:cs="Arial" w:eastAsia="Arial" w:hAnsi="Arial"/>
          <w:sz w:val="21"/>
          <w:szCs w:val="21"/>
          <w:color w:val="auto"/>
        </w:rPr>
        <w:t xml:space="preserve">To the fullest extent permitted by law, Executive and the Company agree that no class or collective actions can be asserted in arbitration or otherwise. All claims, whether in arbitration or otherwise, must be brought solely in Executive’s or the Company’s individual capacity, and not as a plaintiff or class member in any purported class or collective proceeding. Nothing in this Section 9, however, restricts Executive’s right, if any, to file in court a representative action under applicable law, including California Labor Code Sections 2698, </w:t>
      </w:r>
      <w:r>
        <w:rPr>
          <w:rFonts w:ascii="Arial" w:cs="Arial" w:eastAsia="Arial" w:hAnsi="Arial"/>
          <w:sz w:val="21"/>
          <w:szCs w:val="21"/>
          <w:i w:val="1"/>
          <w:iCs w:val="1"/>
          <w:color w:val="auto"/>
        </w:rPr>
        <w:t>et seq.</w:t>
      </w:r>
      <w:r>
        <w:rPr>
          <w:rFonts w:ascii="Arial" w:cs="Arial" w:eastAsia="Arial" w:hAnsi="Arial"/>
          <w:sz w:val="21"/>
          <w:szCs w:val="21"/>
          <w:color w:val="auto"/>
        </w:rPr>
        <w:t xml:space="preserve"> Further, this Section 9 does not restrict Executive’s right to file administrative claims Executive may bring before any government agency where, as a matter of law, the parties may not restrict the Executive’s ability to file such claims (including, but not limited to, the National Labor Relations Board, the Equal Employment Opportunity Commission and the Department of Labor).</w:t>
      </w:r>
    </w:p>
    <w:p>
      <w:pPr>
        <w:spacing w:after="0" w:line="165" w:lineRule="exact"/>
        <w:rPr>
          <w:rFonts w:ascii="Arial" w:cs="Arial" w:eastAsia="Arial" w:hAnsi="Arial"/>
          <w:sz w:val="21"/>
          <w:szCs w:val="21"/>
          <w:color w:val="010000"/>
        </w:rPr>
      </w:pPr>
    </w:p>
    <w:p>
      <w:pPr>
        <w:ind w:left="-220" w:firstLine="1304"/>
        <w:spacing w:after="0" w:line="247" w:lineRule="auto"/>
        <w:tabs>
          <w:tab w:leader="none" w:pos="1719" w:val="left"/>
        </w:tabs>
        <w:numPr>
          <w:ilvl w:val="0"/>
          <w:numId w:val="106"/>
        </w:numPr>
        <w:rPr>
          <w:rFonts w:ascii="Arial" w:cs="Arial" w:eastAsia="Arial" w:hAnsi="Arial"/>
          <w:sz w:val="21"/>
          <w:szCs w:val="21"/>
          <w:color w:val="010000"/>
        </w:rPr>
      </w:pPr>
      <w:r>
        <w:rPr>
          <w:rFonts w:ascii="Arial" w:cs="Arial" w:eastAsia="Arial" w:hAnsi="Arial"/>
          <w:sz w:val="21"/>
          <w:szCs w:val="21"/>
          <w:color w:val="auto"/>
        </w:rPr>
        <w:t>Executive understands that nothing in this Section modifies Executive’s at-will employment status. Either Executive or the Company can terminate the employment relationship at any time, with or without Cause.</w:t>
      </w:r>
    </w:p>
    <w:p>
      <w:pPr>
        <w:spacing w:after="0" w:line="150" w:lineRule="exact"/>
        <w:rPr>
          <w:rFonts w:ascii="Arial" w:cs="Arial" w:eastAsia="Arial" w:hAnsi="Arial"/>
          <w:sz w:val="21"/>
          <w:szCs w:val="21"/>
          <w:color w:val="010000"/>
        </w:rPr>
      </w:pPr>
    </w:p>
    <w:p>
      <w:pPr>
        <w:jc w:val="both"/>
        <w:ind w:left="-220" w:firstLine="1304"/>
        <w:spacing w:after="0" w:line="212" w:lineRule="auto"/>
        <w:tabs>
          <w:tab w:leader="none" w:pos="1721"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 EMPLOYER/EMPLOYEE RELATIONSHIP, INCLUDING BUT NOT LIMITED TO, THE FOLLOWING CLAIMS:</w:t>
      </w:r>
    </w:p>
    <w:p>
      <w:pPr>
        <w:spacing w:after="0" w:line="163" w:lineRule="exact"/>
        <w:rPr>
          <w:rFonts w:ascii="Arial" w:cs="Arial" w:eastAsia="Arial" w:hAnsi="Arial"/>
          <w:sz w:val="22"/>
          <w:szCs w:val="22"/>
          <w:color w:val="010000"/>
        </w:rPr>
      </w:pPr>
    </w:p>
    <w:p>
      <w:pPr>
        <w:jc w:val="both"/>
        <w:ind w:left="-220" w:firstLine="1952"/>
        <w:spacing w:after="0" w:line="216" w:lineRule="auto"/>
        <w:tabs>
          <w:tab w:leader="none" w:pos="2360" w:val="left"/>
        </w:tabs>
        <w:numPr>
          <w:ilvl w:val="1"/>
          <w:numId w:val="106"/>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57" w:lineRule="exact"/>
        <w:rPr>
          <w:rFonts w:ascii="Arial" w:cs="Arial" w:eastAsia="Arial" w:hAnsi="Arial"/>
          <w:sz w:val="22"/>
          <w:szCs w:val="22"/>
          <w:color w:val="010000"/>
        </w:rPr>
      </w:pPr>
    </w:p>
    <w:p>
      <w:pPr>
        <w:jc w:val="both"/>
        <w:ind w:left="-220" w:firstLine="1952"/>
        <w:spacing w:after="0" w:line="216" w:lineRule="auto"/>
        <w:tabs>
          <w:tab w:leader="none" w:pos="2366" w:val="left"/>
        </w:tabs>
        <w:numPr>
          <w:ilvl w:val="1"/>
          <w:numId w:val="106"/>
        </w:numPr>
        <w:rPr>
          <w:rFonts w:ascii="Arial" w:cs="Arial" w:eastAsia="Arial" w:hAnsi="Arial"/>
          <w:sz w:val="22"/>
          <w:szCs w:val="22"/>
          <w:color w:val="010000"/>
        </w:rPr>
      </w:pPr>
      <w:r>
        <w:rPr>
          <w:rFonts w:ascii="Arial" w:cs="Arial" w:eastAsia="Arial" w:hAnsi="Arial"/>
          <w:sz w:val="22"/>
          <w:szCs w:val="22"/>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57" w:lineRule="exact"/>
        <w:rPr>
          <w:rFonts w:ascii="Arial" w:cs="Arial" w:eastAsia="Arial" w:hAnsi="Arial"/>
          <w:sz w:val="22"/>
          <w:szCs w:val="22"/>
          <w:color w:val="010000"/>
        </w:rPr>
      </w:pPr>
    </w:p>
    <w:p>
      <w:pPr>
        <w:ind w:left="-220" w:right="20" w:firstLine="1952"/>
        <w:spacing w:after="0" w:line="232" w:lineRule="auto"/>
        <w:tabs>
          <w:tab w:leader="none" w:pos="2372" w:val="left"/>
        </w:tabs>
        <w:numPr>
          <w:ilvl w:val="1"/>
          <w:numId w:val="106"/>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 (INCLUDING HARASSMENT).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020"/>
          </w:cols>
          <w:pgMar w:left="540" w:top="1400" w:right="339" w:bottom="1440" w:gutter="0" w:footer="0" w:header="0"/>
        </w:sectPr>
      </w:pPr>
    </w:p>
    <w:bookmarkStart w:id="145" w:name="page146"/>
    <w:bookmarkEnd w:id="145"/>
    <w:p>
      <w:pPr>
        <w:ind w:right="20" w:firstLine="1952"/>
        <w:spacing w:after="0" w:line="232" w:lineRule="auto"/>
        <w:tabs>
          <w:tab w:leader="none" w:pos="2580" w:val="left"/>
        </w:tabs>
        <w:numPr>
          <w:ilvl w:val="2"/>
          <w:numId w:val="107"/>
        </w:numPr>
        <w:rPr>
          <w:rFonts w:ascii="Arial" w:cs="Arial" w:eastAsia="Arial" w:hAnsi="Arial"/>
          <w:sz w:val="22"/>
          <w:szCs w:val="22"/>
          <w:color w:val="010000"/>
        </w:rPr>
      </w:pPr>
      <w:r>
        <w:rPr>
          <w:rFonts w:ascii="Arial" w:cs="Arial" w:eastAsia="Arial" w:hAnsi="Arial"/>
          <w:sz w:val="22"/>
          <w:szCs w:val="22"/>
          <w:color w:val="auto"/>
        </w:rPr>
        <w:t>If, for any reason, any term of this Section 9 is held to be invalid or unenforceable, all other valid terms and conditions herein shall be severable in nature, and remain fully enforceable.</w:t>
      </w:r>
    </w:p>
    <w:p>
      <w:pPr>
        <w:spacing w:after="0" w:line="158" w:lineRule="exact"/>
        <w:rPr>
          <w:rFonts w:ascii="Arial" w:cs="Arial" w:eastAsia="Arial" w:hAnsi="Arial"/>
          <w:sz w:val="22"/>
          <w:szCs w:val="22"/>
          <w:color w:val="010000"/>
        </w:rPr>
      </w:pPr>
    </w:p>
    <w:p>
      <w:pPr>
        <w:ind w:left="1300" w:hanging="644"/>
        <w:spacing w:after="0"/>
        <w:tabs>
          <w:tab w:leader="none" w:pos="1300" w:val="left"/>
        </w:tabs>
        <w:numPr>
          <w:ilvl w:val="0"/>
          <w:numId w:val="108"/>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ind w:firstLine="1304"/>
        <w:spacing w:after="0" w:line="298" w:lineRule="auto"/>
        <w:tabs>
          <w:tab w:leader="none" w:pos="1941" w:val="left"/>
        </w:tabs>
        <w:numPr>
          <w:ilvl w:val="1"/>
          <w:numId w:val="108"/>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105" w:lineRule="exact"/>
        <w:rPr>
          <w:rFonts w:ascii="Arial" w:cs="Arial" w:eastAsia="Arial" w:hAnsi="Arial"/>
          <w:sz w:val="19"/>
          <w:szCs w:val="19"/>
          <w:color w:val="010000"/>
        </w:rPr>
      </w:pPr>
    </w:p>
    <w:p>
      <w:pPr>
        <w:jc w:val="both"/>
        <w:ind w:firstLine="1304"/>
        <w:spacing w:after="0" w:line="216" w:lineRule="auto"/>
        <w:tabs>
          <w:tab w:leader="none" w:pos="1939" w:val="left"/>
        </w:tabs>
        <w:numPr>
          <w:ilvl w:val="1"/>
          <w:numId w:val="108"/>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7" w:lineRule="exact"/>
        <w:rPr>
          <w:rFonts w:ascii="Arial" w:cs="Arial" w:eastAsia="Arial" w:hAnsi="Arial"/>
          <w:sz w:val="22"/>
          <w:szCs w:val="22"/>
          <w:color w:val="010000"/>
        </w:rPr>
      </w:pPr>
    </w:p>
    <w:p>
      <w:pPr>
        <w:ind w:firstLine="1304"/>
        <w:spacing w:after="0" w:line="232" w:lineRule="auto"/>
        <w:tabs>
          <w:tab w:leader="none" w:pos="1941" w:val="left"/>
        </w:tabs>
        <w:numPr>
          <w:ilvl w:val="1"/>
          <w:numId w:val="108"/>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58" w:lineRule="exact"/>
        <w:rPr>
          <w:rFonts w:ascii="Arial" w:cs="Arial" w:eastAsia="Arial" w:hAnsi="Arial"/>
          <w:sz w:val="22"/>
          <w:szCs w:val="22"/>
          <w:color w:val="010000"/>
        </w:rPr>
      </w:pPr>
    </w:p>
    <w:p>
      <w:pPr>
        <w:jc w:val="both"/>
        <w:ind w:firstLine="1304"/>
        <w:spacing w:after="0" w:line="216" w:lineRule="auto"/>
        <w:tabs>
          <w:tab w:leader="none" w:pos="1939" w:val="left"/>
        </w:tabs>
        <w:numPr>
          <w:ilvl w:val="1"/>
          <w:numId w:val="108"/>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57" w:lineRule="exact"/>
        <w:rPr>
          <w:rFonts w:ascii="Arial" w:cs="Arial" w:eastAsia="Arial" w:hAnsi="Arial"/>
          <w:sz w:val="22"/>
          <w:szCs w:val="22"/>
          <w:color w:val="010000"/>
        </w:rPr>
      </w:pPr>
    </w:p>
    <w:p>
      <w:pPr>
        <w:ind w:firstLine="1304"/>
        <w:spacing w:after="0" w:line="232" w:lineRule="auto"/>
        <w:tabs>
          <w:tab w:leader="none" w:pos="1941" w:val="left"/>
        </w:tabs>
        <w:numPr>
          <w:ilvl w:val="1"/>
          <w:numId w:val="108"/>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58" w:lineRule="exact"/>
        <w:rPr>
          <w:rFonts w:ascii="Arial" w:cs="Arial" w:eastAsia="Arial" w:hAnsi="Arial"/>
          <w:sz w:val="22"/>
          <w:szCs w:val="22"/>
          <w:color w:val="010000"/>
        </w:rPr>
      </w:pPr>
    </w:p>
    <w:p>
      <w:pPr>
        <w:ind w:firstLine="1304"/>
        <w:spacing w:after="0" w:line="232" w:lineRule="auto"/>
        <w:tabs>
          <w:tab w:leader="none" w:pos="1944" w:val="left"/>
        </w:tabs>
        <w:numPr>
          <w:ilvl w:val="1"/>
          <w:numId w:val="108"/>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Arial" w:cs="Arial" w:eastAsia="Arial" w:hAnsi="Arial"/>
          <w:sz w:val="22"/>
          <w:szCs w:val="22"/>
          <w:color w:val="010000"/>
        </w:rPr>
      </w:pPr>
    </w:p>
    <w:p>
      <w:pPr>
        <w:ind w:right="20" w:firstLine="1304"/>
        <w:spacing w:after="0" w:line="232" w:lineRule="auto"/>
        <w:tabs>
          <w:tab w:leader="none" w:pos="1939" w:val="left"/>
        </w:tabs>
        <w:numPr>
          <w:ilvl w:val="1"/>
          <w:numId w:val="108"/>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58" w:lineRule="exact"/>
        <w:rPr>
          <w:rFonts w:ascii="Arial" w:cs="Arial" w:eastAsia="Arial" w:hAnsi="Arial"/>
          <w:sz w:val="22"/>
          <w:szCs w:val="22"/>
          <w:color w:val="010000"/>
        </w:rPr>
      </w:pPr>
    </w:p>
    <w:p>
      <w:pPr>
        <w:ind w:right="20" w:firstLine="1304"/>
        <w:spacing w:after="0" w:line="232" w:lineRule="auto"/>
        <w:tabs>
          <w:tab w:leader="none" w:pos="1939" w:val="left"/>
        </w:tabs>
        <w:numPr>
          <w:ilvl w:val="1"/>
          <w:numId w:val="108"/>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0" w:right="339" w:bottom="1440" w:gutter="0" w:footer="0" w:header="0"/>
        </w:sectPr>
      </w:pPr>
    </w:p>
    <w:bookmarkStart w:id="146" w:name="page147"/>
    <w:bookmarkEnd w:id="146"/>
    <w:p>
      <w:pPr>
        <w:ind w:firstLine="648"/>
        <w:spacing w:after="0" w:line="232"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332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7900" w:type="dxa"/>
            <w:vAlign w:val="bottom"/>
            <w:gridSpan w:val="2"/>
          </w:tcPr>
          <w:p>
            <w:pPr>
              <w:ind w:left="2020"/>
              <w:spacing w:after="0"/>
              <w:rPr>
                <w:sz w:val="20"/>
                <w:szCs w:val="20"/>
                <w:color w:val="auto"/>
              </w:rPr>
            </w:pPr>
            <w:r>
              <w:rPr>
                <w:rFonts w:ascii="Arial" w:cs="Arial" w:eastAsia="Arial" w:hAnsi="Arial"/>
                <w:sz w:val="22"/>
                <w:szCs w:val="22"/>
                <w:b w:val="1"/>
                <w:bCs w:val="1"/>
                <w:color w:val="auto"/>
              </w:rPr>
              <w:t>FORTINET, INC.</w:t>
            </w:r>
          </w:p>
        </w:tc>
        <w:tc>
          <w:tcPr>
            <w:tcW w:w="0" w:type="dxa"/>
            <w:vAlign w:val="bottom"/>
          </w:tcPr>
          <w:p>
            <w:pPr>
              <w:spacing w:after="0"/>
              <w:rPr>
                <w:sz w:val="1"/>
                <w:szCs w:val="1"/>
                <w:color w:val="auto"/>
              </w:rPr>
            </w:pPr>
          </w:p>
        </w:tc>
      </w:tr>
      <w:tr>
        <w:trPr>
          <w:trHeight w:val="594"/>
        </w:trPr>
        <w:tc>
          <w:tcPr>
            <w:tcW w:w="3320" w:type="dxa"/>
            <w:vAlign w:val="bottom"/>
          </w:tcPr>
          <w:p>
            <w:pPr>
              <w:spacing w:after="0"/>
              <w:rPr>
                <w:sz w:val="24"/>
                <w:szCs w:val="24"/>
                <w:color w:val="auto"/>
              </w:rPr>
            </w:pPr>
          </w:p>
        </w:tc>
        <w:tc>
          <w:tcPr>
            <w:tcW w:w="3380" w:type="dxa"/>
            <w:vAlign w:val="bottom"/>
          </w:tcPr>
          <w:p>
            <w:pPr>
              <w:ind w:left="2020"/>
              <w:spacing w:after="0"/>
              <w:rPr>
                <w:sz w:val="20"/>
                <w:szCs w:val="20"/>
                <w:color w:val="auto"/>
              </w:rPr>
            </w:pPr>
            <w:r>
              <w:rPr>
                <w:rFonts w:ascii="Arial" w:cs="Arial" w:eastAsia="Arial" w:hAnsi="Arial"/>
                <w:sz w:val="22"/>
                <w:szCs w:val="22"/>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 Xie</w:t>
            </w:r>
          </w:p>
        </w:tc>
        <w:tc>
          <w:tcPr>
            <w:tcW w:w="0" w:type="dxa"/>
            <w:vAlign w:val="bottom"/>
          </w:tcPr>
          <w:p>
            <w:pPr>
              <w:spacing w:after="0"/>
              <w:rPr>
                <w:sz w:val="1"/>
                <w:szCs w:val="1"/>
                <w:color w:val="auto"/>
              </w:rPr>
            </w:pPr>
          </w:p>
        </w:tc>
      </w:tr>
      <w:tr>
        <w:trPr>
          <w:trHeight w:val="259"/>
        </w:trPr>
        <w:tc>
          <w:tcPr>
            <w:tcW w:w="3320" w:type="dxa"/>
            <w:vAlign w:val="bottom"/>
          </w:tcPr>
          <w:p>
            <w:pPr>
              <w:spacing w:after="0"/>
              <w:rPr>
                <w:sz w:val="22"/>
                <w:szCs w:val="22"/>
                <w:color w:val="auto"/>
              </w:rPr>
            </w:pPr>
          </w:p>
        </w:tc>
        <w:tc>
          <w:tcPr>
            <w:tcW w:w="3380" w:type="dxa"/>
            <w:vAlign w:val="bottom"/>
          </w:tcPr>
          <w:p>
            <w:pPr>
              <w:ind w:left="2020"/>
              <w:spacing w:after="0"/>
              <w:rPr>
                <w:sz w:val="20"/>
                <w:szCs w:val="20"/>
                <w:color w:val="auto"/>
              </w:rPr>
            </w:pPr>
            <w:r>
              <w:rPr>
                <w:rFonts w:ascii="Arial" w:cs="Arial" w:eastAsia="Arial" w:hAnsi="Arial"/>
                <w:sz w:val="22"/>
                <w:szCs w:val="22"/>
                <w:color w:val="auto"/>
              </w:rPr>
              <w:t>Name:</w:t>
            </w:r>
          </w:p>
        </w:tc>
        <w:tc>
          <w:tcPr>
            <w:tcW w:w="4520" w:type="dxa"/>
            <w:vAlign w:val="bottom"/>
          </w:tcPr>
          <w:p>
            <w:pPr>
              <w:ind w:left="20"/>
              <w:spacing w:after="0"/>
              <w:rPr>
                <w:sz w:val="20"/>
                <w:szCs w:val="20"/>
                <w:color w:val="auto"/>
              </w:rPr>
            </w:pPr>
            <w:r>
              <w:rPr>
                <w:rFonts w:ascii="Arial" w:cs="Arial" w:eastAsia="Arial" w:hAnsi="Arial"/>
                <w:sz w:val="22"/>
                <w:szCs w:val="22"/>
                <w:color w:val="auto"/>
              </w:rPr>
              <w:t>Ken Xie</w:t>
            </w:r>
          </w:p>
        </w:tc>
        <w:tc>
          <w:tcPr>
            <w:tcW w:w="0" w:type="dxa"/>
            <w:vAlign w:val="bottom"/>
          </w:tcPr>
          <w:p>
            <w:pPr>
              <w:spacing w:after="0"/>
              <w:rPr>
                <w:sz w:val="1"/>
                <w:szCs w:val="1"/>
                <w:color w:val="auto"/>
              </w:rPr>
            </w:pPr>
          </w:p>
        </w:tc>
      </w:tr>
      <w:tr>
        <w:trPr>
          <w:trHeight w:val="274"/>
        </w:trPr>
        <w:tc>
          <w:tcPr>
            <w:tcW w:w="3320" w:type="dxa"/>
            <w:vAlign w:val="bottom"/>
          </w:tcPr>
          <w:p>
            <w:pPr>
              <w:spacing w:after="0"/>
              <w:rPr>
                <w:sz w:val="23"/>
                <w:szCs w:val="23"/>
                <w:color w:val="auto"/>
              </w:rPr>
            </w:pPr>
          </w:p>
        </w:tc>
        <w:tc>
          <w:tcPr>
            <w:tcW w:w="3380" w:type="dxa"/>
            <w:vAlign w:val="bottom"/>
            <w:vMerge w:val="restart"/>
          </w:tcPr>
          <w:p>
            <w:pPr>
              <w:ind w:left="2020"/>
              <w:spacing w:after="0"/>
              <w:rPr>
                <w:sz w:val="20"/>
                <w:szCs w:val="20"/>
                <w:color w:val="auto"/>
              </w:rPr>
            </w:pPr>
            <w:r>
              <w:rPr>
                <w:rFonts w:ascii="Arial" w:cs="Arial" w:eastAsia="Arial" w:hAnsi="Arial"/>
                <w:sz w:val="22"/>
                <w:szCs w:val="22"/>
                <w:color w:val="auto"/>
              </w:rPr>
              <w:t>Title:</w:t>
            </w:r>
          </w:p>
        </w:tc>
        <w:tc>
          <w:tcPr>
            <w:tcW w:w="4520" w:type="dxa"/>
            <w:vAlign w:val="bottom"/>
          </w:tcPr>
          <w:p>
            <w:pPr>
              <w:ind w:left="20"/>
              <w:spacing w:after="0"/>
              <w:rPr>
                <w:sz w:val="20"/>
                <w:szCs w:val="20"/>
                <w:color w:val="auto"/>
              </w:rPr>
            </w:pPr>
            <w:r>
              <w:rPr>
                <w:rFonts w:ascii="Arial" w:cs="Arial" w:eastAsia="Arial" w:hAnsi="Arial"/>
                <w:sz w:val="22"/>
                <w:szCs w:val="22"/>
                <w:color w:val="auto"/>
              </w:rPr>
              <w:t>Chairman and CEO</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3380" w:type="dxa"/>
            <w:vAlign w:val="bottom"/>
          </w:tcPr>
          <w:p>
            <w:pPr>
              <w:ind w:left="2020"/>
              <w:spacing w:after="0"/>
              <w:rPr>
                <w:sz w:val="20"/>
                <w:szCs w:val="20"/>
                <w:color w:val="auto"/>
              </w:rPr>
            </w:pPr>
            <w:r>
              <w:rPr>
                <w:rFonts w:ascii="Arial" w:cs="Arial" w:eastAsia="Arial" w:hAnsi="Arial"/>
                <w:sz w:val="22"/>
                <w:szCs w:val="22"/>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Patrice Perche</w:t>
            </w:r>
          </w:p>
        </w:tc>
        <w:tc>
          <w:tcPr>
            <w:tcW w:w="0" w:type="dxa"/>
            <w:vAlign w:val="bottom"/>
          </w:tcPr>
          <w:p>
            <w:pPr>
              <w:spacing w:after="0"/>
              <w:rPr>
                <w:sz w:val="1"/>
                <w:szCs w:val="1"/>
                <w:color w:val="auto"/>
              </w:rPr>
            </w:pPr>
          </w:p>
        </w:tc>
      </w:tr>
      <w:tr>
        <w:trPr>
          <w:trHeight w:val="271"/>
        </w:trPr>
        <w:tc>
          <w:tcPr>
            <w:tcW w:w="3320" w:type="dxa"/>
            <w:vAlign w:val="bottom"/>
          </w:tcPr>
          <w:p>
            <w:pPr>
              <w:spacing w:after="0"/>
              <w:rPr>
                <w:sz w:val="23"/>
                <w:szCs w:val="23"/>
                <w:color w:val="auto"/>
              </w:rPr>
            </w:pPr>
          </w:p>
        </w:tc>
        <w:tc>
          <w:tcPr>
            <w:tcW w:w="3380" w:type="dxa"/>
            <w:vAlign w:val="bottom"/>
          </w:tcPr>
          <w:p>
            <w:pPr>
              <w:ind w:left="2020"/>
              <w:spacing w:after="0"/>
              <w:rPr>
                <w:sz w:val="20"/>
                <w:szCs w:val="20"/>
                <w:color w:val="auto"/>
              </w:rPr>
            </w:pPr>
            <w:r>
              <w:rPr>
                <w:rFonts w:ascii="Arial" w:cs="Arial" w:eastAsia="Arial" w:hAnsi="Arial"/>
                <w:sz w:val="22"/>
                <w:szCs w:val="22"/>
                <w:color w:val="auto"/>
              </w:rPr>
              <w:t>Name:</w:t>
            </w:r>
          </w:p>
        </w:tc>
        <w:tc>
          <w:tcPr>
            <w:tcW w:w="4520" w:type="dxa"/>
            <w:vAlign w:val="bottom"/>
          </w:tcPr>
          <w:p>
            <w:pPr>
              <w:ind w:left="20"/>
              <w:spacing w:after="0"/>
              <w:rPr>
                <w:sz w:val="20"/>
                <w:szCs w:val="20"/>
                <w:color w:val="auto"/>
              </w:rPr>
            </w:pPr>
            <w:r>
              <w:rPr>
                <w:rFonts w:ascii="Arial" w:cs="Arial" w:eastAsia="Arial" w:hAnsi="Arial"/>
                <w:sz w:val="22"/>
                <w:szCs w:val="22"/>
                <w:color w:val="auto"/>
              </w:rPr>
              <w:t>Patrice Perche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3"/>
          </w:tcPr>
          <w:p>
            <w:pPr>
              <w:ind w:left="3780"/>
              <w:spacing w:after="0"/>
              <w:rPr>
                <w:sz w:val="20"/>
                <w:szCs w:val="20"/>
                <w:color w:val="auto"/>
              </w:rPr>
            </w:pPr>
            <w:r>
              <w:rPr>
                <w:rFonts w:ascii="Arial" w:cs="Arial" w:eastAsia="Arial" w:hAnsi="Arial"/>
                <w:sz w:val="18"/>
                <w:szCs w:val="18"/>
                <w:b w:val="1"/>
                <w:bCs w:val="1"/>
                <w:color w:val="auto"/>
              </w:rPr>
              <w:t>FORTINET, INC. SUBSIDIARIES</w:t>
            </w:r>
          </w:p>
        </w:tc>
      </w:tr>
      <w:tr>
        <w:trPr>
          <w:trHeight w:val="351"/>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w:t>
            </w: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34"/>
        </w:trPr>
        <w:tc>
          <w:tcPr>
            <w:tcW w:w="5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Borders>
              <w:top w:val="single" w:sz="8" w:color="auto"/>
            </w:tcBorders>
          </w:tcPr>
          <w:p>
            <w:pPr>
              <w:spacing w:after="0"/>
              <w:rPr>
                <w:sz w:val="2"/>
                <w:szCs w:val="2"/>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Austria GmbH</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Austria</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Belgium BV</w:t>
            </w:r>
          </w:p>
        </w:tc>
        <w:tc>
          <w:tcPr>
            <w:tcW w:w="49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Network Security Brasil LTDA</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Technologies (Canada) ULC</w:t>
            </w:r>
          </w:p>
        </w:tc>
        <w:tc>
          <w:tcPr>
            <w:tcW w:w="494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Holdings 1504 Enterprises Inc.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Holdings 1502 Enterprises Ltd.</w:t>
            </w:r>
          </w:p>
        </w:tc>
        <w:tc>
          <w:tcPr>
            <w:tcW w:w="494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Accelops China Limited</w:t>
            </w:r>
          </w:p>
        </w:tc>
        <w:tc>
          <w:tcPr>
            <w:tcW w:w="49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Information Technology (Beijing) Co., Ltd.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Colombia S.A.S.</w:t>
            </w:r>
          </w:p>
        </w:tc>
        <w:tc>
          <w:tcPr>
            <w:tcW w:w="494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Denmark ApS</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Finland Oy</w:t>
            </w:r>
          </w:p>
        </w:tc>
        <w:tc>
          <w:tcPr>
            <w:tcW w:w="494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S.A.R.L.</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GmbH</w:t>
            </w:r>
          </w:p>
        </w:tc>
        <w:tc>
          <w:tcPr>
            <w:tcW w:w="49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CyberSponse India Private Limited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494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Fortinet Indonesia Security</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enSilo, Ltd.</w:t>
            </w:r>
          </w:p>
        </w:tc>
        <w:tc>
          <w:tcPr>
            <w:tcW w:w="494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Security Israel Ltd.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Security Italy S.R.L.</w:t>
            </w:r>
          </w:p>
        </w:tc>
        <w:tc>
          <w:tcPr>
            <w:tcW w:w="494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Japan G.K.</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Security Korea Ltd.</w:t>
            </w:r>
          </w:p>
        </w:tc>
        <w:tc>
          <w:tcPr>
            <w:tcW w:w="494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Malaysia SDN. BHD.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Networks Mauritius Ltd</w:t>
            </w:r>
          </w:p>
        </w:tc>
        <w:tc>
          <w:tcPr>
            <w:tcW w:w="4940" w:type="dxa"/>
            <w:vAlign w:val="bottom"/>
          </w:tcPr>
          <w:p>
            <w:pPr>
              <w:ind w:left="20"/>
              <w:spacing w:after="0"/>
              <w:rPr>
                <w:sz w:val="20"/>
                <w:szCs w:val="20"/>
                <w:color w:val="auto"/>
              </w:rPr>
            </w:pPr>
            <w:r>
              <w:rPr>
                <w:rFonts w:ascii="Arial" w:cs="Arial" w:eastAsia="Arial" w:hAnsi="Arial"/>
                <w:sz w:val="18"/>
                <w:szCs w:val="18"/>
                <w:color w:val="auto"/>
              </w:rPr>
              <w:t>Mauritius</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Mexico, S. de R.L. de C.V.</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B.V.</w:t>
            </w:r>
          </w:p>
        </w:tc>
        <w:tc>
          <w:tcPr>
            <w:tcW w:w="49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Security NZ Limited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Zealand</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Security Philippines, Inc.</w:t>
            </w:r>
          </w:p>
        </w:tc>
        <w:tc>
          <w:tcPr>
            <w:tcW w:w="4940" w:type="dxa"/>
            <w:vAlign w:val="bottom"/>
          </w:tcPr>
          <w:p>
            <w:pPr>
              <w:ind w:left="20"/>
              <w:spacing w:after="0"/>
              <w:rPr>
                <w:sz w:val="20"/>
                <w:szCs w:val="20"/>
                <w:color w:val="auto"/>
              </w:rPr>
            </w:pPr>
            <w:r>
              <w:rPr>
                <w:rFonts w:ascii="Arial" w:cs="Arial" w:eastAsia="Arial" w:hAnsi="Arial"/>
                <w:sz w:val="18"/>
                <w:szCs w:val="18"/>
                <w:color w:val="auto"/>
              </w:rPr>
              <w:t>Philippines</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Security LLC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Qatar</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Networks Romania S.R.L.</w:t>
            </w:r>
          </w:p>
        </w:tc>
        <w:tc>
          <w:tcPr>
            <w:tcW w:w="494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Singapore Private Limited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Security Spain SL</w:t>
            </w:r>
          </w:p>
        </w:tc>
        <w:tc>
          <w:tcPr>
            <w:tcW w:w="494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Switzerland GmbH</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Security Network (Thailand) Ltd.</w:t>
            </w:r>
          </w:p>
        </w:tc>
        <w:tc>
          <w:tcPr>
            <w:tcW w:w="4940" w:type="dxa"/>
            <w:vAlign w:val="bottom"/>
          </w:tcPr>
          <w:p>
            <w:pPr>
              <w:ind w:left="20"/>
              <w:spacing w:after="0"/>
              <w:rPr>
                <w:sz w:val="20"/>
                <w:szCs w:val="20"/>
                <w:color w:val="auto"/>
              </w:rPr>
            </w:pPr>
            <w:r>
              <w:rPr>
                <w:rFonts w:ascii="Arial" w:cs="Arial" w:eastAsia="Arial" w:hAnsi="Arial"/>
                <w:sz w:val="18"/>
                <w:szCs w:val="18"/>
                <w:color w:val="auto"/>
              </w:rPr>
              <w:t>Thailand</w:t>
            </w:r>
          </w:p>
        </w:tc>
      </w:tr>
      <w:tr>
        <w:trPr>
          <w:trHeight w:val="230"/>
        </w:trPr>
        <w:tc>
          <w:tcPr>
            <w:tcW w:w="53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Fortinet Turkey G</w:t>
            </w:r>
            <w:r>
              <w:rPr>
                <w:rFonts w:ascii="MS PGothic" w:cs="MS PGothic" w:eastAsia="MS PGothic" w:hAnsi="MS PGothic"/>
                <w:sz w:val="18"/>
                <w:szCs w:val="18"/>
                <w:color w:val="auto"/>
              </w:rPr>
              <w:t>✔</w:t>
            </w:r>
            <w:r>
              <w:rPr>
                <w:rFonts w:ascii="Arial" w:cs="Arial" w:eastAsia="Arial" w:hAnsi="Arial"/>
                <w:sz w:val="18"/>
                <w:szCs w:val="18"/>
                <w:color w:val="auto"/>
              </w:rPr>
              <w:t>venlik Sistemleri Limited Şirketi</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Turkey</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CyberSponse, Inc.</w:t>
            </w: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enSilo, Inc.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Branch Holding Company</w:t>
            </w: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Fortinet Federal, Inc.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Holding LLC</w:t>
            </w: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OPAQ Networks, Inc.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Panopta Holdings LLC</w:t>
            </w:r>
          </w:p>
        </w:tc>
        <w:tc>
          <w:tcPr>
            <w:tcW w:w="494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Panopta LLC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Fortinet UK Limited</w:t>
            </w:r>
          </w:p>
        </w:tc>
        <w:tc>
          <w:tcPr>
            <w:tcW w:w="49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Linksys Holdings, Inc.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Linksys Cayman, LLC</w:t>
            </w:r>
          </w:p>
        </w:tc>
        <w:tc>
          <w:tcPr>
            <w:tcW w:w="494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Linksys USA, Inc.</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Linksys UK Limited</w:t>
            </w:r>
          </w:p>
        </w:tc>
        <w:tc>
          <w:tcPr>
            <w:tcW w:w="49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Linksys HK Limited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Linksys PTE LTD</w:t>
            </w:r>
          </w:p>
        </w:tc>
        <w:tc>
          <w:tcPr>
            <w:tcW w:w="49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Linksys Trading Shanghai, Co., Ltd.</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0740"/>
          </w:cols>
          <w:pgMar w:left="820" w:top="891" w:right="3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Fortinet Portugal, Unipessoal Lda</w:t>
            </w:r>
          </w:p>
        </w:tc>
        <w:tc>
          <w:tcPr>
            <w:tcW w:w="6220" w:type="dxa"/>
            <w:vAlign w:val="bottom"/>
          </w:tcPr>
          <w:p>
            <w:pPr>
              <w:ind w:left="1300"/>
              <w:spacing w:after="0"/>
              <w:rPr>
                <w:sz w:val="20"/>
                <w:szCs w:val="20"/>
                <w:color w:val="auto"/>
              </w:rPr>
            </w:pPr>
            <w:r>
              <w:rPr>
                <w:rFonts w:ascii="Arial" w:cs="Arial" w:eastAsia="Arial" w:hAnsi="Arial"/>
                <w:sz w:val="18"/>
                <w:szCs w:val="18"/>
                <w:color w:val="auto"/>
              </w:rPr>
              <w:t>Portugal</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AJ Holdings 1 K.K.</w:t>
            </w:r>
          </w:p>
        </w:tc>
        <w:tc>
          <w:tcPr>
            <w:tcW w:w="6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Japan</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AJ Holdings 2 K.K.</w:t>
            </w:r>
          </w:p>
        </w:tc>
        <w:tc>
          <w:tcPr>
            <w:tcW w:w="6220" w:type="dxa"/>
            <w:vAlign w:val="bottom"/>
          </w:tcPr>
          <w:p>
            <w:pPr>
              <w:ind w:left="1300"/>
              <w:spacing w:after="0"/>
              <w:rPr>
                <w:sz w:val="20"/>
                <w:szCs w:val="20"/>
                <w:color w:val="auto"/>
              </w:rPr>
            </w:pPr>
            <w:r>
              <w:rPr>
                <w:rFonts w:ascii="Arial" w:cs="Arial" w:eastAsia="Arial" w:hAnsi="Arial"/>
                <w:sz w:val="18"/>
                <w:szCs w:val="18"/>
                <w:color w:val="auto"/>
              </w:rPr>
              <w:t>Japan</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Alaxala Networks Corporation</w:t>
            </w:r>
          </w:p>
        </w:tc>
        <w:tc>
          <w:tcPr>
            <w:tcW w:w="6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Japan</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Volon Cyber Security Private Limited</w:t>
            </w:r>
          </w:p>
        </w:tc>
        <w:tc>
          <w:tcPr>
            <w:tcW w:w="6220" w:type="dxa"/>
            <w:vAlign w:val="bottom"/>
          </w:tcPr>
          <w:p>
            <w:pPr>
              <w:ind w:left="1300"/>
              <w:spacing w:after="0"/>
              <w:rPr>
                <w:sz w:val="20"/>
                <w:szCs w:val="20"/>
                <w:color w:val="auto"/>
              </w:rPr>
            </w:pPr>
            <w:r>
              <w:rPr>
                <w:rFonts w:ascii="Arial" w:cs="Arial" w:eastAsia="Arial" w:hAnsi="Arial"/>
                <w:sz w:val="18"/>
                <w:szCs w:val="18"/>
                <w:color w:val="auto"/>
              </w:rPr>
              <w:t>India</w:t>
            </w:r>
          </w:p>
        </w:tc>
      </w:tr>
    </w:tbl>
    <w:p>
      <w:pPr>
        <w:sectPr>
          <w:pgSz w:w="11900" w:h="16838" w:orient="portrait"/>
          <w:cols w:equalWidth="0" w:num="1">
            <w:col w:w="10260"/>
          </w:cols>
          <w:pgMar w:left="820" w:top="1030" w:right="8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consent to the incorporation by reference in Registration Statement No. 333-253341 on Form S-3 and Registration Statement Nos. 333-172459, 333-186921, 333-229894, 333-223246, 333-216362, 333-209783, 333-202402, 333-194281, 333-163367, 333-205958, 333-175985, and 333-179751 on Form S-8 of our reports dated February 23, 2023, relating to the financial statements of Fortinet, Inc. and the effectiveness of Fortinet, Inc.’s internal control over financial reporting, appearing in this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2022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Date:  February 23, 2023</w:t>
            </w:r>
          </w:p>
        </w:tc>
        <w:tc>
          <w:tcPr>
            <w:tcW w:w="2700" w:type="dxa"/>
            <w:vAlign w:val="bottom"/>
          </w:tcPr>
          <w:p>
            <w:pPr>
              <w:ind w:left="20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920" w:type="dxa"/>
            <w:vAlign w:val="bottom"/>
          </w:tcPr>
          <w:p>
            <w:pPr>
              <w:spacing w:after="0"/>
              <w:rPr>
                <w:sz w:val="15"/>
                <w:szCs w:val="15"/>
                <w:color w:val="auto"/>
              </w:rPr>
            </w:pPr>
          </w:p>
        </w:tc>
        <w:tc>
          <w:tcPr>
            <w:tcW w:w="2700" w:type="dxa"/>
            <w:vAlign w:val="bottom"/>
          </w:tcPr>
          <w:p>
            <w:pPr>
              <w:ind w:left="20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60"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Annual Report on Form 10-K of Fortinet, Inc. for the fiscal year ended December 31, 2022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Date:  February 23, 2023</w:t>
            </w:r>
          </w:p>
        </w:tc>
        <w:tc>
          <w:tcPr>
            <w:tcW w:w="2700" w:type="dxa"/>
            <w:vAlign w:val="bottom"/>
          </w:tcPr>
          <w:p>
            <w:pPr>
              <w:ind w:left="20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920" w:type="dxa"/>
            <w:vAlign w:val="bottom"/>
          </w:tcPr>
          <w:p>
            <w:pPr>
              <w:spacing w:after="0"/>
              <w:rPr>
                <w:sz w:val="15"/>
                <w:szCs w:val="15"/>
                <w:color w:val="auto"/>
              </w:rPr>
            </w:pPr>
          </w:p>
        </w:tc>
        <w:tc>
          <w:tcPr>
            <w:tcW w:w="2700" w:type="dxa"/>
            <w:vAlign w:val="bottom"/>
          </w:tcPr>
          <w:p>
            <w:pPr>
              <w:ind w:left="20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9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lvl w:ilvl="1">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lvl w:ilvl="1">
      <w:lvlJc w:val="left"/>
      <w:lvlText w:val="•"/>
      <w:numFmt w:val="bullet"/>
      <w:start w:val="1"/>
    </w:lvl>
  </w:abstractNum>
  <w:abstractNum w:abstractNumId="4">
    <w:nsid w:val="180115BE"/>
    <w:multiLevelType w:val="hybridMultilevel"/>
    <w:lvl w:ilvl="0">
      <w:lvlJc w:val="left"/>
      <w:lvlText w:val="•"/>
      <w:numFmt w:val="bullet"/>
      <w:start w:val="1"/>
    </w:lvl>
    <w:lvl w:ilvl="1">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lvl w:ilvl="1">
      <w:lvlJc w:val="left"/>
      <w:lvlText w:val="•"/>
      <w:numFmt w:val="bullet"/>
      <w:start w:val="1"/>
    </w:lvl>
  </w:abstractNum>
  <w:abstractNum w:abstractNumId="32">
    <w:nsid w:val="6B94764"/>
    <w:multiLevelType w:val="hybridMultilevel"/>
    <w:lvl w:ilvl="0">
      <w:lvlJc w:val="left"/>
      <w:lvlText w:val="•"/>
      <w:numFmt w:val="bullet"/>
      <w:start w:val="1"/>
    </w:lvl>
    <w:lvl w:ilvl="1">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lvl w:ilvl="1">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1."/>
      <w:numFmt w:val="decimal"/>
      <w:start w:val="2"/>
    </w:lvl>
  </w:abstractNum>
  <w:abstractNum w:abstractNumId="49">
    <w:nsid w:val="68EB2F63"/>
    <w:multiLevelType w:val="hybridMultilevel"/>
    <w:lvl w:ilvl="0">
      <w:lvlJc w:val="left"/>
      <w:lvlText w:val="%1."/>
      <w:numFmt w:val="decimal"/>
      <w:start w:val="3"/>
    </w:lvl>
  </w:abstractNum>
  <w:abstractNum w:abstractNumId="50">
    <w:nsid w:val="4962813B"/>
    <w:multiLevelType w:val="hybridMultilevel"/>
    <w:lvl w:ilvl="0">
      <w:lvlJc w:val="left"/>
      <w:lvlText w:val="%1."/>
      <w:numFmt w:val="decimal"/>
      <w:start w:val="6"/>
    </w:lvl>
  </w:abstractNum>
  <w:abstractNum w:abstractNumId="51">
    <w:nsid w:val="60B6DF70"/>
    <w:multiLevelType w:val="hybridMultilevel"/>
    <w:lvl w:ilvl="0">
      <w:lvlJc w:val="left"/>
      <w:lvlText w:val="%1."/>
      <w:numFmt w:val="decimal"/>
      <w:start w:val="7"/>
    </w:lvl>
  </w:abstractNum>
  <w:abstractNum w:abstractNumId="52">
    <w:nsid w:val="6A5EE64"/>
    <w:multiLevelType w:val="hybridMultilevel"/>
    <w:lvl w:ilvl="0">
      <w:lvlJc w:val="left"/>
      <w:lvlText w:val="%1."/>
      <w:numFmt w:val="decimal"/>
      <w:start w:val="8"/>
    </w:lvl>
  </w:abstractNum>
  <w:abstractNum w:abstractNumId="53">
    <w:nsid w:val="14330624"/>
    <w:multiLevelType w:val="hybridMultilevel"/>
    <w:lvl w:ilvl="0">
      <w:lvlJc w:val="left"/>
      <w:lvlText w:val="%1."/>
      <w:numFmt w:val="decimal"/>
      <w:start w:val="9"/>
    </w:lvl>
  </w:abstractNum>
  <w:abstractNum w:abstractNumId="54">
    <w:nsid w:val="7FFFCA11"/>
    <w:multiLevelType w:val="hybridMultilevel"/>
    <w:lvl w:ilvl="0">
      <w:lvlJc w:val="left"/>
      <w:lvlText w:val="%1."/>
      <w:numFmt w:val="decimal"/>
      <w:start w:val="10"/>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1."/>
      <w:numFmt w:val="decimal"/>
      <w:start w:val="11"/>
    </w:lvl>
  </w:abstractNum>
  <w:abstractNum w:abstractNumId="57">
    <w:nsid w:val="100F59DC"/>
    <w:multiLevelType w:val="hybridMultilevel"/>
    <w:lvl w:ilvl="0">
      <w:lvlJc w:val="left"/>
      <w:lvlText w:val="%1."/>
      <w:numFmt w:val="decimal"/>
      <w:start w:val="12"/>
    </w:lvl>
  </w:abstractNum>
  <w:abstractNum w:abstractNumId="58">
    <w:nsid w:val="7FB7E0AA"/>
    <w:multiLevelType w:val="hybridMultilevel"/>
    <w:lvl w:ilvl="0">
      <w:lvlJc w:val="left"/>
      <w:lvlText w:val="%1."/>
      <w:numFmt w:val="decimal"/>
      <w:start w:val="13"/>
    </w:lvl>
  </w:abstractNum>
  <w:abstractNum w:abstractNumId="59">
    <w:nsid w:val="6EB5BD4"/>
    <w:multiLevelType w:val="hybridMultilevel"/>
    <w:lvl w:ilvl="0">
      <w:lvlJc w:val="left"/>
      <w:lvlText w:val="%1."/>
      <w:numFmt w:val="decimal"/>
      <w:start w:val="14"/>
    </w:lvl>
  </w:abstractNum>
  <w:abstractNum w:abstractNumId="60">
    <w:nsid w:val="6F6DD9AC"/>
    <w:multiLevelType w:val="hybridMultilevel"/>
    <w:lvl w:ilvl="0">
      <w:lvlJc w:val="left"/>
      <w:lvlText w:val="%1."/>
      <w:numFmt w:val="decimal"/>
      <w:start w:val="15"/>
    </w:lvl>
  </w:abstractNum>
  <w:abstractNum w:abstractNumId="61">
    <w:nsid w:val="94211F2"/>
    <w:multiLevelType w:val="hybridMultilevel"/>
    <w:lvl w:ilvl="0">
      <w:lvlJc w:val="left"/>
      <w:lvlText w:val="%1."/>
      <w:numFmt w:val="decimal"/>
      <w:start w:val="16"/>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1."/>
      <w:numFmt w:val="decimal"/>
      <w:start w:val="17"/>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decimal"/>
      <w:start w:val="2"/>
    </w:lvl>
  </w:abstractNum>
  <w:abstractNum w:abstractNumId="75">
    <w:nsid w:val="CC1016F"/>
    <w:multiLevelType w:val="hybridMultilevel"/>
    <w:lvl w:ilvl="0">
      <w:lvlJc w:val="left"/>
      <w:lvlText w:val="%1."/>
      <w:numFmt w:val="decimal"/>
      <w:start w:val="3"/>
    </w:lvl>
  </w:abstractNum>
  <w:abstractNum w:abstractNumId="76">
    <w:nsid w:val="43F18422"/>
    <w:multiLevelType w:val="hybridMultilevel"/>
    <w:lvl w:ilvl="0">
      <w:lvlJc w:val="left"/>
      <w:lvlText w:val="%1."/>
      <w:numFmt w:val="decimal"/>
      <w:start w:val="4"/>
    </w:lvl>
  </w:abstractNum>
  <w:abstractNum w:abstractNumId="77">
    <w:nsid w:val="60EF0119"/>
    <w:multiLevelType w:val="hybridMultilevel"/>
    <w:lvl w:ilvl="0">
      <w:lvlJc w:val="left"/>
      <w:lvlText w:val="%1."/>
      <w:numFmt w:val="decimal"/>
      <w:start w:val="5"/>
    </w:lvl>
  </w:abstractNum>
  <w:abstractNum w:abstractNumId="78">
    <w:nsid w:val="26F324BA"/>
    <w:multiLevelType w:val="hybridMultilevel"/>
    <w:lvl w:ilvl="0">
      <w:lvlJc w:val="left"/>
      <w:lvlText w:val="%1."/>
      <w:numFmt w:val="decimal"/>
      <w:start w:val="7"/>
    </w:lvl>
  </w:abstractNum>
  <w:abstractNum w:abstractNumId="79">
    <w:nsid w:val="7F01579B"/>
    <w:multiLevelType w:val="hybridMultilevel"/>
    <w:lvl w:ilvl="0">
      <w:lvlJc w:val="left"/>
      <w:lvlText w:val="%1."/>
      <w:numFmt w:val="decimal"/>
      <w:start w:val="8"/>
    </w:lvl>
  </w:abstractNum>
  <w:abstractNum w:abstractNumId="80">
    <w:nsid w:val="49DA307D"/>
    <w:multiLevelType w:val="hybridMultilevel"/>
    <w:lvl w:ilvl="0">
      <w:lvlJc w:val="left"/>
      <w:lvlText w:val="%1."/>
      <w:numFmt w:val="decimal"/>
      <w:start w:val="9"/>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decimal"/>
      <w:start w:val="10"/>
    </w:lvl>
  </w:abstractNum>
  <w:abstractNum w:abstractNumId="83">
    <w:nsid w:val="50801EE1"/>
    <w:multiLevelType w:val="hybridMultilevel"/>
    <w:lvl w:ilvl="0">
      <w:lvlJc w:val="left"/>
      <w:lvlText w:val="%1."/>
      <w:numFmt w:val="decimal"/>
      <w:start w:val="11"/>
    </w:lvl>
  </w:abstractNum>
  <w:abstractNum w:abstractNumId="84">
    <w:nsid w:val="488AC1A"/>
    <w:multiLevelType w:val="hybridMultilevel"/>
    <w:lvl w:ilvl="0">
      <w:lvlJc w:val="left"/>
      <w:lvlText w:val="%1."/>
      <w:numFmt w:val="decimal"/>
      <w:start w:val="12"/>
    </w:lvl>
  </w:abstractNum>
  <w:abstractNum w:abstractNumId="85">
    <w:nsid w:val="5FB8011C"/>
    <w:multiLevelType w:val="hybridMultilevel"/>
    <w:lvl w:ilvl="0">
      <w:lvlJc w:val="left"/>
      <w:lvlText w:val="%1."/>
      <w:numFmt w:val="decimal"/>
      <w:start w:val="13"/>
    </w:lvl>
  </w:abstractNum>
  <w:abstractNum w:abstractNumId="86">
    <w:nsid w:val="6AA78F7F"/>
    <w:multiLevelType w:val="hybridMultilevel"/>
    <w:lvl w:ilvl="0">
      <w:lvlJc w:val="left"/>
      <w:lvlText w:val="(%1)"/>
      <w:numFmt w:val="lowerLetter"/>
      <w:start w:val="1"/>
    </w:lvl>
  </w:abstractNum>
  <w:abstractNum w:abstractNumId="87">
    <w:nsid w:val="7672BD23"/>
    <w:multiLevelType w:val="hybridMultilevel"/>
    <w:lvl w:ilvl="0">
      <w:lvlJc w:val="left"/>
      <w:lvlText w:val="%1."/>
      <w:numFmt w:val="decimal"/>
      <w:start w:val="1"/>
    </w:lvl>
  </w:abstractNum>
  <w:abstractNum w:abstractNumId="88">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9">
    <w:nsid w:val="6A5F702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90">
    <w:nsid w:val="7D5E18F8"/>
    <w:multiLevelType w:val="hybridMultilevel"/>
    <w:lvl w:ilvl="0">
      <w:lvlJc w:val="left"/>
      <w:lvlText w:val="%1"/>
      <w:numFmt w:val="lowerLetter"/>
      <w:start w:val="1"/>
    </w:lvl>
    <w:lvl w:ilvl="1">
      <w:lvlJc w:val="left"/>
      <w:lvlText w:val="(%2)"/>
      <w:numFmt w:val="lowerRoman"/>
      <w:start w:val="1"/>
    </w:lvl>
  </w:abstractNum>
  <w:abstractNum w:abstractNumId="91">
    <w:nsid w:val="5F3534A4"/>
    <w:multiLevelType w:val="hybridMultilevel"/>
    <w:lvl w:ilvl="0">
      <w:lvlJc w:val="left"/>
      <w:lvlText w:val="(%1)"/>
      <w:numFmt w:val="lowerLetter"/>
      <w:start w:val="2"/>
    </w:lvl>
    <w:lvl w:ilvl="1">
      <w:lvlJc w:val="left"/>
      <w:lvlText w:val="(%2)"/>
      <w:numFmt w:val="lowerRoman"/>
      <w:start w:val="1"/>
    </w:lvl>
  </w:abstractNum>
  <w:abstractNum w:abstractNumId="92">
    <w:nsid w:val="73A1821B"/>
    <w:multiLevelType w:val="hybridMultilevel"/>
    <w:lvl w:ilvl="0">
      <w:lvlJc w:val="left"/>
      <w:lvlText w:val="(%1)"/>
      <w:numFmt w:val="lowerLetter"/>
      <w:start w:val="4"/>
    </w:lvl>
  </w:abstractNum>
  <w:abstractNum w:abstractNumId="93">
    <w:nsid w:val="7DE67713"/>
    <w:multiLevelType w:val="hybridMultilevel"/>
    <w:lvl w:ilvl="0">
      <w:lvlJc w:val="left"/>
      <w:lvlText w:val="%1"/>
      <w:numFmt w:val="lowerLetter"/>
      <w:start w:val="1"/>
    </w:lvl>
    <w:lvl w:ilvl="1">
      <w:lvlJc w:val="left"/>
      <w:lvlText w:val="(%2)"/>
      <w:numFmt w:val="lowerLetter"/>
      <w:start w:val="5"/>
    </w:lvl>
  </w:abstractNum>
  <w:abstractNum w:abstractNumId="94">
    <w:nsid w:val="555C55B5"/>
    <w:multiLevelType w:val="hybridMultilevel"/>
    <w:lvl w:ilvl="0">
      <w:lvlJc w:val="left"/>
      <w:lvlText w:val="(%1)"/>
      <w:numFmt w:val="lowerLetter"/>
      <w:start w:val="9"/>
    </w:lvl>
    <w:lvl w:ilvl="1">
      <w:lvlJc w:val="left"/>
      <w:lvlText w:val="(%2)"/>
      <w:numFmt w:val="lowerLetter"/>
      <w:start w:val="7"/>
    </w:lvl>
  </w:abstractNum>
  <w:abstractNum w:abstractNumId="95">
    <w:nsid w:val="3FA62ACA"/>
    <w:multiLevelType w:val="hybridMultilevel"/>
    <w:lvl w:ilvl="0">
      <w:lvlJc w:val="left"/>
      <w:lvlText w:val="%1"/>
      <w:numFmt w:val="decimal"/>
      <w:start w:val="1"/>
    </w:lvl>
    <w:lvl w:ilvl="1">
      <w:lvlJc w:val="left"/>
      <w:lvlText w:val="(%2)"/>
      <w:numFmt w:val="lowerRoman"/>
      <w:start w:val="1"/>
    </w:lvl>
  </w:abstractNum>
  <w:abstractNum w:abstractNumId="96">
    <w:nsid w:val="14FCE74E"/>
    <w:multiLevelType w:val="hybridMultilevel"/>
    <w:lvl w:ilvl="0">
      <w:lvlJc w:val="left"/>
      <w:lvlText w:val="%1."/>
      <w:numFmt w:val="decimal"/>
      <w:start w:val="4"/>
    </w:lvl>
    <w:lvl w:ilvl="1">
      <w:lvlJc w:val="left"/>
      <w:lvlText w:val="%2"/>
      <w:numFmt w:val="lowerRoman"/>
      <w:start w:val="1"/>
    </w:lvl>
  </w:abstractNum>
  <w:abstractNum w:abstractNumId="97">
    <w:nsid w:val="6A3DD3E8"/>
    <w:multiLevelType w:val="hybridMultilevel"/>
    <w:lvl w:ilvl="0">
      <w:lvlJc w:val="left"/>
      <w:lvlText w:val="(%1)"/>
      <w:numFmt w:val="lowerLetter"/>
      <w:start w:val="1"/>
    </w:lvl>
  </w:abstractNum>
  <w:abstractNum w:abstractNumId="98">
    <w:nsid w:val="71C91298"/>
    <w:multiLevelType w:val="hybridMultilevel"/>
    <w:lvl w:ilvl="0">
      <w:lvlJc w:val="left"/>
      <w:lvlText w:val="%1."/>
      <w:numFmt w:val="decimal"/>
      <w:start w:val="5"/>
    </w:lvl>
    <w:lvl w:ilvl="1">
      <w:lvlJc w:val="left"/>
      <w:lvlText w:val="(%2)"/>
      <w:numFmt w:val="lowerLetter"/>
      <w:start w:val="1"/>
    </w:lvl>
  </w:abstractNum>
  <w:abstractNum w:abstractNumId="99">
    <w:nsid w:val="9DAF63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0">
    <w:nsid w:val="5329993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01">
    <w:nsid w:val="1FBFE8E0"/>
    <w:multiLevelType w:val="hybridMultilevel"/>
    <w:lvl w:ilvl="0">
      <w:lvlJc w:val="left"/>
      <w:lvlText w:val="%1"/>
      <w:numFmt w:val="decimal"/>
      <w:start w:val="1"/>
    </w:lvl>
    <w:lvl w:ilvl="1">
      <w:lvlJc w:val="left"/>
      <w:lvlText w:val="(%2)"/>
      <w:numFmt w:val="lowerLetter"/>
      <w:start w:val="4"/>
    </w:lvl>
  </w:abstractNum>
  <w:abstractNum w:abstractNumId="102">
    <w:nsid w:val="5092CA79"/>
    <w:multiLevelType w:val="hybridMultilevel"/>
    <w:lvl w:ilvl="0">
      <w:lvlJc w:val="left"/>
      <w:lvlText w:val="%1."/>
      <w:numFmt w:val="decimal"/>
      <w:start w:val="6"/>
    </w:lvl>
    <w:lvl w:ilvl="1">
      <w:lvlJc w:val="left"/>
      <w:lvlText w:val="(%2)"/>
      <w:numFmt w:val="lowerLetter"/>
      <w:start w:val="1"/>
    </w:lvl>
  </w:abstractNum>
  <w:abstractNum w:abstractNumId="103">
    <w:nsid w:val="1D545C4D"/>
    <w:multiLevelType w:val="hybridMultilevel"/>
    <w:lvl w:ilvl="0">
      <w:lvlJc w:val="left"/>
      <w:lvlText w:val="%1"/>
      <w:numFmt w:val="decimal"/>
      <w:start w:val="1"/>
    </w:lvl>
    <w:lvl w:ilvl="1">
      <w:lvlJc w:val="left"/>
      <w:lvlText w:val="(%2)"/>
      <w:numFmt w:val="lowerLetter"/>
      <w:start w:val="2"/>
    </w:lvl>
  </w:abstractNum>
  <w:abstractNum w:abstractNumId="104">
    <w:nsid w:val="59ADEA3D"/>
    <w:multiLevelType w:val="hybridMultilevel"/>
    <w:lvl w:ilvl="0">
      <w:lvlJc w:val="left"/>
      <w:lvlText w:val="%1."/>
      <w:numFmt w:val="decimal"/>
      <w:start w:val="7"/>
    </w:lvl>
    <w:lvl w:ilvl="1">
      <w:lvlJc w:val="left"/>
      <w:lvlText w:val="(%2)"/>
      <w:numFmt w:val="lowerLetter"/>
      <w:start w:val="1"/>
    </w:lvl>
  </w:abstractNum>
  <w:abstractNum w:abstractNumId="105">
    <w:nsid w:val="288F1A34"/>
    <w:multiLevelType w:val="hybridMultilevel"/>
    <w:lvl w:ilvl="0">
      <w:lvlJc w:val="left"/>
      <w:lvlText w:val="(%1)"/>
      <w:numFmt w:val="lowerLetter"/>
      <w:start w:val="2"/>
    </w:lvl>
    <w:lvl w:ilvl="1">
      <w:lvlJc w:val="left"/>
      <w:lvlText w:val="(%2)"/>
      <w:numFmt w:val="lowerRoman"/>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7">
    <w:nsid w:val="1D9F6E5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51" Type="http://schemas.openxmlformats.org/officeDocument/2006/relationships/hyperlink" Target="https://www.sec.gov/Archives/edgar/data/1262039/000126203922000023/ex31ftnt-amendedandrestate.htm" TargetMode="External"/><Relationship Id="rId152" Type="http://schemas.openxmlformats.org/officeDocument/2006/relationships/hyperlink" Target="https://www.sec.gov/Archives/edgar/data/1262039/000126203923000006/ftnt-amendedandrestatedbyl.htm" TargetMode="External"/><Relationship Id="rId153" Type="http://schemas.openxmlformats.org/officeDocument/2006/relationships/hyperlink" Target="http://www.sec.gov/Archives/edgar/data/1262039/000119312509220527/dex41.htm" TargetMode="External"/><Relationship Id="rId154" Type="http://schemas.openxmlformats.org/officeDocument/2006/relationships/hyperlink" Target="http://www.sec.gov/Archives/edgar/data/1262039/000119312509169817/dex101.htm" TargetMode="External"/><Relationship Id="rId155" Type="http://schemas.openxmlformats.org/officeDocument/2006/relationships/hyperlink" Target="http://www.sec.gov/Archives/edgar/data/1262039/000126203919000023/ftnt-ex101amendedandre.htm" TargetMode="External"/><Relationship Id="rId156" Type="http://schemas.openxmlformats.org/officeDocument/2006/relationships/hyperlink" Target="http://www.sec.gov/Archives/edgar/data/1262039/000126203912000013/ftnt-ex105_20111231xk.htm" TargetMode="External"/><Relationship Id="rId157" Type="http://schemas.openxmlformats.org/officeDocument/2006/relationships/hyperlink" Target="http://www.sec.gov/Archives/edgar/data/1262039/000126203913000044/fortinet_20130630x10-qex991.htm" TargetMode="External"/><Relationship Id="rId158" Type="http://schemas.openxmlformats.org/officeDocument/2006/relationships/hyperlink" Target="http://www.sec.gov/Archives/edgar/data/1262039/000126203915000009/ftnt-ex107_20141231xk.htm" TargetMode="External"/><Relationship Id="rId159" Type="http://schemas.openxmlformats.org/officeDocument/2006/relationships/hyperlink" Target="https://www.sec.gov/Archives/edgar/data/1262039/000126203920000011/ftnt-ex10620191231xk.htm" TargetMode="External"/><Relationship Id="rId160" Type="http://schemas.openxmlformats.org/officeDocument/2006/relationships/hyperlink" Target="https://www.sec.gov/Archives/edgar/data/1262039/000126203920000011/ftnt-ex10720191231xk.htm" TargetMode="External"/><Relationship Id="rId161" Type="http://schemas.openxmlformats.org/officeDocument/2006/relationships/hyperlink" Target="https://www.sec.gov/Archives/edgar/data/1262039/000126203921000008/ftnt-ex108_20201231xk.htm" TargetMode="External"/><Relationship Id="rId162" Type="http://schemas.openxmlformats.org/officeDocument/2006/relationships/hyperlink" Target="http://www.sec.gov/Archives/edgar/data/1262039/000126203913000055/fortinet_20130930x10-qex101.htm" TargetMode="External"/><Relationship Id="rId163" Type="http://schemas.openxmlformats.org/officeDocument/2006/relationships/hyperlink" Target="http://www.sec.gov/Archives/edgar/data/1262039/000126203915000024/ftnt-ex101_20150630xqxcoca.htm" TargetMode="External"/><Relationship Id="rId164" Type="http://schemas.openxmlformats.org/officeDocument/2006/relationships/hyperlink" Target="http://www.sec.gov/Archives/edgar/data/1262039/000126203919000023/ftnt-ex102changeofctrl.htm" TargetMode="External"/><Relationship Id="rId165" Type="http://schemas.openxmlformats.org/officeDocument/2006/relationships/hyperlink" Target="http://www.sec.gov/Archives/edgar/data/1262039/000126203919000023/ftnt-ex103changeofctrl.htm" TargetMode="External"/><Relationship Id="rId166" Type="http://schemas.openxmlformats.org/officeDocument/2006/relationships/hyperlink" Target="http://www.sec.gov/Archives/edgar/data/1262039/000126203919000023/ftnt-ex104changeofctrl.htm" TargetMode="External"/><Relationship Id="rId167" Type="http://schemas.openxmlformats.org/officeDocument/2006/relationships/hyperlink" Target="http://www.sec.gov/Archives/edgar/data/1262039/000119312509169817/dex1010.htm" TargetMode="External"/><Relationship Id="rId168" Type="http://schemas.openxmlformats.org/officeDocument/2006/relationships/hyperlink" Target="http://www.sec.gov/Archives/edgar/data/1262039/000126203918000009/ftnt-ex1022_20171231xk.htm" TargetMode="External"/><Relationship Id="rId169" Type="http://schemas.openxmlformats.org/officeDocument/2006/relationships/hyperlink" Target="http://www.sec.gov/Archives/edgar/data/1262039/000126203919000023/ftnt-ex105changeofctr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2023-02-24T05:51:37Z</dcterms:created>
  <dcterms:modified xsi:type="dcterms:W3CDTF">2023-02-24T05:51:37Z</dcterms:modified>
</cp:coreProperties>
</file>